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sz w:val="32"/>
        </w:rPr>
        <w:t>目 录</w:t>
      </w:r>
    </w:p>
    <w:p>
      <w:r>
        <w:fldChar w:fldCharType="begin"/>
        <w:instrText xml:space="preserve">TOC \o "1-3" \h \z \u</w:instrText>
        <w:fldChar w:fldCharType="separate"/>
        <w:fldChar w:fldCharType="end"/>
      </w:r>
    </w:p>
    <w:p>
      <w:r>
        <w:br/>
      </w:r>
    </w:p>
    <w:p>
      <w:pPr>
        <w:pStyle w:val="Heading1"/>
      </w:pPr>
      <w:r>
        <w:rPr>
          <w:rFonts w:ascii="Times New Roman" w:hAnsi="Times New Roman" w:eastAsia="宋体"/>
          <w:b/>
          <w:color w:val="000000"/>
          <w:sz w:val="32"/>
        </w:rPr>
        <w:t>Nature Communications</w:t>
      </w:r>
    </w:p>
    <w:p>
      <w:pPr>
        <w:jc w:val="center"/>
      </w:pPr>
      <w:r>
        <w:t>--- 更新: 00:27 ---</w:t>
      </w:r>
    </w:p>
    <w:p>
      <w:pPr>
        <w:pStyle w:val="Heading2"/>
      </w:pPr>
      <w:r/>
      <w:r>
        <w:rPr>
          <w:rFonts w:ascii="Times New Roman" w:hAnsi="Times New Roman" w:eastAsia="宋体"/>
          <w:b/>
          <w:color w:val="000000"/>
          <w:sz w:val="24"/>
        </w:rPr>
        <w:t>集中和引导等离子体异质结构中的能量流，以实现稳定高效的光驱动甲烷干重整</w:t>
      </w:r>
    </w:p>
    <w:p>
      <w:r>
        <w:rPr>
          <w:rFonts w:ascii="Times New Roman" w:hAnsi="Times New Roman" w:eastAsia="宋体"/>
          <w:b/>
          <w:color w:val="003264"/>
          <w:sz w:val="24"/>
        </w:rPr>
        <w:t>Concentrating and directing energy flow in plasmonic heterostructures for stable and efficient light-driven methane dry reforming</w:t>
      </w:r>
    </w:p>
    <w:p>
      <w:r>
        <w:rPr>
          <w:rFonts w:ascii="Times New Roman" w:hAnsi="Times New Roman" w:eastAsia="宋体"/>
          <w:sz w:val="21"/>
        </w:rPr>
        <w:t>作者: Tingting Yin, Haoyang Yuan, Qilin Wang, Zehao Shen, Shuai Yin, Fangmu Wang, Erjun Kan, Wei Jiang, Bo Ouyang, Guigao Liu</w:t>
        <w:br/>
      </w:r>
      <w:r>
        <w:rPr>
          <w:rFonts w:ascii="Times New Roman" w:hAnsi="Times New Roman" w:eastAsia="宋体"/>
          <w:sz w:val="21"/>
        </w:rPr>
        <w:t xml:space="preserve">时间: 2026-02-12 | </w:t>
      </w:r>
      <w:r>
        <w:t xml:space="preserve">链接: </w:t>
      </w:r>
      <w:hyperlink r:id="rId10">
        <w:r>
          <w:rPr>
            <w:rFonts w:ascii="Times New Roman" w:hAnsi="Times New Roman" w:eastAsia="宋体"/>
            <w:color w:val="0000FF"/>
            <w:sz w:val="21"/>
            <w:u w:val="single"/>
          </w:rPr>
          <w:t>https://doi.org/10.1038/s41467-026-69581-z</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甲烷干重整是将温室气体转化为合成气的一种有前途的方法，但会遇到催化剂失活和结焦的问题。在这里，作者设计了一种等离子体异质结构，可以集中和引导能量流，从而实现稳定高效的光催化甲烷干重整。</w:t>
      </w:r>
    </w:p>
    <w:p>
      <w:pPr>
        <w:spacing w:before="120"/>
      </w:pPr>
      <w:r>
        <w:rPr>
          <w:rFonts w:ascii="Times New Roman" w:hAnsi="Times New Roman" w:eastAsia="宋体"/>
          <w:b/>
          <w:sz w:val="21"/>
        </w:rPr>
        <w:t>English Abstract:</w:t>
      </w:r>
    </w:p>
    <w:p>
      <w:r>
        <w:rPr>
          <w:rFonts w:ascii="Times New Roman" w:hAnsi="Times New Roman" w:eastAsia="宋体"/>
          <w:sz w:val="21"/>
        </w:rPr>
        <w:t>Methane dry reforming is a promising way to convert greenhouse gases into syngas but suffers from catalyst deactivation and coking. Here, the authors design a plasmonic heterostructure that can concentrate and direct energy flow, enabling stable and efficient photocatalytic methane dry reforming.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受猫头鹰视觉启发的近传感器计算</w:t>
      </w:r>
    </w:p>
    <w:p>
      <w:r>
        <w:rPr>
          <w:rFonts w:ascii="Times New Roman" w:hAnsi="Times New Roman" w:eastAsia="宋体"/>
          <w:b/>
          <w:color w:val="003264"/>
          <w:sz w:val="24"/>
        </w:rPr>
        <w:t>Owl-vision-inspired near sensor computing</w:t>
      </w:r>
    </w:p>
    <w:p>
      <w:r>
        <w:rPr>
          <w:rFonts w:ascii="Times New Roman" w:hAnsi="Times New Roman" w:eastAsia="宋体"/>
          <w:sz w:val="21"/>
        </w:rPr>
        <w:t>作者: Zishen Zhao, Yixin Cao, Shuaiwei Huang, Kaiwen Fan, Yuyao Ding, Ganggui Zhu, Linhui Li, Qing Liu, Wei Deng, Chun Zhao, Mario Lanza</w:t>
        <w:br/>
      </w:r>
      <w:r>
        <w:rPr>
          <w:rFonts w:ascii="Times New Roman" w:hAnsi="Times New Roman" w:eastAsia="宋体"/>
          <w:sz w:val="21"/>
        </w:rPr>
        <w:t xml:space="preserve">时间: 2026-02-12 | </w:t>
      </w:r>
      <w:r>
        <w:t xml:space="preserve">链接: </w:t>
      </w:r>
      <w:hyperlink r:id="rId11">
        <w:r>
          <w:rPr>
            <w:rFonts w:ascii="Times New Roman" w:hAnsi="Times New Roman" w:eastAsia="宋体"/>
            <w:color w:val="0000FF"/>
            <w:sz w:val="21"/>
            <w:u w:val="single"/>
          </w:rPr>
          <w:t>https://doi.org/10.1038/s41467-026-69123-7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黑暗条件下的目标检测仍然是一个重大挑战。赵等人报告了一种受猫头鹰视觉启发的双模突触晶体管，它能够实现并行光子感知和电可塑性仿真，以实现超越传统基于 CMOS 的视觉系统的光灵敏度。</w:t>
      </w:r>
    </w:p>
    <w:p>
      <w:pPr>
        <w:spacing w:before="120"/>
      </w:pPr>
      <w:r>
        <w:rPr>
          <w:rFonts w:ascii="Times New Roman" w:hAnsi="Times New Roman" w:eastAsia="宋体"/>
          <w:b/>
          <w:sz w:val="21"/>
        </w:rPr>
        <w:t>English Abstract:</w:t>
      </w:r>
    </w:p>
    <w:p>
      <w:r>
        <w:rPr>
          <w:rFonts w:ascii="Times New Roman" w:hAnsi="Times New Roman" w:eastAsia="宋体"/>
          <w:sz w:val="21"/>
        </w:rPr>
        <w:t>Target detection at dark conditions remains a significant challenge. Zhao et al report an owl-vision-inspired dual-mode synaptic transistor, which enables parallel photonic perception and electrical plasticity emulation to achieve light sensitivity surpassing that of conventional CMOS-based vision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相控分子束沉积解锁具有卓越性能的柔性 MgAgSb 热电材料</w:t>
      </w:r>
    </w:p>
    <w:p>
      <w:r>
        <w:rPr>
          <w:rFonts w:ascii="Times New Roman" w:hAnsi="Times New Roman" w:eastAsia="宋体"/>
          <w:b/>
          <w:color w:val="003264"/>
          <w:sz w:val="24"/>
        </w:rPr>
        <w:t>Phase-controlled molecular beam deposition unlocks flexible MgAgSb thermoelectrics with exceptional performance</w:t>
      </w:r>
    </w:p>
    <w:p>
      <w:r>
        <w:rPr>
          <w:rFonts w:ascii="Times New Roman" w:hAnsi="Times New Roman" w:eastAsia="宋体"/>
          <w:sz w:val="21"/>
        </w:rPr>
        <w:t>作者: Zhao Hu, Airan Li, Naoki Sato, Xinzhi Wu, Longquan Wang, Xinyuan Wang, Takashi Aizawa, Takao Mori</w:t>
        <w:br/>
      </w:r>
      <w:r>
        <w:rPr>
          <w:rFonts w:ascii="Times New Roman" w:hAnsi="Times New Roman" w:eastAsia="宋体"/>
          <w:sz w:val="21"/>
        </w:rPr>
        <w:t xml:space="preserve">时间: 2026-02-12 | </w:t>
      </w:r>
      <w:r>
        <w:t xml:space="preserve">链接: </w:t>
      </w:r>
      <w:hyperlink r:id="rId12">
        <w:r>
          <w:rPr>
            <w:rFonts w:ascii="Times New Roman" w:hAnsi="Times New Roman" w:eastAsia="宋体"/>
            <w:color w:val="0000FF"/>
            <w:sz w:val="21"/>
            <w:u w:val="single"/>
          </w:rPr>
          <w:t>https://doi.org/10.1038/s41467-026-69451-8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本研究提出了一种基于环保型 MgAgSb 的高性能柔性热电薄膜和器件。精确的相位和成分控制可实现高功率因数和输出性能，凸显其在柔性电子产品方面的潜力。</w:t>
      </w:r>
    </w:p>
    <w:p>
      <w:pPr>
        <w:spacing w:before="120"/>
      </w:pPr>
      <w:r>
        <w:rPr>
          <w:rFonts w:ascii="Times New Roman" w:hAnsi="Times New Roman" w:eastAsia="宋体"/>
          <w:b/>
          <w:sz w:val="21"/>
        </w:rPr>
        <w:t>English Abstract:</w:t>
      </w:r>
    </w:p>
    <w:p>
      <w:r>
        <w:rPr>
          <w:rFonts w:ascii="Times New Roman" w:hAnsi="Times New Roman" w:eastAsia="宋体"/>
          <w:sz w:val="21"/>
        </w:rPr>
        <w:t>This study presents a high-performance flexible thermoelectric film and device based on eco-friendly MgAgSb. Precise phase and composition control enable high power factor and output performance, highlighting its potential for flexible electronics.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光声计算机断层扫描监测脑脊液动力学和类淋巴功能</w:t>
      </w:r>
    </w:p>
    <w:p>
      <w:r>
        <w:rPr>
          <w:rFonts w:ascii="Times New Roman" w:hAnsi="Times New Roman" w:eastAsia="宋体"/>
          <w:b/>
          <w:color w:val="003264"/>
          <w:sz w:val="24"/>
        </w:rPr>
        <w:t>Photoacoustic computed tomography monitors cerebrospinal fluid dynamics and glymphatic function</w:t>
      </w:r>
    </w:p>
    <w:p>
      <w:r>
        <w:rPr>
          <w:rFonts w:ascii="Times New Roman" w:hAnsi="Times New Roman" w:eastAsia="宋体"/>
          <w:sz w:val="21"/>
        </w:rPr>
        <w:t>作者: Seongwook Choi, Jiwoong Kim, Hyunseo Jeon, Yejin Lee, Gyeongju Lim, Won-Min Ju, Kyuwan Kim, Dong Soo Lee, Yun-Sang Lee, Jae Sung Lee, Gi Jeong Cheon, Yoori Choi, Chulhong Kim</w:t>
        <w:br/>
      </w:r>
      <w:r>
        <w:rPr>
          <w:rFonts w:ascii="Times New Roman" w:hAnsi="Times New Roman" w:eastAsia="宋体"/>
          <w:sz w:val="21"/>
        </w:rPr>
        <w:t xml:space="preserve">时间: 2026-02-12 | </w:t>
      </w:r>
      <w:r>
        <w:t xml:space="preserve">链接: </w:t>
      </w:r>
      <w:hyperlink r:id="rId13">
        <w:r>
          <w:rPr>
            <w:rFonts w:ascii="Times New Roman" w:hAnsi="Times New Roman" w:eastAsia="宋体"/>
            <w:color w:val="0000FF"/>
            <w:sz w:val="21"/>
            <w:u w:val="single"/>
          </w:rPr>
          <w:t>https://doi.org/10.1038/s41467-026-69390-4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摘要：脑脊液 (CSF) 不断循环通过大脑和周围组织以清除代谢废物，这一过程随着衰老和神经退行性疾病而变得效率较低。对活体动物中的这种排水进行可视化一直很困难，因为现有的成像工具要么缺乏深度，要么需要放射性示踪剂，要么速度太慢而无法捕捉动态流动。在这里，我们展示了全身光声计算机断层扫描（PACT）能够使用吲哚菁绿对小鼠脑脊液运输进行三维实时跟踪。我们可视化脑脊液从椎管进入大脑的运动，量化其在不同麻醉条件下的流出，并检测阿尔茨海默病小鼠模型中清除受损的情况。与健康动物相比，患病小鼠的示踪剂在大脑中保留数天，表明废物清除减少。这些结果使 PACT 成为测量体内脑脊液和类淋巴功能的非侵入性平台，为研究衰老和神经系统疾病中脑液运输如何改变提供了一种方法。</w:t>
      </w:r>
    </w:p>
    <w:p>
      <w:pPr>
        <w:spacing w:before="120"/>
      </w:pPr>
      <w:r>
        <w:rPr>
          <w:rFonts w:ascii="Times New Roman" w:hAnsi="Times New Roman" w:eastAsia="宋体"/>
          <w:b/>
          <w:sz w:val="21"/>
        </w:rPr>
        <w:t>English Abstract:</w:t>
      </w:r>
    </w:p>
    <w:p>
      <w:r>
        <w:rPr>
          <w:rFonts w:ascii="Times New Roman" w:hAnsi="Times New Roman" w:eastAsia="宋体"/>
          <w:sz w:val="21"/>
        </w:rPr>
        <w:t>Abstract Cerebrospinal fluid (CSF) continuously circulates through the brain and surrounding tissues to remove metabolic waste, a process that becomes less efficient with ageing and in neurodegenerative disease. Visualizing this drainage in living animals has been difficult because existing imaging tools either lack depth, require radioactive tracers, or are too slow to capture dynamic flow. Here, we show that whole-body photoacoustic computed tomography (PACT) enables three-dimensional, real-time tracking of CSF transport in mice using indocyanine green. We visualize CSF movement from the spinal canal into the brain, quantify its efflux under different anesthesia conditions, and detect impaired clearance in a mouse model of Alzheimer’s disease. Compared with healthy animals, diseased mice retain the tracer in the brain for several days, indicating reduced waste removal. These results establish PACT as a non-invasive platform for measuring CSF and glymphatic function in vivo, providing a way to study how brain fluid transport is altered in ageing and neurological disorders.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水文气候影响全球陆地生态系统的光合作用对云层的敏感性</w:t>
      </w:r>
    </w:p>
    <w:p>
      <w:r>
        <w:rPr>
          <w:rFonts w:ascii="Times New Roman" w:hAnsi="Times New Roman" w:eastAsia="宋体"/>
          <w:b/>
          <w:color w:val="003264"/>
          <w:sz w:val="24"/>
        </w:rPr>
        <w:t>Hydroclimate shapes photosynthetic sensitivity to cloud cover across global terrestrial ecosystems</w:t>
      </w:r>
    </w:p>
    <w:p>
      <w:r>
        <w:rPr>
          <w:rFonts w:ascii="Times New Roman" w:hAnsi="Times New Roman" w:eastAsia="宋体"/>
          <w:sz w:val="21"/>
        </w:rPr>
        <w:t>作者: Hao Luo, Ana Bastos, Markus Reichstein, Gregory Duveiller, Jan Kretzschmar, Johannes Quaas</w:t>
        <w:br/>
      </w:r>
      <w:r>
        <w:rPr>
          <w:rFonts w:ascii="Times New Roman" w:hAnsi="Times New Roman" w:eastAsia="宋体"/>
          <w:sz w:val="21"/>
        </w:rPr>
        <w:t xml:space="preserve">时间: 2026-02-12 | </w:t>
      </w:r>
      <w:r>
        <w:t xml:space="preserve">链接: </w:t>
      </w:r>
      <w:hyperlink r:id="rId14">
        <w:r>
          <w:rPr>
            <w:rFonts w:ascii="Times New Roman" w:hAnsi="Times New Roman" w:eastAsia="宋体"/>
            <w:color w:val="0000FF"/>
            <w:sz w:val="21"/>
            <w:u w:val="single"/>
          </w:rPr>
          <w:t>https://doi.org/10.1038/s41467-026-69480-3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植被的光合作用主要取决于地表能量和水的可用性，这两者分别通过辐射和降水同时受到云的调节。然而，云引起的地表太阳辐射和降水变化对光合作用的净影响仍然难以捉摸。在这里，使用过去几十年基于观测和基于模型的数据集，我们表明，从站点级涡度协方差测量到全球尺度网格数据集，光合作用对云量的敏感性在空间上受到水文气候的影响，由湿度指数（平均年降水量与蒸散量之比）量化。具体来说，我们发现，在水资源有限的干旱地区，云通过增加降水促进光合作用，通常在一个月内产生延迟效应，而在能源有限的潮湿地区，它们通过阻挡阳光几乎立即抑制光合作用。进一步检查光合作用对云量的年度尺度空间分辨敏感性度量，以估计云驱动的植被生产力的潜在变化。研究结果表明，在气候变暖的情况下，特别是在耦合模型比对项目第六阶段“ssp585”情景（2015-2099年）中，预计由于云量变化，干旱地区的总初级生产力将下降，而湿润地区的总初级生产力将增加，这表明生态系统功能的区域差异将会加剧。</w:t>
      </w:r>
    </w:p>
    <w:p>
      <w:pPr>
        <w:spacing w:before="120"/>
      </w:pPr>
      <w:r>
        <w:rPr>
          <w:rFonts w:ascii="Times New Roman" w:hAnsi="Times New Roman" w:eastAsia="宋体"/>
          <w:b/>
          <w:sz w:val="21"/>
        </w:rPr>
        <w:t>English Abstract:</w:t>
      </w:r>
    </w:p>
    <w:p>
      <w:r>
        <w:rPr>
          <w:rFonts w:ascii="Times New Roman" w:hAnsi="Times New Roman" w:eastAsia="宋体"/>
          <w:sz w:val="21"/>
        </w:rPr>
        <w:t>Abstract Vegetation photosynthesis primarily depends on surface energy and water availability, both of which are simultaneously regulated by clouds through radiation and precipitation, respectively. However, the net impact of cloud-induced changes in surface solar radiation and precipitation on photosynthesis remains elusive. Here, using observational- and model-based datasets spanning the past few decades, we show that, consistently across scales from site-level eddy covariance measurements to global-scale gridded datasets, the sensitivity of photosynthesis to cloud cover is spatially shaped by the hydroclimate, as quantified by the humidity index (mean annual precipitation-to-evapotranspiration ratio). Specifically, we find that in water-limited arid regions, clouds promote photosynthesis through increased precipitation, with a delayed effect typically within one month, whereas in energy-limited humid regions, they inhibit photosynthesis almost instantaneously by blocking sunlight. An annual scale spatially resolved sensitivity metric of photosynthesis to cloud cover is further examined to estimate potential changes in vegetation productivity driven by clouds. The findings indicate that, under a warming climate, particularly in the Coupled Model Intercomparison Project Phase 6 “ssp585” scenario (2015–2099), gross primary productivity is projected to decline in arid regions and increase in humid regions due to changes in cloud cover, suggesting an exacerbation of regional disparities in ecosystem functions.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巨噬细胞诱导的表达 Fcer1g 的间充质细胞亚群有助于伤口诱导的纤维化</w:t>
      </w:r>
    </w:p>
    <w:p>
      <w:r>
        <w:rPr>
          <w:rFonts w:ascii="Times New Roman" w:hAnsi="Times New Roman" w:eastAsia="宋体"/>
          <w:b/>
          <w:color w:val="003264"/>
          <w:sz w:val="24"/>
        </w:rPr>
        <w:t>A macrophage-induced subpopulation of mesenchymal cells expressing Fcer1g contributes to wound-induced fibrosis</w:t>
      </w:r>
    </w:p>
    <w:p>
      <w:r>
        <w:rPr>
          <w:rFonts w:ascii="Times New Roman" w:hAnsi="Times New Roman" w:eastAsia="宋体"/>
          <w:sz w:val="21"/>
        </w:rPr>
        <w:t>作者: Xinyi Ma, Ergang Wang, Vijitha Puviindran, Ziyuan Su, Xiaoxi Liu, Eijiro Shimada, Chengsong Yan, Yining Liu, Zhenyu Li, Puvi Nadesan, Koji Ishikawa, Makoto Nakagawa, Zeyu Huang, Xiao-fan Wang, Benjamin Aaron Alman</w:t>
        <w:br/>
      </w:r>
      <w:r>
        <w:rPr>
          <w:rFonts w:ascii="Times New Roman" w:hAnsi="Times New Roman" w:eastAsia="宋体"/>
          <w:sz w:val="21"/>
        </w:rPr>
        <w:t xml:space="preserve">时间: 2026-02-12 | </w:t>
      </w:r>
      <w:r>
        <w:t xml:space="preserve">链接: </w:t>
      </w:r>
      <w:hyperlink r:id="rId57">
        <w:r>
          <w:rPr>
            <w:rFonts w:ascii="Times New Roman" w:hAnsi="Times New Roman" w:eastAsia="宋体"/>
            <w:color w:val="0000FF"/>
            <w:sz w:val="21"/>
            <w:u w:val="single"/>
          </w:rPr>
          <w:t>https://doi.org/10.1038/s41467-026-69449-2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作者确定了巨噬细胞诱导的 FCER1G+ 间充质亚群，该亚群在皮肤损伤后扩张并驱动纤维化。这种细胞类型的靶向消融可减少疤痕、纤连蛋白的作用并突出人类伤口中的保守靶标。</w:t>
      </w:r>
    </w:p>
    <w:p>
      <w:pPr>
        <w:spacing w:before="120"/>
      </w:pPr>
      <w:r>
        <w:rPr>
          <w:rFonts w:ascii="Times New Roman" w:hAnsi="Times New Roman" w:eastAsia="宋体"/>
          <w:b/>
          <w:sz w:val="21"/>
        </w:rPr>
        <w:t>English Abstract:</w:t>
      </w:r>
    </w:p>
    <w:p>
      <w:r>
        <w:rPr>
          <w:rFonts w:ascii="Times New Roman" w:hAnsi="Times New Roman" w:eastAsia="宋体"/>
          <w:sz w:val="21"/>
        </w:rPr>
        <w:t>The authors identify a macrophage-induced FCER1G+ mesenchymal subset that expands after skin injury and drives fibrosis. Targeted ablation of this cell type reduces scarring, implicating fibronectin and highlighting a conserved target in human wounds.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开发用于治疗人类偏肺病毒感染的有效单克隆抗体</w:t>
      </w:r>
    </w:p>
    <w:p>
      <w:r>
        <w:rPr>
          <w:rFonts w:ascii="Times New Roman" w:hAnsi="Times New Roman" w:eastAsia="宋体"/>
          <w:b/>
          <w:color w:val="003264"/>
          <w:sz w:val="24"/>
        </w:rPr>
        <w:t>Development of a potent monoclonal antibody for treatment of human metapneumovirus infections</w:t>
      </w:r>
    </w:p>
    <w:p>
      <w:r>
        <w:rPr>
          <w:rFonts w:ascii="Times New Roman" w:hAnsi="Times New Roman" w:eastAsia="宋体"/>
          <w:sz w:val="21"/>
        </w:rPr>
        <w:t>作者: Evelyn D. Harris, Morgan McGovern, Sara Pernikoff, Ren Ikeda, Lea Kipnis, William Hannon, Elizabeth B. Sobolik, Matthew Gray, Alexander L. Greninger, Sijia He, Chen-Ni Chin, Tong-Ming Fu, Marie Pancera, Jim Boonyaratanakornkit</w:t>
        <w:br/>
      </w:r>
      <w:r>
        <w:rPr>
          <w:rFonts w:ascii="Times New Roman" w:hAnsi="Times New Roman" w:eastAsia="宋体"/>
          <w:sz w:val="21"/>
        </w:rPr>
        <w:t xml:space="preserve">时间: 2026-02-12 | </w:t>
      </w:r>
      <w:r>
        <w:t xml:space="preserve">链接: </w:t>
      </w:r>
      <w:hyperlink r:id="rId58">
        <w:r>
          <w:rPr>
            <w:rFonts w:ascii="Times New Roman" w:hAnsi="Times New Roman" w:eastAsia="宋体"/>
            <w:color w:val="0000FF"/>
            <w:sz w:val="21"/>
            <w:u w:val="single"/>
          </w:rPr>
          <w:t>https://doi.org/10.1038/s41467-026-69328-w</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摘要：人类偏肺病毒（HMPV）是呼吸道感染的主要原因，特别是在弱势人群中，但仍然缺乏有效的治疗方法。单克隆抗体 (mAb) 为治疗和预防提供了一种有前景的方法。我们描述了 4F11 的发现和表征，4F11 是一种高效中和单克隆抗体，具有体外和体内抗 HMPV 功效。使用冷冻电子显微镜，我们定义了 4F11 采用的独特结合机制。 4F11 靶向位于融合前 F 蛋白（位点 Ø）顶端的表位，Fab 与三聚体的化学计量比为 1:1，与其他 HMPV 位点 Ø 抗体观察到的 3:1 化学计量不同。与其他穿透 Asn57 和 Asn172 之间的聚糖屏蔽的位点 Ø 抗体不同，4F11 垂直结合并直接与 Asn172 聚糖相互作用。在体外，4F11 对不同的 HMPV 菌株表现出高中和效力。它还显示出抗药性发展的倾向较低，仅发现了一个逃逸突变（K179E），迄今为止在任何已发表的 HMPV 序列中均未发现该突变。用 K179E 逃逸突变拯救的病毒在体外的适应性显着下降。在雄性仓鼠中，4F11 显着降低肺部和鼻甲骨中的病毒载量。这些发现凸显 4F11 作为治疗开发的有希望的候选者。</w:t>
      </w:r>
    </w:p>
    <w:p>
      <w:pPr>
        <w:spacing w:before="120"/>
      </w:pPr>
      <w:r>
        <w:rPr>
          <w:rFonts w:ascii="Times New Roman" w:hAnsi="Times New Roman" w:eastAsia="宋体"/>
          <w:b/>
          <w:sz w:val="21"/>
        </w:rPr>
        <w:t>English Abstract:</w:t>
      </w:r>
    </w:p>
    <w:p>
      <w:r>
        <w:rPr>
          <w:rFonts w:ascii="Times New Roman" w:hAnsi="Times New Roman" w:eastAsia="宋体"/>
          <w:sz w:val="21"/>
        </w:rPr>
        <w:t>Abstract Human metapneumovirus (HMPV) is a major cause of respiratory infections, particularly among vulnerable populations, yet effective therapeutics remain unavailable. Monoclonal antibodies (mAbs) offer a promising approach for treatment and prevention. We describe the discovery and characterization of 4F11, a highly potent neutralizing mAb with in vitro and in vivo efficacy against HMPV. Using cryo-electron microscopy, we define a unique mechanism of binding employed by 4F11. 4F11 targets an epitope located at the apex of the prefusion F protein (site Ø) with a 1:1 stoichiometry of Fab to trimer, distinct from the 3:1 stoichiometry observed with other HMPV site Ø antibodies. Unlike other site Ø antibodies which penetrate the glycan shield between Asn57 and Asn172, 4F11 binds vertically and directly interacts with the Asn172 glycan. In vitro, 4F11 displays high neutralization potency across diverse HMPV strains. It also shows low propensity for resistance development, with only a single escape mutation (K179E) identified, a mutation not found in any published HMPV sequence to date. Viruses rescued with the K179E escape mutation have significantly decreased fitness in vitro. In male hamsters, 4F11 significantly reduces viral loads in the lungs and nasal turbinates. These findings highlight 4F11 as a promising candidate for therapeutic development.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使用簇前驱体通过有籽和无籽生长胶体合成大型近块体 InAs 量子点</w:t>
      </w:r>
    </w:p>
    <w:p>
      <w:r>
        <w:rPr>
          <w:rFonts w:ascii="Times New Roman" w:hAnsi="Times New Roman" w:eastAsia="宋体"/>
          <w:b/>
          <w:color w:val="003264"/>
          <w:sz w:val="24"/>
        </w:rPr>
        <w:t>Colloidal synthesis of large near-bulk InAs quantum dots through seeded and seedless growth using cluster precursors</w:t>
      </w:r>
    </w:p>
    <w:p>
      <w:r>
        <w:rPr>
          <w:rFonts w:ascii="Times New Roman" w:hAnsi="Times New Roman" w:eastAsia="宋体"/>
          <w:sz w:val="21"/>
        </w:rPr>
        <w:t>作者: Ekaterina Salikhova, Alf Mews, Hendrik Schlicke, Jan Steffen Niehaus</w:t>
        <w:br/>
      </w:r>
      <w:r>
        <w:rPr>
          <w:rFonts w:ascii="Times New Roman" w:hAnsi="Times New Roman" w:eastAsia="宋体"/>
          <w:sz w:val="21"/>
        </w:rPr>
        <w:t xml:space="preserve">时间: 2026-02-12 | </w:t>
      </w:r>
      <w:r>
        <w:t xml:space="preserve">链接: </w:t>
      </w:r>
      <w:hyperlink r:id="rId59">
        <w:r>
          <w:rPr>
            <w:rFonts w:ascii="Times New Roman" w:hAnsi="Times New Roman" w:eastAsia="宋体"/>
            <w:color w:val="0000FF"/>
            <w:sz w:val="21"/>
            <w:u w:val="single"/>
          </w:rPr>
          <w:t>https://doi.org/10.1038/s41467-026-69409-w</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量子点是具有广泛应用的高潜力材料，特别是在红外光谱范围内，包括电信、安全、传感、光伏和生物成像。半导体量子点的尺寸和化学成分决定了它们的光电特性。虽然 II-VI 和 IV-VI 量子点已得到充分研究，但符合欧盟有害物质限制指令的红外活性 III-V 量子点（例如 InAs）的胶体合成仍然不发达。特别是，由于 In-As 键合的强共价特性、对前体反应性的有限控制以及复杂的生长途径，较大 InAs 量子点的合成具有挑战性。在这里，我们展示了使用原子团簇作为前体合成大型、接近块状的 InAs 量子点。所有纳米结构都是由“绿色”市售前体合成的。这些结果将胶体 InAs 纳米颗粒的可利用尺寸范围扩展到接近 40 nm 的直径，并为其在红外技术中的使用建立了平台。</w:t>
      </w:r>
    </w:p>
    <w:p>
      <w:pPr>
        <w:spacing w:before="120"/>
      </w:pPr>
      <w:r>
        <w:rPr>
          <w:rFonts w:ascii="Times New Roman" w:hAnsi="Times New Roman" w:eastAsia="宋体"/>
          <w:b/>
          <w:sz w:val="21"/>
        </w:rPr>
        <w:t>English Abstract:</w:t>
      </w:r>
    </w:p>
    <w:p>
      <w:r>
        <w:rPr>
          <w:rFonts w:ascii="Times New Roman" w:hAnsi="Times New Roman" w:eastAsia="宋体"/>
          <w:sz w:val="21"/>
        </w:rPr>
        <w:t>Abstract Quantum dots are high-potential materials for a wide range of applications, particularly in the infrared spectral range, including telecommunications, security, sensing, photovoltaics, and bioimaging. The size and chemical composition of semiconductor quantum dots determine their optoelectronic properties. While II-VI and IV-VI quantum dots are well-studied, the colloidal synthesis of infrared-active III-V quantum dots such as InAs, which are compliant with the European Union directive for restriction of hazardous substances, remains underdeveloped. In particular, the synthesis of larger InAs quantum dots is challenging due to the strong covalent character of In–As bonding, limited control over precursor reactivity, and complex growth pathways. Here we show the synthesis of large, near-bulk InAs quantum dots using atomic clusters as precursors. All nanostructures are synthesized from ‘green’ commercially available precursors. These results extend the accessible size regime of colloidal InAs nanoparticles to diameters approaching 40 nm and establish a platform for their use in infrared technologies.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Scientific Reports</w:t>
      </w:r>
    </w:p>
    <w:p>
      <w:pPr>
        <w:jc w:val="center"/>
      </w:pPr>
      <w:r>
        <w:t>--- 更新: 00:28 ---</w:t>
      </w:r>
    </w:p>
    <w:p>
      <w:pPr>
        <w:pStyle w:val="Heading2"/>
      </w:pPr>
      <w:r/>
      <w:r>
        <w:rPr>
          <w:rFonts w:ascii="Times New Roman" w:hAnsi="Times New Roman" w:eastAsia="宋体"/>
          <w:b/>
          <w:color w:val="000000"/>
          <w:sz w:val="24"/>
        </w:rPr>
        <w:t>基于恒幅交变疲劳载荷等效法的空间间歇运动机构瞬态可靠性模型</w:t>
      </w:r>
    </w:p>
    <w:p>
      <w:r>
        <w:rPr>
          <w:rFonts w:ascii="Times New Roman" w:hAnsi="Times New Roman" w:eastAsia="宋体"/>
          <w:b/>
          <w:color w:val="003264"/>
          <w:sz w:val="24"/>
        </w:rPr>
        <w:t>A time-dependent reliability model for spatial intermittent motion mechanisms via constant-amplitude alternating fatigue load equivalent method</w:t>
      </w:r>
    </w:p>
    <w:p>
      <w:r>
        <w:rPr>
          <w:rFonts w:ascii="Times New Roman" w:hAnsi="Times New Roman" w:eastAsia="宋体"/>
          <w:sz w:val="21"/>
        </w:rPr>
        <w:t>作者: Penghui Cheng, Tianhe Zhang, Yongsheng Zhu</w:t>
        <w:br/>
      </w:r>
      <w:r>
        <w:rPr>
          <w:rFonts w:ascii="Times New Roman" w:hAnsi="Times New Roman" w:eastAsia="宋体"/>
          <w:sz w:val="21"/>
        </w:rPr>
        <w:t xml:space="preserve">时间: 2026-02-12 | </w:t>
      </w:r>
      <w:r>
        <w:t xml:space="preserve">链接: </w:t>
      </w:r>
      <w:hyperlink r:id="rId15">
        <w:r>
          <w:rPr>
            <w:rFonts w:ascii="Times New Roman" w:hAnsi="Times New Roman" w:eastAsia="宋体"/>
            <w:color w:val="0000FF"/>
            <w:sz w:val="21"/>
            <w:u w:val="single"/>
          </w:rPr>
          <w:t>https://doi.org/10.1038/s41598-026-38228-w</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空间间歇运动机构包括航天器中的非连续操作机构，例如转台、太阳能阵列驱动组件（SADA）和星载相机聚焦机构。其中，由于其非线性多态退化特性，长时间间歇运动机构的失效评估被证明是最复杂的。本文提出了一种基于概率的时变可靠性分析模型来量化星载光学探测器聚焦机构的可靠性，从而建立了长期循环运行的间歇运动机构的分析方法。通过对可靠性依赖链的深入解构和多个运动对之间的影响域交叉，识别出对系统故障影响最大的关键薄弱环节及其相关故障模式。引入动态等效方法，将随机载荷转化为等效恒幅循环疲劳载荷。这解决了空间机构可靠性分析中的挑战，由于复杂的操作曲线以及通过广泛的地面测试获取足够的样本数据的不切实际，表征广义载荷是困难的。考虑到空间系统的不可修复性和运行间隔/持续时间的不确定性，该模型将强度退化视为多个随机独立运行周期的累积损伤。通过实施双截断概率分布提高了分析精度和效率。论文通过案例展示了模型的应用并验证了其准确性，为工程应用提供了基准参考，揭示了失效演化的潜在机制。</w:t>
      </w:r>
    </w:p>
    <w:p>
      <w:pPr>
        <w:spacing w:before="120"/>
      </w:pPr>
      <w:r>
        <w:rPr>
          <w:rFonts w:ascii="Times New Roman" w:hAnsi="Times New Roman" w:eastAsia="宋体"/>
          <w:b/>
          <w:sz w:val="21"/>
        </w:rPr>
        <w:t>English Abstract:</w:t>
      </w:r>
    </w:p>
    <w:p>
      <w:r>
        <w:rPr>
          <w:rFonts w:ascii="Times New Roman" w:hAnsi="Times New Roman" w:eastAsia="宋体"/>
          <w:sz w:val="21"/>
        </w:rPr>
        <w:t>Spatial intermittent motion mechanisms encompass non-continuously operating mechanisms in spacecraft, such as rotary tables, Solar Array Drive Assemblies (SADA), and spaceborne camera focusing mechanisms. Among these, failure assessment proves most complex for long-duration intermittent motion mechanisms due to their nonlinear polymorphic degradation characteristics. This paper proposes a probability-based time-dependent reliability analysis model to quantify the reliability of spaceborne optical detector focusing mechanisms, thereby establishin an analytical methodology for intermittent motion mechanisms subjected to long-term cyclic operations. Through profound deconstruction of reliability dependency chains and influence domain intersections among multiple kinematic pairs, the critical weak links contributing most significantly to system failure and their associated failure modes are identified. A dynamically equivalent approach is introduced, which transforms stochastic loading into equivalent constant-amplitude cyclic fatigue loading. This addresses the challenge in space mechanism reliability analysis where characterizing generalized loading is difficult due to complex operational profiles and the impracticality of acquiring sufficient sample data through extensive ground testing. Accounting for space system non-repairability and operational intervals/durations uncertainties, the model treats strength degradation as cumulative damage from multiple stochastically independent operational cycles. The analysis precision and efficiency are enhanced by implementing double-truncated probability distributions. The paper demonstrates the model’s application through case studies and validates its accuracy, providing benchmark references for engineering applications and revealing underlying mechanisms governing failure evolution.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通过氯化铜处理优化碲化镉薄膜的电学和物理化学性能，用于光伏应用</w:t>
      </w:r>
    </w:p>
    <w:p>
      <w:r>
        <w:rPr>
          <w:rFonts w:ascii="Times New Roman" w:hAnsi="Times New Roman" w:eastAsia="宋体"/>
          <w:b/>
          <w:color w:val="003264"/>
          <w:sz w:val="24"/>
        </w:rPr>
        <w:t>Optimized electrical and physiochemical properties of cadmium telluride thin films via copper chloride treatment for photovoltaic applications</w:t>
      </w:r>
    </w:p>
    <w:p>
      <w:r>
        <w:rPr>
          <w:rFonts w:ascii="Times New Roman" w:hAnsi="Times New Roman" w:eastAsia="宋体"/>
          <w:sz w:val="21"/>
        </w:rPr>
        <w:t>作者: Camellia Doroody, Muhammad Najib Harif, Zheng-Jie Feng, Armin Rajabi, Mohammad Yeganeh Ghotbi, Fazliyana ‘Izzati Za’abar, Allina Binti Nadzri, Kazi Sajedur Rahman, Yasser Fouad, Chenyoushi Xu, Manzoore Elahi M. Soudagar, Mahaboob Patel</w:t>
        <w:br/>
      </w:r>
      <w:r>
        <w:rPr>
          <w:rFonts w:ascii="Times New Roman" w:hAnsi="Times New Roman" w:eastAsia="宋体"/>
          <w:sz w:val="21"/>
        </w:rPr>
        <w:t xml:space="preserve">时间: 2026-02-12 | </w:t>
      </w:r>
      <w:r>
        <w:t xml:space="preserve">链接: </w:t>
      </w:r>
      <w:hyperlink r:id="rId16">
        <w:r>
          <w:rPr>
            <w:rFonts w:ascii="Times New Roman" w:hAnsi="Times New Roman" w:eastAsia="宋体"/>
            <w:color w:val="0000FF"/>
            <w:sz w:val="21"/>
            <w:u w:val="single"/>
          </w:rPr>
          <w:t>https://doi.org/10.1038/s41598-026-36991-4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对经过不同摩尔浓度的 CuCl2 后处理的 CdTe 薄膜的结构、光学和电学变化进行了深入研究。这些薄膜是使用近空间升华（CSS）方法制备的。在环境空气中于 390 °C 进行 CuCl2 处理对 CdTe 薄膜的晶体取向、晶格特性和载流子浓度具有显着影响。半峰全宽 (FWHM) 从 0.0005 M CuCl2 时的 0.0038 弧度增加到 0.05 M 时的 0.0068 弧度，表明在较高 Cu 浓度下晶粒细化和微应变增加，证实了 X 射线衍射 (XRD) 研究报道的闪锌矿 (111) 择优取向。 Cu 的加入以及由此产生的晶格变形表明与微晶尺寸和位错密度的演变存在显着关系，表明在整个检查的摩尔浓度范围内掺杂剂和晶格之间存在受调节的相互作用。对结构、光学、形态和电学性质的综合评估表明，0.005 M 的 CuCl2 浓度实现了最佳平衡，促进有效的 p 型激活，同时防止过度的 Cu 扩散，而过度的 Cu 扩散与微应变增加、迁移率降低以及掺杂剂浓度升高时复合增强有关。 XRD 分析证实了闪锌矿结晶度的保留，而没有形成第二相，而光学测量表明稳定的带隙行为，表明电子畸变最小。补充 FESEM 和 EDX 分析揭示了晶粒聚结的增强和晶界密度的降低，这共同促进了载流子传输的改善。协同增强使基于 CuCl2 溶液的处理（尤其是在 0.005 M 下）成为传统 CdCl2 活化的有效且环保的替代方案，直接影响欧姆接触的形成和 CdTe 薄膜的性能。</w:t>
      </w:r>
    </w:p>
    <w:p>
      <w:pPr>
        <w:spacing w:before="120"/>
      </w:pPr>
      <w:r>
        <w:rPr>
          <w:rFonts w:ascii="Times New Roman" w:hAnsi="Times New Roman" w:eastAsia="宋体"/>
          <w:b/>
          <w:sz w:val="21"/>
        </w:rPr>
        <w:t>English Abstract:</w:t>
      </w:r>
    </w:p>
    <w:p>
      <w:r>
        <w:rPr>
          <w:rFonts w:ascii="Times New Roman" w:hAnsi="Times New Roman" w:eastAsia="宋体"/>
          <w:sz w:val="21"/>
        </w:rPr>
        <w:t>An in-depth examination was undertaken on the structural, optical, and electrical alterations of CdTe thin films exposed to CuCl₂ post-treatment with different molar concentrations. The films were prepared using the close-spaced sublimation (CSS) approach. The CuCl₂ treatment at 390 °C in ambient air had significant impacts on the crystallographic orientation, lattice properties, and carrier concentration of CdTe films. The full width at half maximum (FWHM) increased from 0.0038 radians at 0.0005 M CuCl₂ to 0.0068 radians at 0.05 M, indicating grain refinement and increased microstrain at higher Cu concentrations, confirming a significant zincblende (111) preferred orientation as the X-ray diffraction (XRD) research reported. The inclusion of Cu and the resulting lattice deformation demonstrate a significant relationship with the evolution of crystallite size and dislocation density, indicating a regulated interaction between the dopant and the lattice throughout the examined molarity range. A comprehensive evaluation of structural, optical, morphological, and electrical properties indicates that a CuCl₂ concentration of 0.005 M achieves an optimal balance, facilitating effective p-type activation while preventing excessive Cu diffusion, which is associated with increased microstrain, decreased mobility, and heightened recombination at elevated dopant concentrations. XRD analysis confirms the retention of zincblende crystallinity without the formation of secondary phases, while optical measurements demonstrate stable band-gap behaviour, indicating minimal electronic distortion. Complementary FESEM and EDX analyses reveal enhanced grain coalescence and a reduction in grain-boundary density, which together facilitate improved carrier transport. The synergistic enhancements position the CuCl₂ solution-based treatment, especially at 0.005 M, as an effective and environmentally friendly alternative to traditional CdCl₂ activation, directly influencing the formation of ohmic contacts and the performance of CdTe thin-film.</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粘合树脂水门汀与预热修复复合材料的聚合效率和降解指标对比分析</w:t>
      </w:r>
    </w:p>
    <w:p>
      <w:r>
        <w:rPr>
          <w:rFonts w:ascii="Times New Roman" w:hAnsi="Times New Roman" w:eastAsia="宋体"/>
          <w:b/>
          <w:color w:val="003264"/>
          <w:sz w:val="24"/>
        </w:rPr>
        <w:t>Comparative analysis of polymerization efficiency and degradation indicators of adhesive resin cements and preheated restorative composites</w:t>
      </w:r>
    </w:p>
    <w:p>
      <w:r>
        <w:rPr>
          <w:rFonts w:ascii="Times New Roman" w:hAnsi="Times New Roman" w:eastAsia="宋体"/>
          <w:sz w:val="21"/>
        </w:rPr>
        <w:t>作者: Dóra Jordáki, Katalin Böddi, Zsuzsanna Őri, Vivien Vass, Sándor Kunsági-Máté, József Szalma, Edina Lempel</w:t>
        <w:br/>
      </w:r>
      <w:r>
        <w:rPr>
          <w:rFonts w:ascii="Times New Roman" w:hAnsi="Times New Roman" w:eastAsia="宋体"/>
          <w:sz w:val="21"/>
        </w:rPr>
        <w:t xml:space="preserve">时间: 2026-02-12 | </w:t>
      </w:r>
      <w:r>
        <w:t xml:space="preserve">链接: </w:t>
      </w:r>
      <w:hyperlink r:id="rId17">
        <w:r>
          <w:rPr>
            <w:rFonts w:ascii="Times New Roman" w:hAnsi="Times New Roman" w:eastAsia="宋体"/>
            <w:color w:val="0000FF"/>
            <w:sz w:val="21"/>
            <w:u w:val="single"/>
          </w:rPr>
          <w:t>https://doi.org/10.1038/s41598-026-38779-y</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预热的树脂基修复复合材料（RBC）已被建议作为陶瓷修复体的替代粘合剂。然而，它们的聚合和长期降解行为需要进一步澄清。本研究将预热的 RBC 与传统的光固化和双固化粘合性树脂水门汀在转化率 (DC%)、单体洗脱、吸水性 (WSo) 和溶解度 (Sol) 方面进行了比较。使用预热的 Estelite Σ Quick (EQ_55°C)、Variolink Esthetic LC (VE_LC) 或 Variolink Esthetic DC (VE_DC) 将标准化二硅酸锂覆盖层固定到陶瓷基台上。通过显微拉曼光谱法评估 DC%，在第 3、10 和 17 天使用高效液相色谱进行单体洗脱，并在第 30、60 和 90 天根据 ISO 4049 评估 WSo/Sol。 VE_DC 显示最高的 DC% (72.1%)，而 EQ_55°C 则显示最低 (59.9%)。与 EQ_55°C 相比，VE_LC 和 VE_DC 的单体洗脱明显较高，并且所有组均随着时间的推移而下降。 WSo 在第 60 天达到峰值，但对于 EQ_55°C 仍显着较低。 Sol 遵循 VE_DC &gt; VE_LC &gt; EQ_55°C 的模式，随时间逐渐降低。这些结果表明，预热的红细胞表现出减少的单体释放和较低的水解降解，支持其作为间接陶瓷修复体的稳定粘合替代品的潜在用途。</w:t>
      </w:r>
    </w:p>
    <w:p>
      <w:pPr>
        <w:spacing w:before="120"/>
      </w:pPr>
      <w:r>
        <w:rPr>
          <w:rFonts w:ascii="Times New Roman" w:hAnsi="Times New Roman" w:eastAsia="宋体"/>
          <w:b/>
          <w:sz w:val="21"/>
        </w:rPr>
        <w:t>English Abstract:</w:t>
      </w:r>
    </w:p>
    <w:p>
      <w:r>
        <w:rPr>
          <w:rFonts w:ascii="Times New Roman" w:hAnsi="Times New Roman" w:eastAsia="宋体"/>
          <w:sz w:val="21"/>
        </w:rPr>
        <w:t>Abstract Preheated restorative resin-based composites (RBCs) have been suggested as alternative luting agents for ceramic restorations; however, their polymerization and long-term degradation behavior require further clarification. This study compared a preheated RBC with conventional light-cured and dual-cured adhesive resin cements regarding degree of conversion (DC%), monomer elution, water sorption (WSo), and solubility (Sol). Standardized lithium disilicate overlays were luted to ceramic abutments using preheated Estelite Σ Quick (EQ_55°C), Variolink Esthetic LC (VE_LC), or Variolink Esthetic DC (VE_DC). DC% was assessed by micro-Raman spectroscopy, monomer elution using high-performance liquid chromatography at 3, 10, and 17 days, and WSo/Sol per ISO 4049 at 30, 60, and 90 days. VE_DC showed the highest DC% (72.1%), while EQ_55°C presented the lowest (59.9%). Monomer elution was significantly higher for VE_LC and VE_DC compared to EQ_55°C and decreased over time for all groups. WSo peaked at day 60 but remained significantly lower for EQ_55°C. Sol followed the pattern VE_DC &gt; VE_LC &gt; EQ_55°C, decreasing progressively with time. These results indicate that the preheated RBC demonstrated reduced monomer release and lower hydrolytic degradation, supporting its potential use as a stable luting alternative for indirect ceramic restorations.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肿瘤的细菌定植驱动免疫激活和检查点封锁功效</w:t>
      </w:r>
    </w:p>
    <w:p>
      <w:r>
        <w:rPr>
          <w:rFonts w:ascii="Times New Roman" w:hAnsi="Times New Roman" w:eastAsia="宋体"/>
          <w:b/>
          <w:color w:val="003264"/>
          <w:sz w:val="24"/>
        </w:rPr>
        <w:t>Bacterial colonization of tumors drives immune activation and checkpoint blockade efficacy</w:t>
      </w:r>
    </w:p>
    <w:p>
      <w:r>
        <w:rPr>
          <w:rFonts w:ascii="Times New Roman" w:hAnsi="Times New Roman" w:eastAsia="宋体"/>
          <w:sz w:val="21"/>
        </w:rPr>
        <w:t>作者: Annah S. Rolig, Tahereh Ziglari, Grace Helen McGee, Melissa J. Kasiewicz, Kenna Kolbaba, Noah D. Simons, Joanna Pucilowska, Karen Sfanos, William L. Redmond</w:t>
        <w:br/>
      </w:r>
      <w:r>
        <w:rPr>
          <w:rFonts w:ascii="Times New Roman" w:hAnsi="Times New Roman" w:eastAsia="宋体"/>
          <w:sz w:val="21"/>
        </w:rPr>
        <w:t xml:space="preserve">时间: 2026-02-12 | </w:t>
      </w:r>
      <w:r>
        <w:t xml:space="preserve">链接: </w:t>
      </w:r>
      <w:hyperlink r:id="rId18">
        <w:r>
          <w:rPr>
            <w:rFonts w:ascii="Times New Roman" w:hAnsi="Times New Roman" w:eastAsia="宋体"/>
            <w:color w:val="0000FF"/>
            <w:sz w:val="21"/>
            <w:u w:val="single"/>
          </w:rPr>
          <w:t>https://doi.org/10.1038/s41598-026-39758-z</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肿瘤微环境（TME）严重影响免疫检查点阻断（ICB）的功效，是由宿主-微生物相互作用决定的。内源性肿瘤内细菌（例如抗 PD-1 (aPD-1)）与 ICB 的功效有关，然而，它们在调节 TME 中的作用，以及这些 TME 相互作用是否在小鼠肿瘤模型中得到体现，仍然未知。我们在多个小鼠肿瘤模型上使用 16S rRNA qPCR、测序和基于培养的方法，鉴定了 MCA-205 肿瘤中的瘤内微生物群，但在 MOC1 肿瘤中没有，强调了肿瘤内在因素在塑造微生物定植中的作用。在 MCA-205 肿瘤中，瘤内微生物群增加了树突状细胞 (DC) 的成熟以及 CD8+ T 细胞的浸润和激活，从而提高了 ICB 的治疗效果。仅特异性消除瘤内微生物群就消除了这些效应。我们发现这些细菌依赖性效应并不是由于典型的 TLR 信号传导造成的，因为通过 MyD88 耗竭阻断 TLR 信号传导并不会降低 aPD-1 功效，也不会通过在 TME 中添加大肠杆菌来增强 aPD-1 功效。这表明调节抗肿瘤免疫力需要特定的微生物物种或群落，而不仅仅是细菌定植。这些结果表明，肿瘤内微生物群（当存在时）可以决定 ICB 的功效，强调了在旨在优化癌症免疫治疗的小鼠实验中了解这一变量的重要性。</w:t>
      </w:r>
    </w:p>
    <w:p>
      <w:pPr>
        <w:spacing w:before="120"/>
      </w:pPr>
      <w:r>
        <w:rPr>
          <w:rFonts w:ascii="Times New Roman" w:hAnsi="Times New Roman" w:eastAsia="宋体"/>
          <w:b/>
          <w:sz w:val="21"/>
        </w:rPr>
        <w:t>English Abstract:</w:t>
      </w:r>
    </w:p>
    <w:p>
      <w:r>
        <w:rPr>
          <w:rFonts w:ascii="Times New Roman" w:hAnsi="Times New Roman" w:eastAsia="宋体"/>
          <w:sz w:val="21"/>
        </w:rPr>
        <w:t>The tumor microenvironment (TME), which heavily influences immune checkpoint blockade (ICB) efficacy, is shaped by host-microbe interactions. Endogenous intratumoral bacteria have been implicated in efficacy of ICB, such as anti-PD-1 (aPD-1), however, their role in modulating the TME, and whether these TME interactions are represented in murine tumor models, remains unknown. Using 16S rRNA qPCR, sequencing, and culture-based methods on multiple murine tumor models, we identified intratumoral microbiota in MCA-205 tumors but not in MOC1 tumors, underscoring the role of tumor-intrinsic factors in shaping microbial colonization. In MCA-205 tumors, intratumoral microbiota increased dendritic cell (DC) maturation and CD8+ T cell infiltration and activation, boosting ICB therapeutic efficacy. Specific depletion of only the intratumoral microbiota abrogated these effects. We found these bacteria-dependent effects were not due to canonical TLR signaling, as aPD-1 efficacy was not reduced by blocking TLR signaling through MyD88 depletion or enhanced by adding E. coli into the TME. This suggests that specific microbial species or communities, rather than bacterial colonization alone, are required to modulate antitumor immunity. These results reveal that intratumoral microbiota, when present, can dictate ICB efficacy, highlighting the importance of understanding this variable in murine experiments aiming to optimize cancer immunotherapy.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通过质子加速器预测长寿命裂变产物的散裂诱导嬗变率</w:t>
      </w:r>
    </w:p>
    <w:p>
      <w:r>
        <w:rPr>
          <w:rFonts w:ascii="Times New Roman" w:hAnsi="Times New Roman" w:eastAsia="宋体"/>
          <w:b/>
          <w:color w:val="003264"/>
          <w:sz w:val="24"/>
        </w:rPr>
        <w:t>Prediction of spallation induced transmutation rates for long-lived fission products via proton accelerator</w:t>
      </w:r>
    </w:p>
    <w:p>
      <w:r>
        <w:rPr>
          <w:rFonts w:ascii="Times New Roman" w:hAnsi="Times New Roman" w:eastAsia="宋体"/>
          <w:sz w:val="21"/>
        </w:rPr>
        <w:t>作者: Grigor Tukharyan, W. Reed Kendrick, Jiankai Yu, Areg Danagoulian, Benoit Forget</w:t>
        <w:br/>
      </w:r>
      <w:r>
        <w:rPr>
          <w:rFonts w:ascii="Times New Roman" w:hAnsi="Times New Roman" w:eastAsia="宋体"/>
          <w:sz w:val="21"/>
        </w:rPr>
        <w:t xml:space="preserve">时间: 2026-02-12 | </w:t>
      </w:r>
      <w:r>
        <w:t xml:space="preserve">链接: </w:t>
      </w:r>
      <w:hyperlink r:id="rId19">
        <w:r>
          <w:rPr>
            <w:rFonts w:ascii="Times New Roman" w:hAnsi="Times New Roman" w:eastAsia="宋体"/>
            <w:color w:val="0000FF"/>
            <w:sz w:val="21"/>
            <w:u w:val="single"/>
          </w:rPr>
          <w:t>https://doi.org/10.1038/s41598-026-38736-9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由于长寿命裂变产物在很长的时间内具有持续的放射性毒性，因此成为核废料管理的主要挑战。本研究重点关注其中六种裂变产物：Se-79、Zr-93、Tc-99、Sn-126、I-127、Cs-135。这项研究研究了散裂驱动嬗变的可行性，其中高能质子束撞击重散裂目标以产生中子，从而诱发目标周围裂变产物的嬗变。铅和贫铀被确定为主要的散裂目标候选者，反映了中子产率、二次反应和热量产生方面的对比权衡。模拟评估反应堆规模清单和实际几何约束下核素的特定行为。结果表明，锝、碘和硒是利用该途径进行嬗变的有力候选者，而锡表现出部分阻力，但受益于热通量。相比之下，锆的嬗变效率较低，而铯由于与较轻的同位素竞争，净还原量较低。成本效益高度依赖于同位素：锝是最有利的，而铯和锆仍然昂贵。这些发现强调了散裂驱动系统的优点和局限性，并激发了优化目标覆盖层设计的策略。</w:t>
      </w:r>
    </w:p>
    <w:p>
      <w:pPr>
        <w:spacing w:before="120"/>
      </w:pPr>
      <w:r>
        <w:rPr>
          <w:rFonts w:ascii="Times New Roman" w:hAnsi="Times New Roman" w:eastAsia="宋体"/>
          <w:b/>
          <w:sz w:val="21"/>
        </w:rPr>
        <w:t>English Abstract:</w:t>
      </w:r>
    </w:p>
    <w:p>
      <w:r>
        <w:rPr>
          <w:rFonts w:ascii="Times New Roman" w:hAnsi="Times New Roman" w:eastAsia="宋体"/>
          <w:sz w:val="21"/>
        </w:rPr>
        <w:t>Abstract Long-lived fission products represent a major challenge in nuclear waste management due to persistent radiotoxicity over very long timescales. This study focuses on six of these fission products: Se-79, Zr-93, Tc-99, Sn-126, I-127, Cs-135. This study investigates the feasibility of spallation-driven transmutation, in which a high energy proton beam strikes a heavy spallation target to generate neutrons that induce transmutation in the fission products surrounding the target. Lead and depleted uranium are identified as the principal spallation target candidates, reflecting contrasting trade offs in neutron yield, secondary reactions, and heat generation. Simulations assess nuclide specific behavior under reactor scale inventories and practical geometric constraints. Results demonstrate that technetium, iodine, and selenium are strong candidates for transmutation using this pathway, while tin shows partial resistance but benefits from thermal flux. By contrast, zirconium is inefficient to transmute, and cesium suffers from low net reduction due to competition with lighter isotopes. Cost effectiveness is highly isotope-dependent: technetium is most favorable, whereas cesium and zirconium remain expensive. These findings highlight the advantages and limitations of spallation driven systems and motivate strategies with optimized target–blanket designs.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斑马鱼casr调节心脏结构和功能</w:t>
      </w:r>
    </w:p>
    <w:p>
      <w:r>
        <w:rPr>
          <w:rFonts w:ascii="Times New Roman" w:hAnsi="Times New Roman" w:eastAsia="宋体"/>
          <w:b/>
          <w:color w:val="003264"/>
          <w:sz w:val="24"/>
        </w:rPr>
        <w:t>Zebrafish casr modulates cardiac structure and function</w:t>
      </w:r>
    </w:p>
    <w:p>
      <w:r>
        <w:rPr>
          <w:rFonts w:ascii="Times New Roman" w:hAnsi="Times New Roman" w:eastAsia="宋体"/>
          <w:sz w:val="21"/>
        </w:rPr>
        <w:t>作者: Ling Liu, Yuyao Hu, Binling Xie, Ting Zeng, Guifang Tao, Hao Xie, Qingying Shi, Jinrui Lv, Huaping Xie</w:t>
        <w:br/>
      </w:r>
      <w:r>
        <w:rPr>
          <w:rFonts w:ascii="Times New Roman" w:hAnsi="Times New Roman" w:eastAsia="宋体"/>
          <w:sz w:val="21"/>
        </w:rPr>
        <w:t xml:space="preserve">时间: 2026-02-12 | </w:t>
      </w:r>
      <w:r>
        <w:t xml:space="preserve">链接: </w:t>
      </w:r>
      <w:hyperlink r:id="rId20">
        <w:r>
          <w:rPr>
            <w:rFonts w:ascii="Times New Roman" w:hAnsi="Times New Roman" w:eastAsia="宋体"/>
            <w:color w:val="0000FF"/>
            <w:sz w:val="21"/>
            <w:u w:val="single"/>
          </w:rPr>
          <w:t>https://doi.org/10.1038/s41598-026-39063-9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钙是生物过程的基础，钙敏感受体 (CaSR) 对于维持钙稳态至关重要。 CaSR 失调与心血管疾病和癌症有关。然而，其在心脏发育中的具体功能仍未完全表征。为了解决这个问题，我们生成了 casr 敲除斑马鱼，分析了心脏生理学，并进行了转录组学以阐明其机制。我们在 Tuebingen (TU) 背景上建立了三个独立的 casr 敲除系。纯合突变体表现出心脏尺寸减小、心率降低、心肌收缩力受损、心输出量减少、脊柱弯曲和鱼鳔充气失败。致死率在受精后 11 天 (dpf) 开始。转录组学显示 casr 丢失扰乱了心肌收缩途径，这与鱼鳔缺陷和死亡率有关。至关重要的是，在 Tupfel 长鳍 (TL) 背景下，casr−/− 突变体显示出正常的鳔发育，恢复了心脏收缩基因的表达，并显着提高了生存率。我们的结果表明，casr 对于斑马鱼的心脏功能和鳔充气至关重要，通过 Wnt 信号传导和心肌收缩途径发挥作用。此外，TL 遗传背景挽救了这些发育缺陷，突出了遗传背景对表型结果的强烈影响。</w:t>
      </w:r>
    </w:p>
    <w:p>
      <w:pPr>
        <w:spacing w:before="120"/>
      </w:pPr>
      <w:r>
        <w:rPr>
          <w:rFonts w:ascii="Times New Roman" w:hAnsi="Times New Roman" w:eastAsia="宋体"/>
          <w:b/>
          <w:sz w:val="21"/>
        </w:rPr>
        <w:t>English Abstract:</w:t>
      </w:r>
    </w:p>
    <w:p>
      <w:r>
        <w:rPr>
          <w:rFonts w:ascii="Times New Roman" w:hAnsi="Times New Roman" w:eastAsia="宋体"/>
          <w:sz w:val="21"/>
        </w:rPr>
        <w:t>Calcium is fundamental to biological processes, and the calcium-sensing receptor (CaSR) is pivotal for maintaining calcium homeostasis. Dysregulation of CaSR is implicated in cardiovascular diseases and cancers. However, its specific function in cardiac development remains incompletely characterized. To address this, we generated casr knockout zebrafish, analyzed cardiac physiology, and performed transcriptomics to elucidate its mechanism. We established three independent casr knockout lines on a Tuebingen (TU) background. Homozygous mutants exhibited reduced heart size, decreased heart rate, impaired myocardial contractility, diminished cardiac output, spinal curvature, and swim bladder inflation failure. Lethality began at 11 days post-fertilization (dpf). Transcriptomics revealed that casr loss disrupted the cardiac muscle contraction pathway, which was associated with swim bladder defects and mortality. Crucially, in a Tupfel long-fin (TL) background, casr−/− mutants displayed normal swim bladder development, restored expression of cardiac contraction genes, and significantly improved survival. Our results demonstrate that casr is essential for cardiac function and swim bladder inflation in zebrafish, acting through the Wnt signaling and cardiac muscle contraction pathways. Furthermore, the TL genetic background rescues these developmental defects, highlighting a strong effect of genetic background on phenotypic outcomes.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用于数值优化和工程设计的三角飞行几何鲸鱼优化算法</w:t>
      </w:r>
    </w:p>
    <w:p>
      <w:r>
        <w:rPr>
          <w:rFonts w:ascii="Times New Roman" w:hAnsi="Times New Roman" w:eastAsia="宋体"/>
          <w:b/>
          <w:color w:val="003264"/>
          <w:sz w:val="24"/>
        </w:rPr>
        <w:t>A Geometric Whale Optimization Algorithm with Triangular Flight for Numerical Optimization and Engineering Design</w:t>
      </w:r>
    </w:p>
    <w:p>
      <w:r>
        <w:rPr>
          <w:rFonts w:ascii="Times New Roman" w:hAnsi="Times New Roman" w:eastAsia="宋体"/>
          <w:sz w:val="21"/>
        </w:rPr>
        <w:t>作者: Junhao Wei, Ran Zhang, Yanzhao Gu, Wenxuan Zhu, Yanxiao Li, Zikun Li, Shuai Wu, Zhiwen Wang, Ngai Cheong, Sio-Kei Im, Yapeng Wang, Xu Yang</w:t>
        <w:br/>
      </w:r>
      <w:r>
        <w:rPr>
          <w:rFonts w:ascii="Times New Roman" w:hAnsi="Times New Roman" w:eastAsia="宋体"/>
          <w:sz w:val="21"/>
        </w:rPr>
        <w:t xml:space="preserve">时间: 2026-02-12 | </w:t>
      </w:r>
      <w:r>
        <w:t xml:space="preserve">链接: </w:t>
      </w:r>
      <w:hyperlink r:id="rId21">
        <w:r>
          <w:rPr>
            <w:rFonts w:ascii="Times New Roman" w:hAnsi="Times New Roman" w:eastAsia="宋体"/>
            <w:color w:val="0000FF"/>
            <w:sz w:val="21"/>
            <w:u w:val="single"/>
          </w:rPr>
          <w:t>https://doi.org/10.1038/s41598-026-37387-0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工程设计优化问题通常具有高维度、复杂约束和多模态搜索环境的特点，这对传统的元启发式算法提出了重大挑战。尽管鲸鱼优化算法（WOA）已经展现出具有竞争力的性能，但它仍然存在早熟收敛、种群多样性有限以及复杂优化场景中探索-利用机制不平衡等问题。为了克服这些限制，本文提出了一种几何鲸鱼优化算法（ESTGWOA），其中多种几何策略被系统地嵌入到规范的WOA框架中，以增强种群初始化、搜索引导和位置更新行为。通过结合基于几何的机制，ESTGWOA有效提高了搜索空间覆盖范围，并加强了全局探索和局部开发之间的协调。对23个基准函数的综合实验表明，ESTGWOA在30、50、100维度等不同维度的基准函数上均优于其他算法，整体有效性为97.10%。对一系列受限工程设计问题的模拟表明，ESTGWOA 始终优于选定的最先进的元启发式算法。定量结果表明，ESTGWOA 在大多数情况下实现了较高的平均适应度值和较低的标准差，并通过 Wilcoxon 秩和和 Friedman 检验验证了统计显着性。此外，对搜索历史、群体多样性和收敛行为的定性分析证实了所提出方法的鲁棒性和稳定性。这些结果表明，ESTGWOA对于复杂的连续工程设计问题是一种可靠且有效的优化算法。</w:t>
      </w:r>
    </w:p>
    <w:p>
      <w:pPr>
        <w:spacing w:before="120"/>
      </w:pPr>
      <w:r>
        <w:rPr>
          <w:rFonts w:ascii="Times New Roman" w:hAnsi="Times New Roman" w:eastAsia="宋体"/>
          <w:b/>
          <w:sz w:val="21"/>
        </w:rPr>
        <w:t>English Abstract:</w:t>
      </w:r>
    </w:p>
    <w:p>
      <w:r>
        <w:rPr>
          <w:rFonts w:ascii="Times New Roman" w:hAnsi="Times New Roman" w:eastAsia="宋体"/>
          <w:sz w:val="21"/>
        </w:rPr>
        <w:t>Engineering design optimization problems are often characterized by high dimensionality, complex constraints, and multimodal search landscapes, which pose significant challenges to conventional metaheuristic algorithms. Although the Whale Optimization Algorithm (WOA) has demonstrated competitive performance, it still suffers from premature convergence, limited population diversity, and an imbalanced exploration-exploitation mechanism in complex optimization scenarios. To overcome these limitations, this paper proposes a Geometric Whale Optimization Algorithm (ESTGWOA), in which multiple geometric strategies are systematically embedded into the canonical WOA framework to enhance population initialization, search guidance, and position update behaviors. By incorporating geometric-based mechanisms, ESTGWOA effectively improves search space coverage and strengthens the coordination between global exploration and local exploitation. Comprehensive experiments on 23 benchmark functions demonstrate that ESTGWOA, with an overall effectiveness of 97.10%, outperformed other algorithms on benchmark functions with different dimensions of 30, 50 and 100 dimensions. And the simulations on a series of constrained engineering design problems demonstrate that ESTGWOA consistently outperforms selected state-of-the-art metaheuristic algorithms. Quantitative results show that ESTGWOA achieves superior average fitness values and lower standard deviations in most cases, with statistical significance verified by Wilcoxon rank-sum and Friedman tests. Furthermore, qualitative analyses of search history, population diversity, and convergence behavior confirm the robustness and stability of the proposed approach. These results indicate that ESTGWOA is a reliable and effective optimization algorithm for complex continuous engineering design problems.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适形分数阶传输线超材料中孤子传播的分析研究</w:t>
      </w:r>
    </w:p>
    <w:p>
      <w:r>
        <w:rPr>
          <w:rFonts w:ascii="Times New Roman" w:hAnsi="Times New Roman" w:eastAsia="宋体"/>
          <w:b/>
          <w:color w:val="003264"/>
          <w:sz w:val="24"/>
        </w:rPr>
        <w:t>Analytical investigation of soliton propagation in conformable fractional-order transmission line metamaterials</w:t>
      </w:r>
    </w:p>
    <w:p>
      <w:r>
        <w:rPr>
          <w:rFonts w:ascii="Times New Roman" w:hAnsi="Times New Roman" w:eastAsia="宋体"/>
          <w:sz w:val="21"/>
        </w:rPr>
        <w:t>作者: Ehab M. Almetwally, Mohammad A. Zayed, Sara I. Abo-Hashem, Rahma Sadat, Samah M. Mabrouk, Ahmed S. Rashed</w:t>
        <w:br/>
      </w:r>
      <w:r>
        <w:rPr>
          <w:rFonts w:ascii="Times New Roman" w:hAnsi="Times New Roman" w:eastAsia="宋体"/>
          <w:sz w:val="21"/>
        </w:rPr>
        <w:t xml:space="preserve">时间: 2026-02-12 | </w:t>
      </w:r>
      <w:r>
        <w:t xml:space="preserve">链接: </w:t>
      </w:r>
      <w:hyperlink r:id="rId22">
        <w:r>
          <w:rPr>
            <w:rFonts w:ascii="Times New Roman" w:hAnsi="Times New Roman" w:eastAsia="宋体"/>
            <w:color w:val="0000FF"/>
            <w:sz w:val="21"/>
            <w:u w:val="single"/>
          </w:rPr>
          <w:t>https://doi.org/10.1038/s41598-025-31060-8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本研究致力于分析非线性二维传输线超材料的一致分数阶模型。适形分数导数用于扩大经典微分，同时保持基本方面，包括链式法则。传输线超材料作为有意设计的结构，为检查非线性色散介质中的波传输提供了强大的框架。建议的电气模型有助于理解孤子的产生和传输行为，通过基于电路的表示（包括电感器和电容器）中的电压波动力学进行检查。由于电磁特性，超材料在微波工程、信号处理和通信领域具有广阔的应用前景。使用三种分析技术来研究模型的动力学：正弦-戈登展开法、分数子方程法和 tanh 法。每种方法都是在导数参数的分数阶区间内实现的，0 &lt; α ≤ 1。导出的解决方案展示了单一和多重孤子配置，这对于开发复杂的波导和改善电信中的信号传输至关重要。对比研究表明，三种策略均能有效生成孤子解；然而，正弦-戈登展开法更有益，因为它产生更广义的解形式。这强调了它在分数阶超材料系统建模和构建中的适应性和更广泛的适用性。</w:t>
      </w:r>
    </w:p>
    <w:p>
      <w:pPr>
        <w:spacing w:before="120"/>
      </w:pPr>
      <w:r>
        <w:rPr>
          <w:rFonts w:ascii="Times New Roman" w:hAnsi="Times New Roman" w:eastAsia="宋体"/>
          <w:b/>
          <w:sz w:val="21"/>
        </w:rPr>
        <w:t>English Abstract:</w:t>
      </w:r>
    </w:p>
    <w:p>
      <w:r>
        <w:rPr>
          <w:rFonts w:ascii="Times New Roman" w:hAnsi="Times New Roman" w:eastAsia="宋体"/>
          <w:sz w:val="21"/>
        </w:rPr>
        <w:t>Abstract This research is devoted to analyze a conformable fractional-order model of nonlinear two-dimensional transmission line metamaterials. The conformable fractional derivative is utilized to broaden classical differentiation while maintaining essential aspects, including the chain rule. Transmission line metamaterials, as intentionally designed structures, offer a robust framework for examining wave transmission in nonlinear dispersive media. The suggested electrical model facilitates understanding the behavior of creation and transmission of solitons, examined via voltage wave dynamics in circuit-based representations including inductors and capacitors. Due to the electromagnetic characteristics, metamaterials possess considerable promise for use in microwave engineering, signal processing, and communications. Three analytical techniques are utilized to investigate the model’s dynamics: the sine–Gordon expansion method, the fractional sub-equation approach, and the tanh method. Each approach was implemented within the fractional-order interval of the derivative parameter, 0 &lt; α ≤ 1. The derived solutions demonstrated both singular and multiple soliton configurations, essential for the development of sophisticated waveguides and the improvement of signal transmission in telecommunications. The comparison research revealed that all three strategies effectively generated soliton solutions; however, the sine–Gordon expansion method was more beneficial, as it produced more generalized solution forms. This underscores its adaptability and wider applicability in the modeling and construction of fractional-order metamaterial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利用临床批准的人畜共患病抗毒素药物的图形治疗特性来加强生物信息学工程</w:t>
      </w:r>
    </w:p>
    <w:p>
      <w:r>
        <w:rPr>
          <w:rFonts w:ascii="Times New Roman" w:hAnsi="Times New Roman" w:eastAsia="宋体"/>
          <w:b/>
          <w:color w:val="003264"/>
          <w:sz w:val="24"/>
        </w:rPr>
        <w:t>Enhancing bioinformatics engineering by utilizing graph therapeutic properties for clinically approved antitoxin drugs in zoonotic diseases</w:t>
      </w:r>
    </w:p>
    <w:p>
      <w:r>
        <w:rPr>
          <w:rFonts w:ascii="Times New Roman" w:hAnsi="Times New Roman" w:eastAsia="宋体"/>
          <w:sz w:val="21"/>
        </w:rPr>
        <w:t>作者: Muhammad Imran, Muhammad Aqib, Mehar Ali Malik, Sadia Jutt</w:t>
        <w:br/>
      </w:r>
      <w:r>
        <w:rPr>
          <w:rFonts w:ascii="Times New Roman" w:hAnsi="Times New Roman" w:eastAsia="宋体"/>
          <w:sz w:val="21"/>
        </w:rPr>
        <w:t xml:space="preserve">时间: 2026-02-12 | </w:t>
      </w:r>
      <w:r>
        <w:t xml:space="preserve">链接: </w:t>
      </w:r>
      <w:hyperlink r:id="rId23">
        <w:r>
          <w:rPr>
            <w:rFonts w:ascii="Times New Roman" w:hAnsi="Times New Roman" w:eastAsia="宋体"/>
            <w:color w:val="0000FF"/>
            <w:sz w:val="21"/>
            <w:u w:val="single"/>
          </w:rPr>
          <w:t>https://doi.org/10.1038/s41598-026-36036-w</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炭疽病，一种由炭疽杆菌引起的人畜共患疾病。它主要影响动物并通过直接接触或吸入传播给人类。本文研究了用于减轻炭疽病的药物化学结构的理化性质和拓扑指数之间的相关性。本研究考虑了临床批准的药物，包括环丙沙星、左伐喹、多力克斯、四丙青霉素和辉瑞平等。对于这些药物的化学结构，我们计算了各种反向拓扑指数的M多项式，包括反向萨格勒布型指数、反向原子键连通性指数、反向谐波指数和反向和连通性指数等。通过回归分析确定的关系建立了定量结构-性质关系（QSPR），提供深入了解分子结构如何控制这些抗毒素的物理行为，这是未来药物优化工作的基础。我们的研究结果突出显示了实现最低 SE 和最大 $$R^2$$ 值的回归系数，表明结构-性质相关性最强（例如分子量）。这些稳健的系数可用于模拟化学相似化合物的结构特性。</w:t>
      </w:r>
    </w:p>
    <w:p>
      <w:pPr>
        <w:spacing w:before="120"/>
      </w:pPr>
      <w:r>
        <w:rPr>
          <w:rFonts w:ascii="Times New Roman" w:hAnsi="Times New Roman" w:eastAsia="宋体"/>
          <w:b/>
          <w:sz w:val="21"/>
        </w:rPr>
        <w:t>English Abstract:</w:t>
      </w:r>
    </w:p>
    <w:p>
      <w:r>
        <w:rPr>
          <w:rFonts w:ascii="Times New Roman" w:hAnsi="Times New Roman" w:eastAsia="宋体"/>
          <w:sz w:val="21"/>
        </w:rPr>
        <w:t>Anthrax, a zoonotic disease caused by the bacterium Bacillus anthracis. It primarily affects animals and spreads to humans through direct contact or inhalation. This article examines the correlations between physicochemical properties and topological indices of the chemical structures of drugs used to mitigate anthrax disease. This study considers the clinically approved drugs, including ciprofloxacin, levaquin, doryx, penicillin tetrapropyl, and pfizerpen, etc. For the chemical structures of these drugs, we have calculated M-polynomials of various reverse topological indices, including the reverse Zagreb-type indices, reverse atom-bond connectivity index, reverse harmonic index, and reverse sum connectivity index, etc. The relationships identified through regression analysis establish quantitative structure-property relationships (QSPR), offering insights into how the molecular structure governs the physical behavior of these antitoxins, which is foundational for future drug optimization efforts. Our findings highlight the regression coefficients that achieved the lowest SE and the maximum $$R^2$$ values, indicating the strongest structure-property correlations (such as for Molecular Weight). These robust coefficients can be used to model the structural properties of chemically similar compounds.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通过水培番茄生产系统中的藻类覆盖度评估农业传感器的可靠性</w:t>
      </w:r>
    </w:p>
    <w:p>
      <w:r>
        <w:rPr>
          <w:rFonts w:ascii="Times New Roman" w:hAnsi="Times New Roman" w:eastAsia="宋体"/>
          <w:b/>
          <w:color w:val="003264"/>
          <w:sz w:val="24"/>
        </w:rPr>
        <w:t>Reliability assessment of agricultural sensors evaluated through algal coverage in hydroponic tomato production systems</w:t>
      </w:r>
    </w:p>
    <w:p>
      <w:r>
        <w:rPr>
          <w:rFonts w:ascii="Times New Roman" w:hAnsi="Times New Roman" w:eastAsia="宋体"/>
          <w:sz w:val="21"/>
        </w:rPr>
        <w:t>作者: Saksonita Khoeurn, No Hyeon Park, Hye Kyoung Jahng, Jaehyuk Jeon, Seungback Jung, Wan-Sup Cho, Yumin Joung, Eunji Lee, Dong Sub Kim</w:t>
        <w:br/>
      </w:r>
      <w:r>
        <w:rPr>
          <w:rFonts w:ascii="Times New Roman" w:hAnsi="Times New Roman" w:eastAsia="宋体"/>
          <w:sz w:val="21"/>
        </w:rPr>
        <w:t xml:space="preserve">时间: 2026-02-12 | </w:t>
      </w:r>
      <w:r>
        <w:t xml:space="preserve">链接: </w:t>
      </w:r>
      <w:hyperlink r:id="rId24">
        <w:r>
          <w:rPr>
            <w:rFonts w:ascii="Times New Roman" w:hAnsi="Times New Roman" w:eastAsia="宋体"/>
            <w:color w:val="0000FF"/>
            <w:sz w:val="21"/>
            <w:u w:val="single"/>
          </w:rPr>
          <w:t>https://doi.org/10.1038/s41598-026-38555-y</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在现代农业系统中，水培法代表了将数字技术与精准农业实践相结合以实现传感器介导栽培的关键进步。这些系统采用持续的环境监测来提高运行效率并促进植物生长。然而，环境因素和技术问题可能会因传感器性能缺陷而破坏数据完整性。检测培养过程中的传感器故障具有挑战性。这项研究调查了传感器表面的藻类覆盖模式是否可以解释在基于岩棉的水培番茄系统中传感器记录的环境参数的观察到的变化。在受控温室环境中，117 个环境传感器持续监测根区温度、相对湿度、pH 值和电导率 (EC)。尽管条件一致，但仍观察到传感器数据存在很大差异。培养后分析显示传感器表面的藻类覆盖率存在显着差异。我们假设藻类覆盖率反映了岩棉基质内营养液分布的差异，这可能解释了传感器数据的变化。 3 个月后，根据藻类覆盖率对 39 个传感器进行分类：22 个传感器表现出高定殖（≥ 90% 覆盖率），17 个传感器表现出最低覆盖率（&lt; 10%）。与具有最小覆盖范围的传感器相比，具有显着藻类覆盖范围的传感器的基质相对湿度（85.6% vs. 41.9%）和 EC 值（0.77 dS/m vs. 0.33 dS/m）显着升高。番茄生产力指标没有显着差异，这意味着对缺水或岩棉水动力特性的潜在生物适应。这些发现表明，量化藻类生长可以间接反映环境参数，特别是相对湿度和 EC，同时作为水培系统中传感器数据可靠性的推论验证指标。这项研究解决了在先进农业系统中实现精确环境监测、优化资源利用和提高作物生产效率的关键挑战。</w:t>
      </w:r>
    </w:p>
    <w:p>
      <w:pPr>
        <w:spacing w:before="120"/>
      </w:pPr>
      <w:r>
        <w:rPr>
          <w:rFonts w:ascii="Times New Roman" w:hAnsi="Times New Roman" w:eastAsia="宋体"/>
          <w:b/>
          <w:sz w:val="21"/>
        </w:rPr>
        <w:t>English Abstract:</w:t>
      </w:r>
    </w:p>
    <w:p>
      <w:r>
        <w:rPr>
          <w:rFonts w:ascii="Times New Roman" w:hAnsi="Times New Roman" w:eastAsia="宋体"/>
          <w:sz w:val="21"/>
        </w:rPr>
        <w:t>Abstract In modern agricultural systems, hydroponics represents a crucial advancement in integrating digital technologies and precision farming practices for sensor-mediated cultivation. These systems employ continuous environmental monitoring to enhance operational efficiency and promote plant growth. However, environmental factors and technical issues can undermine data integrity because of faulty sensor performance. Detecting sensor malfunctions during cultivation is challenging. This study investigated whether algal coverage patterns on sensor surfaces could explain observed variations in sensor-recorded environmental parameters in rockwool-based hydroponic tomato systems. In a controlled greenhouse setting, 117 environmental sensors continuously monitored root-zone temperature, relative humidity, pH, and electrical conductivity (EC). Despite uniform conditions, substantial sensor data variation was observed. Post-cultivation analysis revealed marked differences in algal coverage across sensor surfaces. We hypothesized that algae coverage ratios reflect differential nutrient solution distribution within rockwool substrate, potentially explaining sensor data variation. After 3 months, 39 sensors were categorized according to their algal coverage: 22 sensors exhibited high colonization (≥ 90% coverage) and 17 displayed minimal coverage (&lt; 10%). The sensors with significant algal coverage presented markedly elevated substrate relative humidity (85.6% vs. 41.9%) and EC values (0.77 dS/m vs. 0.33 dS/m) than those with minimal coverage. The tomato productivity metrics did not differ significantly, implying potential biological adaptations to water deficiency or hydrodynamic characteristics of the rockwool. These findings suggest that quantifying algal growth may indirectly reflect environmental parameters, particularly relative humidity and EC, while serving as an inferential validation indicator of sensor data reliability in hydroponic systems. This study addresses the crucial challenges in achieving precise environmental monitoring in advanced agricultural systems, optimizing resource utilization, and improving crop production efficiency.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一种新的自适应联合学习方法，用于非独立同分布下隐私保护无人机异常检测</w:t>
      </w:r>
    </w:p>
    <w:p>
      <w:r>
        <w:rPr>
          <w:rFonts w:ascii="Times New Roman" w:hAnsi="Times New Roman" w:eastAsia="宋体"/>
          <w:b/>
          <w:color w:val="003264"/>
          <w:sz w:val="24"/>
        </w:rPr>
        <w:t>A new adaptive federated learning approach for privacy preserving UAV anomaly detection under non-IID distributions</w:t>
      </w:r>
    </w:p>
    <w:p>
      <w:r>
        <w:rPr>
          <w:rFonts w:ascii="Times New Roman" w:hAnsi="Times New Roman" w:eastAsia="宋体"/>
          <w:sz w:val="21"/>
        </w:rPr>
        <w:t>作者: Ms Bithi, Md. Emran Masud, Md. Alamgir Hossain</w:t>
        <w:br/>
      </w:r>
      <w:r>
        <w:rPr>
          <w:rFonts w:ascii="Times New Roman" w:hAnsi="Times New Roman" w:eastAsia="宋体"/>
          <w:sz w:val="21"/>
        </w:rPr>
        <w:t xml:space="preserve">时间: 2026-02-12 | </w:t>
      </w:r>
      <w:r>
        <w:t xml:space="preserve">链接: </w:t>
      </w:r>
      <w:hyperlink r:id="rId25">
        <w:r>
          <w:rPr>
            <w:rFonts w:ascii="Times New Roman" w:hAnsi="Times New Roman" w:eastAsia="宋体"/>
            <w:color w:val="0000FF"/>
            <w:sz w:val="21"/>
            <w:u w:val="single"/>
          </w:rPr>
          <w:t>https://doi.org/10.1038/s41598-026-38732-z</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于关键基础设施、物流和监控领域无人机部署的快速增长，稳健且个性化的异常检测至关重要。分布式、非独立同分布、敏感的无人机通信场景对传统集中式学习提出了挑战。为了解决这些问题，这项工作提出了 BANCO-FL，这是一个平衡且优化的联邦学习框架，将轻量级神经网络与自适应聚合方法、FedAdam、FedMedian 和 ClusterAvg 相结合。在包含 235 万条通信记录的真实无人机数据集上进行的实验表明，BANCO-FL 在 3 客户端和 9 客户端非 IID 场景中实现了 99.98% 的峰值准确率、99.98% 的精确度、99.98% 的召回率和 99.98% 的 F1 分数。与标准基线相比，BANCO-FL 将错误分类率降低了 35% 以上，提高了训练稳定性，并增强了客户之间的公平性。这些研究结果表明，BANCO-FL 是一种实用、可扩展且通信高效的解决方案，适用于现实世界的无人机异常检测。</w:t>
      </w:r>
    </w:p>
    <w:p>
      <w:pPr>
        <w:spacing w:before="120"/>
      </w:pPr>
      <w:r>
        <w:rPr>
          <w:rFonts w:ascii="Times New Roman" w:hAnsi="Times New Roman" w:eastAsia="宋体"/>
          <w:b/>
          <w:sz w:val="21"/>
        </w:rPr>
        <w:t>English Abstract:</w:t>
      </w:r>
    </w:p>
    <w:p>
      <w:r>
        <w:rPr>
          <w:rFonts w:ascii="Times New Roman" w:hAnsi="Times New Roman" w:eastAsia="宋体"/>
          <w:sz w:val="21"/>
        </w:rPr>
        <w:t>Robust and personalized anomaly detection is essential due to the rapid growth of UAV deployments in critical infrastructure, logistics, and surveillance. Distributed, non-IID, and sensitive UAV communication scenarios pose challenges for traditional centralized learning. To address these issues, this work presents BANCO-FL, a balanced and optimized federated learning framework combining a lightweight neural network with adaptive aggregation methods, FedAdam, FedMedian, and ClusterAvg. Experiments conducted on a real-world UAV dataset containing 2.35 million communication records demonstrate that BANCO-FL achieves a peak accuracy of 99.98%, 99.98% precision, 99.98% recall, and a 99.98% F1-score in 3-client and 9-client non-IID scenarios. Compared to standard baselines, BANCO-FL reduces misclassification rates by over 35%, improves training stability, and enhances fairness across clients. These findings show that BANCO-FL is a practical, scalable, and communication-efficient solution for real-world UAV anomaly detection.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嫁接与LED光质协同增强番茄幼苗矿质营养及生长性能</w:t>
      </w:r>
    </w:p>
    <w:p>
      <w:r>
        <w:rPr>
          <w:rFonts w:ascii="Times New Roman" w:hAnsi="Times New Roman" w:eastAsia="宋体"/>
          <w:b/>
          <w:color w:val="003264"/>
          <w:sz w:val="24"/>
        </w:rPr>
        <w:t>The synergistic effect of grafting and LED light quality on enhancing the mineral nutrition and growth performance of tomato seedlings</w:t>
      </w:r>
    </w:p>
    <w:p>
      <w:r>
        <w:rPr>
          <w:rFonts w:ascii="Times New Roman" w:hAnsi="Times New Roman" w:eastAsia="宋体"/>
          <w:sz w:val="21"/>
        </w:rPr>
        <w:t>作者: Seyedreza Soltani, Hossein Aroiee, Reza Salehi, Nazim S. Gruda</w:t>
        <w:br/>
      </w:r>
      <w:r>
        <w:rPr>
          <w:rFonts w:ascii="Times New Roman" w:hAnsi="Times New Roman" w:eastAsia="宋体"/>
          <w:sz w:val="21"/>
        </w:rPr>
        <w:t xml:space="preserve">时间: 2026-02-12 | </w:t>
      </w:r>
      <w:r>
        <w:t xml:space="preserve">链接: </w:t>
      </w:r>
      <w:hyperlink r:id="rId26">
        <w:r>
          <w:rPr>
            <w:rFonts w:ascii="Times New Roman" w:hAnsi="Times New Roman" w:eastAsia="宋体"/>
            <w:color w:val="0000FF"/>
            <w:sz w:val="21"/>
            <w:u w:val="single"/>
          </w:rPr>
          <w:t>https://doi.org/10.1038/s41598-026-38960-3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光质量是受控环境农业的关键决定因素，但有关光谱成分和嫁接对番茄幼苗性能的相互作用影响的信息仍然有限。超越砧木活力只是静态特征的假设，我们假设地上光谱线索显着调节砧木效率。我们研究了嫁接（Solanum lycopersicum ‘Maxifort’）和各种 LED 光谱（单色红、蓝、白和红:蓝 70:30）对番茄幼苗形态结构、光合潜力和矿质营养化学计量平衡的协同效应。我们的结果揭示了一个关键的相互作用：虽然在次优的单色红光下单独嫁接可以缓解特定的营养缺乏（氮、钾、镁），但砧木最大限度地吸收关键元素（特别是磷和钙）的能力只有在协同红：蓝光谱下才能完全实现。这项研究提供了经验证据，表明将 R70:B30 谱与嫁接相结合不仅可以促进生长，还可以优化资源获取。这些发现提供了一种优化移植质量的新方法，并建立了一个在现代苗圃中生产弹性移植物的稳健方案。未来的研究应该集中于揭示这种轻质砧木通讯背后的分子途径。</w:t>
      </w:r>
    </w:p>
    <w:p>
      <w:pPr>
        <w:spacing w:before="120"/>
      </w:pPr>
      <w:r>
        <w:rPr>
          <w:rFonts w:ascii="Times New Roman" w:hAnsi="Times New Roman" w:eastAsia="宋体"/>
          <w:b/>
          <w:sz w:val="21"/>
        </w:rPr>
        <w:t>English Abstract:</w:t>
      </w:r>
    </w:p>
    <w:p>
      <w:r>
        <w:rPr>
          <w:rFonts w:ascii="Times New Roman" w:hAnsi="Times New Roman" w:eastAsia="宋体"/>
          <w:sz w:val="21"/>
        </w:rPr>
        <w:t>Abstract Light quality is a critical determinant in controlled environment agriculture, yet information regarding the interactive effects of spectral composition and grafting on tomato seedling performance remains limited. Moving beyond the assumption that rootstock vigor is solely a static trait, we hypothesized that above-ground spectral cues significantly modulate rootstock efficiency. We investigated the synergistic effects of grafting ( Solanum lycopersicum ‘Maxifort’) and various LED spectra (monochromatic Red, Blue, White, and Red:Blue 70:30) on morphological architecture, photosynthetic potential, and the stoichiometric balance of mineral nutrients in tomato seedlings. Our results reveal a critical interaction: while grafting alone alleviated specific nutritional deficits (N, K, Mg) under suboptimal monochromatic red light, the rootstock’s capacity to maximize the uptake of key elements—particularly phosphorus and calcium—was fully realized only under the synergistic Red:Blue spectrum. This study provides empirical evidence that integrating the R70:B30 spectrum with grafting not only improves growth but also optimizes resource acquisition. These findings offer a novel approach to optimizing transplant quality and establish a robust protocol for producing resilient transplants in modern nurseries. Future research should focus on unraveling the molecular pathways underlying this light-rootstock communication.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从埃塞俄比亚一家三级医院痰样本中分离出的肺炎克雷伯菌的毒力和抗生素抗性基因的分子特征</w:t>
      </w:r>
    </w:p>
    <w:p>
      <w:r>
        <w:rPr>
          <w:rFonts w:ascii="Times New Roman" w:hAnsi="Times New Roman" w:eastAsia="宋体"/>
          <w:b/>
          <w:color w:val="003264"/>
          <w:sz w:val="24"/>
        </w:rPr>
        <w:t>Molecular characterization of virulence and antibiotic resistance genes in Klebsiella pneumoniae isolated from sputum samples at a tertiary hospital in Ethiopia</w:t>
      </w:r>
    </w:p>
    <w:p>
      <w:r>
        <w:rPr>
          <w:rFonts w:ascii="Times New Roman" w:hAnsi="Times New Roman" w:eastAsia="宋体"/>
          <w:sz w:val="21"/>
        </w:rPr>
        <w:t>作者: Assefa Asnakew Abebe, Alemayehu Godana Birhanu, Tesfaye Sisay Tessema</w:t>
        <w:br/>
      </w:r>
      <w:r>
        <w:rPr>
          <w:rFonts w:ascii="Times New Roman" w:hAnsi="Times New Roman" w:eastAsia="宋体"/>
          <w:sz w:val="21"/>
        </w:rPr>
        <w:t xml:space="preserve">时间: 2026-02-12 | </w:t>
      </w:r>
      <w:r>
        <w:t xml:space="preserve">链接: </w:t>
      </w:r>
      <w:hyperlink r:id="rId27">
        <w:r>
          <w:rPr>
            <w:rFonts w:ascii="Times New Roman" w:hAnsi="Times New Roman" w:eastAsia="宋体"/>
            <w:color w:val="0000FF"/>
            <w:sz w:val="21"/>
            <w:u w:val="single"/>
          </w:rPr>
          <w:t>https://doi.org/10.1038/s41598-026-39069-3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肺炎克雷伯菌是一种革兰氏阴性、有荚膜的杆状细菌，也是 ESKAPE 病原体群的重要成员，是全球细菌性肺炎的主要原因之一。 It has become increasingly problematic due to multidrug resistance (MDR) and the emergence of hypervirulent strains. In Ethiopia, there are growing reports of the increasing prevalence of MDR K. pneumoniae strains.然而，关于临床分离株的耐药机制和毒力决定因素的分子数据仍然有限。这项研究对埃塞俄比亚一家三级医院临床疑似肺炎患者的痰样本中的肺炎克雷伯菌进行了分子鉴定，并评估了其抗生素耐药性概况，并对分离株的关键毒力和抗菌素耐药性 (AMR) 相关基因进行了分子特征分析。总共收集了 182 份肺炎疑似患者的痰样本，并按照标准微生物学程序进行细菌分离和抗菌药物敏感性测试。通过 MALDI-TOF 和 PCR 证实肺炎克雷伯菌分离株。 Antibiotic susceptibility was assessed via the Kirby–Bauer disk diffusion method.通过 PCR 检测关键毒力和 AMR 相关基因。 Among the 182 sputum samples, 32 K. pneumoniae isolates were identified, 94% of which were MDR. The predominant resistance genes detected included blaCTX-M (40.6%), blaNDM (34.4%), blaSHV (31.3%), and blaTEM (18.8%). Among the virulence genes, fimH was found in 56.3% of the isolates, mrkA in 28.1%, and rmpA in 9.4%.此外，主要外膜孔蛋白基因 ompK35 和 mdtK 外排泵基因分别在 62.6% 和 28.1% 的分离株中检测到。这项研究揭示了耐多药肺炎克雷伯菌菌株的高患病率，以及高毒力表型的出现，对治疗效果构成了重大威胁。研究结果强调了分子协同作用驱动的复杂耐药机制，强调了医疗机构中加强分子监测、感染控制和抗生素管理的迫切需要。</w:t>
      </w:r>
    </w:p>
    <w:p>
      <w:pPr>
        <w:spacing w:before="120"/>
      </w:pPr>
      <w:r>
        <w:rPr>
          <w:rFonts w:ascii="Times New Roman" w:hAnsi="Times New Roman" w:eastAsia="宋体"/>
          <w:b/>
          <w:sz w:val="21"/>
        </w:rPr>
        <w:t>English Abstract:</w:t>
      </w:r>
    </w:p>
    <w:p>
      <w:r>
        <w:rPr>
          <w:rFonts w:ascii="Times New Roman" w:hAnsi="Times New Roman" w:eastAsia="宋体"/>
          <w:sz w:val="21"/>
        </w:rPr>
        <w:t>Klebsiella pneumoniae, a Gram-negative, encapsulated rod and prominent member of the ESKAPE pathogen group, ranks among the leading causes of bacterial pneumonia worldwide. It has become increasingly problematic due to multidrug resistance (MDR) and the emergence of hypervirulent strains. In Ethiopia, there are growing reports of the increasing prevalence of MDR K. pneumoniae strains. However, molecular data on the resistance mechanisms and virulence determinants among clinical isolates remain limited. This study molecularly identified K. pneumoniae in sputum samples from patients clinically suspected of pneumonia at a tertiary hospital in Ethiopia, and evaluated their antibiotic resistance profiles, as well as molecularly characterized the isolates for key virulence and antimicrobial resistance (AMR) associated genes. A total of 182 sputum samples from pneumonia- suspected patients were collected and processed following standard microbiological procedures for bacterial isolation and antimicrobial sensitivity testing. K. pneumoniae isolates were confirmed by MALDI-TOF and PCR. Antibiotic susceptibility was assessed via the Kirby–Bauer disk diffusion method. Key virulence and AMR associated genes were detected via PCR. Among the 182 sputum samples, 32 K. pneumoniae isolates were identified, 94% of which were MDR. The predominant resistance genes detected included blaCTX-M (40.6%), blaNDM (34.4%), blaSHV (31.3%), and blaTEM (18.8%). Among the virulence genes, fimH was found in 56.3% of the isolates, mrkA in 28.1%, and rmpA in 9.4%. Additionally, the major outer membrane porin gene ompK35 and the mdtK efflux pump gene were detected in 62.6% and 28.1% of the isolates, respectively. This study reveals a high prevalence of MDR K. pneumoniae strains, and emergence of hypervirulent phenotypes posing a significant threat to therapeutic efficacy. The findings highlight complicated resistance mechanisms driven by molecular synergies, underscoring the urgent need for enhanced molecular surveillance, infection control, and antibiotic stewardship in healthcare settings.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高性能 Au-MoS2-石墨烯多层 SPR 生物传感器，具有卓越的灵敏度和精度</w:t>
      </w:r>
    </w:p>
    <w:p>
      <w:r>
        <w:rPr>
          <w:rFonts w:ascii="Times New Roman" w:hAnsi="Times New Roman" w:eastAsia="宋体"/>
          <w:b/>
          <w:color w:val="003264"/>
          <w:sz w:val="24"/>
        </w:rPr>
        <w:t>High-performance Au–MoS₂–graphene multilayer SPR biosensor with superior sensitivity and precision</w:t>
      </w:r>
    </w:p>
    <w:p>
      <w:r>
        <w:rPr>
          <w:rFonts w:ascii="Times New Roman" w:hAnsi="Times New Roman" w:eastAsia="宋体"/>
          <w:sz w:val="21"/>
        </w:rPr>
        <w:t>作者: Ehsan Bahmani, Hassan Kaatuzian, Sara Gholinezhad Shafagh</w:t>
        <w:br/>
      </w:r>
      <w:r>
        <w:rPr>
          <w:rFonts w:ascii="Times New Roman" w:hAnsi="Times New Roman" w:eastAsia="宋体"/>
          <w:sz w:val="21"/>
        </w:rPr>
        <w:t xml:space="preserve">时间: 2026-02-12 | </w:t>
      </w:r>
      <w:r>
        <w:t xml:space="preserve">链接: </w:t>
      </w:r>
      <w:hyperlink r:id="rId28">
        <w:r>
          <w:rPr>
            <w:rFonts w:ascii="Times New Roman" w:hAnsi="Times New Roman" w:eastAsia="宋体"/>
            <w:color w:val="0000FF"/>
            <w:sz w:val="21"/>
            <w:u w:val="single"/>
          </w:rPr>
          <w:t>https://doi.org/10.1038/s41598-026-39993-4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我们推出基于混合金 (Au)、二硫化钼 (MoS2) 和石墨烯结构的高性能多层表面等离子共振 (SPR) 生物传感器，经过专门设计，可提供增强的折射率传感性能。 Au 层有利于有效的等离激元激发，MoS2 层最大限度地限制电磁场，而石墨烯单层则增强光与物质的相互作用和分子吸附。在 633 nm 波长下进行的模拟显示，磷酸盐缓冲盐水 (PBS) (FOM = 28.57，FWHM = 2.80°) 的灵敏度为 80.0°/RIU，蔗糖溶液的灵敏度为 80.0°/RIU (FOM = 37.74，FWHM = 2.12°)，血液样本的灵敏度为 78.6°/RIU (FOM = 29.87，FWHM = 2.63°），甘油为 80.7°/RIU（FOM = 36.19，FWHM = 2.23°），后者代表了本工作中实现的最佳性能。这些仿真结果超越了之前报道的一些设计，从而验证了所提出的传感器的改进的等离子体耦合和场定位能力。高灵敏度、稳定性和协同材料特性的结合使得 Au-MoS2-石墨烯配置成为需要超灵敏和快速性能的下一代生物传感和化学检测平台的有希望的候选者。 “这些结果表明在高灵敏度生物传感和化学检测应用中实现实验的巨大潜力”，这清楚地将模拟结果与其实际意义联系起来。</w:t>
      </w:r>
    </w:p>
    <w:p>
      <w:pPr>
        <w:spacing w:before="120"/>
      </w:pPr>
      <w:r>
        <w:rPr>
          <w:rFonts w:ascii="Times New Roman" w:hAnsi="Times New Roman" w:eastAsia="宋体"/>
          <w:b/>
          <w:sz w:val="21"/>
        </w:rPr>
        <w:t>English Abstract:</w:t>
      </w:r>
    </w:p>
    <w:p>
      <w:r>
        <w:rPr>
          <w:rFonts w:ascii="Times New Roman" w:hAnsi="Times New Roman" w:eastAsia="宋体"/>
          <w:sz w:val="21"/>
        </w:rPr>
        <w:t>We introduce and high-performance multilayer surface plasmon resonance (SPR) biosensor based on a hybrid gold (Au), molybdenum disulfide (MoS₂), and graphene structure, specifically engineered to deliver enhanced refractive index sensing performance. The Au layer facilitates efficient plasmon excitation, the MoS₂ layer maximizes electromagnetic field confinement, and the graphene monolayer enhances both light–matter interaction and molecular adsorption. Simulations conducted at a wavelength of 633 nm reveal high sensitivities of 80.0°/RIU for phosphate-buffered saline (PBS) (FOM = 28.57, FWHM = 2.80°), 80.0°/RIU for sucrose solution (FOM = 37.74, FWHM = 2.12°), 78.6°/RIU for blood samples (FOM = 29.87, FWHM = 2.63°), and 80.7°/RIU for glycerol (FOM = 36.19, FWHM = 2.23°), with the latter representing the best performance achieved in this work. These simulation outcomes surpass some previously reported designs, thereby validating the improved plasmonic coupling and field localization capabilities of the proposed sensor. The combination of high sensitivity, stability, and synergistic material properties makes the Au–MoS₂–graphene configuration a promising candidate for next-generation biosensing and chemical detection platforms demanding ultra-sensitive and rapid performance. “These results indicate strong potential for experimental realization in high-sensitivity biosensing and chemical detection applications,” which clearly links the simulation outcomes to their practical implications.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用于轻质智能结构的碳纳米管注入生物基混合复合材料的性能和决策框架</w:t>
      </w:r>
    </w:p>
    <w:p>
      <w:r>
        <w:rPr>
          <w:rFonts w:ascii="Times New Roman" w:hAnsi="Times New Roman" w:eastAsia="宋体"/>
          <w:b/>
          <w:color w:val="003264"/>
          <w:sz w:val="24"/>
        </w:rPr>
        <w:t>Performances and decision framework of CNT-infused bio-based hybrid composites for lightweight smart structures</w:t>
      </w:r>
    </w:p>
    <w:p>
      <w:r>
        <w:rPr>
          <w:rFonts w:ascii="Times New Roman" w:hAnsi="Times New Roman" w:eastAsia="宋体"/>
          <w:sz w:val="21"/>
        </w:rPr>
        <w:t>作者: Santosh Kumar, Vijay Kumar Mahakur, Durgesh Kumar Mishra, Nitish Kumar, Nagesh K. Chougule</w:t>
        <w:br/>
      </w:r>
      <w:r>
        <w:rPr>
          <w:rFonts w:ascii="Times New Roman" w:hAnsi="Times New Roman" w:eastAsia="宋体"/>
          <w:sz w:val="21"/>
        </w:rPr>
        <w:t xml:space="preserve">时间: 2026-02-12 | </w:t>
      </w:r>
      <w:r>
        <w:t xml:space="preserve">链接: </w:t>
      </w:r>
      <w:hyperlink r:id="rId29">
        <w:r>
          <w:rPr>
            <w:rFonts w:ascii="Times New Roman" w:hAnsi="Times New Roman" w:eastAsia="宋体"/>
            <w:color w:val="0000FF"/>
            <w:sz w:val="21"/>
            <w:u w:val="single"/>
          </w:rPr>
          <w:t>https://doi.org/10.1038/s41598-026-39717-8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采用可持续材料开发轻质结构，因其具有成本效益、丰富的可用性、可生物降解性和减少的碳排放，成为不可再生传统材料的合适替代品。然而，这些生物基复合材料的中等强度-刚度和韧性对于承载结构应用来说并不占主导地位。因此，碳纳米管纳米颗粒的加入发挥了至关重要的作用，不仅提高了抗断裂性，而且还提高了界面性能，具有更大的强度和刚度。这项研究预计通过将纳米级（0-6％）的碳纳米管与不同堆叠排列的香蕉菠​​萝层压纤维一起注入，开发轻质可持续混合结构。碳纳米管的 XRD 和 FTIR 特征显示出更好的结晶度，具有均匀的分散和拉伸机制。 TEM和FESEM分析表明，CNTs纳米粒子呈球形，具有放大的表面界面面积，与环氧树脂基体有很强的粘合力。结果分析，3％CNT注入BPBP和BBPP杂化复合材料表现出最大拉伸强度（229.94 MPa）、弯曲强度（190.78 MPa）、界面剪切强度（41.51 MPa）、冲击强度（52.39 kJ/m 2 ）和能量吸收（9.95 J）性能，其中拉伸强度（36.2％和75.4％）、弯曲强度更高。与非混合复合材料（BBBB 和 PPPP）相比，分别具有强度（39.3% 和 120%）、剪切强度（125% 和 380%）、冲击强度（59.5% 和 113%）和能量吸收（41.2% 和 84.6%）。 C 扫描图像、超声波图案和形态分析还表明，注入 3% CNT 的环氧树脂基质均匀分散在纤维层之间，从而在较高的穿透和冲击载荷过程中控制损坏和分层。最后，为了在制备的混合复合材料结构中选择最佳配置，还执行了一种基于 Schweizer-Sklar 技术的新颖模糊策略。</w:t>
      </w:r>
    </w:p>
    <w:p>
      <w:pPr>
        <w:spacing w:before="120"/>
      </w:pPr>
      <w:r>
        <w:rPr>
          <w:rFonts w:ascii="Times New Roman" w:hAnsi="Times New Roman" w:eastAsia="宋体"/>
          <w:b/>
          <w:sz w:val="21"/>
        </w:rPr>
        <w:t>English Abstract:</w:t>
      </w:r>
    </w:p>
    <w:p>
      <w:r>
        <w:rPr>
          <w:rFonts w:ascii="Times New Roman" w:hAnsi="Times New Roman" w:eastAsia="宋体"/>
          <w:sz w:val="21"/>
        </w:rPr>
        <w:t>Abstract Development of lightweight structures with sustainable materials created a suitable substitute to non-renewable traditional materials due to its cost-effective, abundant availability, biodegradability, and reduced carbon emissions. However, moderate strength-stiffness and toughness of these biobased composites are not predominant for load bearing structural applications. Thus, inclusion of CNTs nanoparticles played a vital role that not only improved fracture resistance but also increased the interfacial properties with greater strength and stiffness. This study projected to develop lightweighted sustainable hybrid structures by infusing CNTs at nano level (0–6%) with banana-pineapple laminated fibers at different stacking arrangements. XRD and FTIR characteristics of CNTs showed better crystallinity with uniform dispersion and stretching mechanisms. TEM and FESEM analysis showed that CNTs nanoparticles are spherical in shape with a magnified surface interfacial area that greatly adhesive with epoxy matrix. The results analyzed that 3% CNTs infused BPBP and BBPP hybrid composites showed maximum tensile strength (229.94 MPa), flexural strength (190.78 MPa), interfacial shear strength (41.51 MPa), impact strength (52.39 kJ/m 2 ), and energy absorbing (9.95 J) properties which is higher tensile strength (36.2% &amp; 75.4%), flexural strength (39.3% &amp; 120%), shear strength (125% &amp; 380%), impact strength (59.5% &amp; 113%), and energy absorbing (41.2% &amp; 84.6%) as compared to non-hybrid composites (BBBB &amp; PPPP) respectively. The C-scan images, ultrasonic wave patterns, and morphology analysis also revealed that 3% CNTs infused epoxy matrix are dispersed homogeneously between the fiber layers that controlled the damages and delamination during higher penetration and impact load. Finally, in order to choose the best configuration among the prepared hybrid composite structures, a novel fuzzy strategy based on Schweizer-Sklar techniques was also executed.</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用于空气质量指数预测的集成学习：将梯度提升、XGBoost 和堆叠与基于 SHAP 的可解释性相结合</w:t>
      </w:r>
    </w:p>
    <w:p>
      <w:r>
        <w:rPr>
          <w:rFonts w:ascii="Times New Roman" w:hAnsi="Times New Roman" w:eastAsia="宋体"/>
          <w:b/>
          <w:color w:val="003264"/>
          <w:sz w:val="24"/>
        </w:rPr>
        <w:t>Ensemble learning for air quality index prediction: integrating gradient boosting, XGBoost, and stacking with SHAP-based interpretability</w:t>
      </w:r>
    </w:p>
    <w:p>
      <w:r>
        <w:rPr>
          <w:rFonts w:ascii="Times New Roman" w:hAnsi="Times New Roman" w:eastAsia="宋体"/>
          <w:sz w:val="21"/>
        </w:rPr>
        <w:t>作者: Sukhendra Singh, Manoj Kumar, Vishal Sengar, Abhay Kumar, Kumar Abhishek, B. M. Ahamed Shafeeq</w:t>
        <w:br/>
      </w:r>
      <w:r>
        <w:rPr>
          <w:rFonts w:ascii="Times New Roman" w:hAnsi="Times New Roman" w:eastAsia="宋体"/>
          <w:sz w:val="21"/>
        </w:rPr>
        <w:t xml:space="preserve">时间: 2026-02-12 | </w:t>
      </w:r>
      <w:r>
        <w:t xml:space="preserve">链接: </w:t>
      </w:r>
      <w:hyperlink r:id="rId30">
        <w:r>
          <w:rPr>
            <w:rFonts w:ascii="Times New Roman" w:hAnsi="Times New Roman" w:eastAsia="宋体"/>
            <w:color w:val="0000FF"/>
            <w:sz w:val="21"/>
            <w:u w:val="single"/>
          </w:rPr>
          <w:t>https://doi.org/10.1038/s41598-026-39232-w</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城市空气污染日益严峻的挑战需要智能方法来做出正确的预测和管理问题。尽管机器学习和深度学习模型对天气和污染预报做出了巨大贡献，但主要问题是实时灵活性和不同大气条件下的可扩展性。本文介绍了一种加权投票集成模型，该模型结合了 Gradient Boosting ( $$\times$$ 4)、CatBoost ( $$\times$$ 3)、XGBoost ( $$\times$$ 2) 和 LightGBM ( $$\times$$ 1) 来提高空气质量指数 (AQI) 预测的准确性。采用完整的预处理（完整案例删除，保留极值）和超参数优化（GridSearchCV/Optuna，5倍CV）来增强模型的鲁棒性和泛化性。台湾空气质量数据集（2016-2024年，74个站的$$n=4.6M$$每小时记录）、6种主要污染物（PM2.5、PM10、$$\hbox {NO}_2$$、$$\hbox {O}_3$$、$$\hbox {SO}_2$$、CO）、气象参数（风速/风向）和8小时平均值）为用于对数据进行建模（排除空间/时间 ID，以允许部署到单个站点）。 60/16/24 分割的实验验证（随机 + 时间验证）表明，该集成的验证 MSE 0.6553 ( $$\hbox {R}^2$$ 0.9969 )，击败了包括深度学习 (LSTM MSE 45.4) 在内的 15 个基线，但具有时间鲁棒性 ( $$\Delta$$ $$\hbox {R}^2$$ = − 0.0037）。此外，SHAP 的实施是为了提供可解释性，因为它可以更深入地了解特征在预测 AQI 中的贡献。结果表明，可解释的集成学习系统有望支持可持续的城市生活，加强社区健康计划，并允许及时采取干预措施管理空气质量。</w:t>
      </w:r>
    </w:p>
    <w:p>
      <w:pPr>
        <w:spacing w:before="120"/>
      </w:pPr>
      <w:r>
        <w:rPr>
          <w:rFonts w:ascii="Times New Roman" w:hAnsi="Times New Roman" w:eastAsia="宋体"/>
          <w:b/>
          <w:sz w:val="21"/>
        </w:rPr>
        <w:t>English Abstract:</w:t>
      </w:r>
    </w:p>
    <w:p>
      <w:r>
        <w:rPr>
          <w:rFonts w:ascii="Times New Roman" w:hAnsi="Times New Roman" w:eastAsia="宋体"/>
          <w:sz w:val="21"/>
        </w:rPr>
        <w:t>Abstract The increasing challenge of air pollution in cities requires smart methods to make proper predictions and manage the problem. Although machine learning and deep learning models have contributed greatly to weather and pollution forecasting, the main issue is the real-time flexibility, and scalability in the varying atmospheric conditions. This paper introduces a weighted Voting ensemble model that combines Gradient Boosting ( $$\times$$ 4), CatBoost ( $$\times$$ 3), XGBoost ( $$\times$$ 2) and LightGBM ( $$\times$$ 1) to improve the accuracy of Air Quality Index (AQI) forecasting. The full preprocessing (complete-case deletion, which retains extremes) and optimization of hyperparameters (GridSearchCV/Optuna, 5-fold CV) were used to enhance the robustness and generalizability of the model. The Taiwan Air Quality Dataset (2016–2024, $$n=4.6M$$ hourly records from 74 stations), 6 major pollutants (PM2.5, PM10, $$\hbox {NO}_2$$ , $$\hbox {O}_3$$ , $$\hbox {SO}_2$$ , CO), meteorological parameters (wind speed/direction), and 8-h averages) is used to model the data (spatial/temporal IDs are excluded, to allow deployment to a single station). Experimental validation of 60/16/24 splits (random + temporal validation) shows that the ensemble has validation MSE 0.6553 ( $$\hbox {R}^2$$ 0.9969 ), which beats 15 baselines including the deep learning (LSTM MSE 45.4), but has temporal robustness ( $$\Delta$$ $$\hbox {R}^2$$ = − 0.0037). Moreover, SHAP is implemented to offer explainability, as it gives more insights into the contribution of features in predicting AQI. The results indicate the promise of interpretable ensemble learning systems to underpin sustainable urban living, reinforce community health programs, and allow interventions in managing air quality in time.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用于减少对映 Vivaldi 天线的宽带 RCS 的近零折射率非均匀超表面</w:t>
      </w:r>
    </w:p>
    <w:p>
      <w:r>
        <w:rPr>
          <w:rFonts w:ascii="Times New Roman" w:hAnsi="Times New Roman" w:eastAsia="宋体"/>
          <w:b/>
          <w:color w:val="003264"/>
          <w:sz w:val="24"/>
        </w:rPr>
        <w:t>A near zero refractive indexed non-uniform metasurface for broadband RCS reduction of an antipodal Vivaldi antenna</w:t>
      </w:r>
    </w:p>
    <w:p>
      <w:r>
        <w:rPr>
          <w:rFonts w:ascii="Times New Roman" w:hAnsi="Times New Roman" w:eastAsia="宋体"/>
          <w:sz w:val="21"/>
        </w:rPr>
        <w:t>作者: Priyanka Das, Surajit Kundu, Rajkishor Kumar</w:t>
        <w:br/>
      </w:r>
      <w:r>
        <w:rPr>
          <w:rFonts w:ascii="Times New Roman" w:hAnsi="Times New Roman" w:eastAsia="宋体"/>
          <w:sz w:val="21"/>
        </w:rPr>
        <w:t xml:space="preserve">时间: 2026-02-12 | </w:t>
      </w:r>
      <w:r>
        <w:t xml:space="preserve">链接: </w:t>
      </w:r>
      <w:hyperlink r:id="rId31">
        <w:r>
          <w:rPr>
            <w:rFonts w:ascii="Times New Roman" w:hAnsi="Times New Roman" w:eastAsia="宋体"/>
            <w:color w:val="0000FF"/>
            <w:sz w:val="21"/>
            <w:u w:val="single"/>
          </w:rPr>
          <w:t>https://doi.org/10.1038/s41598-026-37848-6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这项研究报告了基于非均匀超表面的偏振转换器的设计，其中单位单元的排列方式使同偏振和交叉偏振反射都最小化，从而减轻了雷达截面（RCS）。所提出的超表面已与对映 Vivaldi 天线集成，以促进其宽带 RCS 从 14 GHz 降低至 36 GHz。对于 x 偏振和 y 偏振入射波，在 84.6% 频率带宽上的最大单站 RCS 降低均为 30 dB。超表面天线的双基地角视图在 27 GHz 时为 70⁰。高双基地角视图确保超表面集成天线即使在入射或观察角度显着变化时也能表现出类似的电磁性能，如反射和辐射特性。所传达的具体属性是角度稳定性，它是指当入射角变化时结构保持其谐振频率和电磁特性（反射/透射/增益）的能力。即使传入或传出波的方向发生变化，天线的辐射和散射特性也几乎保持不变，因为超表面由具有亚波长尺寸的周期性晶胞组成，具有较高的角度稳定性。提出了基于偏振转换器的晶胞的等效电路模型，该晶胞表现出负介电常数和零折射率。天线的辐射特性不会因并入基于偏振转换器的超表面而受到不利影响。天线的峰值增益为9.3 dBi。制造的非均匀超表面和 Vivaldi 天线的测量结果与模拟结果非常吻合。</w:t>
      </w:r>
    </w:p>
    <w:p>
      <w:pPr>
        <w:spacing w:before="120"/>
      </w:pPr>
      <w:r>
        <w:rPr>
          <w:rFonts w:ascii="Times New Roman" w:hAnsi="Times New Roman" w:eastAsia="宋体"/>
          <w:b/>
          <w:sz w:val="21"/>
        </w:rPr>
        <w:t>English Abstract:</w:t>
      </w:r>
    </w:p>
    <w:p>
      <w:r>
        <w:rPr>
          <w:rFonts w:ascii="Times New Roman" w:hAnsi="Times New Roman" w:eastAsia="宋体"/>
          <w:sz w:val="21"/>
        </w:rPr>
        <w:t>This research reports the design of a polarization converter based non-uniform metasurface in which the unit cells have been arranged in such a manner that both co and cross polarized reflections are minimized which results in mitigation of radar cross-section (RCS). The propounded metasurface has been integrated with an antipodal Vivaldi antenna for facilitating it’s wideband RCS reduction from 14 to 36 GHz. Maximum monostatic RCS reduction across 84.6% frequency bandwidth is 30 dB for both x-polarized and y-polarized incident waves. Bistatic angular view of the antenna with metasurface is 70⁰ at 27 GHz. A high bistatic angular view ensures that the metasurface integrated antenna exhibits similar electromagnetic performance like reflection and radiation characteristics even when the incident or observation angle changes significantly. The specific property conveyed is angular stability, which refers to the ability of the structure to maintain its resonant frequency and electromagnetic characteristics (reflection/transmission/gain) when the incident angle varies. The antenna’s radiation and scattering characteristics remain nearly constant even when the direction of incoming or outgoing waves changes since the metasurface comprises periodic unit cells with sub-wavelength dimensions, which exhibit high angular stability. An equivalent circuit model has been proposed for the polarization converter-based unit cell which exhibits negative permittivity and zero refractive index. The radiation characteristics of the antenna are not affected adversely by the incorporation of the polarization converter based metasurface. Peak gain of the antenna is 9.3 dBi. Measured results of the fabricated non-uniform metasurface and Vivaldi antenna closely match the simulations.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定制激光等离子体加速中的电子束质量：可变等离子体密度几何形状下贝塞尔-高斯和高斯激光轮廓的比较研究</w:t>
      </w:r>
    </w:p>
    <w:p>
      <w:r>
        <w:rPr>
          <w:rFonts w:ascii="Times New Roman" w:hAnsi="Times New Roman" w:eastAsia="宋体"/>
          <w:b/>
          <w:color w:val="003264"/>
          <w:sz w:val="24"/>
        </w:rPr>
        <w:t>Tailoring electron bunch quality in laser-plasma acceleration: a comparative study of Bessel-Gaussian and Gaussian laser profiles under variable plasma density geometries</w:t>
      </w:r>
    </w:p>
    <w:p>
      <w:r>
        <w:rPr>
          <w:rFonts w:ascii="Times New Roman" w:hAnsi="Times New Roman" w:eastAsia="宋体"/>
          <w:sz w:val="21"/>
        </w:rPr>
        <w:t>作者: R. Khooniki, R. Fallah, S. M. Khorashadizadeh, A. R. Niknam</w:t>
        <w:br/>
      </w:r>
      <w:r>
        <w:rPr>
          <w:rFonts w:ascii="Times New Roman" w:hAnsi="Times New Roman" w:eastAsia="宋体"/>
          <w:sz w:val="21"/>
        </w:rPr>
        <w:t xml:space="preserve">时间: 2026-02-12 | </w:t>
      </w:r>
      <w:r>
        <w:t xml:space="preserve">链接: </w:t>
      </w:r>
      <w:hyperlink r:id="rId32">
        <w:r>
          <w:rPr>
            <w:rFonts w:ascii="Times New Roman" w:hAnsi="Times New Roman" w:eastAsia="宋体"/>
            <w:color w:val="0000FF"/>
            <w:sz w:val="21"/>
            <w:u w:val="single"/>
          </w:rPr>
          <w:t>https://doi.org/10.1038/s41598-026-39821-9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控制激光尾场加速（LWFA）中的电子注入和光束质量需要对驱动激光器结构和等离子体密度分布进行协调操纵。在这项工作中，进行了系统的细胞内颗粒（PIC）研究，以研究纵向等离子体密度定制（以高密度平台长度 $$L_{\text{high}}$$ 为特征）如何与激光脉冲整形相互作用，以调节电子注入和最终光束特性。使用多截面等离子体密度分布在严格相等的总激光能量条件下对高斯 (G) 和零阶贝塞尔-高斯 (BG) 激光脉冲进行比较。模拟表明 BG 脉冲促进延长和重复注入，从而在所有研究的 $$L_{\text{high}}$$ 值中产生更高的捕获电荷。这种增强伴随着光束负载的增加，这减少了有效加速场并限制了可达到的峰值能量。相比之下，G 脉冲有利于更局部的注入，捕获电荷更低，但峰值能量更高，光谱质量更高，特别是当高密度平台被移除时 ( $$L_{\text{high}} = 0$$ )。重要的是，$$L_{\text{high}}$$ 被认为是一个强大且实用的控制参数，用于调整两个激光驱动器的注入持续时间和平衡电荷-能量权衡。尽管注入动力学不同，但对于相同的等离子体配置，G 和 BG 脉冲之间没有观察到横向发射行为的根本差异。相反，发射度的演变是由注入电子的时间和空间定位控制的，由定制的密度几何形状控制。这些结果建立了一个以设计为导向的框架，其中适度的激光脉冲整形与纵向等离子体密度定制相结合，为优化 LWFA 中的光束参数提供了补充和实验上可访问的途径。</w:t>
      </w:r>
    </w:p>
    <w:p>
      <w:pPr>
        <w:spacing w:before="120"/>
      </w:pPr>
      <w:r>
        <w:rPr>
          <w:rFonts w:ascii="Times New Roman" w:hAnsi="Times New Roman" w:eastAsia="宋体"/>
          <w:b/>
          <w:sz w:val="21"/>
        </w:rPr>
        <w:t>English Abstract:</w:t>
      </w:r>
    </w:p>
    <w:p>
      <w:r>
        <w:rPr>
          <w:rFonts w:ascii="Times New Roman" w:hAnsi="Times New Roman" w:eastAsia="宋体"/>
          <w:sz w:val="21"/>
        </w:rPr>
        <w:t>Abstract Controlling electron injection and beam quality in laser wakefield acceleration (LWFA) requires coordinated manipulation of both the driving laser structure and the plasma density profile. In this work, a systematic particle-in-cell (PIC) study is performed to investigate how longitudinal plasma density tailoring, characterized by the high-density plateau length $$L_{\text{high}}$$ , interacts with laser pulse shaping to regulate electron injection and final beam properties. Gaussian (G) and zeroth-order Bessel–Gaussian (BG) laser pulses are compared under strictly equal total laser-energy conditions using multi-section plasma density profiles. The simulations show that BG pulses promote extended and repeated injection, resulting in higher trapped charge across all investigated values of $$L_{\text{high}}$$ . This enhancement is accompanied by increased beam loading, which reduces the effective accelerating field and limits the attainable peak energy. In contrast, G pulses favor more localized injection with lower trapped charge but higher peak energy and improved spectral quality, particularly when the high-density plateau is removed ( $$L_{\text{high}} = 0$$ ). Importantly, $$L_{\text{high}}$$ is identified as a robust and practical control parameter for tuning injection duration and balancing charge–energy trade-offs for both laser drivers. Despite the distinct injection dynamics, no fundamental differences in transverse emittance behavior are observed between G and BG pulses for identical plasma configurations. Instead, the emittance evolution is governed by the timing and spatial localization of injected electrons, as controlled by the tailored density geometry. These results establish a design-oriented framework in which moderate laser pulse shaping, combined with longitudinal plasma density tailoring, provides complementary and experimentally accessible pathways for optimizing beam parameters in LWFA.</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块状皮肤病病毒传入澳大利亚的进入途径的地理空间模型</w:t>
      </w:r>
    </w:p>
    <w:p>
      <w:r>
        <w:rPr>
          <w:rFonts w:ascii="Times New Roman" w:hAnsi="Times New Roman" w:eastAsia="宋体"/>
          <w:b/>
          <w:color w:val="003264"/>
          <w:sz w:val="24"/>
        </w:rPr>
        <w:t>A geospatial model of entry pathways of lumpy skin disease virus introduction into Australia</w:t>
      </w:r>
    </w:p>
    <w:p>
      <w:r>
        <w:rPr>
          <w:rFonts w:ascii="Times New Roman" w:hAnsi="Times New Roman" w:eastAsia="宋体"/>
          <w:sz w:val="21"/>
        </w:rPr>
        <w:t>作者: Kei Owada, Adam C. Castonguay, Robyn N. Hall, Rebecca K. Ambrose, Ben J. Hayes, Timothy J. Mahony, Ricardo J. Soares Magalhães</w:t>
        <w:br/>
      </w:r>
      <w:r>
        <w:rPr>
          <w:rFonts w:ascii="Times New Roman" w:hAnsi="Times New Roman" w:eastAsia="宋体"/>
          <w:sz w:val="21"/>
        </w:rPr>
        <w:t xml:space="preserve">时间: 2026-02-12 | </w:t>
      </w:r>
      <w:r>
        <w:t xml:space="preserve">链接: </w:t>
      </w:r>
      <w:hyperlink r:id="rId33">
        <w:r>
          <w:rPr>
            <w:rFonts w:ascii="Times New Roman" w:hAnsi="Times New Roman" w:eastAsia="宋体"/>
            <w:color w:val="0000FF"/>
            <w:sz w:val="21"/>
            <w:u w:val="single"/>
          </w:rPr>
          <w:t>https://doi.org/10.1038/s41598-026-39806-8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块状皮肤病（LSD）是由节肢动物媒介机械性传播块状皮肤病病毒（LSDV）引起的牛类疾病。虽然澳大利亚从未报道过迷幻药，但这种疾病已经在亚洲传播，最近还扩展到印度尼西亚等邻国。澳大利亚牛体内检出LSD可能会导致贸易限制，导致澳大利亚养牛业遭受严重经济损失。需要地理空间决策支持工具来通过识别更容易受到 LSDV 影响的区域来支持边境和边境后监测工作。之前的风险评估计算出，在评估了四种进入途径后，引入澳大利亚的总体风险可以忽略不计至非常低，包括节肢动物媒介的风传播、携带搭便车节肢动物媒介的商船（不包括活体出口船）、携带搭便车节肢动物媒介的回国活体出口船以及导致搭便车节肢动物媒介运输的托雷斯海峡条约地区的运动。然而，由于许多模型参数缺乏可靠的经验数据，这些研究还报告了非常高的不确定性，并且仅描述了每个路径作为一个整体的风险，而不是描述风险的空间变化。本研究旨在开发一种新颖的综合地理空间模型，用于模拟携带 LSDV 的媒介通过两种不同的进入途径进入澳大利亚的可能性：通过航道运输媒介和通过强风流长距离携带媒介。该模型用于独立探索进入澳大利亚的 LSDV 携带媒介适宜性的空间变化，并结合起来确定适宜性最高的地理区域。此外，该研究还结合了物种分布模型和邻国当前牛LSD病例数据，以更好地模拟目前LSD对牲畜的适用性，这在之前的风险评估中并未包含在内。路径一显示，与澳大利亚其他地区相比，黑德兰港和丹皮尔的港口最适合携带 LSDV 的媒介进入澳大利亚。路径二在昆士兰远北地区表现出最高的相对适宜性，适宜性延伸至南纬 25 度。此外，夏季月份，病媒被风带进入澳大利亚的可能性最高。结合这两条路径的模型强调，与澳大利亚其他地区相比，远北昆士兰州北端和西澳大利亚黑德兰港周围的地区最适合携带 LSDV 的媒介进入澳大利亚。这些发现可能有助于未来对成功入侵事件后 LSDV 在澳大利亚牛群中的暴露和传播进行建模，这可能有助于指导地方当局规划综合监测活动并确定优先顺序。</w:t>
      </w:r>
    </w:p>
    <w:p>
      <w:pPr>
        <w:spacing w:before="120"/>
      </w:pPr>
      <w:r>
        <w:rPr>
          <w:rFonts w:ascii="Times New Roman" w:hAnsi="Times New Roman" w:eastAsia="宋体"/>
          <w:b/>
          <w:sz w:val="21"/>
        </w:rPr>
        <w:t>English Abstract:</w:t>
      </w:r>
    </w:p>
    <w:p>
      <w:r>
        <w:rPr>
          <w:rFonts w:ascii="Times New Roman" w:hAnsi="Times New Roman" w:eastAsia="宋体"/>
          <w:sz w:val="21"/>
        </w:rPr>
        <w:t>Lumpy skin disease (LSD) is a disease of bovines resulting from the mechanical transmission of lumpy skin disease virus (LSDV) by arthropod vectors. While LSD has never been reported in Australia, the disease has spread through Asia and recently expanded to neighbouring countries such as Indonesia. The detection of LSD in Australian cattle would likely lead to trade restrictions, resulting in Australian cattle industries experiencing severe economic losses. There is a need for geospatial decision support tools to support border and post border surveillance efforts through the identification of areas which would be more vulnerable to a LSDV introduction. Previous risk assessments have calculated that overall risk of introduction into Australia is negligible to very low after evaluating four entry pathways, including windborne dispersal of arthropod vectors, commercial vessels carrying hitchhiker arthropod vectors (excluding live export vessels), returning live export vessels carrying hitchhiker arthropod vectors, and movements in Torres Strait Treaty area leading to the transport of hitchhiker arthropod vectors. However, the studies also reported very high uncertainty given a lack of robust empirical data for many of the model parameters and only described risk in terms of each pathway as a whole rather than describing spatial variation in risk. This study aimed to develop a novel integrated geospatial model for simulating the likelihood of LSDV-carrying vectors entering Australia via two different entry pathways: transport of vectors through shipping channels and vectors being carried long distances by strong wind currents. This model was used to explore the spatial variation in suitability for LSDV-carrying vectors entering Australia for each pathway independently and combined to identify geographical areas with the highest suitability. Furthermore, the study incorporated species distribution modelling and current bovine LSD case data in neighbouring countries to better model the current suitability of LSD in livestock, which were not included in the previous risk assessments. Pathway one showed the ports at Port Hedland and Dampier as having the highest suitability for LSDV-carrying vectors entering Australia compared to the rest of the country. Pathway two showed highest comparative suitability in Far North Queensland, with suitability extending as far as 25 degrees south. Furthermore, likelihood of vectors being carried by wind currents into Australia was highest in the summer months. A model combining both pathways highlighted areas along the northern tip of Far North Queensland and around Port Hedland in Western Australia as having the highest suitability for LSDV-carrying vectors entering Australia compared to the rest of the country. These findings may assist future modelling of exposure and spread of LSDV in the Australian bovine population following a successful incursion event, which may help guide local authorities with planning and prioritisation of integrated surveillance activities.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 SrFe12O19/NiO Z 型异质结降解太阳光驱动的有机污染物的机理和电化学研究</w:t>
      </w:r>
    </w:p>
    <w:p>
      <w:r>
        <w:rPr>
          <w:rFonts w:ascii="Times New Roman" w:hAnsi="Times New Roman" w:eastAsia="宋体"/>
          <w:b/>
          <w:color w:val="003264"/>
          <w:sz w:val="24"/>
        </w:rPr>
        <w:t>Mechanistic and electrochemical investigation of solar light driven organic pollutant degradation using SrFe12O19/NiO Z-scheme heterojunctions</w:t>
      </w:r>
    </w:p>
    <w:p>
      <w:r>
        <w:rPr>
          <w:rFonts w:ascii="Times New Roman" w:hAnsi="Times New Roman" w:eastAsia="宋体"/>
          <w:sz w:val="21"/>
        </w:rPr>
        <w:t>作者: Rasmirekha Pattanaik, Rishabh Kamal, Debapriya Pradhan, Suresh Kumar Dash</w:t>
        <w:br/>
      </w:r>
      <w:r>
        <w:rPr>
          <w:rFonts w:ascii="Times New Roman" w:hAnsi="Times New Roman" w:eastAsia="宋体"/>
          <w:sz w:val="21"/>
        </w:rPr>
        <w:t xml:space="preserve">时间: 2026-02-12 | </w:t>
      </w:r>
      <w:r>
        <w:t xml:space="preserve">链接: </w:t>
      </w:r>
      <w:hyperlink r:id="rId34">
        <w:r>
          <w:rPr>
            <w:rFonts w:ascii="Times New Roman" w:hAnsi="Times New Roman" w:eastAsia="宋体"/>
            <w:color w:val="0000FF"/>
            <w:sz w:val="21"/>
            <w:u w:val="single"/>
          </w:rPr>
          <w:t>https://doi.org/10.1038/s41598-026-39997-0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本研究旨在探索一种新颖且简单的基于沉淀的合成方法来制造 NiO/SrFe12O19 p-n 异质结纳米复合光催化剂。采用多种表征技术来评估材料的性能：用于官能团的 FTIR、用于形态的 SEM、用于元素组成的 EDX、用于带隙能量的 UV-DRS、用于电荷转移电阻的 EIS、用于复合研究的 PL、用于表面化学状态的 XPS 以及用于结晶相的 XRD。这项工作研究了纳米复合材料在太阳光照射下去除罗丹明 B (RhB)（阳离子）染料和布洛芬药物的光催化活性和可重复使用性。为了确定理想的光降解条件，研究了催化剂负载量、溶液 pH 值、起始污染物浓度和搅拌时间等固有反应参数。在 pH 3.5 下负载量为 0.60 mg 的二元 NiO/SrFe12O19 催化剂在太阳光照射 100 分钟后破坏了 93% 的 60ppm RhB 染料。此外，对于布洛芬降解，在pH 7、催化剂剂量0.75 mg、污染物浓度10 ppm、照射时间120 min的条件下，复合材料在太阳光下表现出75%的去除效率。此外，该复合催化剂表现出优异的化学稳定性和可重复使用性，在四次回收运行后去除了 60% 的 RhB 染料和 41% 的布洛芬。清除剂测试表明，光生空穴 (h+) 和超氧自由基 (·O2) 是导致降解的主要活性物质。这项研究提供了有关创建用于去除废水中染料的高效纳米材料的信息，以及可能的反应机制。</w:t>
      </w:r>
    </w:p>
    <w:p>
      <w:pPr>
        <w:spacing w:before="120"/>
      </w:pPr>
      <w:r>
        <w:rPr>
          <w:rFonts w:ascii="Times New Roman" w:hAnsi="Times New Roman" w:eastAsia="宋体"/>
          <w:b/>
          <w:sz w:val="21"/>
        </w:rPr>
        <w:t>English Abstract:</w:t>
      </w:r>
    </w:p>
    <w:p>
      <w:r>
        <w:rPr>
          <w:rFonts w:ascii="Times New Roman" w:hAnsi="Times New Roman" w:eastAsia="宋体"/>
          <w:sz w:val="21"/>
        </w:rPr>
        <w:t>This research aimed to explore a novel and straightforward precipitation-based synthesis method for fabricating a NiO/ SrFe12O19 p–n heterojunction nanocomposite photocatalyst. Several characterization techniques were employed for evaluating the materials’ properties: FTIR for functional groups, SEM for morphology, EDX for elemental composition, UV-DRS for bandgap energy, and EIS for charge transfer resistance, PL for recombination studies, XPS for surface chemical states, and XRD for crystalline phases. This work investigated the photocatalytic activity and reusability of the nanocomposite for the removal of rhodamine B (RhB) (cationic) dye and ibuprofen drug under solar light irradiation. To determine the ideal photodegradation conditions, intrinsic reaction parameters such as catalyst loading, solution pH, and beginning pollutant concentration and agitation of time were investigated. A binary NiO/SrFe12O19 catalyst with a 0.60 mg loading at pH 3.5 destroyed 93% of 60ppm RhB dye after 100 min of solar light irradiation. Furthermore, for ibuprofen degradation, at pH 7, catalyst dose 0.75 mg, pollutant concentration 10 ppm, and irradiation time 120 min, the composite showed 75% removal efficiency under solar light. Moreover, this composite catalyst demonstrated exceptional chemical stability and reusability, removing 60% of the RhB dye and 41% of ibuprofen after four recycling runs.Scavenger tests demonstrated that photogenerated holes (h+) and superoxide free radicals (·O2) are the primary reactive species causing degradation. This study gives information on the creation of highly effective nanomaterials for removing dyes from wastewater, as well as a possible reaction mechanism.</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通过频率特异性神经反馈对 β 波段肌电图一致性进行意志调节</w:t>
      </w:r>
    </w:p>
    <w:p>
      <w:r>
        <w:rPr>
          <w:rFonts w:ascii="Times New Roman" w:hAnsi="Times New Roman" w:eastAsia="宋体"/>
          <w:b/>
          <w:color w:val="003264"/>
          <w:sz w:val="24"/>
        </w:rPr>
        <w:t>Volitional modulation of beta-band EMG coherence through frequency-specific neurofeedback</w:t>
      </w:r>
    </w:p>
    <w:p>
      <w:r>
        <w:rPr>
          <w:rFonts w:ascii="Times New Roman" w:hAnsi="Times New Roman" w:eastAsia="宋体"/>
          <w:sz w:val="21"/>
        </w:rPr>
        <w:t>作者: Ippei Nojima, Yuki Horiuchi, Akira Yaguchi-Horiuchi, Toshiaki Tsuji, Hoshinori Kanazawa, Eiji Yamanaka</w:t>
        <w:br/>
      </w:r>
      <w:r>
        <w:rPr>
          <w:rFonts w:ascii="Times New Roman" w:hAnsi="Times New Roman" w:eastAsia="宋体"/>
          <w:sz w:val="21"/>
        </w:rPr>
        <w:t xml:space="preserve">时间: 2026-02-12 | </w:t>
      </w:r>
      <w:r>
        <w:t xml:space="preserve">链接: </w:t>
      </w:r>
      <w:hyperlink r:id="rId60">
        <w:r>
          <w:rPr>
            <w:rFonts w:ascii="Times New Roman" w:hAnsi="Times New Roman" w:eastAsia="宋体"/>
            <w:color w:val="0000FF"/>
            <w:sz w:val="21"/>
            <w:u w:val="single"/>
          </w:rPr>
          <w:t>https://doi.org/10.1038/s41598-026-38064-y</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肌电图 (EMG) 反馈可记录并直观地呈现肌肉活动，已被广泛用于增强运动控制和支持康复。虽然其有效性已在各种条件下得到证明，但大多数肌电图反馈方案都侧重于调节单个肌肉的活动，而对促进协调神经肌肉控制的重视有限。本研究调查了通过旨在增加 β 频段（15-35 Hz）肌肉内一致性的反馈训练来增强神经肌肉协调性的可行性。 22 名健康参与者被随机分为两组：真实组，接收基于 β 带一致性的视觉反馈；假组，接收来自伪肌电图信号（使用随机时间序列噪声记录肌电图）的反馈。两组都在五天内完成了背屈练习。线性混合效应模型显示，与假手术组相比，真实组的β带一致性显着增加，证明了反馈训练在调节神经同步方面的功效。然而，没有观察到运动表现的显着改善，并且感知的连贯性可控性与实际的生理变化不相关。各组之间的精神疲劳仍然相似，表明训练的认知负担较低。这些发现强调了频率特异性肌电图一致性反馈作为一种新型神经调节方法的潜力，同时强调需要进一步改进以实现功能改善并扩大其临床效用。</w:t>
      </w:r>
    </w:p>
    <w:p>
      <w:pPr>
        <w:spacing w:before="120"/>
      </w:pPr>
      <w:r>
        <w:rPr>
          <w:rFonts w:ascii="Times New Roman" w:hAnsi="Times New Roman" w:eastAsia="宋体"/>
          <w:b/>
          <w:sz w:val="21"/>
        </w:rPr>
        <w:t>English Abstract:</w:t>
      </w:r>
    </w:p>
    <w:p>
      <w:r>
        <w:rPr>
          <w:rFonts w:ascii="Times New Roman" w:hAnsi="Times New Roman" w:eastAsia="宋体"/>
          <w:sz w:val="21"/>
        </w:rPr>
        <w:t>Electromyography (EMG) feedback, which records and visually presents muscle activity, has been widely employed to enhance motor control and support rehabilitation. While its effectiveness has been demonstrated across various conditions, most EMG feedback protocols have focused on modulating activity in individual muscles, with limited emphasis on promoting coordinated neuromuscular control. This study investigated the feasibility of enhancing neuromuscular coordination through feedback training designed to increase beta band (15–35 Hz) intramuscular coherence. Twenty-two healthy participants were randomized into two groups: a Real group, receiving visual feedback based on beta-band coherence, and a Sham group, receiving feedback derived from pseudo-EMG signals (recorded EMG with randomized time-series noise). Both groups completed dorsiflexion exercises over five days. Linear mixed-effects modeling revealed a significant increase in beta-band coherence in the Real group compared to the Sham group, demonstrating the efficacy of feedback training in modulating neural synchronization. However, no significant improvements in motor performance were observed, and perceived controllability of coherence did not correlate with actual physiological changes. Mental fatigue remained similar between groups, suggesting low cognitive burden from the training. These findings underscore the potential of frequency-specific EMG coherence feedback as a novel neuromodulation approach, while highlighting the need for further refinement to achieve functional improvements and expand its clinical utility.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Tinshemet 洞穴烧焦燧石使用磨损持久性的实验和考古评估</w:t>
      </w:r>
    </w:p>
    <w:p>
      <w:r>
        <w:rPr>
          <w:rFonts w:ascii="Times New Roman" w:hAnsi="Times New Roman" w:eastAsia="宋体"/>
          <w:b/>
          <w:color w:val="003264"/>
          <w:sz w:val="24"/>
        </w:rPr>
        <w:t>Experimental and archaeological assessment of use-wear persistence on burnt flint from Tinshemet Cave</w:t>
      </w:r>
    </w:p>
    <w:p>
      <w:r>
        <w:rPr>
          <w:rFonts w:ascii="Times New Roman" w:hAnsi="Times New Roman" w:eastAsia="宋体"/>
          <w:sz w:val="21"/>
        </w:rPr>
        <w:t>作者: Alice Rodriguez, Natasha Solodenko, Sapir Ben Haim, Yossi Zaidner</w:t>
        <w:br/>
      </w:r>
      <w:r>
        <w:rPr>
          <w:rFonts w:ascii="Times New Roman" w:hAnsi="Times New Roman" w:eastAsia="宋体"/>
          <w:sz w:val="21"/>
        </w:rPr>
        <w:t xml:space="preserve">时间: 2026-02-12 | </w:t>
      </w:r>
      <w:r>
        <w:t xml:space="preserve">链接: </w:t>
      </w:r>
      <w:hyperlink r:id="rId61">
        <w:r>
          <w:rPr>
            <w:rFonts w:ascii="Times New Roman" w:hAnsi="Times New Roman" w:eastAsia="宋体"/>
            <w:color w:val="0000FF"/>
            <w:sz w:val="21"/>
            <w:u w:val="single"/>
          </w:rPr>
          <w:t>https://doi.org/10.1038/s41598-026-36985-2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火在人类进化和遗址形成中发挥着核心作用，但它对微观使用磨损保存的影响仍然知之甚少。由于加热会改变燧石的表面结构，因此烧焦的文物通常被排除在功能研究之外，从而限制了对锡谢梅特洞穴（以色列）等火灾频繁地点的行为解释，那里近 40% 的石器组合显示出热蚀变。这项研究评估了加热如何影响燧石表面粗糙度，以及是否仍然可以在烧焦的文物上识别出功能痕迹。用于骨头、木材、肉类和赭石的实验薄片在受控火力条件下加热。使用 3D 共焦轮廓测量法测量燃烧前后的表面纹理，并通过配对统计和混合效应模型进行分析。将来自 Tinshemet Cave 的烧焦薄片与实验参考数据集进行了比较。燃烧显着增加了垂直粗糙度（Sv、Sz）并改变了形状参数（Ssk、Sku），而空间参数（Str、Sdr、Sal）基本保持稳定。这项研究的结果表明，热蚀变会发生变化，但不会消除使用磨损，这表明当考虑参数特定效应时，加热燧石的定量功能分析是可行的。此外，在实验火灾中，故意埋藏在不同深度的薄片没有表现出宏观或微观的损坏，而只有表面暴露的薄片显示出热蚀变，这表明即使很薄的沉积物层也可以保护燧石。</w:t>
      </w:r>
    </w:p>
    <w:p>
      <w:pPr>
        <w:spacing w:before="120"/>
      </w:pPr>
      <w:r>
        <w:rPr>
          <w:rFonts w:ascii="Times New Roman" w:hAnsi="Times New Roman" w:eastAsia="宋体"/>
          <w:b/>
          <w:sz w:val="21"/>
        </w:rPr>
        <w:t>English Abstract:</w:t>
      </w:r>
    </w:p>
    <w:p>
      <w:r>
        <w:rPr>
          <w:rFonts w:ascii="Times New Roman" w:hAnsi="Times New Roman" w:eastAsia="宋体"/>
          <w:sz w:val="21"/>
        </w:rPr>
        <w:t>Fire plays a central role in human evolution and site formation, yet its impact on the preservation of microscopic use-wear remains poorly understood. Because heating can modify flint’s surface structure, burnt artefacts are often excluded from functional studies, limiting behavioral interpretations at fire-rich sites such as Tinshemet Cave (Israel), where nearly 40% of the lithic assemblage shows thermal alteration. This study evaluates how heating affects surface roughness on flint and whether functional traces can still be identified on burnt artefacts. Experimental flakes used on bone, wood, meat, and ochre were heated under controlled fire conditions. Surface textures were measured before and after burning using 3D confocal profilometry and analyzed through paired statistics and mixed-effects models. Burnt flakes from Tinshemet Cave were compared to the experimental reference dataset. Burning significantly increased vertical roughness (Sv, Sz) and altered shape parameters (Ssk, Sku), while spatial parameters (Str, Sdr, Sal) remained largely stable. The results of this study indicate that thermal alteration transforms but does not obliterate use-wear, suggesting that quantitative functional analysis of heateed flints is feasible when parameter-specific effects are considered. Additionally, in experimental fires, flakes deliberately buried at varying depths showed no macroscopic or microscopic damage, whereas only surface-exposed flakes displayed thermal alteration, indicating that even thin sediment layers can protect flints.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准噶尔盆地盐湖卤水钾、溴地球化学特征及来源</w:t>
      </w:r>
    </w:p>
    <w:p>
      <w:r>
        <w:rPr>
          <w:rFonts w:ascii="Times New Roman" w:hAnsi="Times New Roman" w:eastAsia="宋体"/>
          <w:b/>
          <w:color w:val="003264"/>
          <w:sz w:val="24"/>
        </w:rPr>
        <w:t>Geochemical characteristics and sources of potassium and bromine in Salt-Lake Brines of the Junggar Basin, China</w:t>
      </w:r>
    </w:p>
    <w:p>
      <w:r>
        <w:rPr>
          <w:rFonts w:ascii="Times New Roman" w:hAnsi="Times New Roman" w:eastAsia="宋体"/>
          <w:sz w:val="21"/>
        </w:rPr>
        <w:t>作者: Chuang Zhou, Zhen Yang, Xinyu Chen, Chenglin Liu, Xuan Cheng</w:t>
        <w:br/>
      </w:r>
      <w:r>
        <w:rPr>
          <w:rFonts w:ascii="Times New Roman" w:hAnsi="Times New Roman" w:eastAsia="宋体"/>
          <w:sz w:val="21"/>
        </w:rPr>
        <w:t xml:space="preserve">时间: 2026-02-12 | </w:t>
      </w:r>
      <w:r>
        <w:t xml:space="preserve">链接: </w:t>
      </w:r>
      <w:hyperlink r:id="rId62">
        <w:r>
          <w:rPr>
            <w:rFonts w:ascii="Times New Roman" w:hAnsi="Times New Roman" w:eastAsia="宋体"/>
            <w:color w:val="0000FF"/>
            <w:sz w:val="21"/>
            <w:u w:val="single"/>
          </w:rPr>
          <w:t>https://doi.org/10.1038/s41598-026-40111-7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准噶尔盆地是西北地区典型的内陆干旱盆地，其盐湖具有局部钾（K）和溴（Br）异常富集的特征，但控制这种地球化学现象的内在机制尚未得到很好的揭示。针对这一问题，我们系统分析了7个代表性盐湖的29个卤水样品，综合水化学组成、离子相关性、特征系数和构造背景，阐明了卤水水化学类型、演化过程以及K和Br的来源。结果表明，卤水以Na⁺-Cl⁻和Na⁺-SO2-4体系为主，可分为碳酸盐型、硫酸盐型（硫酸钠和硫酸镁亚型）和氯化物型，对应于不同的水化学演化阶段。在研究的盐湖中，大红盐湖的K-Br异常最为突出，K⁺最高浓度为13.48 g/L，Br⁻最高浓度为485 mg/L，远超区域背景值（K：~0.1~60 g/L；Br：&lt;0.1~1 mg/L）和工业利用阈值（K：&gt;5 g/L；Br：≥250~300）毫克/升）。水化学图（派珀图和吉布斯图）、比较水化学分析、区域构造演化、溴氯系数等多种证据共同表明，准噶尔盆地富钾溴盐湖中的钾和溴主要来源于古海水的演化。此外，这些富含溴化钾的卤水还吸收了周围山脉中含钾硅酸盐岩石风化的二次输入，以及盆地内小型蒸发岩沉积物局部溶解产生的卤水。</w:t>
      </w:r>
    </w:p>
    <w:p>
      <w:pPr>
        <w:spacing w:before="120"/>
      </w:pPr>
      <w:r>
        <w:rPr>
          <w:rFonts w:ascii="Times New Roman" w:hAnsi="Times New Roman" w:eastAsia="宋体"/>
          <w:b/>
          <w:sz w:val="21"/>
        </w:rPr>
        <w:t>English Abstract:</w:t>
      </w:r>
    </w:p>
    <w:p>
      <w:r>
        <w:rPr>
          <w:rFonts w:ascii="Times New Roman" w:hAnsi="Times New Roman" w:eastAsia="宋体"/>
          <w:sz w:val="21"/>
        </w:rPr>
        <w:t>Salt lakes in the Junggar Basin, a typical inland arid basin in northwestern China, are characterized by localized abnormal enrichment of potassium (K) and bromine (Br), but the intrinsic mechanisms controlling this geochemical phenomenon remain poorly constrained. To address this question, we systematically analyzed 29 brine samples collected from seven representative salt lakes, and integrated hydrochemical composition, ion correlation, characteristic coefficients, and tectonic background to elucidate brine hydrochemical types, evolutionary processes, and the sources of K and Br. The results indicate that the brines are dominated by Na⁺-Cl⁻ and Na⁺- SO2- 4 systems, and can be classified into carbonate-type, sulfate-type (sodium sulfate and magnesium sulfate subtypes), and chloride-type, which correspond to distinct stages of hydrochemical evolution. Among the studied salt lakes, Dahong Salt Lake displays the most prominent K-Br anomalies, with maximum concentrations of 13.48 g/L for K⁺ and 485 mg/L for Br⁻, far exceeding both regional background values (K:~0.1–60 g/L; Br: &lt;0.1-1 mg/L) and industrial utilization thresholds (K: &gt;5 g/L; Br: ≥250–300 mg/L). Multiple lines of evidence, including hydrochemical diagrams (Piper and Gibbs plots), comparative hydrochemical analysis, regional tectonic evolution, and bromine-chlorine coefficient, collectively indicate that potassium and bromine in the K-Br-enriched salt lakes of the Junggar Basin are primarily derived from the evolution of paleoseawater. In addition, these K-Br-enriched brines incorporate secondary inputs from weathering of K-bearing silicate rocks in surrounding mountain ranges and from brines generated by localized dissolution of minor evaporite deposits within the basin.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使用光学相干断层扫描和光学相干断层扫描血管造影早期检测无视网膜病变的糖尿病儿童的视网膜变化</w:t>
      </w:r>
    </w:p>
    <w:p>
      <w:r>
        <w:rPr>
          <w:rFonts w:ascii="Times New Roman" w:hAnsi="Times New Roman" w:eastAsia="宋体"/>
          <w:b/>
          <w:color w:val="003264"/>
          <w:sz w:val="24"/>
        </w:rPr>
        <w:t>Early detection of retinal changes in children with diabetes without retinopathy using optical coherence tomography and optical coherence tomography angiography</w:t>
      </w:r>
    </w:p>
    <w:p>
      <w:r>
        <w:rPr>
          <w:rFonts w:ascii="Times New Roman" w:hAnsi="Times New Roman" w:eastAsia="宋体"/>
          <w:sz w:val="21"/>
        </w:rPr>
        <w:t>作者: Chinnapat Montrisuksirikun, Jeerunda Santiprabhob, Ornsuda Lertbannaphong, Nopasak Phasukkijwatana, Piyaphat Jaruniphakul, Thammanoon Surachatkumtonekul, Pittaya Phamonvaechavan, Piangporn Saksiriwutto, Somanus Thoongsuwan, Supalert Prakhunhungsit, Nuttawut Rodanant, Ng Wei Loon, Sirawadee Wiriyaudomchart, Suthipol Udompunturak, La-ongsri Atchaneeyasakul</w:t>
        <w:br/>
      </w:r>
      <w:r>
        <w:rPr>
          <w:rFonts w:ascii="Times New Roman" w:hAnsi="Times New Roman" w:eastAsia="宋体"/>
          <w:sz w:val="21"/>
        </w:rPr>
        <w:t xml:space="preserve">时间: 2026-02-12 | </w:t>
      </w:r>
      <w:r>
        <w:t xml:space="preserve">链接: </w:t>
      </w:r>
      <w:hyperlink r:id="rId63">
        <w:r>
          <w:rPr>
            <w:rFonts w:ascii="Times New Roman" w:hAnsi="Times New Roman" w:eastAsia="宋体"/>
            <w:color w:val="0000FF"/>
            <w:sz w:val="21"/>
            <w:u w:val="single"/>
          </w:rPr>
          <w:t>https://doi.org/10.1038/s41598-025-31609-7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使用谱域光学相干断层扫描 (SD-OCT) 和光学相干断层扫描血管造影 (OCTA) 检测无糖尿病视网膜病变 (DR) 的糖尿病 (DM) 儿童和青少年的早期视网膜结构和微血管变化，并评估与血糖控制和疾病持续时间的关联。本研究是一项在三级转诊中心进行的单中心横断面观察研究。招募了 300 名 8-18 岁的参与者，其中包括 150 名 1 型或 2 型糖尿病患者和 150 名年龄和性别匹配的健康对照者。所有参与者均接受了全面的眼科评估，包括超广角眼底摄影、SD-OCT 和 OCTA。实验室评估包括血清肌酐和连续 HbA1c 测量，从中计算时间加权平均 HbA1c。记录并分析定量成像参数。定量成像参数包括通过 SD-OCT 测量的视网膜厚度、通过增强深度成像评估的黄斑中心凹下脉络膜厚度以及通过 OCTA 评估的浅层和深层毛细血管丛内的血管密度。分析了中心凹无血管区 (FAZ) 参数，包括 FAZ 面积、周长、无循环指数和 300 μm 宽环 (FD-300) 内的血管密度。主要结果是比较糖尿病组和对照组之间的眼部成像参数。次要结果涉及评估这些成像参数与临床变量之间的关联，包括糖尿病持续时间和血糖控制。 148 名糖尿病患者和 150 名健康对照者参与了分析。在糖尿病组中，所有患者均未表现出糖尿病视网膜病变的临床证据。糖尿病组中上象限（p = 0.02）、颞象限（p = 0.04）和鼻象限（p = 0.02）的中心凹视网膜厚度显着减少。糖尿病组的 FD-300 也较低（48.66 ± 3.57% vs. 49.76 ± 3.91%，p = 0.01）。亚组分析显示，糖尿病病程超过 5 年的患者 FD-300 降低幅度更大 (p &lt; 0.01)。此外，较长的糖尿病病程与 FD-300 值降低相关（r=-0.22，p = 0.007）。这项研究确定了儿童糖尿病患者的视网膜改变，包括中心凹厚度和 FD-300 降低。 FD-300 值降低与糖尿病持续时间延长之间的相关性凸显了其作为临床糖尿病视网膜病变发生之前的亚临床视网膜受累的非侵入性生物标志物的实用性。</w:t>
      </w:r>
    </w:p>
    <w:p>
      <w:pPr>
        <w:spacing w:before="120"/>
      </w:pPr>
      <w:r>
        <w:rPr>
          <w:rFonts w:ascii="Times New Roman" w:hAnsi="Times New Roman" w:eastAsia="宋体"/>
          <w:b/>
          <w:sz w:val="21"/>
        </w:rPr>
        <w:t>English Abstract:</w:t>
      </w:r>
    </w:p>
    <w:p>
      <w:r>
        <w:rPr>
          <w:rFonts w:ascii="Times New Roman" w:hAnsi="Times New Roman" w:eastAsia="宋体"/>
          <w:sz w:val="21"/>
        </w:rPr>
        <w:t>To detect early retinal structural and microvascular changes in children and adolescents with diabetes mellitus (DM) without diabetic retinopathy (DR) using spectral-domain optical coherence tomography (SD-OCT) and optical coherence tomography angiography (OCTA), and to evaluate associations with glycemic control and disease duration. This study is a single-center, cross-sectional observational study conducted at a tertiary referral center. Three hundred participants aged 8–18 years were enrolled, comprising 150 patients with type 1 or type 2 diabetes mellitus and 150 age- and sex-matched healthy controls. All participants underwent comprehensive ophthalmic evaluations, which included ultra-widefield fundus photography, SD-OCT, and OCTA. Laboratory assessments included serum creatinine and serial HbA1c measurements, from which a time-weighted average HbA1c was calculated. The quantitative imaging parameters were recorded and analyzed. Quantitative imaging parameters included retinal thickness measured by SD-OCT, subfoveal choroidal thickness assessed through enhanced depth imaging, and vessel density within the superficial and deep capillary plexuses evaluated by OCTA. Foveal avascular zone (FAZ) parameters, including FAZ area, perimeter, acircularity index, and vessel density within a 300 μm-wide annulus (FD-300), were analyzed. The primary outcome was to compare ocular imaging parameters between the diabetes and control groups. Secondary outcomes involved evaluating associations between these imaging parameters and clinical variables, including diabetes duration and glycemic control. 148 individuals with diabetes and 150 healthy controls were enrolled in the analysis. Within the diabetic group, All patients showed no clinical evidence of diabetic retinopathy. Parafoveal retinal thickness in the superior (p = 0.02), temporal (p = 0.04), and nasal (p = 0.02) quadrants was significantly reduced in the diabetes group. FD-300 was also lower in the diabetic group (48.66 ± 3.57% vs. 49.76 ± 3.91%, p = 0.01). Subgroup analysis revealed greater FD-300 reduction (p &lt; 0.01) in those with diabetes duration exceeding 5 years. Furthermore, longer duration of diabetes was associated with reduced FD-300 values (r=-0.22, p = 0.007).This study identified retinal alterations in pediatric diabetes patients, including reduced parafoveal thickness and FD-300. The correlation between decreased FD-300 values and longer diabetes duration highlights its utility as a non-invasive biomarker for subclinical retinal involvement that precedes the development of clinical diabetic retinopathy.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基于特征工程和遗传编程的粗骨料超高性能混凝土抗压强度概率计算公式</w:t>
      </w:r>
    </w:p>
    <w:p>
      <w:r>
        <w:rPr>
          <w:rFonts w:ascii="Times New Roman" w:hAnsi="Times New Roman" w:eastAsia="宋体"/>
          <w:b/>
          <w:color w:val="003264"/>
          <w:sz w:val="24"/>
        </w:rPr>
        <w:t>Probabilistic calculation formula for the compressive strength of ultra-high-performance concrete with coarse aggregate based on feature engineering and genetic programming</w:t>
      </w:r>
    </w:p>
    <w:p>
      <w:r>
        <w:rPr>
          <w:rFonts w:ascii="Times New Roman" w:hAnsi="Times New Roman" w:eastAsia="宋体"/>
          <w:sz w:val="21"/>
        </w:rPr>
        <w:t>作者: Ruiqi Guo, Jin Niu, Dengguo Li, Yu Jin, Hui Li, Jisen Shi, Xiaopeng Wu, Zixiao Wang, Yan Yuan</w:t>
        <w:br/>
      </w:r>
      <w:r>
        <w:rPr>
          <w:rFonts w:ascii="Times New Roman" w:hAnsi="Times New Roman" w:eastAsia="宋体"/>
          <w:sz w:val="21"/>
        </w:rPr>
        <w:t xml:space="preserve">时间: 2026-02-12 | </w:t>
      </w:r>
      <w:r>
        <w:t xml:space="preserve">链接: </w:t>
      </w:r>
      <w:hyperlink r:id="rId64">
        <w:r>
          <w:rPr>
            <w:rFonts w:ascii="Times New Roman" w:hAnsi="Times New Roman" w:eastAsia="宋体"/>
            <w:color w:val="0000FF"/>
            <w:sz w:val="21"/>
            <w:u w:val="single"/>
          </w:rPr>
          <w:t>https://doi.org/10.1038/s41598-026-38878-w</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粗骨料超高性能混凝土（UHPC-CA）因其优越的性能而具有广阔的应用前景。然而，目前还没有成熟的公式或模型从抗压强度控制的角度指导其配合比设计。在本研究中，通过标准抗压强度测试建立了数据集。采用特征选择方法来降低数据维数并选择控制抗压强度的关键因素（从粗骨料含量、最大粒径、最小粒径、骨料类型和钢纤维体积分数中选择）。使用遗传编程开发了由选定因素控制的确定性预测公式。然后应用贝叶斯参数回归来构建概率模型，使用确定性公式作为先验。这种建模方法使预测模型能够同时实现准确性、简单性和可解释性，同时还具有处理不确定性的能力。此外，它还提供了一个建模框架，可以重复地应用于类似材料的其他研究。在验证了确定性和概率性计算公式的准确性后，研究进一步分析了UHPC-CA抗压强度关键因素之间的交互作用及其对预测结果不确定性的影响。粗骨料含量对抗压强度的影响可以用指数函数来描述，或者在研究范围内近似为线性函数。钢纤维体积分数对抗压强度的影响较为复杂，呈现线性和指数趋势相结合的趋势，反映出随着钢纤维含量的增加，抗压强度先快速增加，然后逐渐增加。此外，UHPC-CA 较高的预测抗压强度与较大的嵌入不确定性相关。</w:t>
      </w:r>
    </w:p>
    <w:p>
      <w:pPr>
        <w:spacing w:before="120"/>
      </w:pPr>
      <w:r>
        <w:rPr>
          <w:rFonts w:ascii="Times New Roman" w:hAnsi="Times New Roman" w:eastAsia="宋体"/>
          <w:b/>
          <w:sz w:val="21"/>
        </w:rPr>
        <w:t>English Abstract:</w:t>
      </w:r>
    </w:p>
    <w:p>
      <w:r>
        <w:rPr>
          <w:rFonts w:ascii="Times New Roman" w:hAnsi="Times New Roman" w:eastAsia="宋体"/>
          <w:sz w:val="21"/>
        </w:rPr>
        <w:t>Coarse aggregate ultra-high-performance concrete (UHPC-CA) has promising application prospects due to its superior properties. However, there is currently no well-established formula or model to guide its mix design from the perspective of compressive strength control. In this study, a dataset was established through standard compressive strength tests. Feature selection methods were employed to reduce data dimensionality and to select the key factors—chosen from coarse aggregate content, maximum particle size, minimum particle size, aggregate type, and steel fiber volume fraction—that govern the compressive strength. A deterministic prediction formula, controlled by selected factors, was developed using genetic programming. Bayesian parameter regression was then applied to construct a probabilistic model, using the deterministic formula as a prior. This modeling approach enables the prediction model to simultaneously achieve accuracy, simplicity, and interpretability, while also having the capability to handle uncertainty. In addition, it provides a modeling framework that can be reproducibly applied to other studies on similar materials. After validating the accuracy of both the deterministic and probabilistic calculation formulas, the study further analyzed the interaction effects among the key factors on UHPC-CA compressive strength and their influence on the uncertainty of prediction results. The effect of coarse aggregate content on compressive strength can be described by an exponential function or approximated as linear within the studied range. The influence of steel fiber volume fraction on compressive strength is more complex, showing a combination of linear and exponential trends, reflecting that compressive strength increases rapidly at first and then more gradually with higher steel fiber content. In addition, higher predicted compressive strength of UHPC-CA is associated with greater embedded uncertainty.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一种新颖的岩土工程方法：使用超声波脉冲速度无损预测纳米氧化铝和水泥稳定粘土的强度和膨胀行为</w:t>
      </w:r>
    </w:p>
    <w:p>
      <w:r>
        <w:rPr>
          <w:rFonts w:ascii="Times New Roman" w:hAnsi="Times New Roman" w:eastAsia="宋体"/>
          <w:b/>
          <w:color w:val="003264"/>
          <w:sz w:val="24"/>
        </w:rPr>
        <w:t>A novel geotechnical approach: non-destructive prediction of strength and swelling behavior of nano-alumina and cement stabilized clays using ultrasonic pulse velocity</w:t>
      </w:r>
    </w:p>
    <w:p>
      <w:r>
        <w:rPr>
          <w:rFonts w:ascii="Times New Roman" w:hAnsi="Times New Roman" w:eastAsia="宋体"/>
          <w:sz w:val="21"/>
        </w:rPr>
        <w:t>作者: Ghodratollah Azizi, Asskar Janalizadeh Choobbasti, Saman Soleimani Kutanaei</w:t>
        <w:br/>
      </w:r>
      <w:r>
        <w:rPr>
          <w:rFonts w:ascii="Times New Roman" w:hAnsi="Times New Roman" w:eastAsia="宋体"/>
          <w:sz w:val="21"/>
        </w:rPr>
        <w:t xml:space="preserve">时间: 2026-02-12 | </w:t>
      </w:r>
      <w:r>
        <w:t xml:space="preserve">链接: </w:t>
      </w:r>
      <w:hyperlink r:id="rId65">
        <w:r>
          <w:rPr>
            <w:rFonts w:ascii="Times New Roman" w:hAnsi="Times New Roman" w:eastAsia="宋体"/>
            <w:color w:val="0000FF"/>
            <w:sz w:val="21"/>
            <w:u w:val="single"/>
          </w:rPr>
          <w:t>https://doi.org/10.1038/s41598-026-40001-y</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在这项研究中，提出了一种无损预测水泥和纳米氧化铝（纳米 Al2O3）处理的膨胀粘土的强度和膨胀行为的新方法。采用不同水泥含量（按干土重量计0%、3%和7%）和纳米氧化铝（按水泥重量计0%、0.3%、0.6%、0.9%、1.2%和1.5%）稳定粘土，然后养护7、28和90天。进行了破坏性试验，包括无侧限抗压强度（UCS）、间接拉伸强度（ITS）、直剪、松散不排水三轴（UU）、膨胀试验和无损超声脉冲速度（UPV）试验。此外，还使用扫描电子显微镜 (SEM) 和 X 射线衍射 (XRD) 检查了微观结构和矿物学特征。结果表明，水泥和纳米氧化铝的添加显着提高了强度并降低了膨胀指数。在 0.9% 纳米 Al2O3 下观察到 UPV 和强度的最大改善。 SEM 和 XRD 分析表明，形成了更致密的基质，氢氧化钙含量降低，可膨胀粘土矿物的活性降低。使用响应面法 (RSM) 进行统计分析，得出 UPV、最大干密度以及机械、剪切和膨胀参数之间的预测关系。 UCS 的决定系数 (R2) 达到 0.93，内聚力的决定系数 (R2) 达到 0.96。这些发现表明 UPV 测试作为一种有效的非破坏性方法来估计稳定土的强度、剪切和膨胀行为的巨大潜力。此外，UPV 为土壤改良项目的监测和质量控制提供了一种快速且经济高效的破坏性测试替代方案。</w:t>
      </w:r>
    </w:p>
    <w:p>
      <w:pPr>
        <w:spacing w:before="120"/>
      </w:pPr>
      <w:r>
        <w:rPr>
          <w:rFonts w:ascii="Times New Roman" w:hAnsi="Times New Roman" w:eastAsia="宋体"/>
          <w:b/>
          <w:sz w:val="21"/>
        </w:rPr>
        <w:t>English Abstract:</w:t>
      </w:r>
    </w:p>
    <w:p>
      <w:r>
        <w:rPr>
          <w:rFonts w:ascii="Times New Roman" w:hAnsi="Times New Roman" w:eastAsia="宋体"/>
          <w:sz w:val="21"/>
        </w:rPr>
        <w:t>In this study, a novel approach was presented for non-destructive prediction of the strength and swelling behavior of expansive clay soils treated with cement and nano aluminum oxide (nano Al2O3). Clay soils were stabilized with different cement contents (0%, 3%, and 7% by dry soil weight) and nano-aluminum oxide (0%, 0.3%, 0.6%, 0.9%, 1.2%, and 1.5% by cement weight), and then cured for 7, 28, and 90 days. Destructive tests, including unconfined compressive strength (UCS), indirect tensile strength (ITS), direct shear, unconsolidated–undrained triaxial (UU), swelling tests, and non-destructive ultrasonic pulse velocity (UPV) tests, were performed. Additionally, Microstructural and mineralogical characteristics were examined using scanning electron microscopy (SEM) and X-ray diffraction (XRD). The results indicated that the addition of cement and nano-aluminum oxide significantly enhanced the strength and reduced the swelling indices. The maximum improvement in UPV and strength was observed at 0.9% nano Al2O3. SEM and XRD analyses suggested the development of a denser matrix, with reduced calcium hydroxide content and lower activity of expandable clay minerals. Statistical analysis using response surface methodology (RSM) produced predictive relationships between UPV, maximum dry density, and mechanical, shear, and swelling parameters. The coefficients of determination (R2) reached 0.93 for UCS and 0.96 for cohesion. These findings demonstrate the high potential of the UPV test as an effective non-destructive method for estimating the strength, shear, and swelling behavior of stabilized soils. Moreover, UPV offers a rapid and cost-effective alternative to destructive tests in monitoring and quality control of soil improvement projects.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多囊卵巢综合征女性血清和骨骼肌 MOTS c 水平降低与线粒体功能障碍相关</w:t>
      </w:r>
    </w:p>
    <w:p>
      <w:r>
        <w:rPr>
          <w:rFonts w:ascii="Times New Roman" w:hAnsi="Times New Roman" w:eastAsia="宋体"/>
          <w:b/>
          <w:color w:val="003264"/>
          <w:sz w:val="24"/>
        </w:rPr>
        <w:t>Reduced serum and skeletal muscle MOTS c levels in women with polycystic ovary syndrome are associated with mitochondrial dysfunction</w:t>
      </w:r>
    </w:p>
    <w:p>
      <w:r>
        <w:rPr>
          <w:rFonts w:ascii="Times New Roman" w:hAnsi="Times New Roman" w:eastAsia="宋体"/>
          <w:sz w:val="21"/>
        </w:rPr>
        <w:t>作者: Irem Sonmezoglu Kutuk, Senay Akin, Haydar Demirel, Sezcan Mumusoglu, Turkmen Ciftci, Bulent Okan Yildiz</w:t>
        <w:br/>
      </w:r>
      <w:r>
        <w:rPr>
          <w:rFonts w:ascii="Times New Roman" w:hAnsi="Times New Roman" w:eastAsia="宋体"/>
          <w:sz w:val="21"/>
        </w:rPr>
        <w:t xml:space="preserve">时间: 2026-02-12 | </w:t>
      </w:r>
      <w:r>
        <w:t xml:space="preserve">链接: </w:t>
      </w:r>
      <w:hyperlink r:id="rId66">
        <w:r>
          <w:rPr>
            <w:rFonts w:ascii="Times New Roman" w:hAnsi="Times New Roman" w:eastAsia="宋体"/>
            <w:color w:val="0000FF"/>
            <w:sz w:val="21"/>
            <w:u w:val="single"/>
          </w:rPr>
          <w:t>https://doi.org/10.1038/s41598-026-39687-x</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多囊卵巢综合征（PCOS）的特点是胰岛素抵抗和代谢功能障碍。线粒体衍生肽 (MDP)，包括 MOTS-c，调节葡萄糖稳态和骨骼肌代谢。 MOTS-c 表达在 PCOS 中不同生理区室中是否发生改变仍不清楚。目的是评估患有 PCOS 的女性的循环肌和骨骼肌 MOTS-c 水平，并检查它们与代谢和激素参数的关系。 40 名患有 PCOS 的女性和 40 名年龄和 BMI 匹配的健康对照者接受了临床、生化和激素表型分析。通过 ELISA 定量血清 MOTS-c 浓度。在一个代表性亚组中，使用蛋白质印迹法评估股外侧肌活检标本中的骨骼肌 MOTS-c 表达。与对照组相比，患有 PCOS 的女性表现出较低的循环 MOTS-c 浓度（220.2 ± 147.6 pg/mL vs. 498.3 ± 224.4 pg/mL，p &lt; 0.001）。 PCOS 组骨骼肌 MOTS-c 表达也降低（74.2 ± 15.2 与 100.0 ± 8.5 任意单位；p = 0.005）。血清 MOTS-c 水平与总睾酮 (r = − 0.224，p = 0.046) 和总胆固醇 (r = − 0.228，p = 0.044) 呈负相关。患有 PCOS 的女性在循环和骨骼肌中表现出 MOTS-c 表达减少，表明这种线粒体衍生肽的可用性减少。雄激素过多症和脂质谱的关联表明线粒体肽生物学改变与多囊卵巢综合征的内分泌代谢表型之间存在潜在联系。这些发现表明 MOTS-c 可能代表 PCOS 中组织特异性线粒体参与的潜在标志物，值得进一步研究。</w:t>
      </w:r>
    </w:p>
    <w:p>
      <w:pPr>
        <w:spacing w:before="120"/>
      </w:pPr>
      <w:r>
        <w:rPr>
          <w:rFonts w:ascii="Times New Roman" w:hAnsi="Times New Roman" w:eastAsia="宋体"/>
          <w:b/>
          <w:sz w:val="21"/>
        </w:rPr>
        <w:t>English Abstract:</w:t>
      </w:r>
    </w:p>
    <w:p>
      <w:r>
        <w:rPr>
          <w:rFonts w:ascii="Times New Roman" w:hAnsi="Times New Roman" w:eastAsia="宋体"/>
          <w:sz w:val="21"/>
        </w:rPr>
        <w:t>Polycystic ovary syndrome (PCOS) is characterized by insulin resistance and metabolic dysfunction. Mitochondrial-derived peptides (MDPs), including MOTS-c, regulate glucose homeostasis and skeletal muscle metabolism. Whether MOTS-c expression is altered in PCOS across different physiological compartments remains unknown. The aim was to assess circulating and skeletal muscle MOTS-c levels in women with PCOS and to examine their associations with metabolic and hormonal parameters. Forty women with PCOS and 40 age- and BMI-matched healthy controls underwent clinical, biochemical, and hormonal phenotyping. Serum MOTS-c concentrations were quantified by ELISA. In a representative subgroup, skeletal muscle MOTS-c expression was assessed in vastus lateralis biopsy specimens using Western blotting. Women with PCOS exhibited lower circulating MOTS-c concentrations compared with controls (220.2 ± 147.6 pg/mL vs. 498.3 ± 224.4 pg/mL, p &lt; 0.001). Skeletal muscle MOTS-c expression was also reduced in the PCOS group (74.2 ± 15.2 vs. 100.0 ± 8.5 arbitrary units; p = 0.005). Serum MOTS-c levels were inversely associated with total testosterone (r = − 0.224, p = 0.046) and total cholesterol (r = − 0.228, p = 0.044). Women with PCOS display reduced MOTS-c expression in both the circulation and skeletal muscle, suggesting reduced availability of this mitochondrial-derived peptide. Associations with hyperandrogenism and lipid profiles suggest a potential link between altered mitochondrial peptide biology and the endocrine–metabolic phenotype of PCOS. These findings suggest that MOTS-c may represent a potential marker of tissue-specific mitochondrial involvement in PCOS and warrant further investigation.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调查气候和土地利用/覆盖变化对西非贝宁韦梅三角洲水系统的影响</w:t>
      </w:r>
    </w:p>
    <w:p>
      <w:r>
        <w:rPr>
          <w:rFonts w:ascii="Times New Roman" w:hAnsi="Times New Roman" w:eastAsia="宋体"/>
          <w:b/>
          <w:color w:val="003264"/>
          <w:sz w:val="24"/>
        </w:rPr>
        <w:t>Investigating the impacts of climate and land use/cover changes on the Oueme Delta hydrosystem in Benin, West Africa</w:t>
      </w:r>
    </w:p>
    <w:p>
      <w:r>
        <w:rPr>
          <w:rFonts w:ascii="Times New Roman" w:hAnsi="Times New Roman" w:eastAsia="宋体"/>
          <w:sz w:val="21"/>
        </w:rPr>
        <w:t>作者: René Bodjrènou, Luc Ollivier Sintondji, Marilyn Karen Soudé, Françoise Comandan</w:t>
        <w:br/>
      </w:r>
      <w:r>
        <w:rPr>
          <w:rFonts w:ascii="Times New Roman" w:hAnsi="Times New Roman" w:eastAsia="宋体"/>
          <w:sz w:val="21"/>
        </w:rPr>
        <w:t xml:space="preserve">时间: 2026-02-12 | </w:t>
      </w:r>
      <w:r>
        <w:t xml:space="preserve">链接: </w:t>
      </w:r>
      <w:hyperlink r:id="rId67">
        <w:r>
          <w:rPr>
            <w:rFonts w:ascii="Times New Roman" w:hAnsi="Times New Roman" w:eastAsia="宋体"/>
            <w:color w:val="0000FF"/>
            <w:sz w:val="21"/>
            <w:u w:val="single"/>
          </w:rPr>
          <w:t>https://doi.org/10.1038/s41598-026-39679-x</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三角洲地区的水文建模仍然具有挑战性。本研究使用基于物理的综合模型 ParFlow-CLM 评估了气候变化 (CC) 和土地利用/土地覆盖变化 (LULC) 对 Oueme Delta 水文系统的影响。使用相关性和克林-古普塔效率 (KGE) 等性能指标，根据 ERA5 数据模拟和评估地表径流 (SRO)、蒸散量 (ET)、地下水位深度 (WTD) 和土壤含水量 (SWC)。对于历史模拟（1975 年、2000 年和 2013 年），采用了西非 LULC 动态项目的土地利用地图和 WFDE5 的气候数据。未来预测（2030 年、2050 年和 2085 年）依赖于 CMIP6 数据集的气候输入，而 LULC 地图则使用马尔可夫链方法进行推断。该模型在模拟水平衡的关键组成部分方面表现出强大的性能，特别是 ET（日尺度：相关性 &gt; 0.8；KGE &gt; 0.6）。在气候条件不变的情况下，1975年至2013年间森林覆盖率减少了20%，对水资源的影响可以忽略不计。相比之下，CC 对水文循环产生了重大影响：降水增加导致 SRO 和 ET 大幅上升。基于情景的预测表明，土地利用和土地利用变化的变化可能会放大气候影响。具体来说，降水量增加超过 50% 加上全面重新造林可能会使 SRO 翻倍并增加洪水风险。相反，降水量减少 50% 加上森林砍伐可能会导致严重的生态系统缺水，使 SWC 减少 3.9%。这些发现强调了土地和水资源综合管理战略的必要性，并为在气候变化和土地利用和土地利用变化背景下制定有效的水资源保护政策提供了信息。</w:t>
      </w:r>
    </w:p>
    <w:p>
      <w:pPr>
        <w:spacing w:before="120"/>
      </w:pPr>
      <w:r>
        <w:rPr>
          <w:rFonts w:ascii="Times New Roman" w:hAnsi="Times New Roman" w:eastAsia="宋体"/>
          <w:b/>
          <w:sz w:val="21"/>
        </w:rPr>
        <w:t>English Abstract:</w:t>
      </w:r>
    </w:p>
    <w:p>
      <w:r>
        <w:rPr>
          <w:rFonts w:ascii="Times New Roman" w:hAnsi="Times New Roman" w:eastAsia="宋体"/>
          <w:sz w:val="21"/>
        </w:rPr>
        <w:t>Abstract Hydrological modeling in deltaic regions remains challenging. This study assesses the impacts of climate change (CC) and land use/land cover change (LULC) on the Oueme Delta hydrosystem using the physics-based integrated model ParFlow-CLM. Surface runoff (SRO), evapotranspiration (ET), water table depth (WTD), and soil water content (SWC) were simulated and evaluated against ERA5 data using performance metrics such as correlation and Kling-Gupta efficiency (KGE). For historical simulations (1975, 2000, and 2013), land-use maps from the West Africa LULC Dynamics project and climate data from WFDE5 were employed. Future projections (2030, 2050, and 2085) relied on climate inputs from CMIP6 datasets, while LULC maps were extrapolated using a Markov chain approach. The model demonstrated strong performance in simulating key components of the water balance, particularly ET (daily scale: Correlation &gt; 0.8; KGE &gt; 0.6). Under constant climate conditions, a 20% reduction in forest cover between 1975 and 2013 showed a negligible impact on water resources. In contrast, CC exerted a substantial influence on the hydrological cycle: increased precipitation led to substantial rises in SRO and ET. Scenario-based projections indicate that LULC changes may amplify climate impacts. Specifically, a precipitation increase exceeding 50% combined with full reforestation could double SRO and increase flood risks. Conversely, a 50% decrease in precipitation coupled with complete deforestation could induce severe ecosystem water stress, reducing SWC by 3.9%. These findings highlight the need for integrated land and water management strategies and inform the development of effective policies for water resource conservation in the context of CC and LULC changes.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将赛事可持续性视为连接马拉松参与者依恋动机、价值认知和价值共创行为的调节因素</w:t>
      </w:r>
    </w:p>
    <w:p>
      <w:r>
        <w:rPr>
          <w:rFonts w:ascii="Times New Roman" w:hAnsi="Times New Roman" w:eastAsia="宋体"/>
          <w:b/>
          <w:color w:val="003264"/>
          <w:sz w:val="24"/>
        </w:rPr>
        <w:t>Perceived event sustainability as a moderator connecting marathon participants’ motivations to place attachment, value perceptions, and value co-creation behaviors</w:t>
      </w:r>
    </w:p>
    <w:p>
      <w:r>
        <w:rPr>
          <w:rFonts w:ascii="Times New Roman" w:hAnsi="Times New Roman" w:eastAsia="宋体"/>
          <w:sz w:val="21"/>
        </w:rPr>
        <w:t>作者: Xian Zhang, Ligang Feng</w:t>
        <w:br/>
      </w:r>
      <w:r>
        <w:rPr>
          <w:rFonts w:ascii="Times New Roman" w:hAnsi="Times New Roman" w:eastAsia="宋体"/>
          <w:sz w:val="21"/>
        </w:rPr>
        <w:t xml:space="preserve">时间: 2026-02-12 | </w:t>
      </w:r>
      <w:r>
        <w:t xml:space="preserve">链接: </w:t>
      </w:r>
      <w:hyperlink r:id="rId68">
        <w:r>
          <w:rPr>
            <w:rFonts w:ascii="Times New Roman" w:hAnsi="Times New Roman" w:eastAsia="宋体"/>
            <w:color w:val="0000FF"/>
            <w:sz w:val="21"/>
            <w:u w:val="single"/>
          </w:rPr>
          <w:t>https://doi.org/10.1038/s41598-026-40019-2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本研究探讨了体育游客的动机如何影响地方依恋、感知价值和价值共同创造行为，并将感知赛事可持续性作为调节因素。通过对中国城市 365 名马拉松参与者的定量调查，我们测试了三个动机因素（运动乐趣、成就追求和社交媒体认可）与旅游成果之间的关系。结果证实，所有动机因素都与地方依恋和感知价值呈正相关，感知事件的可持续性显着调节这些关系。此外，地方依恋和感知价值都与价值共同创造行为呈正相关。这些发现通过在动机和行为结果之间建立经过实证验证的途径，扩展了对体育旅游心理学的理论理解，同时强调可持续性作为体育旅游体验的战略要素日益重要。</w:t>
      </w:r>
    </w:p>
    <w:p>
      <w:pPr>
        <w:spacing w:before="120"/>
      </w:pPr>
      <w:r>
        <w:rPr>
          <w:rFonts w:ascii="Times New Roman" w:hAnsi="Times New Roman" w:eastAsia="宋体"/>
          <w:b/>
          <w:sz w:val="21"/>
        </w:rPr>
        <w:t>English Abstract:</w:t>
      </w:r>
    </w:p>
    <w:p>
      <w:r>
        <w:rPr>
          <w:rFonts w:ascii="Times New Roman" w:hAnsi="Times New Roman" w:eastAsia="宋体"/>
          <w:sz w:val="21"/>
        </w:rPr>
        <w:t>This study examines how sports tourists’ motivations influence place attachment, perceived value, and value co-creation behaviors, with perceived event sustainability as a moderating factor. Through a quantitative survey of 365 marathon participants across Chinese cities, we tested relationships between three motivational factors (athletic pleasure, achievement seeking, and social media recognition) and tourism outcomes. Results confirmed that all motivational factors had positive associations with both place attachment and perceived value, with perceived event sustainability significantly moderating these relationships. Furthermore, both place attachment and perceived value were found to be positively associated with value co-creation behavior. These findings extend the theoretical understanding of sports tourism psychology by establishing empirically validated pathways between motivations and behavioral outcomes while highlighting sustainability’s growing importance as a strategic element in sports tourism experiences.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基于表面等离子体共振的超灵敏石墨烯-金混合双核光子晶体光纤传感器用于生物分析物检测</w:t>
      </w:r>
    </w:p>
    <w:p>
      <w:r>
        <w:rPr>
          <w:rFonts w:ascii="Times New Roman" w:hAnsi="Times New Roman" w:eastAsia="宋体"/>
          <w:b/>
          <w:color w:val="003264"/>
          <w:sz w:val="24"/>
        </w:rPr>
        <w:t>Ultra-sensitive graphene–gold hybrid dual core photonic crystal fiber sensor based on surface plasmon resonance for bio-analyte detection</w:t>
      </w:r>
    </w:p>
    <w:p>
      <w:r>
        <w:rPr>
          <w:rFonts w:ascii="Times New Roman" w:hAnsi="Times New Roman" w:eastAsia="宋体"/>
          <w:sz w:val="21"/>
        </w:rPr>
        <w:t>作者: Vikas Chandra Maurya, Youssef Trabelsi, Anshu D Varshney, Suneet Kumar Awasthi</w:t>
        <w:br/>
      </w:r>
      <w:r>
        <w:rPr>
          <w:rFonts w:ascii="Times New Roman" w:hAnsi="Times New Roman" w:eastAsia="宋体"/>
          <w:sz w:val="21"/>
        </w:rPr>
        <w:t xml:space="preserve">时间: 2026-02-12 | </w:t>
      </w:r>
      <w:r>
        <w:t xml:space="preserve">链接: </w:t>
      </w:r>
      <w:hyperlink r:id="rId69">
        <w:r>
          <w:rPr>
            <w:rFonts w:ascii="Times New Roman" w:hAnsi="Times New Roman" w:eastAsia="宋体"/>
            <w:color w:val="0000FF"/>
            <w:sz w:val="21"/>
            <w:u w:val="single"/>
          </w:rPr>
          <w:t>https://doi.org/10.1038/s41598-025-33950-3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这项研究工作涉及双核光子晶体光纤（PhCF）生物传感器的高灵敏度检测能力。它的工作原理是表面等离子共振 (SPR)，由石墨烯和金层的混合涂层组成，可有效检测 1.30 至 1.39 范围内的低折射率 (RI) 值，步长为 0.01 的生物分析物。该设计将金的卓越等离激元特性与石墨烯极高的吸收和导电特性相结合，除了信号稳定性之外，还可改善光与物质的相互作用。通过使用 COMSOL Multiphysics 6.0 和 MATLAB 软件中进行的数值模拟，对由金层和石墨烯层组成的混合层的厚度进行了优化，使我们的设计具有高度灵敏度。它产生的金层和石墨烯层的厚度分别为 40 nm 和 9.52 nm。所提出的设计分别加载了 1.30 至 1.39 范围内的低折射率分析物，除了各种参数的其他有希望的值外，还表现出出色的波长相关灵敏度和分辨率值，分别为 30,000 nm/RIU 和 $$3.33\times 10^{-6}$$ RIU。这些结果表明，所提出的设计比现有的设计在性能上有显着的提高。所提出的设计指出了其卓越的传感特性，可用于疾病诊断和其他生物医学传感应用的精确、即时和可靠的检测。</w:t>
      </w:r>
    </w:p>
    <w:p>
      <w:pPr>
        <w:spacing w:before="120"/>
      </w:pPr>
      <w:r>
        <w:rPr>
          <w:rFonts w:ascii="Times New Roman" w:hAnsi="Times New Roman" w:eastAsia="宋体"/>
          <w:b/>
          <w:sz w:val="21"/>
        </w:rPr>
        <w:t>English Abstract:</w:t>
      </w:r>
    </w:p>
    <w:p>
      <w:r>
        <w:rPr>
          <w:rFonts w:ascii="Times New Roman" w:hAnsi="Times New Roman" w:eastAsia="宋体"/>
          <w:sz w:val="21"/>
        </w:rPr>
        <w:t>This research work deals with highly sensitive detection capabilities of dual core photonic crystal fiber(PhCF) biosensor. It works on the principal of surface plasmon resonance (SPR) and consisted of hybrid coatings of graphene and gold layers for efficient detection of low refractive index (RI) values ranging from 1.30 to 1.39 in steps of 0.01 of bio-analytes. This design is integration of the superior plasmonic properties of gold with an exceptionally high absorptive and conductivity properties of graphene for improving the light–matter interaction, in addition to signal stability. The thicknesses of hybrid layer consisted of gold and graphene layers are optimized to make our design highly sensitive by using numerical simulations carried out in COMSOL Multiphysics 6.0 and MATLAB softwares. It yields thicknesses of gold and graphene layers to 40 nm and 9.52 nm respectively. The proposed design loaded separately with range of analytes of low refractive indices from 1.30 to 1.39 exhibiting an outstanding wavelength dependent sensitivity and resolution values of 30,000 nm/RIU and $$3.33\times 10^{-6}$$ RIU, respectively apart from other promising values of various parameters. These results show that the proposed design possesses a significant improvement in performance over the existing counterparts. The proposed design points out the excellent sensing feature for precise, immediate and reliable detection of disease diagnostics and other biomedical sensing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使用人工智能数字孪生实现智能电网碳减排的多策略优化框架</w:t>
      </w:r>
    </w:p>
    <w:p>
      <w:r>
        <w:rPr>
          <w:rFonts w:ascii="Times New Roman" w:hAnsi="Times New Roman" w:eastAsia="宋体"/>
          <w:b/>
          <w:color w:val="003264"/>
          <w:sz w:val="24"/>
        </w:rPr>
        <w:t>A multi strategy optimization framework using AI digital twins for smart grid carbon emission reduction</w:t>
      </w:r>
    </w:p>
    <w:p>
      <w:r>
        <w:rPr>
          <w:rFonts w:ascii="Times New Roman" w:hAnsi="Times New Roman" w:eastAsia="宋体"/>
          <w:sz w:val="21"/>
        </w:rPr>
        <w:t>作者: S. Sakthivel, M. Arivukarasi, G. Charulatha, J. Nithisha, B. Abirami, A. K. Jaithunbi, V. Suresh Kumar</w:t>
        <w:br/>
      </w:r>
      <w:r>
        <w:rPr>
          <w:rFonts w:ascii="Times New Roman" w:hAnsi="Times New Roman" w:eastAsia="宋体"/>
          <w:sz w:val="21"/>
        </w:rPr>
        <w:t xml:space="preserve">时间: 2026-02-12 | </w:t>
      </w:r>
      <w:r>
        <w:t xml:space="preserve">链接: </w:t>
      </w:r>
      <w:hyperlink r:id="rId70">
        <w:r>
          <w:rPr>
            <w:rFonts w:ascii="Times New Roman" w:hAnsi="Times New Roman" w:eastAsia="宋体"/>
            <w:color w:val="0000FF"/>
            <w:sz w:val="21"/>
            <w:u w:val="single"/>
          </w:rPr>
          <w:t>https://doi.org/10.1038/s41598-026-38720-3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本研究提出了一种基于人工智能的数字孪生框架，通过异构储能系统的优化管理实现智能电网中的碳中和。拟议的结构将电池、热能和氢存储技术与人工智能驱动的预测模型相结合，以应对可再生能源并网的挑战，同时保持电网稳定性和经济可行性。本文对三种不同的优化方法进行了比较分析，例如基于规则的 (RB) 启发式方法、具有前瞻功能的模型预测控制 (MPC) 和多目标遗传算法 (GA)。仿真结果表明，与传统方法相比，经过人工智能优化的多能源存储 (MES) 集成可显着提高可再生能源利用率，并将碳排放量减少约 30%。具体而言，MPC 实现了 29.9% 的碳足迹减少（1741.1 kgCO2 与 2485.2 kgCO2 基线），相应的运营成本节省了 30%，而 GA 则实现了 28.2% 的可比改善。比较分析揭示了计算复杂性、优化性能和实际可实现性之间的关键权衡，MPC 成为现实世界应用的平衡方法。这项工作为 MES 优化提供了全面的框架，为电网运营商和政策制定者提供了宝贵的见解，为可持续能源系统做出了贡献。结果凸显了人工智能数字孪生在设计下一代智能电网基础设施中的重要作用，该基础设施能够支持可再生能源的过度渗透，同时确保可靠性和可持续经济增长。</w:t>
      </w:r>
    </w:p>
    <w:p>
      <w:pPr>
        <w:spacing w:before="120"/>
      </w:pPr>
      <w:r>
        <w:rPr>
          <w:rFonts w:ascii="Times New Roman" w:hAnsi="Times New Roman" w:eastAsia="宋体"/>
          <w:b/>
          <w:sz w:val="21"/>
        </w:rPr>
        <w:t>English Abstract:</w:t>
      </w:r>
    </w:p>
    <w:p>
      <w:r>
        <w:rPr>
          <w:rFonts w:ascii="Times New Roman" w:hAnsi="Times New Roman" w:eastAsia="宋体"/>
          <w:sz w:val="21"/>
        </w:rPr>
        <w:t>Abstract This research presents an AI-enabled digital twin framework to achieve carbon neutrality in smart grids through optimal management of heterogeneous energy storage systems. The proposed structure integrates battery, thermal, and hydrogen storage technologies with AI-driven forecasting models to address the challenge of renewable integration, while maintaining grid stability and economic viability. This paper presents a comparative analysis of three distinct optimization methodologies, like a rule-based (RB) heuristic approach, Model Predictive Control (MPC) with look-ahead capability, and a multi-objective Genetic Algorithm (GA). Simulation results that demonstrate the AI-optimized multi-energy storage (MES) integration significantly enhance the renewable utilization and reduce carbon emissions by approximately 30% compared to conventional approaches. Specifically, the MPC achieves a 29.9% reduction in carbon footprint (1741.1 kgCO₂ vs. 2485.2 kgCO₂ baseline) with corresponding operational cost savings of 30%, while GA shows a comparable 28.2% improvement. The comparative analysis discloses a critical trade-off between computational complexity, optimization performance, and practical implementability, with MPC emerging as a balanced method for a real-world application. This work has contributed to sustainable energy systems by providing a comprehensive framework for MES optimization, imparting treasured insights for grid operators and policymakers. The outcomes highlight the important role of AI-enabled digital twin in designing next-generation smart grid infrastructure, which is capable for supporting excessive renewable penetration at the same time as ensuring reliability and sustainable economic growth.</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塔里木盆地地壳隆升与磁退磁耦合</w:t>
      </w:r>
    </w:p>
    <w:p>
      <w:r>
        <w:rPr>
          <w:rFonts w:ascii="Times New Roman" w:hAnsi="Times New Roman" w:eastAsia="宋体"/>
          <w:b/>
          <w:color w:val="003264"/>
          <w:sz w:val="24"/>
        </w:rPr>
        <w:t>Coupling between crustal uplift and magnetic demagnetization in the Tarim Basin</w:t>
      </w:r>
    </w:p>
    <w:p>
      <w:r>
        <w:rPr>
          <w:rFonts w:ascii="Times New Roman" w:hAnsi="Times New Roman" w:eastAsia="宋体"/>
          <w:sz w:val="21"/>
        </w:rPr>
        <w:t>作者: Bing Xu, Chongjin Zhao, Luolei Zhang, Peng Yu</w:t>
        <w:br/>
      </w:r>
      <w:r>
        <w:rPr>
          <w:rFonts w:ascii="Times New Roman" w:hAnsi="Times New Roman" w:eastAsia="宋体"/>
          <w:sz w:val="21"/>
        </w:rPr>
        <w:t xml:space="preserve">时间: 2026-02-12 | </w:t>
      </w:r>
      <w:r>
        <w:t xml:space="preserve">链接: </w:t>
      </w:r>
      <w:hyperlink r:id="rId71">
        <w:r>
          <w:rPr>
            <w:rFonts w:ascii="Times New Roman" w:hAnsi="Times New Roman" w:eastAsia="宋体"/>
            <w:color w:val="0000FF"/>
            <w:sz w:val="21"/>
            <w:u w:val="single"/>
          </w:rPr>
          <w:t>https://doi.org/10.1038/s41598-026-39602-4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克拉通盆地保留了地球上一些埋藏最深的石油系统，但它们的结晶基底和热构造历史仍然难以成像。塔里木盆地（中国西北部）体现了这些挑战和机遇。在这里，我们通过对航磁异常数据进行盆地尺度的 3D 反演来恢复地壳磁化强度 (M)，并通过量化磁化强度和绘制的基底隆起（巴楚、塔中、塔北、塔东和东南）之间的空间关系来测试地壳隆起是否与磁化损失（退磁）系统地耦合。我们分析 5-30 公里处的深度切片和诊断剖面，并使用强大的隆起-凹陷磁化强度对比 ΔM = 中值 (M_uplifts)-中值 (M_depressions) 来比较隆起域和凹陷域。大多数隆起（塔中、塔东和东南部）在 20-30 公里处始终表现出负 ΔM，表明体积低磁化（低 M）物体随着深度的增加而增强。巴楚表现出混合模式（边缘较弱，但核心相对较强），而塔北在10-20 km处显示出负ΔM，在30 km处显示出接近于零的对比度，这意味着隆起块体之间存在空间异质修改。为了评估几何跟随耦合，我们使用 M 的全盆地下四分位数 (Q25) 定义低 M 掩模，并计算 Q25-Jaccard 与隆起域和塔里木火成岩省 (TLIP) 足迹的重叠，并辅以到隆起边缘的距离 ΔM 剖面。重叠和接近度指标显示低 M 掩模和隆起内部从 10 到 30 公里之间的正重合性普遍增加，并且与 TLIP 存在次要但一致的关联。这些深度相干的、以隆起为中心的低磁值体积与二叠纪羽流相关的岩浆作用、居里等温线浅化和热液蚀变驱动的热退磁最为一致，而纯粹的岩性控制、剩磁抵消或结构破坏本身不太能够解释系统的深度依赖性和空间相干性。在塔里木之外，这种隆起-退磁耦合为绘制克拉通内部热改性域提供了可转移的诊断，并通过突出显示古温度升高和流体-岩石相互作用可能重新设计的源-储层系统的隆起核心，对深层勘探产生直接影响。</w:t>
      </w:r>
    </w:p>
    <w:p>
      <w:pPr>
        <w:spacing w:before="120"/>
      </w:pPr>
      <w:r>
        <w:rPr>
          <w:rFonts w:ascii="Times New Roman" w:hAnsi="Times New Roman" w:eastAsia="宋体"/>
          <w:b/>
          <w:sz w:val="21"/>
        </w:rPr>
        <w:t>English Abstract:</w:t>
      </w:r>
    </w:p>
    <w:p>
      <w:r>
        <w:rPr>
          <w:rFonts w:ascii="Times New Roman" w:hAnsi="Times New Roman" w:eastAsia="宋体"/>
          <w:sz w:val="21"/>
        </w:rPr>
        <w:t>Cratonic basins preserve some of Earth’s most deeply buried petroleum systems, yet their crystalline basements and thermo–tectonic histories remain difficult to image. The Tarim Basin (NW China) exemplifies these challenges and opportunities. Here we test whether crustal uplift is systematically coupled with magnetization loss (demagnetization) by performing a basin-scale 3-D inversion of aeromagnetic anomaly data to recover crustal magnetization (M) and by quantifying spatial relationships between magnetization and mapped basement uplifts (Bachu, Tazhong, Tabei, Tadong, and Southeastern). We analyze depth slices at 5–30 km and diagnostic sections, and compare uplift and depression domains using a robust uplift–depression magnetization contrast, ΔM = median(M_uplifts)-median(M_depressions). Most uplifts (Tazhong, Tadong, and Southeastern) exhibit consistently negative ΔM at 20–30 km, indicating volumetric low-magnetization (low-M) bodies that strengthen with depth. Bachu shows a mixed pattern (weak margins but a relatively stronger core), while Tabei displays negative ΔM at 10–20 km and near-zero contrast at 30 km, implying spatially heterogeneous modification among uplift blocks. To evaluate geometry-following coupling, we define low-M masks using the basin-wide lower quartile (Q25) of M and compute Q25–Jaccard overlaps with uplift domains and the Tarim Large Igneous Province (TLIP) footprint, complemented by distance-to-uplift-edge ΔM profiles. Overlap and proximity metrics show positive and generally increasing coincidence between low-M masks and uplift interiors from 10 to 30 km, and a secondary but consistent association with TLIP. These depth-coherent, uplift-centered low-M volumes are most consistent with thermal demagnetization driven by Permian plume-related magmatism, Curie-isotherm shallowing, and hydrothermal alteration, whereas purely lithologic controls, remanence cancellation, or structural disruption alone are less able to explain the systematic depth dependence and spatial coherence. Beyond Tarim, this uplift–demagnetization coupling provides a transferable diagnostic for mapping thermally modified domains in cratonic interiors and has direct implications for deep exploration by highlighting uplift cores where elevated palaeo-temperatures and fluid–rock interaction may have re-engineered source–reservoir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伊朗南部登革热疫情及其公共卫生影响</w:t>
      </w:r>
    </w:p>
    <w:p>
      <w:r>
        <w:rPr>
          <w:rFonts w:ascii="Times New Roman" w:hAnsi="Times New Roman" w:eastAsia="宋体"/>
          <w:b/>
          <w:color w:val="003264"/>
          <w:sz w:val="24"/>
        </w:rPr>
        <w:t>Dengue fever epidemic and public health implications in southern Iran</w:t>
      </w:r>
    </w:p>
    <w:p>
      <w:r>
        <w:rPr>
          <w:rFonts w:ascii="Times New Roman" w:hAnsi="Times New Roman" w:eastAsia="宋体"/>
          <w:sz w:val="21"/>
        </w:rPr>
        <w:t>作者: Madineh Abbasi, Fatemeh Nikpour, Sara Rahimi, Fatemeh Bagheri</w:t>
        <w:br/>
      </w:r>
      <w:r>
        <w:rPr>
          <w:rFonts w:ascii="Times New Roman" w:hAnsi="Times New Roman" w:eastAsia="宋体"/>
          <w:sz w:val="21"/>
        </w:rPr>
        <w:t xml:space="preserve">时间: 2026-02-12 | </w:t>
      </w:r>
      <w:r>
        <w:t xml:space="preserve">链接: </w:t>
      </w:r>
      <w:hyperlink r:id="rId72">
        <w:r>
          <w:rPr>
            <w:rFonts w:ascii="Times New Roman" w:hAnsi="Times New Roman" w:eastAsia="宋体"/>
            <w:color w:val="0000FF"/>
            <w:sz w:val="21"/>
            <w:u w:val="single"/>
          </w:rPr>
          <w:t>https://doi.org/10.1038/s41598-026-39680-4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登革热 (DF) 构成重大的全球健康风险，估计每年有 100-4 亿人感染。最近东地中海的疫情爆发，包括 2024 年伊朗的疫情显着激增，引起了人们对当地传播动态的担忧，特别是在伊朗南部。本研究旨在评估阿巴斯港 DF 发病率的流行病学数据，重点关注当地传播模式及其对公共卫生策略的影响。本研究分析了 2025 年 8 月 5 日至 10 月 5 日伊朗阿巴斯港爆发的 DF 疫情。从医疗机构收集数据，以评估 DF 病例的特征，包括人口统计、临床症状和传播模式。使用 SPSS 进行统计分析，同时使用 ArcMap 绘制空间分布图，以可视化疫情的流行病学动态。研究期间，共发现56例DF病例，所有病例均位于城市地区，主要涉及建筑工人，其中许多人无症状。受影响者的平均年龄为 36.52 岁，其中 63% 为男性。最常见的症状包括头痛（82.2%）、身体疼痛（71.1%）和肌肉疼痛（64.4%）。很大一部分患者没有旅行史，29.4%的患者报告最近去过其他地区。所有患者均已康复，没有死亡记录。这项研究强调了显着的局部传播，表明城市地区持续传播。研究结果强调了快速病例检测和病媒控制的重要性，特别是考虑到阿巴斯港作为主要商业中心的作用。此外，强调需要采取有针对性的公共卫生干预措施，以应对这一高风险地区新出现的 DF 威胁。</w:t>
      </w:r>
    </w:p>
    <w:p>
      <w:pPr>
        <w:spacing w:before="120"/>
      </w:pPr>
      <w:r>
        <w:rPr>
          <w:rFonts w:ascii="Times New Roman" w:hAnsi="Times New Roman" w:eastAsia="宋体"/>
          <w:b/>
          <w:sz w:val="21"/>
        </w:rPr>
        <w:t>English Abstract:</w:t>
      </w:r>
    </w:p>
    <w:p>
      <w:r>
        <w:rPr>
          <w:rFonts w:ascii="Times New Roman" w:hAnsi="Times New Roman" w:eastAsia="宋体"/>
          <w:sz w:val="21"/>
        </w:rPr>
        <w:t>Dengue fever (DF) poses a significant global health risk, with an estimated 100–400 million infections annually. Recent outbreaks in the Eastern Mediterranean, including a notable surge in Iran in 2024, have raised concerns about local transmission dynamics, particularly in southern Iran. This study aims to evaluate the epidemiological data on DF incidence in Bandar Abbas, with a focus on local transmission patterns and implications for public health strategies. This study analyzes a DF outbreak in Bandar Abbas, Iran, from 5 August to 5 October, 2025. Data were collected from healthcare facilities to assess the characteristics of DF cases, including demographics, clinical symptoms, and transmission patterns. Statistical analyses were performed using SPSS, while spatial distribution was mapped using ArcMap to visualise the epidemiological dynamics of the outbreak. During the study period, a total of 56 DF cases were identified, all cases were located in urban areas, primarily involving construction workers, many of whom were asymptomatic. The mean age of affected individuals was 36.52 years, with 63% being male. The most prevalent symptoms included headache (82.2%), body pain (71.1%), and muscle pain (64.4%). A significant portion of patients had no history of travel, while 29.4% reported recent travel to other regions. All patients recovered, with no fatalities recorded. This study highlights significant local transmission, indicating sustained spread in urban areas. Findings underscore the importance of rapid case detection and vector control, especially given Bandar Abbas’s role as a major commercial hub. Additionally, emphasises the need for targeted public health interventions to address the emerging threat of DF in this high-risk area.</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Nature Machine Intelligence</w:t>
      </w:r>
    </w:p>
    <w:p>
      <w:pPr>
        <w:jc w:val="center"/>
      </w:pPr>
      <w:r>
        <w:t>--- 更新: 00:29 ---</w:t>
      </w:r>
    </w:p>
    <w:p>
      <w:pPr>
        <w:pStyle w:val="Heading2"/>
      </w:pPr>
      <w:r/>
      <w:r>
        <w:rPr>
          <w:rFonts w:ascii="Times New Roman" w:hAnsi="Times New Roman" w:eastAsia="宋体"/>
          <w:b/>
          <w:color w:val="000000"/>
          <w:sz w:val="24"/>
        </w:rPr>
        <w:t>可重用性报告：评估元学习基础模型在预测天然产物抗菌活性方面的性能</w:t>
      </w:r>
    </w:p>
    <w:p>
      <w:r>
        <w:rPr>
          <w:rFonts w:ascii="Times New Roman" w:hAnsi="Times New Roman" w:eastAsia="宋体"/>
          <w:b/>
          <w:color w:val="003264"/>
          <w:sz w:val="24"/>
        </w:rPr>
        <w:t>Reusability Report: Evaluating the performance of a meta-learning foundation model on predicting the antibacterial activity of natural products</w:t>
      </w:r>
    </w:p>
    <w:p>
      <w:r>
        <w:rPr>
          <w:rFonts w:ascii="Times New Roman" w:hAnsi="Times New Roman" w:eastAsia="宋体"/>
          <w:sz w:val="21"/>
        </w:rPr>
        <w:t>作者: Caitlin M. Butt, Allison S. Walker</w:t>
        <w:br/>
      </w:r>
      <w:r>
        <w:rPr>
          <w:rFonts w:ascii="Times New Roman" w:hAnsi="Times New Roman" w:eastAsia="宋体"/>
          <w:sz w:val="21"/>
        </w:rPr>
        <w:t xml:space="preserve">时间: 2026-02-12 | </w:t>
      </w:r>
      <w:r>
        <w:t xml:space="preserve">链接: </w:t>
      </w:r>
      <w:hyperlink r:id="rId35">
        <w:r>
          <w:rPr>
            <w:rFonts w:ascii="Times New Roman" w:hAnsi="Times New Roman" w:eastAsia="宋体"/>
            <w:color w:val="0000FF"/>
            <w:sz w:val="21"/>
            <w:u w:val="single"/>
          </w:rPr>
          <w:t>https://doi.org/10.1038/s42256-026-01187-y</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深度学习基础模型在生物活性预测中的使用越来越受欢迎。最近，冯等人。开发了 ActFound，一种联合使用配对学习和元学习的生物活性基础模型。通过利用这些技术，该模型只需少量的新数据就能够微调到更具体的生物活性任务。在这里，为了研究模型的普遍性，我们希望在抗菌天然产物 (NP) 数据集上微调基础模型。训练传统深度学习方法所需的大型、带标签的 NP 数据集非常稀缺。因此，纳米粒子的生物活性预测是基础模型的理想任务。我们使用一系列少样本设置研究了 ActFound 在 NPs 数据集上的性能。此外，我们还将 ActFound 的性能与该领域其他最先进模型的性能进行了比较。我们发现 ActFound 在抗菌纳米粒子数据集上无法达到与原始出版物中报告的其他跨域任务相同的准确性水平。然而，与所研究的其他模型相比，ActFound 显示出可比或更好的性能，尤其是在低镜头设置下。我们的结果将 ActFound 确立为有用的基础模型，用于数据有限的任务的生物活性预测，特别是对于包含相似化合物生物活性的数据集。</w:t>
      </w:r>
    </w:p>
    <w:p>
      <w:pPr>
        <w:spacing w:before="120"/>
      </w:pPr>
      <w:r>
        <w:rPr>
          <w:rFonts w:ascii="Times New Roman" w:hAnsi="Times New Roman" w:eastAsia="宋体"/>
          <w:b/>
          <w:sz w:val="21"/>
        </w:rPr>
        <w:t>English Abstract:</w:t>
      </w:r>
    </w:p>
    <w:p>
      <w:r>
        <w:rPr>
          <w:rFonts w:ascii="Times New Roman" w:hAnsi="Times New Roman" w:eastAsia="宋体"/>
          <w:sz w:val="21"/>
        </w:rPr>
        <w:t>Abstract Deep learning foundation models are becoming increasingly popular for use in bioactivity prediction. Recently, Feng et al. developed ActFound, a bioactive foundation model that jointly uses pairwise learning and meta-learning. By utilizing these techniques, the model is capable of being fine-tuned to a more specific bioactivity task with only a small amount of new data. Here, to investigate the generalizability of the model, we looked to fine-tune the foundation model on an antibacterial natural products (NPs) dataset. Large, labelled NPs datasets, which are needed to train traditional deep learning methods, are scarce. Therefore, the bioactivity prediction of NPs is an ideal task for foundation models. We studied the performance of ActFound on the NPs dataset using a range of few-shot settings. Additionally, we compared ActFound’s performance with those of other state-of-the-art models in the field. We found ActFound was unable to reach the same level of accuracy on the antibacterial NPs dataset as it did on other cross-domain tasks reported in the original publication. However, ActFound displayed comparable or better performance compared to the other models studied, especially at the low-shot settings. Our results establish ActFound as a useful foundation model for the bioactivity prediction of tasks with limited data, particularly for datasets that contain the bioactivities of similar compounds.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Nature Biomedical Engineering</w:t>
      </w:r>
    </w:p>
    <w:p>
      <w:pPr>
        <w:jc w:val="center"/>
      </w:pPr>
      <w:r>
        <w:t>--- 更新: 00:29 ---</w:t>
      </w:r>
    </w:p>
    <w:p>
      <w:pPr>
        <w:pStyle w:val="Heading2"/>
      </w:pPr>
      <w:r/>
      <w:r>
        <w:rPr>
          <w:rFonts w:ascii="Times New Roman" w:hAnsi="Times New Roman" w:eastAsia="宋体"/>
          <w:b/>
          <w:color w:val="000000"/>
          <w:sz w:val="24"/>
        </w:rPr>
        <w:t>来自 3D 计算机断层扫描多模态数据集的通才基础模型</w:t>
      </w:r>
    </w:p>
    <w:p>
      <w:r>
        <w:rPr>
          <w:rFonts w:ascii="Times New Roman" w:hAnsi="Times New Roman" w:eastAsia="宋体"/>
          <w:b/>
          <w:color w:val="003264"/>
          <w:sz w:val="24"/>
        </w:rPr>
        <w:t>Generalist foundation models from a multimodal dataset for 3D computed tomography</w:t>
      </w:r>
    </w:p>
    <w:p>
      <w:r>
        <w:rPr>
          <w:rFonts w:ascii="Times New Roman" w:hAnsi="Times New Roman" w:eastAsia="宋体"/>
          <w:sz w:val="21"/>
        </w:rPr>
        <w:t>作者: Ibrahim Ethem Hamamci, Sezgin Er, Chenyu Wang, Furkan Almas, Ayse Gulnihan Simsek, Sevval Nil Esirgun, Irem Dogan, Omer Faruk Durugol, Benjamin Hou, Suprosanna Shit, Weicheng Dai, Murong Xu, Hadrien Reynaud, Muhammed Furkan Dasdelen, Bastian Wittmann, Tamaz Amiranashvili, Enis Simsar, Mehmet Simsar, Emine Bensu Erdemir, Abdullah Alanbay, Anjany Sekuboyina, Berkan Lafci, Ahmet Kaplan, Zhiyong Lu, Malgorzata Polacin, Bernhard Kainz, Christian Bluethgen, Kayhan Batmanghelich, Mehmet Kemal Ozdemir, Bjoern Menze</w:t>
        <w:br/>
      </w:r>
      <w:r>
        <w:rPr>
          <w:rFonts w:ascii="Times New Roman" w:hAnsi="Times New Roman" w:eastAsia="宋体"/>
          <w:sz w:val="21"/>
        </w:rPr>
        <w:t xml:space="preserve">时间: 2026-02-12 | </w:t>
      </w:r>
      <w:r>
        <w:t xml:space="preserve">链接: </w:t>
      </w:r>
      <w:hyperlink r:id="rId36">
        <w:r>
          <w:rPr>
            <w:rFonts w:ascii="Times New Roman" w:hAnsi="Times New Roman" w:eastAsia="宋体"/>
            <w:color w:val="0000FF"/>
            <w:sz w:val="21"/>
            <w:u w:val="single"/>
          </w:rPr>
          <w:t>https://doi.org/10.1038/s41551-025-01599-y</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由于缺乏综合数据集，医学成像人工智能（特别是 3D 成像）的进步受到限制。我们引入了 CT-RATE，这是一个将 3D 医学图像与相应文本报告配对的公共数据集。 CT-RATE 包含来自 21,304 名独特患者的 25,692 张非对比 3D 胸部 CT 扫描。每次扫描都附有相应的放射学报告。利用 CT-RATE，我们开发了 CT-CLIP，这是一种以 CT 为中心的对比语言图像预训练框架，专为广泛应用而设计，无需进行特定于任务的训练。我们演示了 CT-CLIP 如何用于多重异常检测和案例检索，并在所有关键指标上优于最先进的完全监督模型。通过将 CT-CLIP 的视觉编码器与预训练的大型语言模型相结合，我们创建了 CT-CHAT，这是一种用于 3D 胸部 CT 体积的视觉语言基础聊天模型。 CT-CHAT 对来自 CT-RATE 数据集的超过 270 万个问答对进行了微调，强调了 3D 医学成像中专业方法的必要性。总的来说，CT-RATE、CT-CLIP 和 CT-CHAT 的开源版本不仅解决了 3D 医学成像中的关键挑战，而且还为未来医疗 AI 创新和改善患者护理奠定了基础。</w:t>
      </w:r>
    </w:p>
    <w:p>
      <w:pPr>
        <w:spacing w:before="120"/>
      </w:pPr>
      <w:r>
        <w:rPr>
          <w:rFonts w:ascii="Times New Roman" w:hAnsi="Times New Roman" w:eastAsia="宋体"/>
          <w:b/>
          <w:sz w:val="21"/>
        </w:rPr>
        <w:t>English Abstract:</w:t>
      </w:r>
    </w:p>
    <w:p>
      <w:r>
        <w:rPr>
          <w:rFonts w:ascii="Times New Roman" w:hAnsi="Times New Roman" w:eastAsia="宋体"/>
          <w:sz w:val="21"/>
        </w:rPr>
        <w:t>Advancements in medical imaging AI, particularly in 3D imaging, have been limited due to the scarcity of comprehensive datasets. We introduce CT-RATE, a public dataset that pairs 3D medical images with corresponding textual reports. CT-RATE comprises 25,692 non-contrast 3D chest CT scans from 21,304 unique patients. Each scan is accompanied by its corresponding radiology report. Leveraging CT-RATE, we develop CT-CLIP, a CT-focused contrastive language-image pretraining framework designed for broad applications without the need for task-specific training. We demonstrate how CT-CLIP can be used in multi-abnormality detection and case retrieval, and outperforms state-of-the-art fully supervised models across all key metrics. By combining CT-CLIP's vision encoder with a pretrained large language model, we create CT-CHAT, a vision-language foundational chat model for 3D chest CT volumes. Finetuned on over 2.7 million question-answer pairs derived from the CT-RATE dataset, CT-CHAT underscores the necessity for specialized methods in 3D medical imaging. Collectively, the open-source release of CT-RATE, CT-CLIP, and CT-CHAT not only addresses critical challenges in 3D medical imaging but also lays the groundwork for future innovations in medical AI and improved patient care.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Light: Advanced Manufacturing</w:t>
      </w:r>
    </w:p>
    <w:p>
      <w:pPr>
        <w:jc w:val="center"/>
      </w:pPr>
      <w:r>
        <w:t>--- 更新: 00:29 ---</w:t>
      </w:r>
    </w:p>
    <w:p>
      <w:pPr>
        <w:pStyle w:val="Heading2"/>
      </w:pPr>
      <w:r/>
      <w:r>
        <w:rPr>
          <w:rFonts w:ascii="Times New Roman" w:hAnsi="Times New Roman" w:eastAsia="宋体"/>
          <w:b/>
          <w:color w:val="000000"/>
          <w:sz w:val="24"/>
        </w:rPr>
        <w:t>多面体自由棱镜表面位置评价方法的开发</w:t>
      </w:r>
    </w:p>
    <w:p>
      <w:r>
        <w:rPr>
          <w:rFonts w:ascii="Times New Roman" w:hAnsi="Times New Roman" w:eastAsia="宋体"/>
          <w:b/>
          <w:color w:val="003264"/>
          <w:sz w:val="24"/>
        </w:rPr>
        <w:t>Development of a surface position evaluation method for polyhedral freeform prisms</w:t>
      </w:r>
    </w:p>
    <w:p>
      <w:r>
        <w:rPr>
          <w:rFonts w:ascii="Times New Roman" w:hAnsi="Times New Roman" w:eastAsia="宋体"/>
          <w:sz w:val="21"/>
        </w:rPr>
        <w:t>作者: Tomofumi Morishita, Tatsuya Sakuma, Koji Handa, Akihiko Sugino</w:t>
        <w:br/>
      </w:r>
      <w:r>
        <w:rPr>
          <w:rFonts w:ascii="Times New Roman" w:hAnsi="Times New Roman" w:eastAsia="宋体"/>
          <w:sz w:val="21"/>
        </w:rPr>
        <w:t xml:space="preserve">时间: 2026 | </w:t>
      </w:r>
      <w:r>
        <w:t xml:space="preserve">链接: </w:t>
      </w:r>
      <w:hyperlink r:id="rId37">
        <w:r>
          <w:rPr>
            <w:rFonts w:ascii="Times New Roman" w:hAnsi="Times New Roman" w:eastAsia="宋体"/>
            <w:color w:val="0000FF"/>
            <w:sz w:val="21"/>
            <w:u w:val="single"/>
          </w:rPr>
          <w:t>https://doi.org/10.37188/lam.2026.034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Applied Optics</w:t>
      </w:r>
    </w:p>
    <w:p>
      <w:pPr>
        <w:jc w:val="center"/>
      </w:pPr>
      <w:r>
        <w:t>--- 更新: 00:30 ---</w:t>
      </w:r>
    </w:p>
    <w:p>
      <w:pPr>
        <w:pStyle w:val="Heading2"/>
      </w:pPr>
      <w:r/>
      <w:r>
        <w:rPr>
          <w:rFonts w:ascii="Times New Roman" w:hAnsi="Times New Roman" w:eastAsia="宋体"/>
          <w:b/>
          <w:color w:val="000000"/>
          <w:sz w:val="24"/>
        </w:rPr>
        <w:t>用于产生扁平和宽带超连续谱的液体填充悬芯光纤</w:t>
      </w:r>
    </w:p>
    <w:p>
      <w:r>
        <w:rPr>
          <w:rFonts w:ascii="Times New Roman" w:hAnsi="Times New Roman" w:eastAsia="宋体"/>
          <w:b/>
          <w:color w:val="003264"/>
          <w:sz w:val="24"/>
        </w:rPr>
        <w:t>Liquid-filled suspended-core fibers for flat and broadband supercontinuum generation</w:t>
      </w:r>
    </w:p>
    <w:p>
      <w:r>
        <w:rPr>
          <w:rFonts w:ascii="Times New Roman" w:hAnsi="Times New Roman" w:eastAsia="宋体"/>
          <w:sz w:val="21"/>
        </w:rPr>
        <w:t>作者: Bao Tran Le Tran, Khoa Dinh Xuan, Dung Nguyen Tien, Thuan Binh Dinh, Thuy Do Thanh, Vinh Doan The Ngo, Trung Le Canh</w:t>
        <w:br/>
      </w:r>
      <w:r>
        <w:rPr>
          <w:rFonts w:ascii="Times New Roman" w:hAnsi="Times New Roman" w:eastAsia="宋体"/>
          <w:sz w:val="21"/>
        </w:rPr>
        <w:t xml:space="preserve">时间: 2026-02-09 | </w:t>
      </w:r>
      <w:r>
        <w:t xml:space="preserve">链接: </w:t>
      </w:r>
      <w:hyperlink r:id="rId38">
        <w:r>
          <w:rPr>
            <w:rFonts w:ascii="Times New Roman" w:hAnsi="Times New Roman" w:eastAsia="宋体"/>
            <w:color w:val="0000FF"/>
            <w:sz w:val="21"/>
            <w:u w:val="single"/>
          </w:rPr>
          <w:t>https://doi.org/10.1364/ao.581818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这项工作介绍了一种基于液体渗透悬浮芯光纤（SCF）的超连续谱（SC）产生的色散工程技术，无需修改光纤几何形状即可实现高效的光谱控制。带有气孔的 SCF 结构充满了水，在很宽的波长范围内表现出平坦的反常色散。对于相干 SC 生成，具有相同芯直径 1.7 µm 的乙醇填充光纤被认为可将色散曲线移向正常色散区域。所得的色散分布显示数值模拟和实验数据之间具有良好的一致性。随后采用广义非线性薛定谔方程（GNLSE）来研究泵浦脉冲参数对 SC 演化的影响。该模拟研究了在 10 cm 光纤中以 1030 nm 波长泵浦时 SC 如何随泵浦峰值功率和脉冲宽度变化。当 1030 nm 波长处的泵浦峰值功率从 5 kW 上升到 30 kW 时，观察到 SC 光谱变宽。对于较短的脉冲宽度（范围为 200 至 50 fs），同样的趋势仍然存在。值得注意的是，所提出的充水 SCF 在异常状态下产生从 674 到 1918 nm 的宽光谱。同时，在全正向分散乙醇填充光纤中获得了从757 nm到1400 nm的平坦SC光谱。这些发现证明了液体渗透作为超临界流体扩散控制的实验可用工具的有效性，并为红外超临界光源提供了新的见解。</w:t>
      </w:r>
    </w:p>
    <w:p>
      <w:pPr>
        <w:spacing w:before="120"/>
      </w:pPr>
      <w:r>
        <w:rPr>
          <w:rFonts w:ascii="Times New Roman" w:hAnsi="Times New Roman" w:eastAsia="宋体"/>
          <w:b/>
          <w:sz w:val="21"/>
        </w:rPr>
        <w:t>English Abstract:</w:t>
      </w:r>
    </w:p>
    <w:p>
      <w:r>
        <w:rPr>
          <w:rFonts w:ascii="Times New Roman" w:hAnsi="Times New Roman" w:eastAsia="宋体"/>
          <w:sz w:val="21"/>
        </w:rPr>
        <w:t>This work introduces a dispersion engineering technology for supercontinuum (SC) generation based on liquid-infiltrated suspended core fibers (SCFs), enabling efficient spectral control without modifying the fiber geometry. An SCF structure with air holes is filled with water, demonstrating a flat anomalous dispersion in a wide wavelength range. For coherent SC generation, an ethanol-filled fiber with the same core diameter of 1.7 µm is considered to shift the dispersion curves toward the normal dispersion region. The resulting dispersion profiles show good agreement between numerical simulations and experimental data. The generalized nonlinear Schrödinger equation (GNLSE) is subsequently employed to investigate the influence of pump pulse parameters on SC evolution. The simulations investigate how SC changes with pump peak power and pulse width in a 10 cm fiber when pumped at a wavelength of 1030 nm. A broadening of the SC spectrum is observed as the pump peak power at a wavelength of 1030 nm rises from 5 to 30 kW. The same trend persists for shorter pulse widths, ranging from 200 to 50 fs. Notably, the proposed water-filled SCF generates a broad spectrum spanning from 674 to 1918 nm in the anomalous regimes. Meanwhile, the generation of a flat SC spectrum from 757 to 1400 nm is obtained in the all-normal dispersion ethanol-filled fiber. These findings demonstrate the effectiveness of liquid infiltration as an experimentally accessible tool for dispersion control in SCFs, and provide new insights for infrared SC sources.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高功率受激布里渊放大合束系统混合空间操纵方法</w:t>
      </w:r>
    </w:p>
    <w:p>
      <w:r>
        <w:rPr>
          <w:rFonts w:ascii="Times New Roman" w:hAnsi="Times New Roman" w:eastAsia="宋体"/>
          <w:b/>
          <w:color w:val="003264"/>
          <w:sz w:val="24"/>
        </w:rPr>
        <w:t>Hybrid spatial manipulation method on the high-power stimulated Brillouin amplification beam combining system</w:t>
      </w:r>
    </w:p>
    <w:p>
      <w:r>
        <w:rPr>
          <w:rFonts w:ascii="Times New Roman" w:hAnsi="Times New Roman" w:eastAsia="宋体"/>
          <w:sz w:val="21"/>
        </w:rPr>
        <w:t>作者: Can Cui, Yue Wang, Yongkang Dong, Yulei Wang, Zhiwei Lü</w:t>
        <w:br/>
      </w:r>
      <w:r>
        <w:rPr>
          <w:rFonts w:ascii="Times New Roman" w:hAnsi="Times New Roman" w:eastAsia="宋体"/>
          <w:sz w:val="21"/>
        </w:rPr>
        <w:t xml:space="preserve">时间: 2026-02-11 | </w:t>
      </w:r>
      <w:r>
        <w:t xml:space="preserve">链接: </w:t>
      </w:r>
      <w:hyperlink r:id="rId39">
        <w:r>
          <w:rPr>
            <w:rFonts w:ascii="Times New Roman" w:hAnsi="Times New Roman" w:eastAsia="宋体"/>
            <w:color w:val="0000FF"/>
            <w:sz w:val="21"/>
            <w:u w:val="single"/>
          </w:rPr>
          <w:t>https://doi.org/10.1364/ao.587186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受激布里渊放大（SBA）的激光束组合有望获得广泛的应用，因为它不仅可以通过多泵浦能量转移提高脉冲激光的功率，而且还可以对不同目标光束轮廓（例如方形或圆形平顶光束）进行主动空间强度操纵过程。在本文中，为了进一步提高输出激光束强度，据我们所知，首次提出了一种将结构和光束强度优化相结合的混合空间操纵方法。基于SBA合束模型的仿真结果，实验性地从初始高斯光束轮廓实现了空间强度调制指数M=1.42的圆形平顶合束输出。同时，五光束合束系统的峰值强度从最初的200MW/cm 2 提高到超过1GW/cm 2 ，合束效率达到78.5%。这种混合操纵方法为SBA合束系统在材料加工和拍瓦激光泵浦等领域实现数十焦耳级重复纳秒激光脉冲输出的实际应用铺平了道路。</w:t>
      </w:r>
    </w:p>
    <w:p>
      <w:pPr>
        <w:spacing w:before="120"/>
      </w:pPr>
      <w:r>
        <w:rPr>
          <w:rFonts w:ascii="Times New Roman" w:hAnsi="Times New Roman" w:eastAsia="宋体"/>
          <w:b/>
          <w:sz w:val="21"/>
        </w:rPr>
        <w:t>English Abstract:</w:t>
      </w:r>
    </w:p>
    <w:p>
      <w:r>
        <w:rPr>
          <w:rFonts w:ascii="Times New Roman" w:hAnsi="Times New Roman" w:eastAsia="宋体"/>
          <w:sz w:val="21"/>
        </w:rPr>
        <w:t>Laser beam combining based on stimulated Brillouin amplification (SBA) promises numerous applications, since it can not only boost the power of the pulsed laser from multi-pump energy transfer but also permit the active spatial intensity manipulation process for the diverse-targeted beam profile, such as a square or round flat-top beam. In this paper, in order to further enhance the output laser beam intensity, a hybrid spatial manipulation method, which combines the structure and beam intensity optimization, has been proposed for the first time, to our knowledge. Based on the simulation results of the SBA beam combining models, a round flat-top combined output with a spatial intensity modulation index of M =1.42 is realized from an initially Gaussian beam profile experimentally. Simultaneously, the peak intensity, from initially 200MW/cm 2 to exceeding 1GW/cm 2 , was obtained in the five-beam-combining system, with the combining efficiency reaching 78.5%. This hybrid manipulation method paved the way for practical application of SBA beam combining systems towards tens-of-joule-level repetitive nanosecond laser pulse output in the field of material processing and petawatt laser pumping, etc.</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自监督实噪声融合红外小目标检测网络</w:t>
      </w:r>
    </w:p>
    <w:p>
      <w:r>
        <w:rPr>
          <w:rFonts w:ascii="Times New Roman" w:hAnsi="Times New Roman" w:eastAsia="宋体"/>
          <w:b/>
          <w:color w:val="003264"/>
          <w:sz w:val="24"/>
        </w:rPr>
        <w:t>Self-supervised real-noise fusion infrared small target detection network</w:t>
      </w:r>
    </w:p>
    <w:p>
      <w:r>
        <w:rPr>
          <w:rFonts w:ascii="Times New Roman" w:hAnsi="Times New Roman" w:eastAsia="宋体"/>
          <w:sz w:val="21"/>
        </w:rPr>
        <w:t>作者: Sheng Huang, Tianyou Wu, Jipeng Guo, Jie Wang, Dong Liu</w:t>
        <w:br/>
      </w:r>
      <w:r>
        <w:rPr>
          <w:rFonts w:ascii="Times New Roman" w:hAnsi="Times New Roman" w:eastAsia="宋体"/>
          <w:sz w:val="21"/>
        </w:rPr>
        <w:t xml:space="preserve">时间: 2026-02-11 | </w:t>
      </w:r>
      <w:r>
        <w:t xml:space="preserve">链接: </w:t>
      </w:r>
      <w:hyperlink r:id="rId84">
        <w:r>
          <w:rPr>
            <w:rFonts w:ascii="Times New Roman" w:hAnsi="Times New Roman" w:eastAsia="宋体"/>
            <w:color w:val="0000FF"/>
            <w:sz w:val="21"/>
            <w:u w:val="single"/>
          </w:rPr>
          <w:t>https://doi.org/10.1364/ao.583720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红外小目标检测（IRSTD）在空中监视、国防和灾害监测等应用中发挥着至关重要的作用。然而，由于数据稀缺以及现实场景中目标尺度和位置的显着变化，现有的检测模型往往泛化能力和定位精度有限。为了解决这些问题，本文提出了一种用于红外小目标检测的自监督实噪声融合网络。具体来说，我们引入了一种真实噪声采样和融合机制，可以从原始红外图像中提取真实的背景噪声并将其集成到训练样本中，从而产生更真实的合成数据。此外，引入负样本增强策略，以更大的多样性和难度来丰富负样本，缓解数据集多样性有限的问题。为了进一步增强模型对尺度和位置变化的敏感性，设计了复合动态尺度和位置敏感（DSLS）损失。此外，在多尺度预测输出中采用了自监督优化方案。对两个公共红外小目标数据集的大量实验验证了所提出方法的有效性。与目前领先的方法DNANet相比，该方法的IoU分别提高了7.04%和1.49%，检测率分别提高了0.91%和0.96%。这些结果证明了该框架在小样本条件下具有优异的泛化和定位能力，以及对目标尺度和位置变化的强大适应性。</w:t>
      </w:r>
    </w:p>
    <w:p>
      <w:pPr>
        <w:spacing w:before="120"/>
      </w:pPr>
      <w:r>
        <w:rPr>
          <w:rFonts w:ascii="Times New Roman" w:hAnsi="Times New Roman" w:eastAsia="宋体"/>
          <w:b/>
          <w:sz w:val="21"/>
        </w:rPr>
        <w:t>English Abstract:</w:t>
      </w:r>
    </w:p>
    <w:p>
      <w:r>
        <w:rPr>
          <w:rFonts w:ascii="Times New Roman" w:hAnsi="Times New Roman" w:eastAsia="宋体"/>
          <w:sz w:val="21"/>
        </w:rPr>
        <w:t>Infrared small target detection (IRSTD) plays a crucial role in applications including, but not limited to, aerial surveillance, national defense, and disaster monitoring. However, existing detection models often suffer from limited generalization capability and localization accuracy due to data scarcity and significant variations in targets’ scales and positions in real-world scenarios. To address these issues, this paper proposes a self-supervised real-noise fusion network for infrared small target detection. Specifically, we introduce a real-noise sampling and fusion mechanism that extracts authentic background noise from raw infrared imagery and integrates it into training samples, thereby producing more realistic synthetic data. Furthermore, a negative sample augmentation strategy is introduced to enrich negative samples with greater diversity and difficulty, alleviating the issue of limited dataset diversity. To further enhance the model’s sensitivity to scale and location variations, a composite dynamic scale and location sensitive (DSLS) loss is designed. Additionally, a self-supervised optimization scheme is employed across multi-scale prediction outputs. Extensive experiments on two public infrared small target datasets validate the effectiveness of the proposed approach. Compared with the current leading method, DNANet, the proposed method achieves IoU improvements of 7.04% and 1.49% and detection rate increases of 0.91% and 0.96%, respectively. These results demonstrate the superior generalization and localization capability of the proposed framework under small-sample conditions, as well as its strong adaptability to variations in targets’ scales and positions.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Express</w:t>
      </w:r>
    </w:p>
    <w:p>
      <w:pPr>
        <w:jc w:val="center"/>
      </w:pPr>
      <w:r>
        <w:t>--- 更新: 00:30 ---</w:t>
      </w:r>
    </w:p>
    <w:p>
      <w:pPr>
        <w:pStyle w:val="Heading2"/>
      </w:pPr>
      <w:r/>
      <w:r>
        <w:rPr>
          <w:rFonts w:ascii="Times New Roman" w:hAnsi="Times New Roman" w:eastAsia="宋体"/>
          <w:b/>
          <w:color w:val="000000"/>
          <w:sz w:val="24"/>
        </w:rPr>
        <w:t>适用于光学 I/O 应用的紧凑型单片高功率窄线宽多波长 DFB 激光器阵列</w:t>
      </w:r>
    </w:p>
    <w:p>
      <w:r>
        <w:rPr>
          <w:rFonts w:ascii="Times New Roman" w:hAnsi="Times New Roman" w:eastAsia="宋体"/>
          <w:b/>
          <w:color w:val="003264"/>
          <w:sz w:val="24"/>
        </w:rPr>
        <w:t>Compact monolithic high-power narrow-linewidth multi-wavelength DFB laser array for optical I/O applications</w:t>
      </w:r>
    </w:p>
    <w:p>
      <w:r>
        <w:rPr>
          <w:rFonts w:ascii="Times New Roman" w:hAnsi="Times New Roman" w:eastAsia="宋体"/>
          <w:sz w:val="21"/>
        </w:rPr>
        <w:t>作者: Yue Zhang, Shenghong Xie, Zhenxing Sun, Rulei Xiao, Yuechun Shi, Xiangfei Chen</w:t>
        <w:br/>
      </w:r>
      <w:r>
        <w:rPr>
          <w:rFonts w:ascii="Times New Roman" w:hAnsi="Times New Roman" w:eastAsia="宋体"/>
          <w:sz w:val="21"/>
        </w:rPr>
        <w:t xml:space="preserve">时间: 2026-02-05 | </w:t>
      </w:r>
      <w:r>
        <w:t xml:space="preserve">链接: </w:t>
      </w:r>
      <w:hyperlink r:id="rId40">
        <w:r>
          <w:rPr>
            <w:rFonts w:ascii="Times New Roman" w:hAnsi="Times New Roman" w:eastAsia="宋体"/>
            <w:color w:val="0000FF"/>
            <w:sz w:val="21"/>
            <w:u w:val="single"/>
          </w:rPr>
          <w:t>https://doi.org/10.1364/oe.587554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我们提出并通过实验演示了一种间距为 300 GHz 的紧凑型单片四波长分布式反馈 (DFB) 激光器阵列，具有高输出功率和出色的功率均匀性。激光器并联连接，两级 Y 分支组合器有效地合并四个波长。集成半导体光放大器 (SOA) 进一步提高了输出功率。重构等效线性调频 (REC) 技术可实现精确的波长控制，而平板耦合光波导 (SCOW) 结构可最大限度地减少内部损耗，并在更宽的脊形波导下保持单模操作。采用增透膜（AR）和高反射​​膜（HR）来提高输出效率。实验结果表明，每个波长的输出功率超过100 mW，波长偏差低于0.039 nm，边模抑制比高于35 dB，线宽低于530 kHz。相对强度噪声 (RIN) 保持在 -145 dB/Hz 以下，并且使用外部 LiNbO 3 Mach-Zehnder 调制器获得清晰的 25 Gb/s NRZ 眼图。这些结果证实了所提出的激光阵列是一种有前景的高功率、窄线宽和功率平衡光源，适用于 DWDM 光学 I/O 应用。</w:t>
      </w:r>
    </w:p>
    <w:p>
      <w:pPr>
        <w:spacing w:before="120"/>
      </w:pPr>
      <w:r>
        <w:rPr>
          <w:rFonts w:ascii="Times New Roman" w:hAnsi="Times New Roman" w:eastAsia="宋体"/>
          <w:b/>
          <w:sz w:val="21"/>
        </w:rPr>
        <w:t>English Abstract:</w:t>
      </w:r>
    </w:p>
    <w:p>
      <w:r>
        <w:rPr>
          <w:rFonts w:ascii="Times New Roman" w:hAnsi="Times New Roman" w:eastAsia="宋体"/>
          <w:sz w:val="21"/>
        </w:rPr>
        <w:t>We propose and experimentally demonstrate a compact monolithic four-wavelength distributed feedback (DFB) laser array with 300 GHz spacing, featuring high output power and excellent power uniformity. The lasers are connected in parallel, and a two-stage Y-branch combiner efficiently merges the four wavelengths. An integrated semiconductor optical amplifier (SOA) further boosts the output power. The reconstruction equivalent chirp (REC) technique enables precise wavelength control, while the slab-coupled optical waveguide (SCOW) structure minimizes internal losses and maintains single-mode operation under a wider ridge waveguide. Anti-reflection (AR) and high-reflection (HR) coatings are applied to enhance output efficiency. Experimental results show output powers exceeding 100 mW per wavelength, wavelength deviation below 0.039 nm, side-mode suppression ratios above 35 dB, and linewidths under 530 kHz. The relative intensity noise (RIN) remains below −145 dB/Hz, and clear 25 Gb/s NRZ eye diagrams are obtained using an external LiNbO 3 Mach–Zehnder modulator. These results confirm the proposed laser array as a promising high-power, narrow-linewidth, and power-balanced light source for DWDM optical I/O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使用多模态结构的具有准椭圆响应的全平面高阶频率选择表面</w:t>
      </w:r>
    </w:p>
    <w:p>
      <w:r>
        <w:rPr>
          <w:rFonts w:ascii="Times New Roman" w:hAnsi="Times New Roman" w:eastAsia="宋体"/>
          <w:b/>
          <w:color w:val="003264"/>
          <w:sz w:val="24"/>
        </w:rPr>
        <w:t>Fully planar high-order frequency selective surface with quasi-elliptical response using multimodal structure</w:t>
      </w:r>
    </w:p>
    <w:p>
      <w:r>
        <w:rPr>
          <w:rFonts w:ascii="Times New Roman" w:hAnsi="Times New Roman" w:eastAsia="宋体"/>
          <w:sz w:val="21"/>
        </w:rPr>
        <w:t>作者: Zhenlin Li, Yin Li, Ruixiang Liao, Sai-Wai Wong, Ming Fu, Ying Mei, Hao Chen, Muhammad Rizwan Anjum</w:t>
        <w:br/>
      </w:r>
      <w:r>
        <w:rPr>
          <w:rFonts w:ascii="Times New Roman" w:hAnsi="Times New Roman" w:eastAsia="宋体"/>
          <w:sz w:val="21"/>
        </w:rPr>
        <w:t xml:space="preserve">时间: 2026-01-28 | </w:t>
      </w:r>
      <w:r>
        <w:t xml:space="preserve">链接: </w:t>
      </w:r>
      <w:hyperlink r:id="rId41">
        <w:r>
          <w:rPr>
            <w:rFonts w:ascii="Times New Roman" w:hAnsi="Times New Roman" w:eastAsia="宋体"/>
            <w:color w:val="0000FF"/>
            <w:sz w:val="21"/>
            <w:u w:val="single"/>
          </w:rPr>
          <w:t>https://doi.org/10.1364/oe.588048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我们提出并通过实验证明了一种基于多模谐振器（MMR）的全平面高阶频率选择表面（FSS），其具有准椭圆带通响应，其特征在于通带边缘附近的有限频率传输零点。在我们的设计中，这些 TZ 是通过实现由耦合矩阵公式合成和引导的交叉耦合路径来实现的。所提出的单元采用谐振器-双模谐振器配置，充当高阶滤波器，外形小，选择性高。进一步利用耦合矩阵理论阐明了其工作机制并分析了传输和反射特性，表明可以通过增加谐振器阶数和耦合路径数量来提高滤波性能。制作并测量了平面原型，其具有四个传输极点和两个传输零点，与仿真非常吻合。该结构实现了 11.5% 的 3dB 分数带宽 (FBW)，总厚度仅为 0.14 λ 0 ，同时保持低插入损耗并实现简单、低成本的制造。</w:t>
      </w:r>
    </w:p>
    <w:p>
      <w:pPr>
        <w:spacing w:before="120"/>
      </w:pPr>
      <w:r>
        <w:rPr>
          <w:rFonts w:ascii="Times New Roman" w:hAnsi="Times New Roman" w:eastAsia="宋体"/>
          <w:b/>
          <w:sz w:val="21"/>
        </w:rPr>
        <w:t>English Abstract:</w:t>
      </w:r>
    </w:p>
    <w:p>
      <w:r>
        <w:rPr>
          <w:rFonts w:ascii="Times New Roman" w:hAnsi="Times New Roman" w:eastAsia="宋体"/>
          <w:sz w:val="21"/>
        </w:rPr>
        <w:t>We propose and experimentally demonstrate a fully planar high-order frequency selective surface (FSS) based on multimode resonators (MMRs) with a quasi-elliptic bandpass response characterized by finite-frequency transmission zeros near the passband edges. In our design, these TZs are realized by implementing cross-coupling paths synthesized and guided by a coupling-matrix formulation. The proposed unit cell adopts a resonator–dual-mode–resonator configuration, functioning as a high-order filter low profile, and high selectivity. Coupling-matrix theory is further employed to elucidate the operating mechanism and to analyze the transmission and reflection characteristics, indicating that the filtering performance can be improved by increasing the resonator order and the number of coupling paths. A planar prototype is fabricated and measured, exhibiting four transmission poles and two transmission zeros in good agreement with simulations. The structure achieves a 3-dB fractional bandwidth (FBW) of 11.5% with an overall thickness of only 0.14 λ 0 , while maintaining low insertion loss and enabling simple, low-cost fabrication.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大气和水光学特性观测高光谱仪器的设计与验证</w:t>
      </w:r>
    </w:p>
    <w:p>
      <w:r>
        <w:rPr>
          <w:rFonts w:ascii="Times New Roman" w:hAnsi="Times New Roman" w:eastAsia="宋体"/>
          <w:b/>
          <w:color w:val="003264"/>
          <w:sz w:val="24"/>
        </w:rPr>
        <w:t>Design and verification of a hyperspectral instrument for atmospheric and water optical properties observations</w:t>
      </w:r>
    </w:p>
    <w:p>
      <w:r>
        <w:rPr>
          <w:rFonts w:ascii="Times New Roman" w:hAnsi="Times New Roman" w:eastAsia="宋体"/>
          <w:sz w:val="21"/>
        </w:rPr>
        <w:t>作者: Xinhao Shi, Shuguo Chen</w:t>
        <w:br/>
      </w:r>
      <w:r>
        <w:rPr>
          <w:rFonts w:ascii="Times New Roman" w:hAnsi="Times New Roman" w:eastAsia="宋体"/>
          <w:sz w:val="21"/>
        </w:rPr>
        <w:t xml:space="preserve">时间: 2026-02-02 | </w:t>
      </w:r>
      <w:r>
        <w:t xml:space="preserve">链接: </w:t>
      </w:r>
      <w:hyperlink r:id="rId42">
        <w:r>
          <w:rPr>
            <w:rFonts w:ascii="Times New Roman" w:hAnsi="Times New Roman" w:eastAsia="宋体"/>
            <w:color w:val="0000FF"/>
            <w:sz w:val="21"/>
            <w:u w:val="single"/>
          </w:rPr>
          <w:t>https://doi.org/10.1364/oe.583507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对大气和水光学特性的长期、连续现场观测对于了解气候变化的影响、揭示大气物质传输路径以及研究海气相互作用至关重要。对于海洋颜色卫星传感器来说，持续的原位测量对于支持其在轨校准、高级数据产品的验证以及数据处理算法的开发至关重要。这项研究提出了我们认为是一种新型自主仪器，称为高光谱太阳光度计（HSP），专为长期、连续、同步测量大气和水的光学特性而设计。 HSP 可在 400–1020 nm 光谱范围内进行测量，光谱分辨率为 1 nm。通过与CE-318 T太阳光度计的比较观察来评估HSP的性能。结果表明，在可见光谱范围内，HSP和CE-318 T在共同波长下取得了一致的结果：气溶胶光学深度（AOD）差异在7%以内，而出水辐射率在667 nm处的最大差异仅为4.74%。不同目标的 HSP 观测的时间稳定性验证了其操作稳健性。综上所述，HSP可以作为大气和水光学特性同步原位测量的稳定仪器。</w:t>
      </w:r>
    </w:p>
    <w:p>
      <w:pPr>
        <w:spacing w:before="120"/>
      </w:pPr>
      <w:r>
        <w:rPr>
          <w:rFonts w:ascii="Times New Roman" w:hAnsi="Times New Roman" w:eastAsia="宋体"/>
          <w:b/>
          <w:sz w:val="21"/>
        </w:rPr>
        <w:t>English Abstract:</w:t>
      </w:r>
    </w:p>
    <w:p>
      <w:r>
        <w:rPr>
          <w:rFonts w:ascii="Times New Roman" w:hAnsi="Times New Roman" w:eastAsia="宋体"/>
          <w:sz w:val="21"/>
        </w:rPr>
        <w:t>Long-term, continuous in-situ observations of atmospheric and water optical properties are crucial for understanding the impacts of climate change, revealing pathways of atmospheric material transport, and studying air-sea interactions. For ocean color satellite sensors, sustained in-situ measurements are crucial in supporting their on-orbit calibration, the validation of high-level data products, and the development of data processing algorithms. This study presents what we believe to be a novel autonomous instrument called the hyperspectral sun photometer (HSP) designed for long-term, continuous, and synchronous measurement of atmospheric and water optical properties. The HSP delivers measurements across the 400–1020 nm spectral range with a spectral resolution of 1 nm. The performance of the HSP was evaluated through comparative observations with the CE-318 T sun photometer. The results demonstrate that within the visible spectrum, the HSP and CE-318 T achieve consistent results at common wavelengths: the discrepancy in aerosol optical depth (AOD) is within 7%, while the maximum difference in water-leaving radiance is only 4.74% at 667 nm. The temporal stability of HSP observations for different targets verifies its operational robustness. In summary, the HSP can serve as a stable instrument for the synchronous in-situ measurement of atmospheric and water optical properties.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用于中红外应用的 GeSbSNa 玻璃内超快激光诱导折射率调谐</w:t>
      </w:r>
    </w:p>
    <w:p>
      <w:r>
        <w:rPr>
          <w:rFonts w:ascii="Times New Roman" w:hAnsi="Times New Roman" w:eastAsia="宋体"/>
          <w:b/>
          <w:color w:val="003264"/>
          <w:sz w:val="24"/>
        </w:rPr>
        <w:t>Ultrafast laser-induced refractive index tuning inside GeSbSNa glasses for mid-IR applications</w:t>
      </w:r>
    </w:p>
    <w:p>
      <w:r>
        <w:rPr>
          <w:rFonts w:ascii="Times New Roman" w:hAnsi="Times New Roman" w:eastAsia="宋体"/>
          <w:sz w:val="21"/>
        </w:rPr>
        <w:t>作者: Heng Yao, Julien Ari, Diego Pugliese, Marc Dussauze, Jianrong Qiu, Matthieu Lancry</w:t>
        <w:br/>
      </w:r>
      <w:r>
        <w:rPr>
          <w:rFonts w:ascii="Times New Roman" w:hAnsi="Times New Roman" w:eastAsia="宋体"/>
          <w:sz w:val="21"/>
        </w:rPr>
        <w:t xml:space="preserve">时间: 2026-01-30 | </w:t>
      </w:r>
      <w:r>
        <w:t xml:space="preserve">链接: </w:t>
      </w:r>
      <w:hyperlink r:id="rId43">
        <w:r>
          <w:rPr>
            <w:rFonts w:ascii="Times New Roman" w:hAnsi="Times New Roman" w:eastAsia="宋体"/>
            <w:color w:val="0000FF"/>
            <w:sz w:val="21"/>
            <w:u w:val="single"/>
          </w:rPr>
          <w:t>https://doi.org/10.1364/oe.583039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飞秒激光直写 (FLDW) 可在透明材料内实现精确的三维 (3D) 结构，为集成光子学提供多功能平台。在这项工作中，我们研究了钠掺杂 GeSbS (GeSbSNa) 硫系玻璃在飞秒激光照射下的光响应，这是一个对中红外 (MIR) 应用感兴趣的系统，但在很大程度上尚未开发。通过定量相位显微镜，我们提取了作为成分和激光脉冲能量函数的折射率变化，实现了高达 62 弧度的相移和超过 0.05 的折射率对比度 ( Δn )，这是硫族化物系统报道的最高值之​​一。拉曼光谱揭示了局部结构重组，特别是从共享角到共享边的 GeS 4 四面体的转变，与激光诱导致密化一致。我们还通过等时退火评估改性的热稳定性，并将其与商业玻璃基准进行比较。总体而言，这些结果为评估 GeSbSNa 玻璃作为中红外光子集成的前景材料提供了定量基础，特别是在需要高光敏性和中等耐热性的情况下，尽管这里没有演示具体的器件。</w:t>
      </w:r>
    </w:p>
    <w:p>
      <w:pPr>
        <w:spacing w:before="120"/>
      </w:pPr>
      <w:r>
        <w:rPr>
          <w:rFonts w:ascii="Times New Roman" w:hAnsi="Times New Roman" w:eastAsia="宋体"/>
          <w:b/>
          <w:sz w:val="21"/>
        </w:rPr>
        <w:t>English Abstract:</w:t>
      </w:r>
    </w:p>
    <w:p>
      <w:r>
        <w:rPr>
          <w:rFonts w:ascii="Times New Roman" w:hAnsi="Times New Roman" w:eastAsia="宋体"/>
          <w:sz w:val="21"/>
        </w:rPr>
        <w:t>Femtosecond laser direct writing (FLDW) enables precise, three-dimensional (3D) structuring within transparent materials, offering a versatile platform for integrated photonics. In this work, we investigate the photo-response of sodium-doped GeSbS (GeSbSNa) chalcogenide glasses under femtosecond laser irradiation, a system of interest for mid-infrared (MIR) applications yet largely unexplored. Through quantitative phase microscopy, we extract refractive index changes as a function of composition and laser pulse energy, achieving phase shifts up to 62 radians and refractive index contrasts ( Δn ) exceeding 0.05—among the highest reported for chalcogenide systems. Raman spectroscopy reveals localized structural reorganizations, notably a transition from corner- to edge-sharing GeS 4 tetrahedra, consistent with laser-induced densification. We also evaluate the thermal stability of the modifications via isochronal annealing and compare them with commercial glass benchmarks. Overall, these results provide a quantitative basis for assessing GeSbSNa glasses as prospective materials for MIR photonic integration, particularly in contexts where both high photosensitivity and moderate thermal durability are desirable, even though no specific devices are demonstrated here.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基于单像素成像的近似缩略图保留加密</w:t>
      </w:r>
    </w:p>
    <w:p>
      <w:r>
        <w:rPr>
          <w:rFonts w:ascii="Times New Roman" w:hAnsi="Times New Roman" w:eastAsia="宋体"/>
          <w:b/>
          <w:color w:val="003264"/>
          <w:sz w:val="24"/>
        </w:rPr>
        <w:t>Approximate thumbnail-preserving encryption based on single-pixel imaging</w:t>
      </w:r>
    </w:p>
    <w:p>
      <w:r>
        <w:rPr>
          <w:rFonts w:ascii="Times New Roman" w:hAnsi="Times New Roman" w:eastAsia="宋体"/>
          <w:sz w:val="21"/>
        </w:rPr>
        <w:t>作者: Daili Wang, Dongming Huo, Yi Wei, Zongguang Ouyang, Ying Li, Yu Kou, Chao Yang, Zhenghua Hu, Sheng Yuan, Xin Zhou</w:t>
        <w:br/>
      </w:r>
      <w:r>
        <w:rPr>
          <w:rFonts w:ascii="Times New Roman" w:hAnsi="Times New Roman" w:eastAsia="宋体"/>
          <w:sz w:val="21"/>
        </w:rPr>
        <w:t xml:space="preserve">时间: 2026-01-30 | </w:t>
      </w:r>
      <w:r>
        <w:t xml:space="preserve">链接: </w:t>
      </w:r>
      <w:hyperlink r:id="rId44">
        <w:r>
          <w:rPr>
            <w:rFonts w:ascii="Times New Roman" w:hAnsi="Times New Roman" w:eastAsia="宋体"/>
            <w:color w:val="0000FF"/>
            <w:sz w:val="21"/>
            <w:u w:val="single"/>
          </w:rPr>
          <w:t>https://doi.org/10.1364/oe.583645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随着智能设备和互联网技术的快速发展，云端存储的视觉数据量急剧增加，对安全和隐私保护提出了严峻的挑战。传统的图像加密方法通常会产生难以查看的加密图像，从而阻止用户预览云端内容。缩略图保留加密 (TPE) 使加密图像能够保留视觉特征，从而在安全性和可用性之间取得平衡。大多数缩略图保留加密方案采用复杂的逐像素加密操作，其往往存在加密时间长、加密图像的感知质量低以及加密图像的文件扩展率高的问题。本文提出一种基于单像素成像的近似缩略图保留加密方案，简称TPE-SPI。该方案利用桶信号、散斑图案和目标图像的像素值以及它们之间的关系，通过对桶信号的简单处理来实现高效、安全的缩略图保留加密。与其他方案相比，TPE-SPI提供了更高的加密效率和更好的加密图像视觉质量，同时有效降低了加密图像的文件扩展率。</w:t>
      </w:r>
    </w:p>
    <w:p>
      <w:pPr>
        <w:spacing w:before="120"/>
      </w:pPr>
      <w:r>
        <w:rPr>
          <w:rFonts w:ascii="Times New Roman" w:hAnsi="Times New Roman" w:eastAsia="宋体"/>
          <w:b/>
          <w:sz w:val="21"/>
        </w:rPr>
        <w:t>English Abstract:</w:t>
      </w:r>
    </w:p>
    <w:p>
      <w:r>
        <w:rPr>
          <w:rFonts w:ascii="Times New Roman" w:hAnsi="Times New Roman" w:eastAsia="宋体"/>
          <w:sz w:val="21"/>
        </w:rPr>
        <w:t>With the rapid development of smart devices and Internet technology, the volume of visual data stored in the cloud has increased dramatically, posing severe challenges to security and privacy protection. Traditional image encryption methods often produce encrypted images that are difficult to view, preventing users from previewing content in the cloud. Thumbnail-preserving encryption (TPE) enables encrypted images to retain visual features, thereby striking a balance between security and usability. Most thumbnail-preserving encryption schemes employ complex pixel-wise encryption operations, which often suffer from long encryption times, low perceptual quality of the encrypted images, and a high file expansion rate of the encrypted image. This paper proposes an approximate thumbnail-preserving encryption scheme based on single-pixel imaging, referred to as TPE-SPI. The scheme utilizes the bucket signals, speckle patterns, and the pixel values of the target image, along with the relationships among them, to achieve efficient and secure thumbnail-preserving encryption through simple processing of the bucket signals. Compared to other schemes, TPE-SPI offers higher encryption efficiency and better visual quality of the encrypted image, while effectively reducing the file expansion rate of the encrypted image.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用于光学 I/O 技术的超过 300 mW O 波段 8 通道 DFB 激光阵列</w:t>
      </w:r>
    </w:p>
    <w:p>
      <w:r>
        <w:rPr>
          <w:rFonts w:ascii="Times New Roman" w:hAnsi="Times New Roman" w:eastAsia="宋体"/>
          <w:b/>
          <w:color w:val="003264"/>
          <w:sz w:val="24"/>
        </w:rPr>
        <w:t>Over 300 mW O-band 8-channel DFB laser array for optical I/O technology</w:t>
      </w:r>
    </w:p>
    <w:p>
      <w:r>
        <w:rPr>
          <w:rFonts w:ascii="Times New Roman" w:hAnsi="Times New Roman" w:eastAsia="宋体"/>
          <w:sz w:val="21"/>
        </w:rPr>
        <w:t>作者: Shenghong Xie, Bocang Qiu, Zhenxing Sun, Yinyin Hu, Yining Liang, Tongtong Yang, Feng Wang, Lianping Hou, Xiangfei Chen, Yuechun Shi</w:t>
        <w:br/>
      </w:r>
      <w:r>
        <w:rPr>
          <w:rFonts w:ascii="Times New Roman" w:hAnsi="Times New Roman" w:eastAsia="宋体"/>
          <w:sz w:val="21"/>
        </w:rPr>
        <w:t xml:space="preserve">时间: 2026-02-05 | </w:t>
      </w:r>
      <w:r>
        <w:t xml:space="preserve">链接: </w:t>
      </w:r>
      <w:hyperlink r:id="rId45">
        <w:r>
          <w:rPr>
            <w:rFonts w:ascii="Times New Roman" w:hAnsi="Times New Roman" w:eastAsia="宋体"/>
            <w:color w:val="0000FF"/>
            <w:sz w:val="21"/>
            <w:u w:val="single"/>
          </w:rPr>
          <w:t>https://doi.org/10.1364/oe.581698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演示了适用于光学 I/O 应用的高功率分布式反馈激光器阵列。该外延结构在N掺杂区域中加入了高折射率层，以改善单横模特性并降低内部损耗，使得单模工作在脊宽为5 µm的情况下，内部损耗为3 cm -1 。使用重构等效线性调频技术实现的非对称 π 相移可确保高单模产量。所制造的阵列在 25°C 下以 800 mA 注入电流实现每通道 300 mW 以上的输出功率，并表现出均匀的通道间距，边模抑制比超过 50 dB。在宽电流和温度调谐范围内保持稳定的单纵模运行，无需进行模式跳跃。在每通道注入电流300 mA的同时工作下，激光器阵列的所有通道输出功率超过100 mW，平均波长偏差为0.0692 nm。该器件还显示出 300 kHz 的最小洛伦兹线宽和 –154 dB/Hz 的相对强度噪声，展示了高速光学互连的强大潜力。</w:t>
      </w:r>
    </w:p>
    <w:p>
      <w:pPr>
        <w:spacing w:before="120"/>
      </w:pPr>
      <w:r>
        <w:rPr>
          <w:rFonts w:ascii="Times New Roman" w:hAnsi="Times New Roman" w:eastAsia="宋体"/>
          <w:b/>
          <w:sz w:val="21"/>
        </w:rPr>
        <w:t>English Abstract:</w:t>
      </w:r>
    </w:p>
    <w:p>
      <w:r>
        <w:rPr>
          <w:rFonts w:ascii="Times New Roman" w:hAnsi="Times New Roman" w:eastAsia="宋体"/>
          <w:sz w:val="21"/>
        </w:rPr>
        <w:t>A high-power distributed feedback laser array suitable for optical I/O applications is demonstrated. The epitaxial structure incorporates a high-refractive-index layer in the N-doped region to improve single-transverse-mode characteristics and reduce internal loss, enabling single-mode operation at a ridge width of 5 µm with an internal loss of 3 cm -1 . An asymmetric π-phase-shift, implemented using the reconstruction-equivalent chirp technique, ensures high single-mode yield. The fabricated array achieves output powers above 300 mW per channel at 25 °C with 800 mA injection current and exhibits uniform channel spacing with side mode suppression ratios exceeding 50 dB. Stable single-longitudinal-mode operation is maintained without mode hopping over a broad current and temperature tuning range. Under simultaneous operation at an injection current of 300 mA per channel, all channels of the laser array deliver output powers exceeding 100 mW, with an average wavelength deviation of 0.0692 nm. The devices further show a minimum Lorentzian linewidth of 300 kHz, and relative intensity noise of –154 dB/Hz, demonstrating strong potential for high-speed optical interconnects.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Continuum</w:t>
      </w:r>
    </w:p>
    <w:p>
      <w:pPr>
        <w:jc w:val="center"/>
      </w:pPr>
      <w:r>
        <w:t>--- 更新: 00:31 ---</w:t>
      </w:r>
    </w:p>
    <w:p>
      <w:pPr>
        <w:pStyle w:val="Heading2"/>
      </w:pPr>
      <w:r/>
      <w:r>
        <w:rPr>
          <w:rFonts w:ascii="Times New Roman" w:hAnsi="Times New Roman" w:eastAsia="宋体"/>
          <w:b/>
          <w:color w:val="000000"/>
          <w:sz w:val="24"/>
        </w:rPr>
        <w:t>结合高斯粗糙度的太赫兹多层的高效角度分辨传递矩阵方法</w:t>
      </w:r>
    </w:p>
    <w:p>
      <w:r>
        <w:rPr>
          <w:rFonts w:ascii="Times New Roman" w:hAnsi="Times New Roman" w:eastAsia="宋体"/>
          <w:b/>
          <w:color w:val="003264"/>
          <w:sz w:val="24"/>
        </w:rPr>
        <w:t>Efficient angle-resolved transfer-matrix method incorporating Gaussian roughness for THz multilayers</w:t>
      </w:r>
    </w:p>
    <w:p>
      <w:r>
        <w:rPr>
          <w:rFonts w:ascii="Times New Roman" w:hAnsi="Times New Roman" w:eastAsia="宋体"/>
          <w:sz w:val="21"/>
        </w:rPr>
        <w:t>作者: Hossein Ghani, Mehdi Ahmadi-Boroujeni</w:t>
        <w:br/>
      </w:r>
      <w:r>
        <w:rPr>
          <w:rFonts w:ascii="Times New Roman" w:hAnsi="Times New Roman" w:eastAsia="宋体"/>
          <w:sz w:val="21"/>
        </w:rPr>
        <w:t xml:space="preserve">时间: 2026-01-23 | </w:t>
      </w:r>
      <w:r>
        <w:t xml:space="preserve">链接: </w:t>
      </w:r>
      <w:hyperlink r:id="rId46">
        <w:r>
          <w:rPr>
            <w:rFonts w:ascii="Times New Roman" w:hAnsi="Times New Roman" w:eastAsia="宋体"/>
            <w:color w:val="0000FF"/>
            <w:sz w:val="21"/>
            <w:u w:val="single"/>
          </w:rPr>
          <w:t>https://doi.org/10.1364/optcon.577924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我们提出了高效的角度解析粗糙表面传递矩阵方法（RS-TMM）。这个紧凑的公式涉及高斯粗糙度统计和 (2 × 2) 界面矩阵中明确的 k z 相关衰减因子。随后可以在单个矩阵乘积中求解整个多层堆叠，并且该公式通过分析将光滑表面极限恢复为 σ r → 0。该公式保留了经典矩阵光学的代数清晰度、数值稳定性和 O ( N ) 计算复杂性，同时消除了对每层参数跟踪、网格划分和迭代求解器的需要。通过证明其与瑞利域内递归格林函数公式的代数等价性，验证了该方法的分析一致性。对于频率 0.1-1 THz 和均方根表面粗糙度 σ r ≤60μm，该模型与递归方法基准非常一致。 RS–TMM 在笔记本电脑上以毫秒为单位运行，可实现频率、角度和材料参数扫描，以实现实时室内太赫兹链路和成像。</w:t>
      </w:r>
    </w:p>
    <w:p>
      <w:pPr>
        <w:spacing w:before="120"/>
      </w:pPr>
      <w:r>
        <w:rPr>
          <w:rFonts w:ascii="Times New Roman" w:hAnsi="Times New Roman" w:eastAsia="宋体"/>
          <w:b/>
          <w:sz w:val="21"/>
        </w:rPr>
        <w:t>English Abstract:</w:t>
      </w:r>
    </w:p>
    <w:p>
      <w:r>
        <w:rPr>
          <w:rFonts w:ascii="Times New Roman" w:hAnsi="Times New Roman" w:eastAsia="宋体"/>
          <w:sz w:val="21"/>
        </w:rPr>
        <w:t>We present the efficient angle-resolved rough-surface transfer-matrix method (RS-TMM). This compact formulation involves Gaussian roughness statistics and k z -dependent attenuation factors explicitly in the (2 × 2) interface matrices. The entire multilayer stack can subsequently be solved in a single matrix product, and the formulation analytically recovers the smooth-surface limit as σ r → 0. The formulation preserves the algebraic clarity, numerical stability, and O ( N ) computational complexity of classical matrix optics, while eliminating the need for per-layer parameter tracking, meshing, and iterative solvers. The method’s analytical consistency is validated by proving its algebraic equivalence to the recursive Green-function formulation within the Rayleigh domain. For frequencies 0.1-1 THz and root-mean-square surface roughness σ r ≤60μm, the model agrees closely with recursive-method benchmarks. Running in milliseconds on a laptop, RS–TMM enables frequency-, angle-, and material-parameter sweeps for real-time indoor THz links and imaging.</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Advanced Photonics Research</w:t>
      </w:r>
    </w:p>
    <w:p>
      <w:pPr>
        <w:jc w:val="center"/>
      </w:pPr>
      <w:r>
        <w:t>--- 更新: 00:31 ---</w:t>
      </w:r>
    </w:p>
    <w:p>
      <w:pPr>
        <w:pStyle w:val="Heading2"/>
      </w:pPr>
      <w:r/>
      <w:r>
        <w:rPr>
          <w:rFonts w:ascii="Times New Roman" w:hAnsi="Times New Roman" w:eastAsia="宋体"/>
          <w:b/>
          <w:color w:val="000000"/>
          <w:sz w:val="24"/>
        </w:rPr>
        <w:t>通过光学瞬态光栅光谱激发亚铁磁合金中的自旋波</w:t>
      </w:r>
    </w:p>
    <w:p>
      <w:r>
        <w:rPr>
          <w:rFonts w:ascii="Times New Roman" w:hAnsi="Times New Roman" w:eastAsia="宋体"/>
          <w:b/>
          <w:color w:val="003264"/>
          <w:sz w:val="24"/>
        </w:rPr>
        <w:t>Excitation of Spin Waves in Ferrimagnetic Alloy via Optical Transient Grating Spectroscopy</w:t>
      </w:r>
    </w:p>
    <w:p>
      <w:r>
        <w:rPr>
          <w:rFonts w:ascii="Times New Roman" w:hAnsi="Times New Roman" w:eastAsia="宋体"/>
          <w:sz w:val="21"/>
        </w:rPr>
        <w:t>作者: Marta Brioschi, Pietro Carrara, Nupur Ninad Khatu, Nadia Berndt, Peter R. Miedaner, Deepak Dagur, Giovanni Vinai, Dieter Engel, Clemens von Korff Schmising, Stefano Bonetti, Keith Adam Nelson, Giancarlo Panaccione, Giorgio Rossi, Alexei A. Maznev, Riccardo Cucini</w:t>
        <w:br/>
      </w:r>
      <w:r>
        <w:rPr>
          <w:rFonts w:ascii="Times New Roman" w:hAnsi="Times New Roman" w:eastAsia="宋体"/>
          <w:sz w:val="21"/>
        </w:rPr>
        <w:t xml:space="preserve">时间: 2026-02-12 | </w:t>
      </w:r>
      <w:r>
        <w:t xml:space="preserve">链接: </w:t>
      </w:r>
      <w:hyperlink r:id="rId47">
        <w:r>
          <w:rPr>
            <w:rFonts w:ascii="Times New Roman" w:hAnsi="Times New Roman" w:eastAsia="宋体"/>
            <w:color w:val="0000FF"/>
            <w:sz w:val="21"/>
            <w:u w:val="single"/>
          </w:rPr>
          <w:t>https://doi.org/10.1002/adpr.202500233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自旋波的研究提供了对磁性材料的基本见解，对于推进自旋电子和磁波技术至关重要。瞬态光栅（TG）技术是一种四波混频方法，已广泛用于研究微米到纳米尺度上受控波矢量的集体激发。这项研究提出了一种全光学热重法，用于在亚铁磁性 Co 78 Gd 22 薄膜中激发具有受控面内波矢量的偶极自旋驻波，具有广泛材料的潜在适用性。波长为 2.5 μm 的自旋波由样品表面上两个相干激光脉冲的干涉激发，并通过第三个激光脉冲的衍射进行探测。偏振分析可分离磁信号和热弹性信号，并实现自旋波动力学的时间分辨测量。</w:t>
      </w:r>
    </w:p>
    <w:p>
      <w:pPr>
        <w:spacing w:before="120"/>
      </w:pPr>
      <w:r>
        <w:rPr>
          <w:rFonts w:ascii="Times New Roman" w:hAnsi="Times New Roman" w:eastAsia="宋体"/>
          <w:b/>
          <w:sz w:val="21"/>
        </w:rPr>
        <w:t>English Abstract:</w:t>
      </w:r>
    </w:p>
    <w:p>
      <w:r>
        <w:rPr>
          <w:rFonts w:ascii="Times New Roman" w:hAnsi="Times New Roman" w:eastAsia="宋体"/>
          <w:sz w:val="21"/>
        </w:rPr>
        <w:t>The investigation of spin waves provides fundamental insights into magnetic materials and is essential for advancing spintronic and magnonic technologies. The Transient Grating (TG) technique, a four‐wave mixing method, has been widely used to study collective excitations at controlled wave vectors on the micron to nanometer scale. This study presents an all‐optical TG approach for exciting standing dipolar spin waves with a controlled in‐plane wave vector in a ferrimagnetic Co 78 Gd 22 thin film, with potential applicability to a broad range of materials. Spin waves with a wavelength of 2.5 μm are excited by the interference of two coherent laser pulses on the sample surface and probed through the diffraction of a third laser pulse. Polarization analysis separates magnetic and thermoelastic signals and enables time‐resolved measurements of the spin‐wave dynamics.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ACS Photonics</w:t>
      </w:r>
    </w:p>
    <w:p>
      <w:pPr>
        <w:jc w:val="center"/>
      </w:pPr>
      <w:r>
        <w:t>--- 更新: 00:31 ---</w:t>
      </w:r>
    </w:p>
    <w:p>
      <w:pPr>
        <w:pStyle w:val="Heading2"/>
      </w:pPr>
      <w:r/>
      <w:r>
        <w:rPr>
          <w:rFonts w:ascii="Times New Roman" w:hAnsi="Times New Roman" w:eastAsia="宋体"/>
          <w:b/>
          <w:color w:val="000000"/>
          <w:sz w:val="24"/>
        </w:rPr>
        <w:t>光电倍增实现高效近红外量子点有机上转换器件</w:t>
      </w:r>
    </w:p>
    <w:p>
      <w:r>
        <w:rPr>
          <w:rFonts w:ascii="Times New Roman" w:hAnsi="Times New Roman" w:eastAsia="宋体"/>
          <w:b/>
          <w:color w:val="003264"/>
          <w:sz w:val="24"/>
        </w:rPr>
        <w:t>Photomultiplication Enables Efficient NIR Quantum Dot Organic Upconversion Devices</w:t>
      </w:r>
    </w:p>
    <w:p>
      <w:r>
        <w:rPr>
          <w:rFonts w:ascii="Times New Roman" w:hAnsi="Times New Roman" w:eastAsia="宋体"/>
          <w:sz w:val="21"/>
        </w:rPr>
        <w:t>作者: Jun-Liang Li, Ke-Lei Zu, Chang-Sheng Shi, Bin Xu, Jian Xu, Yin-Fen Ma, Ji-Xiong Zhao, You-Mei Wang, Hai-Liang Long, Qi Zhan, Feng Qiu, Mei Leng, Yong-biao Zhao, Zheng-Hong Lu</w:t>
        <w:br/>
      </w:r>
      <w:r>
        <w:rPr>
          <w:rFonts w:ascii="Times New Roman" w:hAnsi="Times New Roman" w:eastAsia="宋体"/>
          <w:sz w:val="21"/>
        </w:rPr>
        <w:t xml:space="preserve">时间: 2026-02-12 | </w:t>
      </w:r>
      <w:r>
        <w:t xml:space="preserve">链接: </w:t>
      </w:r>
      <w:hyperlink r:id="rId48">
        <w:r>
          <w:rPr>
            <w:rFonts w:ascii="Times New Roman" w:hAnsi="Times New Roman" w:eastAsia="宋体"/>
            <w:color w:val="0000FF"/>
            <w:sz w:val="21"/>
            <w:u w:val="single"/>
          </w:rPr>
          <w:t>https://doi.org/10.1021/acsphotonics.5c02809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用于中红外分子和折射率传感的方解石声子极化子</w:t>
      </w:r>
    </w:p>
    <w:p>
      <w:r>
        <w:rPr>
          <w:rFonts w:ascii="Times New Roman" w:hAnsi="Times New Roman" w:eastAsia="宋体"/>
          <w:b/>
          <w:color w:val="003264"/>
          <w:sz w:val="24"/>
        </w:rPr>
        <w:t>Calcite Phonon Polaritons for Mid-Infrared Molecular and Refractive-Index Sensing</w:t>
      </w:r>
    </w:p>
    <w:p>
      <w:r>
        <w:rPr>
          <w:rFonts w:ascii="Times New Roman" w:hAnsi="Times New Roman" w:eastAsia="宋体"/>
          <w:sz w:val="21"/>
        </w:rPr>
        <w:t>作者: Yixin Zou, Cuiyi Huang, Qinmiao Chen, Yuhui Cai, Chuying Ou, Jianing Xie, Bingfeng Fan, Yongyao Li, Jiayao Huang, Luyu Cao, Dongxu Zhao</w:t>
        <w:br/>
      </w:r>
      <w:r>
        <w:rPr>
          <w:rFonts w:ascii="Times New Roman" w:hAnsi="Times New Roman" w:eastAsia="宋体"/>
          <w:sz w:val="21"/>
        </w:rPr>
        <w:t xml:space="preserve">时间: 2026-02-12 | </w:t>
      </w:r>
      <w:r>
        <w:t xml:space="preserve">链接: </w:t>
      </w:r>
      <w:hyperlink r:id="rId49">
        <w:r>
          <w:rPr>
            <w:rFonts w:ascii="Times New Roman" w:hAnsi="Times New Roman" w:eastAsia="宋体"/>
            <w:color w:val="0000FF"/>
            <w:sz w:val="21"/>
            <w:u w:val="single"/>
          </w:rPr>
          <w:t>https://doi.org/10.1021/acsphotonics.5c02399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胶体 PbS QD 光电导体与混合光电晶体管的比较</w:t>
      </w:r>
    </w:p>
    <w:p>
      <w:r>
        <w:rPr>
          <w:rFonts w:ascii="Times New Roman" w:hAnsi="Times New Roman" w:eastAsia="宋体"/>
          <w:b/>
          <w:color w:val="003264"/>
          <w:sz w:val="24"/>
        </w:rPr>
        <w:t>Comparison of Colloidal PbS QD Photoconductors and Hybrid Phototransistors</w:t>
      </w:r>
    </w:p>
    <w:p>
      <w:r>
        <w:rPr>
          <w:rFonts w:ascii="Times New Roman" w:hAnsi="Times New Roman" w:eastAsia="宋体"/>
          <w:sz w:val="21"/>
        </w:rPr>
        <w:t>作者: Gökhan Kara, Lorenzo J. A. Ferraresi, Dmitry N. Dirin, Roman Furrer, Maksym V. Kovalenko, Michel Calame, Ivan Shorubalko</w:t>
        <w:br/>
      </w:r>
      <w:r>
        <w:rPr>
          <w:rFonts w:ascii="Times New Roman" w:hAnsi="Times New Roman" w:eastAsia="宋体"/>
          <w:sz w:val="21"/>
        </w:rPr>
        <w:t xml:space="preserve">时间: 2026-02-12 | </w:t>
      </w:r>
      <w:r>
        <w:t xml:space="preserve">链接: </w:t>
      </w:r>
      <w:hyperlink r:id="rId86">
        <w:r>
          <w:rPr>
            <w:rFonts w:ascii="Times New Roman" w:hAnsi="Times New Roman" w:eastAsia="宋体"/>
            <w:color w:val="0000FF"/>
            <w:sz w:val="21"/>
            <w:u w:val="single"/>
          </w:rPr>
          <w:t>https://doi.org/10.1021/acsphotonics.5c02729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涡旋结构光辅助高对比度布里渊光谱</w:t>
      </w:r>
    </w:p>
    <w:p>
      <w:r>
        <w:rPr>
          <w:rFonts w:ascii="Times New Roman" w:hAnsi="Times New Roman" w:eastAsia="宋体"/>
          <w:b/>
          <w:color w:val="003264"/>
          <w:sz w:val="24"/>
        </w:rPr>
        <w:t>Vortex-Structured-Light-Assisted High-Contrast Brillouin Spectroscopy</w:t>
      </w:r>
    </w:p>
    <w:p>
      <w:r>
        <w:rPr>
          <w:rFonts w:ascii="Times New Roman" w:hAnsi="Times New Roman" w:eastAsia="宋体"/>
          <w:sz w:val="21"/>
        </w:rPr>
        <w:t>作者: Chenlei Pang, Jiulin Shi, Fuping Peng, Yuntao Wang, Yajing Liu, Ni Yao, Qing Yang</w:t>
        <w:br/>
      </w:r>
      <w:r>
        <w:rPr>
          <w:rFonts w:ascii="Times New Roman" w:hAnsi="Times New Roman" w:eastAsia="宋体"/>
          <w:sz w:val="21"/>
        </w:rPr>
        <w:t xml:space="preserve">时间: 2026-02-12 | </w:t>
      </w:r>
      <w:r>
        <w:t xml:space="preserve">链接: </w:t>
      </w:r>
      <w:hyperlink r:id="rId87">
        <w:r>
          <w:rPr>
            <w:rFonts w:ascii="Times New Roman" w:hAnsi="Times New Roman" w:eastAsia="宋体"/>
            <w:color w:val="0000FF"/>
            <w:sz w:val="21"/>
            <w:u w:val="single"/>
          </w:rPr>
          <w:t>https://doi.org/10.1021/acsphotonics.5c02933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时空调制超表面中的脉冲驱动光子跃迁和非互易性</w:t>
      </w:r>
    </w:p>
    <w:p>
      <w:r>
        <w:rPr>
          <w:rFonts w:ascii="Times New Roman" w:hAnsi="Times New Roman" w:eastAsia="宋体"/>
          <w:b/>
          <w:color w:val="003264"/>
          <w:sz w:val="24"/>
        </w:rPr>
        <w:t>Pulse-Driven Photonic Transitions and Nonreciprocity in Space-Time Modulated Metasurfaces</w:t>
      </w:r>
    </w:p>
    <w:p>
      <w:r>
        <w:rPr>
          <w:rFonts w:ascii="Times New Roman" w:hAnsi="Times New Roman" w:eastAsia="宋体"/>
          <w:sz w:val="21"/>
        </w:rPr>
        <w:t>作者: Zeki Hayran, John B. Pendry, Prasad P. Iyer, Francesco Monticone</w:t>
        <w:br/>
      </w:r>
      <w:r>
        <w:rPr>
          <w:rFonts w:ascii="Times New Roman" w:hAnsi="Times New Roman" w:eastAsia="宋体"/>
          <w:sz w:val="21"/>
        </w:rPr>
        <w:t xml:space="preserve">时间: 2026-02-12 | </w:t>
      </w:r>
      <w:r>
        <w:t xml:space="preserve">链接: </w:t>
      </w:r>
      <w:hyperlink r:id="rId88">
        <w:r>
          <w:rPr>
            <w:rFonts w:ascii="Times New Roman" w:hAnsi="Times New Roman" w:eastAsia="宋体"/>
            <w:color w:val="0000FF"/>
            <w:sz w:val="21"/>
            <w:u w:val="single"/>
          </w:rPr>
          <w:t>https://doi.org/10.1021/acsphotonics.5c02487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Science</w:t>
      </w:r>
    </w:p>
    <w:p>
      <w:pPr>
        <w:jc w:val="center"/>
      </w:pPr>
      <w:r>
        <w:t>--- 更新: 06:27 ---</w:t>
      </w:r>
    </w:p>
    <w:p>
      <w:pPr>
        <w:pStyle w:val="Heading2"/>
      </w:pPr>
      <w:r/>
      <w:r>
        <w:rPr>
          <w:rFonts w:ascii="Times New Roman" w:hAnsi="Times New Roman" w:eastAsia="宋体"/>
          <w:b/>
          <w:color w:val="000000"/>
          <w:sz w:val="24"/>
        </w:rPr>
        <w:t>杜瓦嘧啶酮分子太阳能热能存储超过 1.6 MJ/kg</w:t>
      </w:r>
    </w:p>
    <w:p>
      <w:r>
        <w:rPr>
          <w:rFonts w:ascii="Times New Roman" w:hAnsi="Times New Roman" w:eastAsia="宋体"/>
          <w:b/>
          <w:color w:val="003264"/>
          <w:sz w:val="24"/>
        </w:rPr>
        <w:t>Molecular solar thermal energy storage in Dewar pyrimidone beyond 1.6 MJ/kg</w:t>
      </w:r>
    </w:p>
    <w:p>
      <w:r>
        <w:rPr>
          <w:rFonts w:ascii="Times New Roman" w:hAnsi="Times New Roman" w:eastAsia="宋体"/>
          <w:sz w:val="21"/>
        </w:rPr>
        <w:t>作者: Han P. Q. Nguyen, Alexander J. Maertens, Benjamin A. Baker, Nathan M.-W. Wu, Zihao Ye, Qingyang Zhou, Qianfeng Qiu, Navneet Kaur, David B. Berkinsky, Katherine E. Shulenberger, K. N. Houk, Grace G. D. Han</w:t>
        <w:br/>
      </w:r>
      <w:r>
        <w:rPr>
          <w:rFonts w:ascii="Times New Roman" w:hAnsi="Times New Roman" w:eastAsia="宋体"/>
          <w:sz w:val="21"/>
        </w:rPr>
        <w:t xml:space="preserve">时间: 2026-02-12 | </w:t>
      </w:r>
      <w:r>
        <w:t xml:space="preserve">链接: </w:t>
      </w:r>
      <w:hyperlink r:id="rId50">
        <w:r>
          <w:rPr>
            <w:rFonts w:ascii="Times New Roman" w:hAnsi="Times New Roman" w:eastAsia="宋体"/>
            <w:color w:val="0000FF"/>
            <w:sz w:val="21"/>
            <w:u w:val="single"/>
          </w:rPr>
          <w:t>https://doi.org/10.1126/science.aec6413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以紧凑且可充电的形式存储阳光仍然是太阳能利用的主要挑战。分子太阳能热（MOST）储能系统利用光子能量并将其按需释放为热量，提供了一种直接的方法，但长期以来未能满足实际基准。受 DNA 结构的启发，我们报告了一种基于嘧啶酮的 MOST 系统，该系统在 300 nm 激发时将能量存储在应变杜瓦光异构体中。该系统在设计时考虑到了可持续性，无需溶剂即可运行，并与水环境保持兼容，同时克服了该领域最大的障碍之一：存储热量的受控提取和传递。当被酸催化时，杜瓦瓶异构体释放出足够的热量使水沸腾（~0.5 mL）。这些进步有助于为分散式太阳能储热和离网能源解决方案指明道路。</w:t>
      </w:r>
    </w:p>
    <w:p>
      <w:pPr>
        <w:spacing w:before="120"/>
      </w:pPr>
      <w:r>
        <w:rPr>
          <w:rFonts w:ascii="Times New Roman" w:hAnsi="Times New Roman" w:eastAsia="宋体"/>
          <w:b/>
          <w:sz w:val="21"/>
        </w:rPr>
        <w:t>English Abstract:</w:t>
      </w:r>
    </w:p>
    <w:p>
      <w:r>
        <w:rPr>
          <w:rFonts w:ascii="Times New Roman" w:hAnsi="Times New Roman" w:eastAsia="宋体"/>
          <w:sz w:val="21"/>
        </w:rPr>
        <w:t>Storing sunlight in a compact and rechargeable form remains a central challenge for solar energy utilization. Molecular solar thermal (MOST) energy storage systems, which harness photon energy and release it as heat on demand, provide a direct approach, but have long failed to meet practical benchmarks. Inspired by the architecture of DNA, we report a pyrimidone-based MOST system that stores energy in the strained Dewar photoisomer upon excitation at 300 nm. Designed with sustainability in mind, the system operates solvent-free and remains compatible with aqueous environments while overcoming one of the field’s greatest hurdles: the controlled extraction and transfer of stored heat. When catalyzed by acid, the Dewar isomer releases enough heat to boil water (~0.5 mL). These advances help point the way toward decentralized solar heat storage and off-grid energy solutions.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加速美国板栗恢复的基因组方法</w:t>
      </w:r>
    </w:p>
    <w:p>
      <w:r>
        <w:rPr>
          <w:rFonts w:ascii="Times New Roman" w:hAnsi="Times New Roman" w:eastAsia="宋体"/>
          <w:b/>
          <w:color w:val="003264"/>
          <w:sz w:val="24"/>
        </w:rPr>
        <w:t>Genomic approaches to accelerate American chestnut restoration</w:t>
      </w:r>
    </w:p>
    <w:p>
      <w:r>
        <w:rPr>
          <w:rFonts w:ascii="Times New Roman" w:hAnsi="Times New Roman" w:eastAsia="宋体"/>
          <w:sz w:val="21"/>
        </w:rPr>
        <w:t>作者: Jared W. Westbrook, Joanna Malukiewicz, Qian Zhang, Avinash Sreedasyam, Jerry W. Jenkins, Vasiliy Lakoba, Sara Fitzsimmons, Jamie Van Clief, Kendra Collins, Stephen Hoy, Cassie Stark, Lake Graboski, Eric Jenkins, Thomas M. Saielli, Benjamin T. Jarrett, Lucinda J. Wigfield, Lauren M. Kerwien, Ciera Wilbur, Alexander M. Sandercock, J. Hill Craddock, Susanna Keriö, Tetyana Zhebentyayeva, Shenghua Fan, Austin M. Thomas, Albert G. Abbott, C. Dana Nelson, Xiaoxia Xia, James R. McKenna, Caleb Kell, Melissa Williams, LoriBeth Boston, Christopher Plott, Florian Carle, Jack Swatt, Jack Ostroff, Steven N. Jeffers, Kathleen McKeever, Erica Smith, Thomas J. Ellis, Joseph B. James, Paul Sisco, Andrew Newhouse, Erik Carlson, William A. Powell, Frederick V. Hebard, John Scrivani, Caragh Heverly, Martin Cipollini, Brian Clark, Eric Evans, Bruce Levine, John E. Carlson, David Goodstein, Jack Orebaugh, Zamin K. Yang, Madhavi Z. Martin, Joanna Tannous, Tomás A. Rush, Nancy L. Engle, Timothy J. Tschaplinski, Jane Grimwood, Jeremy Schmutz, Jason A. Holliday, John T. Lovell</w:t>
        <w:br/>
      </w:r>
      <w:r>
        <w:rPr>
          <w:rFonts w:ascii="Times New Roman" w:hAnsi="Times New Roman" w:eastAsia="宋体"/>
          <w:sz w:val="21"/>
        </w:rPr>
        <w:t xml:space="preserve">时间: 2026-02-12 | </w:t>
      </w:r>
      <w:r>
        <w:t xml:space="preserve">链接: </w:t>
      </w:r>
      <w:hyperlink r:id="rId51">
        <w:r>
          <w:rPr>
            <w:rFonts w:ascii="Times New Roman" w:hAnsi="Times New Roman" w:eastAsia="宋体"/>
            <w:color w:val="0000FF"/>
            <w:sz w:val="21"/>
            <w:u w:val="single"/>
          </w:rPr>
          <w:t>https://doi.org/10.1126/science.adw3225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两种引入的病原体杀死了数十亿棵美国板栗树一个多世纪后，来自中国板栗的抗性等位基因的渗入为自给自足种群的恢复做出了贡献。然而，由于耐药基因结构复杂，进展缓慢。为了更好地了解枯萎病抗性，我们比较了抗性中国板栗和易受影响的美国板栗品种的参考基因组、基因表达反应和茎代谢谱。为了加速抗性育种，我们对这些物种的杂交种进行了大规模的表型和基因分型。模拟和接种实验表明，通过选择性育种平均具有 70% 至 85% 美洲板栗血统的树木，可以显着提高抗性。这项工作中开发的资源是育种的基础，以创造具有足够抗病性和竞争性生长的多样化恢复群体。</w:t>
      </w:r>
    </w:p>
    <w:p>
      <w:pPr>
        <w:spacing w:before="120"/>
      </w:pPr>
      <w:r>
        <w:rPr>
          <w:rFonts w:ascii="Times New Roman" w:hAnsi="Times New Roman" w:eastAsia="宋体"/>
          <w:b/>
          <w:sz w:val="21"/>
        </w:rPr>
        <w:t>English Abstract:</w:t>
      </w:r>
    </w:p>
    <w:p>
      <w:r>
        <w:rPr>
          <w:rFonts w:ascii="Times New Roman" w:hAnsi="Times New Roman" w:eastAsia="宋体"/>
          <w:sz w:val="21"/>
        </w:rPr>
        <w:t>More than a century after two introduced pathogens killed billions of American chestnut trees, introgression of resistance alleles from Chinese chestnuts has contributed to the recovery of self-sustaining populations. However, progress has been slow because of the complex genetic architecture of resistance. To better understand blight resistance, we compared reference genomes, gene expression responses, and stem metabolite profiles of the resistant Chinese and susceptible American chestnut species. To accelerate resistance breeding, we conducted large-scale phenotyping and genotyping in hybrids of these species. Simulation and inoculation experiments suggest that significant resistance gains are possible through selectively breeding trees with an average of 70 to 85% American chestnut ancestry. The resources developed in this work are foundational for breeding to create diverse restoration populations with sufficient disease resistance and competitive growth.</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仙女座星系中一颗大质量恒星因黑洞的形成而消失</w:t>
      </w:r>
    </w:p>
    <w:p>
      <w:r>
        <w:rPr>
          <w:rFonts w:ascii="Times New Roman" w:hAnsi="Times New Roman" w:eastAsia="宋体"/>
          <w:b/>
          <w:color w:val="003264"/>
          <w:sz w:val="24"/>
        </w:rPr>
        <w:t>Disappearance of a massive star in the Andromeda Galaxy due to formation of a black hole</w:t>
      </w:r>
    </w:p>
    <w:p>
      <w:r>
        <w:rPr>
          <w:rFonts w:ascii="Times New Roman" w:hAnsi="Times New Roman" w:eastAsia="宋体"/>
          <w:sz w:val="21"/>
        </w:rPr>
        <w:t>作者: Kishalay De, Morgan MacLeod, Jacob E. Jencson, Elizabeth Lovegrove, Andrea Antoni, Erin Kara, Mansi M. Kasliwal, Ryan M. Lau, Abraham Loeb, Megan Masterson, Aaron M. Meisner, Christos Panagiotou, Eliot Quataert, Robert Simcoe</w:t>
        <w:br/>
      </w:r>
      <w:r>
        <w:rPr>
          <w:rFonts w:ascii="Times New Roman" w:hAnsi="Times New Roman" w:eastAsia="宋体"/>
          <w:sz w:val="21"/>
        </w:rPr>
        <w:t xml:space="preserve">时间: 2026-02-12 | </w:t>
      </w:r>
      <w:r>
        <w:t xml:space="preserve">链接: </w:t>
      </w:r>
      <w:hyperlink r:id="rId52">
        <w:r>
          <w:rPr>
            <w:rFonts w:ascii="Times New Roman" w:hAnsi="Times New Roman" w:eastAsia="宋体"/>
            <w:color w:val="0000FF"/>
            <w:sz w:val="21"/>
            <w:u w:val="single"/>
          </w:rPr>
          <w:t>https://doi.org/10.1126/science.adt4853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当一颗大质量恒星到达其生命终点时，其核心会塌陷并释放出中微子，从而将激波引入外层（恒星包层）。足够强的冲击会弹出包层，产生超新星。如果冲击波未能将其弹出，包层预计将落回塌缩的核心，产生恒星质量的黑洞（BH）并导致恒星消失。我们报告了对仙女座星系中贫氢超巨星 M31-2014-DS1 的观测。 2014年，它在中红外区域变亮，然后从2017年到2022年，它在可见光中减弱了≳ 10 4 （变得不可检测），在总光中减弱了≳ 10。我们将这些观测结果以及 NGC 6946 中先前事件的观测结果解释为超新星形成恒星质量黑洞失败的证据。</w:t>
      </w:r>
    </w:p>
    <w:p>
      <w:pPr>
        <w:spacing w:before="120"/>
      </w:pPr>
      <w:r>
        <w:rPr>
          <w:rFonts w:ascii="Times New Roman" w:hAnsi="Times New Roman" w:eastAsia="宋体"/>
          <w:b/>
          <w:sz w:val="21"/>
        </w:rPr>
        <w:t>English Abstract:</w:t>
      </w:r>
    </w:p>
    <w:p>
      <w:r>
        <w:rPr>
          <w:rFonts w:ascii="Times New Roman" w:hAnsi="Times New Roman" w:eastAsia="宋体"/>
          <w:sz w:val="21"/>
        </w:rPr>
        <w:t>When a massive star reaches the end of its lifetime, its core collapses and releases neutrinos that drive a shock into the outer layers (the stellar envelope). A sufficiently strong shock ejects the envelope, producing a supernova. If the shock fails to eject it, the envelope is predicted to fall back onto the collapsing core, producing a stellar-mass black hole (BH) and causing the star to disappear. We report observations of M31-2014-DS1, a hydrogen-depleted supergiant in the Andromeda Galaxy. In 2014, it brightened in the mid-infrared, then from 2017 to 2022, it faded by factors of ≳ 10 4 in optical light (becoming undetectable) and ≳ 10 in total light. We interpret these observations, and those of a previous event in NGC 6946, as evidence for failed supernovae forming stellar-mass BHs.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双功能调节剂热精胺向甲基化核糖体的募集指导木质部命运</w:t>
      </w:r>
    </w:p>
    <w:p>
      <w:r>
        <w:rPr>
          <w:rFonts w:ascii="Times New Roman" w:hAnsi="Times New Roman" w:eastAsia="宋体"/>
          <w:b/>
          <w:color w:val="003264"/>
          <w:sz w:val="24"/>
        </w:rPr>
        <w:t>Recruitment of bifunctional regulator thermospermine to methylated ribosomes directs xylem fate</w:t>
      </w:r>
    </w:p>
    <w:p>
      <w:r>
        <w:rPr>
          <w:rFonts w:ascii="Times New Roman" w:hAnsi="Times New Roman" w:eastAsia="宋体"/>
          <w:sz w:val="21"/>
        </w:rPr>
        <w:t>作者: Donghwi Ko, Raili Ruonala, Alexandre Faille, Eva Hellmann, Hanna Help, Huili Liu, Ronni Nielsen, Anders Haakonsson, Nuria De Diego, Anja Paatero, Mariia V. Shcherbii, Karolina Stefanowicz, Sanja Ćavar Zeljković, Tine Drud Lundager Rasmussen, Ondrej Novak, Zsuzsanna Bodi, Gugan Eswaran, Brecht Wybouw, Matthieu Bourdon, Cristina Urbez, Xiaonan Liu, Kari Salokas, Tiina Öhman, Tanya Waldie, Petri Törönen, Sedeer el-Showk, Martin Balcerowicz, Fabrice Besnard, Xiaomin Liu, Patrick Perkins, Serina Mazzoni-Putman, Julia P. Vainonen, Maija Sierla, Mikko J. Frilander, Susanne Mandrup, Teva Vernoux, Karin Ljung, Alejandro Ferrando, Miguel A. Blazquez, Liisa Holm, Rupert Fray, Markku Varjosalo, Ottoline Leyser, Ville O. Paavilainen, Ari Pekka Mähönen, Anna Stepanova, Jose Alonso, Steffen Heber, Robert Malinowski, Finn Kirpekar, Alan J. Warren, Ykä Helariutta</w:t>
        <w:br/>
      </w:r>
      <w:r>
        <w:rPr>
          <w:rFonts w:ascii="Times New Roman" w:hAnsi="Times New Roman" w:eastAsia="宋体"/>
          <w:sz w:val="21"/>
        </w:rPr>
        <w:t xml:space="preserve">时间: 2026-02-12 | </w:t>
      </w:r>
      <w:r>
        <w:t xml:space="preserve">链接: </w:t>
      </w:r>
      <w:hyperlink r:id="rId53">
        <w:r>
          <w:rPr>
            <w:rFonts w:ascii="Times New Roman" w:hAnsi="Times New Roman" w:eastAsia="宋体"/>
            <w:color w:val="0000FF"/>
            <w:sz w:val="21"/>
            <w:u w:val="single"/>
          </w:rPr>
          <w:t>https://doi.org/10.1126/science.adx2867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多胺通常与核糖体相关，被认为可以稳定其完整性。在拟南芥中，多胺热精胺 (tSpm) 影响木质部细胞的命运。 tSpm 诱导 SUPPRESSOR-OF-ACAULIS51 (SAC51) 和 SAC51-LIKE (SACL) 的翻译，从而抑制木质部发育蛋白 LONESOME-HIGHWAY (LHW) 和 TARGET-OF-MONOPTEROS5 的异二聚化。在这里，我们报道了一种甲基转移酶 OVERACHIEVER，它可以甲基化 25 S 核糖体 RNA (rRNA) 的肽基转移酶中心。残基 m 3 U2952 促进功能性 tSpm 与连接 P 位点转移 RNA (tRNA) 和肽基转移酶中心的 rRNA 残基的特定位点结合。这种相互作用增强了 SACL 的翻译，但抑制了 LHW 的翻译。我们的研究揭示了保守的 rRNA 碱基甲基化和多胺在协调细胞命运决定中的依赖性，强调了核糖体化学景观在翻译调节中的作用。</w:t>
      </w:r>
    </w:p>
    <w:p>
      <w:pPr>
        <w:spacing w:before="120"/>
      </w:pPr>
      <w:r>
        <w:rPr>
          <w:rFonts w:ascii="Times New Roman" w:hAnsi="Times New Roman" w:eastAsia="宋体"/>
          <w:b/>
          <w:sz w:val="21"/>
        </w:rPr>
        <w:t>English Abstract:</w:t>
      </w:r>
    </w:p>
    <w:p>
      <w:r>
        <w:rPr>
          <w:rFonts w:ascii="Times New Roman" w:hAnsi="Times New Roman" w:eastAsia="宋体"/>
          <w:sz w:val="21"/>
        </w:rPr>
        <w:t>Polyamines are often associated with ribosomes and are thought to stabilize their integrity. In Arabidopsis , the polyamine thermospermine (tSpm) affects xylem cell fate. tSpm induces translation of SUPPRESSOR-OF-ACAULIS51 (SAC51) and SAC51-LIKEs (SACLs), which inhibit heterodimerization of the xylem development proteins LONESOME-HIGHWAY (LHW) and TARGET-OF-MONOPTEROS5. Here, we report a methyltransferase, OVERACHIEVER, that methylates the peptidyl transferase center of the 25 S ribosomal RNA (rRNA). Residue m 3 U2952 promotes functional tSpm binding to a specific site connecting the P-site transfer RNA (tRNA) with rRNA residues in the peptidyl transferase center. This interaction enhances the translation of SACLs but inhibits that of LHW. Our study uncovers the dependency between a conserved rRNA base methylation and a polyamine in orchestrating cell fate decisions, highlighting a role for the ribosome chemical landscape in translational regulation.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在科学期刊中</w:t>
      </w:r>
    </w:p>
    <w:p>
      <w:r>
        <w:rPr>
          <w:rFonts w:ascii="Times New Roman" w:hAnsi="Times New Roman" w:eastAsia="宋体"/>
          <w:b/>
          <w:color w:val="003264"/>
          <w:sz w:val="24"/>
        </w:rPr>
        <w:t>In Science Journals</w:t>
      </w:r>
    </w:p>
    <w:p>
      <w:r>
        <w:rPr>
          <w:rFonts w:ascii="Times New Roman" w:hAnsi="Times New Roman" w:eastAsia="宋体"/>
          <w:sz w:val="21"/>
        </w:rPr>
        <w:t>作者: Marc S. Lavine, Jesse Smith, Keith T. Smith, Phil Szuromi, Madeleine Seale, Sacha Vignieri, Melissa L. Norton, John Foley, Bianca Lopez, Mattia Maroso, Di Jiang, Yevgeniya Nusinovich, Sarah H. Ross, Michael A. Funk, Jake S. Yeston, Leoma Bere</w:t>
        <w:br/>
      </w:r>
      <w:r>
        <w:rPr>
          <w:rFonts w:ascii="Times New Roman" w:hAnsi="Times New Roman" w:eastAsia="宋体"/>
          <w:sz w:val="21"/>
        </w:rPr>
        <w:t xml:space="preserve">时间: 2026-02-12 | </w:t>
      </w:r>
      <w:r>
        <w:t xml:space="preserve">链接: </w:t>
      </w:r>
      <w:hyperlink r:id="rId54">
        <w:r>
          <w:rPr>
            <w:rFonts w:ascii="Times New Roman" w:hAnsi="Times New Roman" w:eastAsia="宋体"/>
            <w:color w:val="0000FF"/>
            <w:sz w:val="21"/>
            <w:u w:val="single"/>
          </w:rPr>
          <w:t>https://doi.org/10.1126/science.aeg3196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【摘要未收录】新文章暂无数据库记录，请点击链接直达官网。</w:t>
      </w:r>
    </w:p>
    <w:p>
      <w:pPr>
        <w:spacing w:before="120"/>
      </w:pPr>
      <w:r>
        <w:rPr>
          <w:rFonts w:ascii="Times New Roman" w:hAnsi="Times New Roman" w:eastAsia="宋体"/>
          <w:b/>
          <w:sz w:val="21"/>
        </w:rPr>
        <w:t>English Abstract:</w:t>
      </w:r>
    </w:p>
    <w:p>
      <w:r>
        <w:rPr>
          <w:rFonts w:ascii="Times New Roman" w:hAnsi="Times New Roman" w:eastAsia="宋体"/>
          <w:sz w:val="21"/>
        </w:rPr>
        <w:t>[New Paper] Abstract not indexed yet. Please visit the official website.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中枢神经系统中的髓鞘可以承受损伤并动态重塑</w:t>
      </w:r>
    </w:p>
    <w:p>
      <w:r>
        <w:rPr>
          <w:rFonts w:ascii="Times New Roman" w:hAnsi="Times New Roman" w:eastAsia="宋体"/>
          <w:b/>
          <w:color w:val="003264"/>
          <w:sz w:val="24"/>
        </w:rPr>
        <w:t>Myelin sheaths in the central nervous system can withstand damage and dynamically remodel</w:t>
      </w:r>
    </w:p>
    <w:p>
      <w:r>
        <w:rPr>
          <w:rFonts w:ascii="Times New Roman" w:hAnsi="Times New Roman" w:eastAsia="宋体"/>
          <w:sz w:val="21"/>
        </w:rPr>
        <w:t>作者: Donia Arafa, Julia van de Korput, Philipp N. Braaker, Kieran P. Higgins, Niels R. C. Meijns, Katy L. H. Marshall-Phelps, Julia Meng, Daniel Soong, Eleonora Scalia, Kyle Lathem, Marcus Keatinge, Claire Richmond, Anna Klingseisen, Marja Main, Sarah A. Neely, David W. Hampton, Greg J. Duncan, Geert J. Schenk, Marie Louise Groot, Siddharthan Chandran, Ben Emery, Antonio Luchicchi, Maarten H. P. Kole, Anna C. Williams, David A. Lyons</w:t>
        <w:br/>
      </w:r>
      <w:r>
        <w:rPr>
          <w:rFonts w:ascii="Times New Roman" w:hAnsi="Times New Roman" w:eastAsia="宋体"/>
          <w:sz w:val="21"/>
        </w:rPr>
        <w:t xml:space="preserve">时间: 2026-02-12 | </w:t>
      </w:r>
      <w:r>
        <w:t xml:space="preserve">链接: </w:t>
      </w:r>
      <w:hyperlink r:id="rId55">
        <w:r>
          <w:rPr>
            <w:rFonts w:ascii="Times New Roman" w:hAnsi="Times New Roman" w:eastAsia="宋体"/>
            <w:color w:val="0000FF"/>
            <w:sz w:val="21"/>
            <w:u w:val="single"/>
          </w:rPr>
          <w:t>https://doi.org/10.1126/science.adr4661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髓磷脂损伤是多种神经系统疾病的标志，但其发生方式仍有待充分了解。在这项研究中，我们发现斑马鱼和啮齿动物脱髓鞘模型的早期损伤以髓鞘肿胀为特征。我们通过实时成像表明，髓磷脂肿胀并不总是导致髓磷脂损失，并且肿胀有时可以消退，从而使髓鞘得以重塑。在斑马鱼和小鼠中，早期脱髓鞘过程中神经元活动的增加会加剧髓磷脂的损伤，而神经元活动的减少则可减轻髓磷脂的肿胀。在人类多发性硬化症组织中，髓鞘肿胀也是动态的，并且在活动性病变周围突出。我们的数据表明，髓鞘肿胀是脱髓鞘的一个保守特征，对髓鞘的损伤可以得到解决，从而为针对人类疾病提供了机会。</w:t>
      </w:r>
    </w:p>
    <w:p>
      <w:pPr>
        <w:spacing w:before="120"/>
      </w:pPr>
      <w:r>
        <w:rPr>
          <w:rFonts w:ascii="Times New Roman" w:hAnsi="Times New Roman" w:eastAsia="宋体"/>
          <w:b/>
          <w:sz w:val="21"/>
        </w:rPr>
        <w:t>English Abstract:</w:t>
      </w:r>
    </w:p>
    <w:p>
      <w:r>
        <w:rPr>
          <w:rFonts w:ascii="Times New Roman" w:hAnsi="Times New Roman" w:eastAsia="宋体"/>
          <w:sz w:val="21"/>
        </w:rPr>
        <w:t>Myelin damage is a hallmark of several neurological disorders, but how it occurs remains to be fully understood. In this study, we found that early damage in zebrafish and rodent demyelination models is characterized by myelin swelling. We show, through live imaging, that myelin swelling does not always lead to myelin loss and that swellings can sometimes resolve, allowing sheaths to remodel. Increased neuronal activity during early demyelination exacerbates myelin damage, whereas reducing neuronal activity mitigates myelin swelling in both zebrafish and mice. In human multiple sclerosis tissue, myelin swelling is also dynamic and is prominent around active lesions. Our data indicate that myelin swelling is a conserved feature of demyelination and that damage to myelin sheaths can resolve, opening opportunities for targeting human disease.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不仅仅是缓解：森林在气候适应中的作用</w:t>
      </w:r>
    </w:p>
    <w:p>
      <w:r>
        <w:rPr>
          <w:rFonts w:ascii="Times New Roman" w:hAnsi="Times New Roman" w:eastAsia="宋体"/>
          <w:b/>
          <w:color w:val="003264"/>
          <w:sz w:val="24"/>
        </w:rPr>
        <w:t>More than mitigation: The role of forests in climate adaptation</w:t>
      </w:r>
    </w:p>
    <w:p>
      <w:r>
        <w:rPr>
          <w:rFonts w:ascii="Times New Roman" w:hAnsi="Times New Roman" w:eastAsia="宋体"/>
          <w:sz w:val="21"/>
        </w:rPr>
        <w:t>作者: Josephine Elena Reek, Constantin M. Zohner, Gabriel Reuben Smith, Susan C. Cook-Patton, Pieter De Frenne, Paolo D’Odorico, Marius G. Floriancic, Robert B. Jackson, Julia A. Jones, James W. Kirchner, Marysa Laguë, Yuting Liang, Yuta J. Masuda, Robert I. McDonald, Luke A. Parsons, Benedict S. Probst, June T. Spector, Thales A. P. West, Nicholas H. Wolff, Florian Zellweger, Thomas W. Crowther</w:t>
        <w:br/>
      </w:r>
      <w:r>
        <w:rPr>
          <w:rFonts w:ascii="Times New Roman" w:hAnsi="Times New Roman" w:eastAsia="宋体"/>
          <w:sz w:val="21"/>
        </w:rPr>
        <w:t xml:space="preserve">时间: 2026-02-12 | </w:t>
      </w:r>
      <w:r>
        <w:t xml:space="preserve">链接: </w:t>
      </w:r>
      <w:hyperlink r:id="rId56">
        <w:r>
          <w:rPr>
            <w:rFonts w:ascii="Times New Roman" w:hAnsi="Times New Roman" w:eastAsia="宋体"/>
            <w:color w:val="0000FF"/>
            <w:sz w:val="21"/>
            <w:u w:val="single"/>
          </w:rPr>
          <w:t>https://doi.org/10.1126/science.ads4361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森林以影响人类福祉的方式调节全球和当地气候。在这篇综述中，我们讨论了森林调节气候的规模依赖机制，强调了它们对全球缓解和当地适应的贡献。在当地，森林往往会缓冲温度，在温暖的条件下降温，在寒冷的条件下升温。在自然支持茂密森林覆盖的地区，树木主要通过碳吸收促进全球变冷，并在一定程度上抵消了与反照率相关的变暖。通过增强降雨截留、蒸散和云的形成，森林还可以影响水文循环，降低潮湿地区的洪水风险，但往往会减少下游的可用水量，特别是在干燥气候下。总的来说，这些相互作用的过程表明，最大的气候效益发生在原生森林的地方，凸显了它们对气候适应和减缓的重要性。</w:t>
      </w:r>
    </w:p>
    <w:p>
      <w:pPr>
        <w:spacing w:before="120"/>
      </w:pPr>
      <w:r>
        <w:rPr>
          <w:rFonts w:ascii="Times New Roman" w:hAnsi="Times New Roman" w:eastAsia="宋体"/>
          <w:b/>
          <w:sz w:val="21"/>
        </w:rPr>
        <w:t>English Abstract:</w:t>
      </w:r>
    </w:p>
    <w:p>
      <w:r>
        <w:rPr>
          <w:rFonts w:ascii="Times New Roman" w:hAnsi="Times New Roman" w:eastAsia="宋体"/>
          <w:sz w:val="21"/>
        </w:rPr>
        <w:t>Forests regulate global and local climates in ways that impact human well-being. In this Review, we discuss the scale-dependent mechanisms through which forests regulate climate, highlighting their contributions to global mitigation and local adaptation. Locally, forests tend to buffer temperatures, cooling in warm conditions and warming in cold ones. In regions that naturally support dense forest cover, trees contribute to global cooling primarily through carbon uptake, with some offsetting from albedo-related warming. By enhancing rainfall interception, evapotranspiration, and cloud formation, forests also influence the hydrological cycle, lowering flood risks in humid regions but often reducing downstream water availability, especially in drier climates. Collectively, these interacting processes show that the greatest climate benefits occur where forests are native, highlighting their importance for both climate adaptation and mitigation.</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Physical Review Letters</w:t>
      </w:r>
    </w:p>
    <w:p>
      <w:pPr>
        <w:jc w:val="center"/>
      </w:pPr>
      <w:r>
        <w:t>--- 更新: 06:29 ---</w:t>
      </w:r>
    </w:p>
    <w:p>
      <w:pPr>
        <w:pStyle w:val="Heading2"/>
      </w:pPr>
      <w:r/>
      <w:r>
        <w:rPr>
          <w:rFonts w:ascii="Times New Roman" w:hAnsi="Times New Roman" w:eastAsia="宋体"/>
          <w:b/>
          <w:color w:val="000000"/>
          <w:sz w:val="24"/>
        </w:rPr>
        <w:t>用于探测相位编码手性的阿秒涡旋光电子全息术</w:t>
      </w:r>
    </w:p>
    <w:p>
      <w:r>
        <w:rPr>
          <w:rFonts w:ascii="Times New Roman" w:hAnsi="Times New Roman" w:eastAsia="宋体"/>
          <w:b/>
          <w:color w:val="003264"/>
          <w:sz w:val="24"/>
        </w:rPr>
        <w:t>Attosecond vortex photoelectron holography for probing phase-encoded chirality</w:t>
      </w:r>
    </w:p>
    <w:p>
      <w:r>
        <w:rPr>
          <w:rFonts w:ascii="Times New Roman" w:hAnsi="Times New Roman" w:eastAsia="宋体"/>
          <w:sz w:val="21"/>
        </w:rPr>
        <w:t>作者: Anonymous</w:t>
        <w:br/>
      </w:r>
      <w:r>
        <w:rPr>
          <w:rFonts w:ascii="Times New Roman" w:hAnsi="Times New Roman" w:eastAsia="宋体"/>
          <w:sz w:val="21"/>
        </w:rPr>
        <w:t xml:space="preserve">时间: 2026-02-12 | </w:t>
      </w:r>
      <w:r>
        <w:t xml:space="preserve">链接: </w:t>
      </w:r>
      <w:hyperlink r:id="rId73">
        <w:r>
          <w:rPr>
            <w:rFonts w:ascii="Times New Roman" w:hAnsi="Times New Roman" w:eastAsia="宋体"/>
            <w:color w:val="0000FF"/>
            <w:sz w:val="21"/>
            <w:u w:val="single"/>
          </w:rPr>
          <w:t>https://doi.org/10.1103/gcxt-18gk</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时间排序相关器中的全息黑洞形成和加扰</w:t>
      </w:r>
    </w:p>
    <w:p>
      <w:r>
        <w:rPr>
          <w:rFonts w:ascii="Times New Roman" w:hAnsi="Times New Roman" w:eastAsia="宋体"/>
          <w:b/>
          <w:color w:val="003264"/>
          <w:sz w:val="24"/>
        </w:rPr>
        <w:t>Holographic black hole formation and scrambling in time-ordered correlators</w:t>
      </w:r>
    </w:p>
    <w:p>
      <w:r>
        <w:rPr>
          <w:rFonts w:ascii="Times New Roman" w:hAnsi="Times New Roman" w:eastAsia="宋体"/>
          <w:sz w:val="21"/>
        </w:rPr>
        <w:t>作者: Anonymous</w:t>
        <w:br/>
      </w:r>
      <w:r>
        <w:rPr>
          <w:rFonts w:ascii="Times New Roman" w:hAnsi="Times New Roman" w:eastAsia="宋体"/>
          <w:sz w:val="21"/>
        </w:rPr>
        <w:t xml:space="preserve">时间: 2026-02-12 | </w:t>
      </w:r>
      <w:r>
        <w:t xml:space="preserve">链接: </w:t>
      </w:r>
      <w:hyperlink r:id="rId74">
        <w:r>
          <w:rPr>
            <w:rFonts w:ascii="Times New Roman" w:hAnsi="Times New Roman" w:eastAsia="宋体"/>
            <w:color w:val="0000FF"/>
            <w:sz w:val="21"/>
            <w:u w:val="single"/>
          </w:rPr>
          <w:t>https://doi.org/10.1103/ywfb-82lh</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驻光波探测强场电离中库仑聚焦电子的动态相演化</w:t>
      </w:r>
    </w:p>
    <w:p>
      <w:r>
        <w:rPr>
          <w:rFonts w:ascii="Times New Roman" w:hAnsi="Times New Roman" w:eastAsia="宋体"/>
          <w:b/>
          <w:color w:val="003264"/>
          <w:sz w:val="24"/>
        </w:rPr>
        <w:t>Dynamical phase evolution of Coulomb-focused electrons in strong field ionization probed by a standing light wave</w:t>
      </w:r>
    </w:p>
    <w:p>
      <w:r>
        <w:rPr>
          <w:rFonts w:ascii="Times New Roman" w:hAnsi="Times New Roman" w:eastAsia="宋体"/>
          <w:sz w:val="21"/>
        </w:rPr>
        <w:t>作者: Anonymous</w:t>
        <w:br/>
      </w:r>
      <w:r>
        <w:rPr>
          <w:rFonts w:ascii="Times New Roman" w:hAnsi="Times New Roman" w:eastAsia="宋体"/>
          <w:sz w:val="21"/>
        </w:rPr>
        <w:t xml:space="preserve">时间: 2026-02-12 | </w:t>
      </w:r>
      <w:r>
        <w:t xml:space="preserve">链接: </w:t>
      </w:r>
      <w:hyperlink r:id="rId75">
        <w:r>
          <w:rPr>
            <w:rFonts w:ascii="Times New Roman" w:hAnsi="Times New Roman" w:eastAsia="宋体"/>
            <w:color w:val="0000FF"/>
            <w:sz w:val="21"/>
            <w:u w:val="single"/>
          </w:rPr>
          <w:t>https://doi.org/10.1103/63v1-3b63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Displays</w:t>
      </w:r>
    </w:p>
    <w:p>
      <w:pPr>
        <w:jc w:val="center"/>
      </w:pPr>
      <w:r>
        <w:t>--- 更新: 06:29 ---</w:t>
      </w:r>
    </w:p>
    <w:p>
      <w:pPr>
        <w:pStyle w:val="Heading2"/>
      </w:pPr>
      <w:r/>
      <w:r>
        <w:rPr>
          <w:rFonts w:ascii="Times New Roman" w:hAnsi="Times New Roman" w:eastAsia="宋体"/>
          <w:b/>
          <w:color w:val="000000"/>
          <w:sz w:val="24"/>
        </w:rPr>
        <w:t>由句子驱动的以查询为中心的视频摘要</w:t>
      </w:r>
    </w:p>
    <w:p>
      <w:r>
        <w:rPr>
          <w:rFonts w:ascii="Times New Roman" w:hAnsi="Times New Roman" w:eastAsia="宋体"/>
          <w:b/>
          <w:color w:val="003264"/>
          <w:sz w:val="24"/>
        </w:rPr>
        <w:t>Query-focused video summarization driven by sentences</w:t>
      </w:r>
    </w:p>
    <w:p>
      <w:r>
        <w:rPr>
          <w:rFonts w:ascii="Times New Roman" w:hAnsi="Times New Roman" w:eastAsia="宋体"/>
          <w:sz w:val="21"/>
        </w:rPr>
        <w:t>作者: Kaifan Zhao, Ran Ma, Haozhe Yu, Ping An, Gongyang Li</w:t>
        <w:br/>
      </w:r>
      <w:r>
        <w:rPr>
          <w:rFonts w:ascii="Times New Roman" w:hAnsi="Times New Roman" w:eastAsia="宋体"/>
          <w:sz w:val="21"/>
        </w:rPr>
        <w:t xml:space="preserve">时间: 2026-02-01 | </w:t>
      </w:r>
      <w:r>
        <w:t xml:space="preserve">链接: </w:t>
      </w:r>
      <w:hyperlink r:id="rId76">
        <w:r>
          <w:rPr>
            <w:rFonts w:ascii="Times New Roman" w:hAnsi="Times New Roman" w:eastAsia="宋体"/>
            <w:color w:val="0000FF"/>
            <w:sz w:val="21"/>
            <w:u w:val="single"/>
          </w:rPr>
          <w:t>https://doi.org/10.1016/j.displa.2026.103398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RealGaze：走向自然凝视估计</w:t>
      </w:r>
    </w:p>
    <w:p>
      <w:r>
        <w:rPr>
          <w:rFonts w:ascii="Times New Roman" w:hAnsi="Times New Roman" w:eastAsia="宋体"/>
          <w:b/>
          <w:color w:val="003264"/>
          <w:sz w:val="24"/>
        </w:rPr>
        <w:t>RealGaze: Towards natural gaze estimation</w:t>
      </w:r>
    </w:p>
    <w:p>
      <w:r>
        <w:rPr>
          <w:rFonts w:ascii="Times New Roman" w:hAnsi="Times New Roman" w:eastAsia="宋体"/>
          <w:sz w:val="21"/>
        </w:rPr>
        <w:t>作者: Hekuangyi Che, Dongchen Zhu, Guanghui Zhang, Lei Wang, Jiamao Li</w:t>
        <w:br/>
      </w:r>
      <w:r>
        <w:rPr>
          <w:rFonts w:ascii="Times New Roman" w:hAnsi="Times New Roman" w:eastAsia="宋体"/>
          <w:sz w:val="21"/>
        </w:rPr>
        <w:t xml:space="preserve">时间: 2026-02-01 | </w:t>
      </w:r>
      <w:r>
        <w:t xml:space="preserve">链接: </w:t>
      </w:r>
      <w:hyperlink r:id="rId77">
        <w:r>
          <w:rPr>
            <w:rFonts w:ascii="Times New Roman" w:hAnsi="Times New Roman" w:eastAsia="宋体"/>
            <w:color w:val="0000FF"/>
            <w:sz w:val="21"/>
            <w:u w:val="single"/>
          </w:rPr>
          <w:t>https://doi.org/10.1016/j.displa.2026.103396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QExpander：二元神经网络的剪枝敏感性引导自适应加宽</w:t>
      </w:r>
    </w:p>
    <w:p>
      <w:r>
        <w:rPr>
          <w:rFonts w:ascii="Times New Roman" w:hAnsi="Times New Roman" w:eastAsia="宋体"/>
          <w:b/>
          <w:color w:val="003264"/>
          <w:sz w:val="24"/>
        </w:rPr>
        <w:t>QExpander: Pruning-sensitivity-guided adaptive widening for binary neural networks</w:t>
      </w:r>
    </w:p>
    <w:p>
      <w:r>
        <w:rPr>
          <w:rFonts w:ascii="Times New Roman" w:hAnsi="Times New Roman" w:eastAsia="宋体"/>
          <w:sz w:val="21"/>
        </w:rPr>
        <w:t>作者: Hao Gong, Ying Liu</w:t>
        <w:br/>
      </w:r>
      <w:r>
        <w:rPr>
          <w:rFonts w:ascii="Times New Roman" w:hAnsi="Times New Roman" w:eastAsia="宋体"/>
          <w:sz w:val="21"/>
        </w:rPr>
        <w:t xml:space="preserve">时间: 2026-02-01 | </w:t>
      </w:r>
      <w:r>
        <w:t xml:space="preserve">链接: </w:t>
      </w:r>
      <w:hyperlink r:id="rId78">
        <w:r>
          <w:rPr>
            <w:rFonts w:ascii="Times New Roman" w:hAnsi="Times New Roman" w:eastAsia="宋体"/>
            <w:color w:val="0000FF"/>
            <w:sz w:val="21"/>
            <w:u w:val="single"/>
          </w:rPr>
          <w:t>https://doi.org/10.1016/j.displa.2026.103397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and Laser Technology</w:t>
      </w:r>
    </w:p>
    <w:p>
      <w:pPr>
        <w:jc w:val="center"/>
      </w:pPr>
      <w:r>
        <w:t>--- 更新: 06:29 ---</w:t>
      </w:r>
    </w:p>
    <w:p>
      <w:pPr>
        <w:pStyle w:val="Heading2"/>
      </w:pPr>
      <w:r/>
      <w:r>
        <w:rPr>
          <w:rFonts w:ascii="Times New Roman" w:hAnsi="Times New Roman" w:eastAsia="宋体"/>
          <w:b/>
          <w:color w:val="000000"/>
          <w:sz w:val="24"/>
        </w:rPr>
        <w:t>相变薄膜实现可调节的结构颜色</w:t>
      </w:r>
    </w:p>
    <w:p>
      <w:r>
        <w:rPr>
          <w:rFonts w:ascii="Times New Roman" w:hAnsi="Times New Roman" w:eastAsia="宋体"/>
          <w:b/>
          <w:color w:val="003264"/>
          <w:sz w:val="24"/>
        </w:rPr>
        <w:t>Tunable structural colors enabled by phase-change films</w:t>
      </w:r>
    </w:p>
    <w:p>
      <w:r>
        <w:rPr>
          <w:rFonts w:ascii="Times New Roman" w:hAnsi="Times New Roman" w:eastAsia="宋体"/>
          <w:sz w:val="21"/>
        </w:rPr>
        <w:t>作者: He Li, Longjie Li, Xiao Shang, Yuan Wang, Yu Liu, Kaiping Zhang, Cheng Lu, Zhihong Yao, Shengchao Duan, Bin Li, Lina Shi</w:t>
        <w:br/>
      </w:r>
      <w:r>
        <w:rPr>
          <w:rFonts w:ascii="Times New Roman" w:hAnsi="Times New Roman" w:eastAsia="宋体"/>
          <w:sz w:val="21"/>
        </w:rPr>
        <w:t xml:space="preserve">时间: 2026-06-01 | </w:t>
      </w:r>
      <w:r>
        <w:t xml:space="preserve">链接: </w:t>
      </w:r>
      <w:hyperlink r:id="rId79">
        <w:r>
          <w:rPr>
            <w:rFonts w:ascii="Times New Roman" w:hAnsi="Times New Roman" w:eastAsia="宋体"/>
            <w:color w:val="0000FF"/>
            <w:sz w:val="21"/>
            <w:u w:val="single"/>
          </w:rPr>
          <w:t>https://doi.org/10.1016/j.optlastec.2026.114943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引力波望远镜挡板表面杂散光抑制的 BRDF 测量和建模</w:t>
      </w:r>
    </w:p>
    <w:p>
      <w:r>
        <w:rPr>
          <w:rFonts w:ascii="Times New Roman" w:hAnsi="Times New Roman" w:eastAsia="宋体"/>
          <w:b/>
          <w:color w:val="003264"/>
          <w:sz w:val="24"/>
        </w:rPr>
        <w:t>Measurement and modeling of BRDF for stray light suppression in gravitational wave telescope baffle surfaces</w:t>
      </w:r>
    </w:p>
    <w:p>
      <w:r>
        <w:rPr>
          <w:rFonts w:ascii="Times New Roman" w:hAnsi="Times New Roman" w:eastAsia="宋体"/>
          <w:sz w:val="21"/>
        </w:rPr>
        <w:t>作者: Bolun Ma, Qinfang Chen, Hu Wang, Yaoke Xue, Zhanpeng Ma, Jiawen Liu</w:t>
        <w:br/>
      </w:r>
      <w:r>
        <w:rPr>
          <w:rFonts w:ascii="Times New Roman" w:hAnsi="Times New Roman" w:eastAsia="宋体"/>
          <w:sz w:val="21"/>
        </w:rPr>
        <w:t xml:space="preserve">时间: 2026-06-01 | </w:t>
      </w:r>
      <w:r>
        <w:t xml:space="preserve">链接: </w:t>
      </w:r>
      <w:hyperlink r:id="rId80">
        <w:r>
          <w:rPr>
            <w:rFonts w:ascii="Times New Roman" w:hAnsi="Times New Roman" w:eastAsia="宋体"/>
            <w:color w:val="0000FF"/>
            <w:sz w:val="21"/>
            <w:u w:val="single"/>
          </w:rPr>
          <w:t>https://doi.org/10.1016/j.optlastec.2026.114912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and Lasers in Engineering</w:t>
      </w:r>
    </w:p>
    <w:p>
      <w:pPr>
        <w:jc w:val="center"/>
      </w:pPr>
      <w:r>
        <w:t>--- 更新: 06:29 ---</w:t>
      </w:r>
    </w:p>
    <w:p>
      <w:pPr>
        <w:pStyle w:val="Heading2"/>
      </w:pPr>
      <w:r/>
      <w:r>
        <w:rPr>
          <w:rFonts w:ascii="Times New Roman" w:hAnsi="Times New Roman" w:eastAsia="宋体"/>
          <w:b/>
          <w:color w:val="000000"/>
          <w:sz w:val="24"/>
        </w:rPr>
        <w:t>高精度多面相移干涉测量中基于希尔伯特变换解析信号构造的子空间联合参数估计算法</w:t>
      </w:r>
    </w:p>
    <w:p>
      <w:r>
        <w:rPr>
          <w:rFonts w:ascii="Times New Roman" w:hAnsi="Times New Roman" w:eastAsia="宋体"/>
          <w:b/>
          <w:color w:val="003264"/>
          <w:sz w:val="24"/>
        </w:rPr>
        <w:t>Subspace joint parameter estimation algorithm based on hilbert transform for constructing analytical signals in high-precision multi-surface phase-shifting interferometry</w:t>
      </w:r>
    </w:p>
    <w:p>
      <w:r>
        <w:rPr>
          <w:rFonts w:ascii="Times New Roman" w:hAnsi="Times New Roman" w:eastAsia="宋体"/>
          <w:sz w:val="21"/>
        </w:rPr>
        <w:t>作者: Qichao Shen, Fangjun Xie, Shenghuan Jin, Donghui Zhang, Feng Wang, Yingjie Yu, Lin Chang</w:t>
        <w:br/>
      </w:r>
      <w:r>
        <w:rPr>
          <w:rFonts w:ascii="Times New Roman" w:hAnsi="Times New Roman" w:eastAsia="宋体"/>
          <w:sz w:val="21"/>
        </w:rPr>
        <w:t xml:space="preserve">时间: 2026-06-01 | </w:t>
      </w:r>
      <w:r>
        <w:t xml:space="preserve">链接: </w:t>
      </w:r>
      <w:hyperlink r:id="rId81">
        <w:r>
          <w:rPr>
            <w:rFonts w:ascii="Times New Roman" w:hAnsi="Times New Roman" w:eastAsia="宋体"/>
            <w:color w:val="0000FF"/>
            <w:sz w:val="21"/>
            <w:u w:val="single"/>
          </w:rPr>
          <w:t>https://doi.org/10.1016/j.optlaseng.2026.109681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使用厄米高斯照明的单像素成像的动态散射介质辅助光学加密</w:t>
      </w:r>
    </w:p>
    <w:p>
      <w:r>
        <w:rPr>
          <w:rFonts w:ascii="Times New Roman" w:hAnsi="Times New Roman" w:eastAsia="宋体"/>
          <w:b/>
          <w:color w:val="003264"/>
          <w:sz w:val="24"/>
        </w:rPr>
        <w:t>Dynamic scattering medium-assisted optical encryption using single-pixel imaging with Hermite-Gaussian illumination</w:t>
      </w:r>
    </w:p>
    <w:p>
      <w:r>
        <w:rPr>
          <w:rFonts w:ascii="Times New Roman" w:hAnsi="Times New Roman" w:eastAsia="宋体"/>
          <w:sz w:val="21"/>
        </w:rPr>
        <w:t>作者: Zinan Huang, Menghao Jia, Jixin Qiu, Bijun Xu, Xiaogang Wang</w:t>
        <w:br/>
      </w:r>
      <w:r>
        <w:rPr>
          <w:rFonts w:ascii="Times New Roman" w:hAnsi="Times New Roman" w:eastAsia="宋体"/>
          <w:sz w:val="21"/>
        </w:rPr>
        <w:t xml:space="preserve">时间: 2026-06-01 | </w:t>
      </w:r>
      <w:r>
        <w:t xml:space="preserve">链接: </w:t>
      </w:r>
      <w:hyperlink r:id="rId82">
        <w:r>
          <w:rPr>
            <w:rFonts w:ascii="Times New Roman" w:hAnsi="Times New Roman" w:eastAsia="宋体"/>
            <w:color w:val="0000FF"/>
            <w:sz w:val="21"/>
            <w:u w:val="single"/>
          </w:rPr>
          <w:t>https://doi.org/10.1016/j.optlaseng.2026.109685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Communications</w:t>
      </w:r>
    </w:p>
    <w:p>
      <w:pPr>
        <w:jc w:val="center"/>
      </w:pPr>
      <w:r>
        <w:t>--- 更新: 06:29 ---</w:t>
      </w:r>
    </w:p>
    <w:p>
      <w:pPr>
        <w:pStyle w:val="Heading2"/>
      </w:pPr>
      <w:r/>
      <w:r>
        <w:rPr>
          <w:rFonts w:ascii="Times New Roman" w:hAnsi="Times New Roman" w:eastAsia="宋体"/>
          <w:b/>
          <w:color w:val="000000"/>
          <w:sz w:val="24"/>
        </w:rPr>
        <w:t>直流波导上移动驻波的光学传送带，用于精确的颗粒释放控制</w:t>
      </w:r>
    </w:p>
    <w:p>
      <w:r>
        <w:rPr>
          <w:rFonts w:ascii="Times New Roman" w:hAnsi="Times New Roman" w:eastAsia="宋体"/>
          <w:b/>
          <w:color w:val="003264"/>
          <w:sz w:val="24"/>
        </w:rPr>
        <w:t>Optical conveyor belt of moving standing wave on DC waveguide for accurate particle releasing control</w:t>
      </w:r>
    </w:p>
    <w:p>
      <w:r>
        <w:rPr>
          <w:rFonts w:ascii="Times New Roman" w:hAnsi="Times New Roman" w:eastAsia="宋体"/>
          <w:sz w:val="21"/>
        </w:rPr>
        <w:t>作者: Feixiang Zheng, Feng Xu, Rongqiu Mu, Guanghui Wang</w:t>
        <w:br/>
      </w:r>
      <w:r>
        <w:rPr>
          <w:rFonts w:ascii="Times New Roman" w:hAnsi="Times New Roman" w:eastAsia="宋体"/>
          <w:sz w:val="21"/>
        </w:rPr>
        <w:t xml:space="preserve">时间: 2026-02-01 | </w:t>
      </w:r>
      <w:r>
        <w:t xml:space="preserve">链接: </w:t>
      </w:r>
      <w:hyperlink r:id="rId83">
        <w:r>
          <w:rPr>
            <w:rFonts w:ascii="Times New Roman" w:hAnsi="Times New Roman" w:eastAsia="宋体"/>
            <w:color w:val="0000FF"/>
            <w:sz w:val="21"/>
            <w:u w:val="single"/>
          </w:rPr>
          <w:t>https://doi.org/10.1016/j.optcom.2026.133018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IEEE Trans. Vis. Comput. Graph</w:t>
      </w:r>
    </w:p>
    <w:p>
      <w:pPr>
        <w:jc w:val="center"/>
      </w:pPr>
      <w:r>
        <w:t>--- 更新: 06:30 ---</w:t>
      </w:r>
    </w:p>
    <w:p>
      <w:pPr>
        <w:pStyle w:val="Heading2"/>
      </w:pPr>
      <w:r/>
      <w:r>
        <w:rPr>
          <w:rFonts w:ascii="Times New Roman" w:hAnsi="Times New Roman" w:eastAsia="宋体"/>
          <w:b/>
          <w:color w:val="000000"/>
          <w:sz w:val="24"/>
        </w:rPr>
        <w:t>一阶段绝对人体网格恢复</w:t>
      </w:r>
    </w:p>
    <w:p>
      <w:r>
        <w:rPr>
          <w:rFonts w:ascii="Times New Roman" w:hAnsi="Times New Roman" w:eastAsia="宋体"/>
          <w:b/>
          <w:color w:val="003264"/>
          <w:sz w:val="24"/>
        </w:rPr>
        <w:t>One-Stage Absolute Human Mesh Recovery</w:t>
      </w:r>
    </w:p>
    <w:p>
      <w:r>
        <w:rPr>
          <w:rFonts w:ascii="Times New Roman" w:hAnsi="Times New Roman" w:eastAsia="宋体"/>
          <w:sz w:val="21"/>
        </w:rPr>
        <w:t>作者: Xinyao Liao, Wanjuan Su, Chen Zhang, Ximeng Li, Wenbing Tao</w:t>
        <w:br/>
      </w:r>
      <w:r>
        <w:rPr>
          <w:rFonts w:ascii="Times New Roman" w:hAnsi="Times New Roman" w:eastAsia="宋体"/>
          <w:sz w:val="21"/>
        </w:rPr>
        <w:t xml:space="preserve">时间: 2026 | </w:t>
      </w:r>
      <w:r>
        <w:t xml:space="preserve">链接: </w:t>
      </w:r>
      <w:hyperlink r:id="rId85">
        <w:r>
          <w:rPr>
            <w:rFonts w:ascii="Times New Roman" w:hAnsi="Times New Roman" w:eastAsia="宋体"/>
            <w:color w:val="0000FF"/>
            <w:sz w:val="21"/>
            <w:u w:val="single"/>
          </w:rPr>
          <w:t>https://doi.org/10.1109/tvcg.2026.3664111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通过考虑场景信息，可以促进在世界坐标中重建真实且精确的人体网格。现有的绝对人体网格恢复方法面临着与准确性、鲁棒性和计算时间相关的挑战。本文提出了一种具有优异的重建精度和推理速度的绝对人体网格恢复的一阶段模型。所提出的一阶段模型由两个并行分支组成，以实现根位置估计和人体网格回归。为了有效连接这两个分支，设计了场景图像信息聚合模块。该模块提高了估计人体网格的准确性，并促进了整个模型的端到端训练。在三个不同的数据集上进行了实验，与之前的 SOTA 方法相比，所提出的方法以最短的推理时间实现了 GMPJPE 减少 72.3 mm/27.32% 和 MPJPE 减少 25.6 mm/27.26%。</w:t>
      </w:r>
    </w:p>
    <w:p>
      <w:pPr>
        <w:spacing w:before="120"/>
      </w:pPr>
      <w:r>
        <w:rPr>
          <w:rFonts w:ascii="Times New Roman" w:hAnsi="Times New Roman" w:eastAsia="宋体"/>
          <w:b/>
          <w:sz w:val="21"/>
        </w:rPr>
        <w:t>English Abstract:</w:t>
      </w:r>
    </w:p>
    <w:p>
      <w:r>
        <w:rPr>
          <w:rFonts w:ascii="Times New Roman" w:hAnsi="Times New Roman" w:eastAsia="宋体"/>
          <w:sz w:val="21"/>
        </w:rPr>
        <w:t>The reconstruction of realistic and precise human meshes in world coordinates is facilitated by considering scene information. Challenges related to accuracy, robustness, and computation time are faced by existing absolute human mesh recovery methods. In this paper, a one-stage model for absolute human mesh recovery with superior reconstruction precision and inference speed is presented. The proposed one-stage model is composed of two parallel branches to achieve root position estimation and human mesh regression. To effectively connect the two branches, a scene-image information aggregation module is designed. The accuracy of the estimated human meshes is improved and the end-to-end training of the whole model is facilitated by this module. Experiments are conducted on three diverse datasets, and a GMPJPE decrease of 72.3 mm/27.32% and an MPJPE reduction of 25.6 mm/27.26% are achieved by the proposed method with the lowest inference time compared to previous SOTA methods.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IEEE Trans. Comp. Imaging</w:t>
      </w:r>
    </w:p>
    <w:p>
      <w:pPr>
        <w:jc w:val="center"/>
      </w:pPr>
      <w:r>
        <w:t>--- 更新: 06:30 ---</w:t>
      </w:r>
    </w:p>
    <w:p>
      <w:pPr>
        <w:pStyle w:val="Heading2"/>
      </w:pPr>
      <w:r/>
      <w:r>
        <w:rPr>
          <w:rFonts w:ascii="Times New Roman" w:hAnsi="Times New Roman" w:eastAsia="宋体"/>
          <w:b/>
          <w:color w:val="000000"/>
          <w:sz w:val="24"/>
        </w:rPr>
        <w:t>KAN-KT-Unet：基于梯形变换的 ISAR 距离偏移补偿和自动对焦方法</w:t>
      </w:r>
    </w:p>
    <w:p>
      <w:r>
        <w:rPr>
          <w:rFonts w:ascii="Times New Roman" w:hAnsi="Times New Roman" w:eastAsia="宋体"/>
          <w:b/>
          <w:color w:val="003264"/>
          <w:sz w:val="24"/>
        </w:rPr>
        <w:t>KAN-KT-Unet: Keystone Transform-Based Method for ISAR Range Migration Compensation and Auto-Focusing</w:t>
      </w:r>
    </w:p>
    <w:p>
      <w:r>
        <w:rPr>
          <w:rFonts w:ascii="Times New Roman" w:hAnsi="Times New Roman" w:eastAsia="宋体"/>
          <w:sz w:val="21"/>
        </w:rPr>
        <w:t>作者: Zhipeng Qing, Shunsheng Zhang, Jing Yang, Zhijin Wen, Youlei Pu</w:t>
        <w:br/>
      </w:r>
      <w:r>
        <w:rPr>
          <w:rFonts w:ascii="Times New Roman" w:hAnsi="Times New Roman" w:eastAsia="宋体"/>
          <w:sz w:val="21"/>
        </w:rPr>
        <w:t xml:space="preserve">时间: 2026 | </w:t>
      </w:r>
      <w:r>
        <w:t xml:space="preserve">链接: </w:t>
      </w:r>
      <w:hyperlink r:id="rId89">
        <w:r>
          <w:rPr>
            <w:rFonts w:ascii="Times New Roman" w:hAnsi="Times New Roman" w:eastAsia="宋体"/>
            <w:color w:val="0000FF"/>
            <w:sz w:val="21"/>
            <w:u w:val="single"/>
          </w:rPr>
          <w:t>https://doi.org/10.1109/tci.2026.3657291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清晰的反合成孔径雷达 (ISAR) 图像对于区域监视和目标识别等应用至关重要。实现高分辨率 ISAR 成像通常需要宽信号带宽和成像期间显着的目标旋转。然而，大的旋转角度通常会引起距离偏移，使成像过程复杂化。虽然现有方法通常采用梯形变换来校正距离偏移，但它们在复杂的机动条件下可能会失败。此外，这些方法通常忽略方位散焦，这会严重影响 ISAR 成像清晰度。本研究通过提出 KAN-KT-Unet 模型来解决这些挑战。该模型可以使用参数重采样和梯形变换来补偿范围偏移，这考虑了一阶和二阶旋转分量。基于柯尔莫哥洛夫-阿诺德网络（KAN）的自适应参数提取网络取代了传统的迭代搜索过程，提高了效率和准确性。此外，通过减少通道的增强型 Unet 架构，可以平衡分辨率提高和噪声抑制，从而减轻方位散焦。仿真和实测数据实验验证了该方法的有效性，证明了与传统算法相比其优越的泛化性和抗噪声能力。这些结果凸显了 KAN-KT-Unet 模型在机动目标和噪声条件下提高 ISAR 成像质量的潜力，使其适合实际应用。</w:t>
      </w:r>
    </w:p>
    <w:p>
      <w:pPr>
        <w:spacing w:before="120"/>
      </w:pPr>
      <w:r>
        <w:rPr>
          <w:rFonts w:ascii="Times New Roman" w:hAnsi="Times New Roman" w:eastAsia="宋体"/>
          <w:b/>
          <w:sz w:val="21"/>
        </w:rPr>
        <w:t>English Abstract:</w:t>
      </w:r>
    </w:p>
    <w:p>
      <w:r>
        <w:rPr>
          <w:rFonts w:ascii="Times New Roman" w:hAnsi="Times New Roman" w:eastAsia="宋体"/>
          <w:sz w:val="21"/>
        </w:rPr>
        <w:t>Clear inverse synthetic aperture radar (ISAR) images are essential for applications such as area surveillance and target recognition. Achieving high-resolution ISAR imaging often requires wide signal bandwidth and significant target rotation during the imaging period. However, large rotation angles usually induce range migration, complicating the imaging process. While existing methods typically employ the keystone transform to correct range migration, they may fail under complex maneuvering conditions. Additionally, these methods usually neglect azimuth defocusing, which significantly impacts ISAR imaging clarity. This study addresses these challenges by proposing a KAN-KT-Unet model. This model can compensate for range migration using parametric resampling and keystone transform, which accounts for first-order and second-order rotational components. An adaptive parameter extraction network based on the Kolmogorov-Arnold network (KAN) replaces traditional iterative search processes, improving efficiency and accuracy. Additionally, azimuth defocusing is mitigated through an enhanced Unet architecture with reduced channels, balancing resolution improvement and noise suppression. Simulation and measured-data experiments validate the effectiveness of the proposed method, demonstrating its superior generalization and noise resistance compared to traditional algorithms. These results highlight the KAN-KT-Unet model's potential for improving ISAR imaging quality under maneuvering-target and noisy conditions, making it suitable for practical applications.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IEEE Trans. Pattern Anal. Mach. Intell.</w:t>
      </w:r>
    </w:p>
    <w:p>
      <w:pPr>
        <w:jc w:val="center"/>
      </w:pPr>
      <w:r>
        <w:t>--- 更新: 06:30 ---</w:t>
      </w:r>
    </w:p>
    <w:p>
      <w:pPr>
        <w:pStyle w:val="Heading2"/>
      </w:pPr>
      <w:r/>
      <w:r>
        <w:rPr>
          <w:rFonts w:ascii="Times New Roman" w:hAnsi="Times New Roman" w:eastAsia="宋体"/>
          <w:b/>
          <w:color w:val="000000"/>
          <w:sz w:val="24"/>
        </w:rPr>
        <w:t>用于动态场景中连续重新聚焦的编码事件焦点堆栈</w:t>
      </w:r>
    </w:p>
    <w:p>
      <w:r>
        <w:rPr>
          <w:rFonts w:ascii="Times New Roman" w:hAnsi="Times New Roman" w:eastAsia="宋体"/>
          <w:b/>
          <w:color w:val="003264"/>
          <w:sz w:val="24"/>
        </w:rPr>
        <w:t>Coded Event Focal Stack for Continuous Refocusing in Dynamic Scene</w:t>
      </w:r>
    </w:p>
    <w:p>
      <w:r>
        <w:rPr>
          <w:rFonts w:ascii="Times New Roman" w:hAnsi="Times New Roman" w:eastAsia="宋体"/>
          <w:sz w:val="21"/>
        </w:rPr>
        <w:t>作者: Minggui Teng, Suhang Xuan, Zhiang Yan, Hanyue Lou, Boyu Li, Bin Fan, Boxin Shi</w:t>
        <w:br/>
      </w:r>
      <w:r>
        <w:rPr>
          <w:rFonts w:ascii="Times New Roman" w:hAnsi="Times New Roman" w:eastAsia="宋体"/>
          <w:sz w:val="21"/>
        </w:rPr>
        <w:t xml:space="preserve">时间: 2026 | </w:t>
      </w:r>
      <w:r>
        <w:t xml:space="preserve">链接: </w:t>
      </w:r>
      <w:hyperlink r:id="rId90">
        <w:r>
          <w:rPr>
            <w:rFonts w:ascii="Times New Roman" w:hAnsi="Times New Roman" w:eastAsia="宋体"/>
            <w:color w:val="0000FF"/>
            <w:sz w:val="21"/>
            <w:u w:val="single"/>
          </w:rPr>
          <w:t>https://doi.org/10.1109/tpami.2026.3664082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于镜头的限制，传统相机在动态场景中保持焦点方面面临限制，尤其是在快速运动期间。人们已经探索了捕获后重新聚焦技术，包括基于深度学习的方法和光场相机，以缓解这些挑战。然而，这些方法经常与时间一致性作斗争，或者在空间分辨率上进行权衡。在本文中，我们介绍了编码事件焦点堆栈，这是一种通过调制焦点扫描期间记录的事件流捕获运动和深度信息的新颖方法。我们的编码事件焦点堆栈能够生成在任意焦距处重新聚焦的全时中间帧。对合成数据集和真实世界数据集的大量实验表明，我们的方法比最先进的技术具有卓越的重新聚焦能力，特别是在具有复杂运动和深度变化的动态场景中。</w:t>
      </w:r>
    </w:p>
    <w:p>
      <w:pPr>
        <w:spacing w:before="120"/>
      </w:pPr>
      <w:r>
        <w:rPr>
          <w:rFonts w:ascii="Times New Roman" w:hAnsi="Times New Roman" w:eastAsia="宋体"/>
          <w:b/>
          <w:sz w:val="21"/>
        </w:rPr>
        <w:t>English Abstract:</w:t>
      </w:r>
    </w:p>
    <w:p>
      <w:r>
        <w:rPr>
          <w:rFonts w:ascii="Times New Roman" w:hAnsi="Times New Roman" w:eastAsia="宋体"/>
          <w:sz w:val="21"/>
        </w:rPr>
        <w:t>Traditional cameras face limitations in maintaining focus across dynamic scenes, especially during rapid motion, due to the constraints of their lenses. Post-capture refocusing techniques, including deep learning-based methods and light field cameras, have been explored to mitigate these challenges. However, these approaches frequently struggle with temporal consistency or experience a trade-off in spatial resolution. In this paper, we introduce the coded event focal stack, a novel approach that captures both motion and depth information through event streams recorded during a modulated focal sweep. Our coded event focal stack enables the generation of full time intermediate frames refocused at arbitrary focal distances. Extensive experiments on both synthetic and real-world datasets demonstrate the superior refocusing capability of our method over state-of-the-art techniques, particularly in dynamic scenes with complex motion and depth variations.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使用运动线性扩散变压器实现一致且可控的图像动画</w:t>
      </w:r>
    </w:p>
    <w:p>
      <w:r>
        <w:rPr>
          <w:rFonts w:ascii="Times New Roman" w:hAnsi="Times New Roman" w:eastAsia="宋体"/>
          <w:b/>
          <w:color w:val="003264"/>
          <w:sz w:val="24"/>
        </w:rPr>
        <w:t>Consistent and Controllable Image Animation with Motion Linear Diffusion Transformers</w:t>
      </w:r>
    </w:p>
    <w:p>
      <w:r>
        <w:rPr>
          <w:rFonts w:ascii="Times New Roman" w:hAnsi="Times New Roman" w:eastAsia="宋体"/>
          <w:sz w:val="21"/>
        </w:rPr>
        <w:t>作者: Xin Ma, Yaohui Wang, Genyun Jia, Xinyuan Chen, Tien-Tsin Wong, Cunjian Chen</w:t>
        <w:br/>
      </w:r>
      <w:r>
        <w:rPr>
          <w:rFonts w:ascii="Times New Roman" w:hAnsi="Times New Roman" w:eastAsia="宋体"/>
          <w:sz w:val="21"/>
        </w:rPr>
        <w:t xml:space="preserve">时间: 2026 | </w:t>
      </w:r>
      <w:r>
        <w:t xml:space="preserve">链接: </w:t>
      </w:r>
      <w:hyperlink r:id="rId91">
        <w:r>
          <w:rPr>
            <w:rFonts w:ascii="Times New Roman" w:hAnsi="Times New Roman" w:eastAsia="宋体"/>
            <w:color w:val="0000FF"/>
            <w:sz w:val="21"/>
            <w:u w:val="single"/>
          </w:rPr>
          <w:t>https://doi.org/10.1109/tpami.2026.3664227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在扩散模型强大的生成能力的推动下，图像动画取得了重大进展。然而，保持与静态输入图像的外观一致性以及减轻生成的动画中的突然运动过渡仍然是持续存在的挑战。虽然文本到视频 (T2V) 生成已经通过扩散变压器模型展示了令人印象深刻的性能，但图像动画领域仍然很大程度上依赖于基于 U-Net 的扩散模型，该模型落后于最新的 T2V 方法。此外，《变形金刚》中普通自注意力机制的二次复杂性带来了繁重的计算需求，使得图像动画特别占用资源。为了解决这些问题，我们提出了 MiraMo，一个旨在提高图像动画的效率、外观一致性和运动平滑度的框架。具体来说，MiraMo 引入了三个关键要素：（1）基础的文本到视频架构，用高效的线性注意力取代普通的自注意力，以减少计算开销，同时保持生成质量； （2）一种新颖的运动残差学习范式，专注于运动动力学建模而不是直接预测帧，提高时间一致性； (3) 推理期间基于 DCT 的噪声细化策略，以抑制突然的运动伪影，并辅以动态控制模块，以平衡运动平滑度和表现力。针对最先进方法的大量实验验证了 MiraMo 在生成一致、流畅、可控动画和加速推理速度方面的优越性。此外，我们还通过运动传输和视频编辑任务中的应用展示了 MiraMo 的多功能性。项目页面位于https://maxin-cn.github.io/miramo_project。</w:t>
      </w:r>
    </w:p>
    <w:p>
      <w:pPr>
        <w:spacing w:before="120"/>
      </w:pPr>
      <w:r>
        <w:rPr>
          <w:rFonts w:ascii="Times New Roman" w:hAnsi="Times New Roman" w:eastAsia="宋体"/>
          <w:b/>
          <w:sz w:val="21"/>
        </w:rPr>
        <w:t>English Abstract:</w:t>
      </w:r>
    </w:p>
    <w:p>
      <w:r>
        <w:rPr>
          <w:rFonts w:ascii="Times New Roman" w:hAnsi="Times New Roman" w:eastAsia="宋体"/>
          <w:sz w:val="21"/>
        </w:rPr>
        <w:t>Image animation has seen significant progress, driven by the powerful generative capabilities of diffusion models. However, maintaining appearance consistency with static input images and mitigating abrupt motion transitions in generated animations remain persistent challenges. While text-to-video (T2V) generation has demonstrated impressive performance with diffusion transformer models, the image animation field still largely relies on U-Net-based diffusion models, which lag behind the latest T2V approaches. Moreover, the quadratic complexity of vanilla self-attention mechanisms in Transformers imposes heavy computational demands, making image animation particularly resource-intensive. To address these issues, we propose MiraMo, a framework designed to enhance efficiency, appearance consistency, and motion smoothness in image animation. Specifically, MiraMo introduces three key elements: (1) A foundational text-to-video architecture replacing vanilla self-attention with efficient linear attention to reduce computational overhead while preserving generation quality; (2) A novel motion residual learning paradigm that focuses on modeling motion dynamics rather than directly predicting frames, improving temporal consistency; and (3) A DCT-based noise refinement strategy during inference to suppress sudden motion artifacts, complemented by a dynamics control module to balance motion smoothness and expressiveness. Extensive experiments against state-of-the-art methods validate the superiority of MiraMo in generating consistent, smooth, and controllable animations with accelerated inference speed. Additionally, we demonstrate the versatility of MiraMo through applications in motion transfer and video editing tasks. The project page is available at https://maxin-cn.github.io/miramo_project.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互相学习：广义联邦增量语义分割</w:t>
      </w:r>
    </w:p>
    <w:p>
      <w:r>
        <w:rPr>
          <w:rFonts w:ascii="Times New Roman" w:hAnsi="Times New Roman" w:eastAsia="宋体"/>
          <w:b/>
          <w:color w:val="003264"/>
          <w:sz w:val="24"/>
        </w:rPr>
        <w:t>Learning From Each Other: Generalized Federated Incremental Semantic Segmentation</w:t>
      </w:r>
    </w:p>
    <w:p>
      <w:r>
        <w:rPr>
          <w:rFonts w:ascii="Times New Roman" w:hAnsi="Times New Roman" w:eastAsia="宋体"/>
          <w:sz w:val="21"/>
        </w:rPr>
        <w:t>作者: Jiahua Dong, Wenqi Liang, Yang Cong, Gan Sun, Lixu Wang, Henghui Ding, Yulun Zhang, Luc Van Gool</w:t>
        <w:br/>
      </w:r>
      <w:r>
        <w:rPr>
          <w:rFonts w:ascii="Times New Roman" w:hAnsi="Times New Roman" w:eastAsia="宋体"/>
          <w:sz w:val="21"/>
        </w:rPr>
        <w:t xml:space="preserve">时间: 2026 | </w:t>
      </w:r>
      <w:r>
        <w:t xml:space="preserve">链接: </w:t>
      </w:r>
      <w:hyperlink r:id="rId92">
        <w:r>
          <w:rPr>
            <w:rFonts w:ascii="Times New Roman" w:hAnsi="Times New Roman" w:eastAsia="宋体"/>
            <w:color w:val="0000FF"/>
            <w:sz w:val="21"/>
            <w:u w:val="single"/>
          </w:rPr>
          <w:t>https://doi.org/10.1109/tpami.2026.3664293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联邦学习（FL）通过去中心化训练实现先进的语义分割，以降低标注成本。然而，大多数基于 FL 的语义分割方法都假设固定的前景类，当本地客户端不断收集新类的流数据而不存储旧类别时，会导致旧类别的灾难性遗忘。此外，新的本地客户不定期参与其他人没有见过的新课程可能会加剧全球 FL 培训期间客户之间的异构遗忘。为了解决上述挑战，我们提出了一种分层遗忘缓解（HFA）模型。通过解决本地客户内部和之间的遗忘问题，我们的模型确保所有本地客户在不断学习新类别的过程中相互学习。具体来说，为了减轻由背景转移引起的本地客户端中的类别不平衡遗忘，我们开发了一种置信度正则化伪标记策略，为标记为背景的旧类别生成类别平衡的软伪标签。在软伪标签的指导下，我们设计了图引发的关系匹配损失和遗忘平衡梯度传播模块，以解决模糊的类间关系和旧类之间的类不平衡梯度传播。此外，还设计了一种新颖的任务检测模块和自适应 DBSCAN 聚类来解决客户端间的异构遗忘问题。他们检测新任务的到来，以存储旧的全局模型以进行局部伪标记和蒸馏，同时提供用于建模类间关系和热启动全局分类器的全局类原型。对多个数据集的实验验证了我们的模型相对于其他方法的优越性。</w:t>
      </w:r>
    </w:p>
    <w:p>
      <w:pPr>
        <w:spacing w:before="120"/>
      </w:pPr>
      <w:r>
        <w:rPr>
          <w:rFonts w:ascii="Times New Roman" w:hAnsi="Times New Roman" w:eastAsia="宋体"/>
          <w:b/>
          <w:sz w:val="21"/>
        </w:rPr>
        <w:t>English Abstract:</w:t>
      </w:r>
    </w:p>
    <w:p>
      <w:r>
        <w:rPr>
          <w:rFonts w:ascii="Times New Roman" w:hAnsi="Times New Roman" w:eastAsia="宋体"/>
          <w:sz w:val="21"/>
        </w:rPr>
        <w:t>Federated learning (FL) has advanced semantic segmentation through decentralized training to reduce annotation costs. However, most FL-based semantic segmentation methods assume fixed foreground classes, resulting in catastrophic forgetting of old categories when local clients continually collect streaming data of new classes without storing old categories. Moreover, the irregular participation of new local clients with novel classes unseen by others may exacerbate heterogeneous forgetting across clients during global FL training. To resolve the above challenges, we propose a H ierarchical F orgetting A lleviation (HFA) model. By tackling forgetting within and across local clients, our model ensures that all local clients learn from each other as they continuously learn new categories. Specifically, to alleviate class-imbalanced forgetting within local clients induced by background shift, we develop a confidence-regularized pseudo labeling strategy to produce class-balanced soft pseudo labels for old categories that are labeled as background. Guided by soft pseudo labels, we design a graph-induced relation matching loss and a forgetting-balanced gradient propagation module to tackle ambiguous inter-class relations and class-imbalanced gradient propagation among old classes. Besides, a novel task detection module and an adaptive DBSCAN clustering are devised to address inter-client heterogeneous forgetting. They detect the arrival of new tasks to store the old global model for local pseudo labeling and distillation, while supplying global class prototypes for modeling inter-class relations and warm-starting global classifier. Experiments on multiple datasets verify our model's superiority over other methods.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图神经网络解释的抗分布外评估</w:t>
      </w:r>
    </w:p>
    <w:p>
      <w:r>
        <w:rPr>
          <w:rFonts w:ascii="Times New Roman" w:hAnsi="Times New Roman" w:eastAsia="宋体"/>
          <w:b/>
          <w:color w:val="003264"/>
          <w:sz w:val="24"/>
        </w:rPr>
        <w:t>Out-of-Distribution-Resistant Evaluations for Explanations of Graph Neural Networks</w:t>
      </w:r>
    </w:p>
    <w:p>
      <w:r>
        <w:rPr>
          <w:rFonts w:ascii="Times New Roman" w:hAnsi="Times New Roman" w:eastAsia="宋体"/>
          <w:sz w:val="21"/>
        </w:rPr>
        <w:t>作者: Junfeng Fang, Hao Wu, An Zhang, Tianlong Chen, Kun Wang, Yuxuan Liang, Roger Zimmermann, Xiang Wang</w:t>
        <w:br/>
      </w:r>
      <w:r>
        <w:rPr>
          <w:rFonts w:ascii="Times New Roman" w:hAnsi="Times New Roman" w:eastAsia="宋体"/>
          <w:sz w:val="21"/>
        </w:rPr>
        <w:t xml:space="preserve">时间: 2026 | </w:t>
      </w:r>
      <w:r>
        <w:t xml:space="preserve">链接: </w:t>
      </w:r>
      <w:hyperlink r:id="rId93">
        <w:r>
          <w:rPr>
            <w:rFonts w:ascii="Times New Roman" w:hAnsi="Times New Roman" w:eastAsia="宋体"/>
            <w:color w:val="0000FF"/>
            <w:sz w:val="21"/>
            <w:u w:val="single"/>
          </w:rPr>
          <w:t>https://doi.org/10.1109/tpami.2026.3664091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图神经网络 (GNN) 的可解释性在增强其可信度、可信度和透明度方面显示出了巨大的前景。我们的研究深入研究 GNN 内可解释性的评估，这是确保可解释性技术在现实应用中可靠性的关键因素。现有的评估指标通常涉及将解释性子图作为输入并测量输出差异，通常面临分布外（OOD）的挑战。当解释子图与现实世界的数据分布不一致时，就会出现此问题，从而影响模型解释的可靠性。考虑到这一点，在这项工作中，我们努力通过引入一种新颖的评估指标来解决这个问题，称为 OOD 抵抗对抗鲁棒性（OAR）。具体来说，我们的方法受到对抗稳健性的启发，评估解释子图对攻击的弹性。此外，我们在评估框架中纳入了复杂的 OOD 重新加权机制，以确保评估与原始数据分布保持一致。除此之外，为了适应更广泛的评估任务，我们进一步设计了反事实攻击模块，并使用条件图扩散模型补充扰动子图。精炼范例称为 $ \rm{OAR}^+$ ，确保我们的指标具有通用性并适用于各种上下文。此外，我们建立了一个标准化框架，作为评估不同指标的公平性和准确性的基准。我们进行了大量的实验来验证 OAR 和 $ \rm{OAR}^+$ 的有效性。代码可在 https://github.com/MangoKiller/OAR 获取。</w:t>
      </w:r>
    </w:p>
    <w:p>
      <w:pPr>
        <w:spacing w:before="120"/>
      </w:pPr>
      <w:r>
        <w:rPr>
          <w:rFonts w:ascii="Times New Roman" w:hAnsi="Times New Roman" w:eastAsia="宋体"/>
          <w:b/>
          <w:sz w:val="21"/>
        </w:rPr>
        <w:t>English Abstract:</w:t>
      </w:r>
    </w:p>
    <w:p>
      <w:r>
        <w:rPr>
          <w:rFonts w:ascii="Times New Roman" w:hAnsi="Times New Roman" w:eastAsia="宋体"/>
          <w:sz w:val="21"/>
        </w:rPr>
        <w:t>Explainability in Graph Neural Networks (GNNs) has shown considerable promise in bolstering their trustworthiness, credibility and transparency. Our research delves into the assessment of explainability within GNNs, a pivotal factor for ensuring the reliability of explainability techniques in real-world applications. Existing evaluation metrics, typically involving taking explanatory subgraphs as inputs and measuring output differences, often face out-of-distribution (OOD) challenges. This issue occurs when explanatory subgraphs do not align with real-world data distributions, affecting the reliability of model explanations. With this in mind, in this work, we endeavor to confront this issue by introducing a novel evaluation metric, termed OOD-resistant Adversarial Robustness (OAR). Specifically, our approach is inspired by adversarial robustness, assessing the resilience of explanation subgraphs to attacks. Additionally, we incorporate a sophisticated OOD reweighting mechanism within the evaluation framework to ensure that assessments remain aligned with the original data distribution. Going beyond this, to accommodate a wider range of evaluation tasks, we further devise a counterfactual attack module and complement the perturbed subgraph using the conditional graph diffusion model. The refined paradigm, termed $ \rm{OAR}^+$ , ensures that our metric is versatile and applicable across various contexts. Furthermore, we establish a standardized framework, which serves as a benchmark for evaluating the fairness and accuracy of different metrics. We conduct extensive experiments to validate the effectiveness of the OAR and $ \rm{OAR}^+$ . Code is available at https://github.com/MangoKiller/OAR .</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可解释的分子特性预测：通过语言模型将化学概念与预测结合起来</w:t>
      </w:r>
    </w:p>
    <w:p>
      <w:r>
        <w:rPr>
          <w:rFonts w:ascii="Times New Roman" w:hAnsi="Times New Roman" w:eastAsia="宋体"/>
          <w:b/>
          <w:color w:val="003264"/>
          <w:sz w:val="24"/>
        </w:rPr>
        <w:t>Explainable Molecular Property Prediction: Aligning Chemical Concepts with Predictions via Language Models</w:t>
      </w:r>
    </w:p>
    <w:p>
      <w:r>
        <w:rPr>
          <w:rFonts w:ascii="Times New Roman" w:hAnsi="Times New Roman" w:eastAsia="宋体"/>
          <w:sz w:val="21"/>
        </w:rPr>
        <w:t>作者: Zhenzhong Wang, Zehui Lin, Wanyu Lin, Ming Yang, Minggang Zeng, Kay Chen Tan</w:t>
        <w:br/>
      </w:r>
      <w:r>
        <w:rPr>
          <w:rFonts w:ascii="Times New Roman" w:hAnsi="Times New Roman" w:eastAsia="宋体"/>
          <w:sz w:val="21"/>
        </w:rPr>
        <w:t xml:space="preserve">时间: 2026 | </w:t>
      </w:r>
      <w:r>
        <w:t xml:space="preserve">链接: </w:t>
      </w:r>
      <w:hyperlink r:id="rId94">
        <w:r>
          <w:rPr>
            <w:rFonts w:ascii="Times New Roman" w:hAnsi="Times New Roman" w:eastAsia="宋体"/>
            <w:color w:val="0000FF"/>
            <w:sz w:val="21"/>
            <w:u w:val="single"/>
          </w:rPr>
          <w:t>https://doi.org/10.1109/tpami.2026.3664098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提供可解释的分子特性预测对于许多科学领域（例如药物发现和材料科学）至关重要。尽管基于 Transformer 的语言模型在准确的分子性质预测方面显示出巨大的潜力，但它们既不能提供化学上有意义的解释，也不能忠实地揭示分子结构-性质关系。在这项工作中，我们开发了一个基于语言模型的可解释分子性质预测框架，称为 Lamole，它可以提供化学概念一致的解释。我们采用基于字符串的分子表示（Group SELFIES）作为输入标记来预训练和微调我们的 Lamole，因为它提供了具有化学意义的语义。通过解开 Lamole 的信息流，我们建议考虑自注意力权重和梯度，以便更好地量化每个具有化学意义的子结构对模型输出的影响。为了使解释更加忠实于结构-性质关系，然后我们仔细设计边际损失以明确优化解释以与化学家的注释保持一致。我们将流形假设与详细的边际损失联系起来，以证明损失可以将解释与数据流形的切线空间对齐，从而得出与概念一致的解释。超过 8 个数据集的实验结果表明，Lamole 可以实现相当的预测精度，并将解释精度提高高达 $14.3\%$ ，成为可解释分子特性预测中最先进的。为了进一步说明 Lamole 解释的可操作效用，我们将该框架与进化算法集成。这种集成为分子编辑建立了一个可解释的优化流程，证明 Lamole 的功能超越了简单的事后分析，而是作为分子发现的实用指南。该代码可在提供的链接中找到：https://anonymous.4open.science/r/Lamole-7482</w:t>
      </w:r>
    </w:p>
    <w:p>
      <w:pPr>
        <w:spacing w:before="120"/>
      </w:pPr>
      <w:r>
        <w:rPr>
          <w:rFonts w:ascii="Times New Roman" w:hAnsi="Times New Roman" w:eastAsia="宋体"/>
          <w:b/>
          <w:sz w:val="21"/>
        </w:rPr>
        <w:t>English Abstract:</w:t>
      </w:r>
    </w:p>
    <w:p>
      <w:r>
        <w:rPr>
          <w:rFonts w:ascii="Times New Roman" w:hAnsi="Times New Roman" w:eastAsia="宋体"/>
          <w:sz w:val="21"/>
        </w:rPr>
        <w:t>Providing explainable molecular property predictions is critical for many scientific domains, such as drug discovery and material science. Though transformer-based language models have shown great potential in accurate molecular property prediction, they neither provide chemically meaningful explanations nor faithfully reveal the molecular structure-property relationships. In this work, we develop a framework for e xplainable mol ecular property prediction based on la nguage models, dubbed as Lamole , which can provide chemical concepts-aligned explanations. We take a string-based molecular representation — Group SELFIES — as input tokens to pre-train and fine-tune our Lamole , as it provides chemically meaningful semantics. By disentangling the information flows of Lamole , we propose considering both self-attention weights and gradients for better quantification of each chemically meaningful substructure's impact on the model's output. To make the explanations more faithful to the structure-property relationship, we then carefully craft a marginal loss to explicitly optimize the explanations to align with the chemists' annotations. We bridge the manifold hypothesis with the elaborated marginal loss to prove that the loss can align the explanations with the tangent space of the data manifold, leading to concept-aligned explanations. Experimental results over eight datasets demonstrate Lamole can achieve comparable prediction accuracy and boost the explanation accuracy by up to $14.3\%$ , being the state-of-the-art in explainable molecular property prediction. To further illustrate the actionable utility of the explanations derived from Lamole , we integrated the framework with an evolutionary algorithm. This integration established an interpretable optimization pipeline for molecular editing, demonstrating that Lamole functions beyond simple post-hoc analysis but serves as a practical guide for molecule discovery. The code is available at the provided link: https://anonymous.4open.science/r/Lamole-7482</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DNGaussian++：通过深度归一化改进稀疏视图高斯辐射场</w:t>
      </w:r>
    </w:p>
    <w:p>
      <w:r>
        <w:rPr>
          <w:rFonts w:ascii="Times New Roman" w:hAnsi="Times New Roman" w:eastAsia="宋体"/>
          <w:b/>
          <w:color w:val="003264"/>
          <w:sz w:val="24"/>
        </w:rPr>
        <w:t>DNGaussian++: Improving Sparse-View Gaussian Radiance Fields with Depth Normalization</w:t>
      </w:r>
    </w:p>
    <w:p>
      <w:r>
        <w:rPr>
          <w:rFonts w:ascii="Times New Roman" w:hAnsi="Times New Roman" w:eastAsia="宋体"/>
          <w:sz w:val="21"/>
        </w:rPr>
        <w:t>作者: Jiahe Li, Jiawei Zhang, Xiaohan Yu, Xiao Bai, Jin Zheng, Xin Ning, Lin Gu</w:t>
        <w:br/>
      </w:r>
      <w:r>
        <w:rPr>
          <w:rFonts w:ascii="Times New Roman" w:hAnsi="Times New Roman" w:eastAsia="宋体"/>
          <w:sz w:val="21"/>
        </w:rPr>
        <w:t xml:space="preserve">时间: 2026 | </w:t>
      </w:r>
      <w:r>
        <w:t xml:space="preserve">链接: </w:t>
      </w:r>
      <w:hyperlink r:id="rId95">
        <w:r>
          <w:rPr>
            <w:rFonts w:ascii="Times New Roman" w:hAnsi="Times New Roman" w:eastAsia="宋体"/>
            <w:color w:val="0000FF"/>
            <w:sz w:val="21"/>
            <w:u w:val="single"/>
          </w:rPr>
          <w:t>https://doi.org/10.1109/tpami.2026.3664307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从稀疏视图合成新颖的视图在辐射场方面取得了令人印象深刻的进步，但流行的方法存在高消耗或细化能力不足的问题。本文介绍了 DNGaussian，一种基于 3D 高斯 Splatting 的深度正则化框架，以低成本提供实时、高质量的少样本新颖视图合成。我们的动机源于最近 3D 高斯喷射的显着进步，尽管当输入视图减少时它会遇到几何退化。在高斯辐射场中，我们发现场景几何形状的退化主要与高斯图元的定位有关，并且可以通过深度约束来缓解。因此，我们提出了硬和软深度正则化，以在粗单目深度监督下恢复准确的场景几何形状，同时保持细粒度的颜色外观。为了进一步细化详细的几何形状，我们引入了全局局部深度归一化，增强了对微小局部深度变化的关注。尽管 DNGaussian 显示出令人印象深刻的性能，但其逐块正则化掩盖了跨补丁错误的不一致。此外，即使应用了深度正则化，基元仍然可能不可逆地陷入稀疏视图下的局部最小值中。在本文中，我们提出了一个扩展版本：DNGaussian++。首先，开发了几何实例正则化器，通过利用可靠的实例级深度线索来实现深度正则化，以实现持续一致性。利用深度梯度引导，我们提出了一种深度引导几何重组来以高表示效率解决上述局部最小值问题。大量的实验表明，DNGaussian++在多个数据集和场景中以高效率展现出最先进的性能，并且广泛的适用性和有效性在各种骨干网和任务上得到了验证。</w:t>
      </w:r>
    </w:p>
    <w:p>
      <w:pPr>
        <w:spacing w:before="120"/>
      </w:pPr>
      <w:r>
        <w:rPr>
          <w:rFonts w:ascii="Times New Roman" w:hAnsi="Times New Roman" w:eastAsia="宋体"/>
          <w:b/>
          <w:sz w:val="21"/>
        </w:rPr>
        <w:t>English Abstract:</w:t>
      </w:r>
    </w:p>
    <w:p>
      <w:r>
        <w:rPr>
          <w:rFonts w:ascii="Times New Roman" w:hAnsi="Times New Roman" w:eastAsia="宋体"/>
          <w:sz w:val="21"/>
        </w:rPr>
        <w:t>Synthesizing novel views from sparse views has achieved impressive advances with radiance fields, yet prevailing methods suffer from high consumption or insufficient refinement capability. This paper introduces DNGaussian, a depth-regularized framework based on 3D Gaussian Splatting, offering real-time and high-quality few-shot novel view synthesis at low costs. Our motivation stems from the remarkable advancement of recent 3D Gaussian Splatting, despite it will encounter a geometry degradation when input views decrease. In the Gaussian radiance fields, we find this degradation in scene geometry primarily lined to the positioning of Gaussian primitives and can be mitigated by depth constraint. Consequently, we propose a Hard and Soft Depth Regularization to restore accurate scene geometry under coarse monocular depth supervision while maintaining a fine-grained color appearance. To further refine detailed geometry, we introduce Global-Local Depth Normalization, enhancing the focus on small local depth changes. Although DNGaussian shows impressive performance, its patch-wise regularization obscures the inconsistency in cross-patch errors. Additionally, primitives can still be irreversibly trapped in local minima under sparse views, even if depth regularization is applied. In this paper, we propose an extended version, DNGaussian++. First, a Geometry Instance Regularizer is developed to enable depth regularization for continuous consistency by exploiting reliable instance-level depth cues. Leveraging the depth gradient guidance, we then propose a Depth-Guided Geometry Reorganization to address the aforementioned local minima problem with high representation efficiency. Extensive experiments show that DNGaussian++ exhibits state-of-the-art performance in multiple datasets and scenarios with high efficiency, and the broad applicability and effectiveness are verified on various backbones and tasks.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用于疾病诊断的多模态数据的双重自适应解缠表示学习</w:t>
      </w:r>
    </w:p>
    <w:p>
      <w:r>
        <w:rPr>
          <w:rFonts w:ascii="Times New Roman" w:hAnsi="Times New Roman" w:eastAsia="宋体"/>
          <w:b/>
          <w:color w:val="003264"/>
          <w:sz w:val="24"/>
        </w:rPr>
        <w:t>Dual Adaptive Disentangled Representation Learning with Multimodal Data for Disease Diagnosis</w:t>
      </w:r>
    </w:p>
    <w:p>
      <w:r>
        <w:rPr>
          <w:rFonts w:ascii="Times New Roman" w:hAnsi="Times New Roman" w:eastAsia="宋体"/>
          <w:sz w:val="21"/>
        </w:rPr>
        <w:t>作者: Xiumei Chen, Wenliang Pan, Tao Wang, Xinyue Zhang, Wei Xiong, Ting Tian, Qianjin Feng, Meiyan Huang</w:t>
        <w:br/>
      </w:r>
      <w:r>
        <w:rPr>
          <w:rFonts w:ascii="Times New Roman" w:hAnsi="Times New Roman" w:eastAsia="宋体"/>
          <w:sz w:val="21"/>
        </w:rPr>
        <w:t xml:space="preserve">时间: 2026 | </w:t>
      </w:r>
      <w:r>
        <w:t xml:space="preserve">链接: </w:t>
      </w:r>
      <w:hyperlink r:id="rId96">
        <w:r>
          <w:rPr>
            <w:rFonts w:ascii="Times New Roman" w:hAnsi="Times New Roman" w:eastAsia="宋体"/>
            <w:color w:val="0000FF"/>
            <w:sz w:val="21"/>
            <w:u w:val="single"/>
          </w:rPr>
          <w:t>https://doi.org/10.1109/tpami.2026.3664047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利用影像和遗传数据进行生物标志物检测和疾病诊断，可以加深对疾病发病机制的认识并辅助临床诊断。然而，当前的方法面临两个主要挑战：1）多模态数据之间的显着异质性阻碍了模态融合。 2）有效探索相似疾病的一致性和变异性信息以提高模型性能是困难的。在本文中，我们提出了一种新颖的统一框架，称为双自适应解缠结表示学习（DADRL），以同时实现疾病共享和疾病特异性生物标志物检测以及疾病诊断。我们的 DADRL 包含三个组成部分：1）应用基于生物学信息约束的模态融合策略来自适应地探索模态间和模内相关性，从而有效地融合多模态数据。 2）提出了整合模态融合和疾病诊断的统一框架，挖掘疾病相关信息，同时完成疾病相关生物标志物检测和疾病诊断。 3）将解开的表示学习和一些自适应度量约束纳入统一框架中，以自适应地将疾病特异性信息与疾病共享特征表示分离，以有效识别疾病共享和疾病特异性生物标志物，从而加深对疾病发病机制的理解。对多个真实数据集和模拟数据的广泛实验表明，我们的方法显着提高了生物标志物检测和疾病诊断的性能。</w:t>
      </w:r>
    </w:p>
    <w:p>
      <w:pPr>
        <w:spacing w:before="120"/>
      </w:pPr>
      <w:r>
        <w:rPr>
          <w:rFonts w:ascii="Times New Roman" w:hAnsi="Times New Roman" w:eastAsia="宋体"/>
          <w:b/>
          <w:sz w:val="21"/>
        </w:rPr>
        <w:t>English Abstract:</w:t>
      </w:r>
    </w:p>
    <w:p>
      <w:r>
        <w:rPr>
          <w:rFonts w:ascii="Times New Roman" w:hAnsi="Times New Roman" w:eastAsia="宋体"/>
          <w:sz w:val="21"/>
        </w:rPr>
        <w:t>The use of imaging and genetic data for biomarker detection and disease diagnosis can deepen the understanding of disease pathogenesis and assist in clinical diagnosis. However, current methods face two major challenges: 1) the significant heterogeneity between multimodal data hampers modality fusion. 2) Effectively exploring consistency and variability information from similar diseases for enhancing model performance is difficult. In this paper, we propose a novel unified frame work, termed dual adaptive disentangled representation learning (DADRL), to simultaneously achieve disease-shared and disease specific biomarker detection as well as disease diagnosis. Our DADRL comprises three components: 1) a biology information constraints-based modality fusion strategy is applied to adaptively explore inter- and intra-modal correlations, thereby effectively fusing multimodal data. 2) A unified framework that integrates modality fusion and disease diagnosis is proposed to mine disease-related information for simultaneously accomplishing disease-related biomarker detection and disease diagnosis. 3) Disentangled representation learning and several adaptive metric constraints are incorporated into the unified framework to adaptively separate disease-specific information from disease shared feature representations for effectively identifying disease shared and disease-specific biomarkers, thereby deepening the understanding of disease pathogenesis. Extensive experiments on multiple real datasets and simulated data demonstrate that our method significantly improves performance of biomarker detection and disease diagnosis.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通过笔触分析对克劳德·莫奈的《睡莲》中的抽象进行计算研究</w:t>
      </w:r>
    </w:p>
    <w:p>
      <w:r>
        <w:rPr>
          <w:rFonts w:ascii="Times New Roman" w:hAnsi="Times New Roman" w:eastAsia="宋体"/>
          <w:b/>
          <w:color w:val="003264"/>
          <w:sz w:val="24"/>
        </w:rPr>
        <w:t>Computational Investigation of Abstraction in Claude Monet's Water Lilies through Brushstroke Analysis</w:t>
      </w:r>
    </w:p>
    <w:p>
      <w:r>
        <w:rPr>
          <w:rFonts w:ascii="Times New Roman" w:hAnsi="Times New Roman" w:eastAsia="宋体"/>
          <w:sz w:val="21"/>
        </w:rPr>
        <w:t>作者: Jia Li, Chaewan Chun, Kathryn Brown, James Z. Wang</w:t>
        <w:br/>
      </w:r>
      <w:r>
        <w:rPr>
          <w:rFonts w:ascii="Times New Roman" w:hAnsi="Times New Roman" w:eastAsia="宋体"/>
          <w:sz w:val="21"/>
        </w:rPr>
        <w:t xml:space="preserve">时间: 2026 | </w:t>
      </w:r>
      <w:r>
        <w:t xml:space="preserve">链接: </w:t>
      </w:r>
      <w:hyperlink r:id="rId97">
        <w:r>
          <w:rPr>
            <w:rFonts w:ascii="Times New Roman" w:hAnsi="Times New Roman" w:eastAsia="宋体"/>
            <w:color w:val="0000FF"/>
            <w:sz w:val="21"/>
            <w:u w:val="single"/>
          </w:rPr>
          <w:t>https://doi.org/10.1109/tpami.2026.3664028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克劳德·莫奈晚期的《睡莲》画作展现了风格上的转变，艺术史学家通常将其特征描述为越来越抽象和手势表现力。然而，定义和系统地识别这种风格转变仍然具有挑战性。在这里，我们介绍了一个机器学习框架，用于使用流线曲线分析莫奈不断演变的笔触：捕捉笔触固有的动态运动模式的计算表示。我们从莫奈作品早期（1913 年之前）和晚期（1913 年之后）时期的 47 幅画作中采样的 554 个图像块中，提取流线并计算每幅画的几何特征，包括曲率的平滑度和方向变化。每个图像都表示为一组流线特征向量，这种数据类型称为分布式。一种名为组合属性（C2A）的新深度神经网络架构旨在对分布式数据进行分类。我们假设莫奈所谓的“抽象”风格并不统一地表征所有晚期睡莲，并且非抽象花卉，无论时期如何，都具有相似的笔触品质。在这些假设下，在 C2A 的基础上，我们提出了一种名为“Discover Embedded Group with Asymmetry (DEGA)”的新型学习范式，该范式强制执行两个时期的非抽象花斑的 DNN 提取特征的共享分布，同时区分抽象花斑。 DEGA揭示了一个有意义的二维特征空间，其中一个维度区分抽象花卉和拟态睡莲，而另一个维度区分抽象花卉和早期的特写花卉。我们的研究结果表明，莫奈晚期风格的所谓“抽象”品质与他早期描绘特写花卉图案的方法保留了一定的视觉亲和力。当这种笔法用于更广阔的场景时，对花朵的描绘从单个花瓣的真实渲染转向更宽松、更具暗示性的表达，传达花卉存在感而不是植物细节。这项研究强调了计算分析对于更准确地理解艺术家风格发展的价值。</w:t>
      </w:r>
    </w:p>
    <w:p>
      <w:pPr>
        <w:spacing w:before="120"/>
      </w:pPr>
      <w:r>
        <w:rPr>
          <w:rFonts w:ascii="Times New Roman" w:hAnsi="Times New Roman" w:eastAsia="宋体"/>
          <w:b/>
          <w:sz w:val="21"/>
        </w:rPr>
        <w:t>English Abstract:</w:t>
      </w:r>
    </w:p>
    <w:p>
      <w:r>
        <w:rPr>
          <w:rFonts w:ascii="Times New Roman" w:hAnsi="Times New Roman" w:eastAsia="宋体"/>
          <w:sz w:val="21"/>
        </w:rPr>
        <w:t>Claude Monet's late paintings of Water Lilies exhibit stylistic transformations that are often characterized by art historians as increasingly abstract and gesturally expressive. However, it remains challenging to define and systematically identify this stylistic shift. Here, we introduce a machine learning framework for analyzing Monet's evolving brushwork using streamline curves: computational representations that capture the dynamic movement patterns inherent in brushstrokes. From 554 image patches sampled from 47 paintings spanning early (pre-1913) and later (post-1913) periods of Monet's output, we extract streamlines and compute geometric features for each, including smoothness of curvature and directional variability. Each image is represented as a set of streamline feature vectors, a data type referred to as distributional. A new deep neural network architecture named Composition to Attribute (C2A) is designed for classifying distributional data. We hypothesize that Monet's so-called 'abstract' style does not uniformly characterize all late period Water Lilies, and that non-abstract flowers, regardless of period, share similar brushwork qualities. Under these assumptions, building on C2A, weproposeanovel learning paradigm namedDiscover Embedded Group with Asymmetry (DEGA) which enforces a shared distribution of DNN-extracted features for non-abstract flower patches across both pe riods while distinguishing the abstract ones. DEGA reveals a meaningful two-dimensional feature space, where one dimension differentiates abstract from mimetic Water Lilies, while the other separates abstract f lowers from close-up flowers of the early period. Our findings suggest that the so-called 'abstract' qualities of Monet's late style retain certain visual affinities with his earlier approach to depicting close-up floral motifs. When this brushwork is used in more expansive scenes, the depiction of flowers shifts away from realistic renderings of individual petals toward a looser, more allusive expression, conveying a sense of floral presence rather than botanical detail. This study highlights the value of computational analysis for a more accurate understanding of an artist's stylistic development.</w:t>
      </w:r>
    </w:p>
    <w:p>
      <w:r>
        <w:rPr>
          <w:rFonts w:ascii="Times New Roman" w:hAnsi="Times New Roman" w:eastAsia="宋体"/>
          <w:sz w:val="21"/>
        </w:rPr>
        <w:t>__________________________________________________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1"/>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038/s41467-026-69581-z" TargetMode="External"/><Relationship Id="rId11" Type="http://schemas.openxmlformats.org/officeDocument/2006/relationships/hyperlink" Target="https://doi.org/10.1038/s41467-026-69123-7" TargetMode="External"/><Relationship Id="rId12" Type="http://schemas.openxmlformats.org/officeDocument/2006/relationships/hyperlink" Target="https://doi.org/10.1038/s41467-026-69451-8" TargetMode="External"/><Relationship Id="rId13" Type="http://schemas.openxmlformats.org/officeDocument/2006/relationships/hyperlink" Target="https://doi.org/10.1038/s41467-026-69390-4" TargetMode="External"/><Relationship Id="rId14" Type="http://schemas.openxmlformats.org/officeDocument/2006/relationships/hyperlink" Target="https://doi.org/10.1038/s41467-026-69480-3" TargetMode="External"/><Relationship Id="rId15" Type="http://schemas.openxmlformats.org/officeDocument/2006/relationships/hyperlink" Target="https://doi.org/10.1038/s41598-026-38228-w" TargetMode="External"/><Relationship Id="rId16" Type="http://schemas.openxmlformats.org/officeDocument/2006/relationships/hyperlink" Target="https://doi.org/10.1038/s41598-026-36991-4" TargetMode="External"/><Relationship Id="rId17" Type="http://schemas.openxmlformats.org/officeDocument/2006/relationships/hyperlink" Target="https://doi.org/10.1038/s41598-026-38779-y" TargetMode="External"/><Relationship Id="rId18" Type="http://schemas.openxmlformats.org/officeDocument/2006/relationships/hyperlink" Target="https://doi.org/10.1038/s41598-026-39758-z" TargetMode="External"/><Relationship Id="rId19" Type="http://schemas.openxmlformats.org/officeDocument/2006/relationships/hyperlink" Target="https://doi.org/10.1038/s41598-026-38736-9" TargetMode="External"/><Relationship Id="rId20" Type="http://schemas.openxmlformats.org/officeDocument/2006/relationships/hyperlink" Target="https://doi.org/10.1038/s41598-026-39063-9" TargetMode="External"/><Relationship Id="rId21" Type="http://schemas.openxmlformats.org/officeDocument/2006/relationships/hyperlink" Target="https://doi.org/10.1038/s41598-026-37387-0" TargetMode="External"/><Relationship Id="rId22" Type="http://schemas.openxmlformats.org/officeDocument/2006/relationships/hyperlink" Target="https://doi.org/10.1038/s41598-025-31060-8" TargetMode="External"/><Relationship Id="rId23" Type="http://schemas.openxmlformats.org/officeDocument/2006/relationships/hyperlink" Target="https://doi.org/10.1038/s41598-026-36036-w" TargetMode="External"/><Relationship Id="rId24" Type="http://schemas.openxmlformats.org/officeDocument/2006/relationships/hyperlink" Target="https://doi.org/10.1038/s41598-026-38555-y" TargetMode="External"/><Relationship Id="rId25" Type="http://schemas.openxmlformats.org/officeDocument/2006/relationships/hyperlink" Target="https://doi.org/10.1038/s41598-026-38732-z" TargetMode="External"/><Relationship Id="rId26" Type="http://schemas.openxmlformats.org/officeDocument/2006/relationships/hyperlink" Target="https://doi.org/10.1038/s41598-026-38960-3" TargetMode="External"/><Relationship Id="rId27" Type="http://schemas.openxmlformats.org/officeDocument/2006/relationships/hyperlink" Target="https://doi.org/10.1038/s41598-026-39069-3" TargetMode="External"/><Relationship Id="rId28" Type="http://schemas.openxmlformats.org/officeDocument/2006/relationships/hyperlink" Target="https://doi.org/10.1038/s41598-026-39993-4" TargetMode="External"/><Relationship Id="rId29" Type="http://schemas.openxmlformats.org/officeDocument/2006/relationships/hyperlink" Target="https://doi.org/10.1038/s41598-026-39717-8" TargetMode="External"/><Relationship Id="rId30" Type="http://schemas.openxmlformats.org/officeDocument/2006/relationships/hyperlink" Target="https://doi.org/10.1038/s41598-026-39232-w" TargetMode="External"/><Relationship Id="rId31" Type="http://schemas.openxmlformats.org/officeDocument/2006/relationships/hyperlink" Target="https://doi.org/10.1038/s41598-026-37848-6" TargetMode="External"/><Relationship Id="rId32" Type="http://schemas.openxmlformats.org/officeDocument/2006/relationships/hyperlink" Target="https://doi.org/10.1038/s41598-026-39821-9" TargetMode="External"/><Relationship Id="rId33" Type="http://schemas.openxmlformats.org/officeDocument/2006/relationships/hyperlink" Target="https://doi.org/10.1038/s41598-026-39806-8" TargetMode="External"/><Relationship Id="rId34" Type="http://schemas.openxmlformats.org/officeDocument/2006/relationships/hyperlink" Target="https://doi.org/10.1038/s41598-026-39997-0" TargetMode="External"/><Relationship Id="rId35" Type="http://schemas.openxmlformats.org/officeDocument/2006/relationships/hyperlink" Target="https://doi.org/10.1038/s42256-026-01187-y" TargetMode="External"/><Relationship Id="rId36" Type="http://schemas.openxmlformats.org/officeDocument/2006/relationships/hyperlink" Target="https://doi.org/10.1038/s41551-025-01599-y" TargetMode="External"/><Relationship Id="rId37" Type="http://schemas.openxmlformats.org/officeDocument/2006/relationships/hyperlink" Target="https://doi.org/10.37188/lam.2026.034" TargetMode="External"/><Relationship Id="rId38" Type="http://schemas.openxmlformats.org/officeDocument/2006/relationships/hyperlink" Target="https://doi.org/10.1364/ao.581818" TargetMode="External"/><Relationship Id="rId39" Type="http://schemas.openxmlformats.org/officeDocument/2006/relationships/hyperlink" Target="https://doi.org/10.1364/ao.587186" TargetMode="External"/><Relationship Id="rId40" Type="http://schemas.openxmlformats.org/officeDocument/2006/relationships/hyperlink" Target="https://doi.org/10.1364/oe.587554" TargetMode="External"/><Relationship Id="rId41" Type="http://schemas.openxmlformats.org/officeDocument/2006/relationships/hyperlink" Target="https://doi.org/10.1364/oe.588048" TargetMode="External"/><Relationship Id="rId42" Type="http://schemas.openxmlformats.org/officeDocument/2006/relationships/hyperlink" Target="https://doi.org/10.1364/oe.583507" TargetMode="External"/><Relationship Id="rId43" Type="http://schemas.openxmlformats.org/officeDocument/2006/relationships/hyperlink" Target="https://doi.org/10.1364/oe.583039" TargetMode="External"/><Relationship Id="rId44" Type="http://schemas.openxmlformats.org/officeDocument/2006/relationships/hyperlink" Target="https://doi.org/10.1364/oe.583645" TargetMode="External"/><Relationship Id="rId45" Type="http://schemas.openxmlformats.org/officeDocument/2006/relationships/hyperlink" Target="https://doi.org/10.1364/oe.581698" TargetMode="External"/><Relationship Id="rId46" Type="http://schemas.openxmlformats.org/officeDocument/2006/relationships/hyperlink" Target="https://doi.org/10.1364/optcon.577924" TargetMode="External"/><Relationship Id="rId47" Type="http://schemas.openxmlformats.org/officeDocument/2006/relationships/hyperlink" Target="https://doi.org/10.1002/adpr.202500233" TargetMode="External"/><Relationship Id="rId48" Type="http://schemas.openxmlformats.org/officeDocument/2006/relationships/hyperlink" Target="https://doi.org/10.1021/acsphotonics.5c02809" TargetMode="External"/><Relationship Id="rId49" Type="http://schemas.openxmlformats.org/officeDocument/2006/relationships/hyperlink" Target="https://doi.org/10.1021/acsphotonics.5c02399" TargetMode="External"/><Relationship Id="rId50" Type="http://schemas.openxmlformats.org/officeDocument/2006/relationships/hyperlink" Target="https://doi.org/10.1126/science.aec6413" TargetMode="External"/><Relationship Id="rId51" Type="http://schemas.openxmlformats.org/officeDocument/2006/relationships/hyperlink" Target="https://doi.org/10.1126/science.adw3225" TargetMode="External"/><Relationship Id="rId52" Type="http://schemas.openxmlformats.org/officeDocument/2006/relationships/hyperlink" Target="https://doi.org/10.1126/science.adt4853" TargetMode="External"/><Relationship Id="rId53" Type="http://schemas.openxmlformats.org/officeDocument/2006/relationships/hyperlink" Target="https://doi.org/10.1126/science.adx2867" TargetMode="External"/><Relationship Id="rId54" Type="http://schemas.openxmlformats.org/officeDocument/2006/relationships/hyperlink" Target="https://doi.org/10.1126/science.aeg3196" TargetMode="External"/><Relationship Id="rId55" Type="http://schemas.openxmlformats.org/officeDocument/2006/relationships/hyperlink" Target="https://doi.org/10.1126/science.adr4661" TargetMode="External"/><Relationship Id="rId56" Type="http://schemas.openxmlformats.org/officeDocument/2006/relationships/hyperlink" Target="https://doi.org/10.1126/science.ads4361" TargetMode="External"/><Relationship Id="rId57" Type="http://schemas.openxmlformats.org/officeDocument/2006/relationships/hyperlink" Target="https://doi.org/10.1038/s41467-026-69449-2" TargetMode="External"/><Relationship Id="rId58" Type="http://schemas.openxmlformats.org/officeDocument/2006/relationships/hyperlink" Target="https://doi.org/10.1038/s41467-026-69328-w" TargetMode="External"/><Relationship Id="rId59" Type="http://schemas.openxmlformats.org/officeDocument/2006/relationships/hyperlink" Target="https://doi.org/10.1038/s41467-026-69409-w" TargetMode="External"/><Relationship Id="rId60" Type="http://schemas.openxmlformats.org/officeDocument/2006/relationships/hyperlink" Target="https://doi.org/10.1038/s41598-026-38064-y" TargetMode="External"/><Relationship Id="rId61" Type="http://schemas.openxmlformats.org/officeDocument/2006/relationships/hyperlink" Target="https://doi.org/10.1038/s41598-026-36985-2" TargetMode="External"/><Relationship Id="rId62" Type="http://schemas.openxmlformats.org/officeDocument/2006/relationships/hyperlink" Target="https://doi.org/10.1038/s41598-026-40111-7" TargetMode="External"/><Relationship Id="rId63" Type="http://schemas.openxmlformats.org/officeDocument/2006/relationships/hyperlink" Target="https://doi.org/10.1038/s41598-025-31609-7" TargetMode="External"/><Relationship Id="rId64" Type="http://schemas.openxmlformats.org/officeDocument/2006/relationships/hyperlink" Target="https://doi.org/10.1038/s41598-026-38878-w" TargetMode="External"/><Relationship Id="rId65" Type="http://schemas.openxmlformats.org/officeDocument/2006/relationships/hyperlink" Target="https://doi.org/10.1038/s41598-026-40001-y" TargetMode="External"/><Relationship Id="rId66" Type="http://schemas.openxmlformats.org/officeDocument/2006/relationships/hyperlink" Target="https://doi.org/10.1038/s41598-026-39687-x" TargetMode="External"/><Relationship Id="rId67" Type="http://schemas.openxmlformats.org/officeDocument/2006/relationships/hyperlink" Target="https://doi.org/10.1038/s41598-026-39679-x" TargetMode="External"/><Relationship Id="rId68" Type="http://schemas.openxmlformats.org/officeDocument/2006/relationships/hyperlink" Target="https://doi.org/10.1038/s41598-026-40019-2" TargetMode="External"/><Relationship Id="rId69" Type="http://schemas.openxmlformats.org/officeDocument/2006/relationships/hyperlink" Target="https://doi.org/10.1038/s41598-025-33950-3" TargetMode="External"/><Relationship Id="rId70" Type="http://schemas.openxmlformats.org/officeDocument/2006/relationships/hyperlink" Target="https://doi.org/10.1038/s41598-026-38720-3" TargetMode="External"/><Relationship Id="rId71" Type="http://schemas.openxmlformats.org/officeDocument/2006/relationships/hyperlink" Target="https://doi.org/10.1038/s41598-026-39602-4" TargetMode="External"/><Relationship Id="rId72" Type="http://schemas.openxmlformats.org/officeDocument/2006/relationships/hyperlink" Target="https://doi.org/10.1038/s41598-026-39680-4" TargetMode="External"/><Relationship Id="rId73" Type="http://schemas.openxmlformats.org/officeDocument/2006/relationships/hyperlink" Target="https://doi.org/10.1103/gcxt-18gk" TargetMode="External"/><Relationship Id="rId74" Type="http://schemas.openxmlformats.org/officeDocument/2006/relationships/hyperlink" Target="https://doi.org/10.1103/ywfb-82lh" TargetMode="External"/><Relationship Id="rId75" Type="http://schemas.openxmlformats.org/officeDocument/2006/relationships/hyperlink" Target="https://doi.org/10.1103/63v1-3b63" TargetMode="External"/><Relationship Id="rId76" Type="http://schemas.openxmlformats.org/officeDocument/2006/relationships/hyperlink" Target="https://doi.org/10.1016/j.displa.2026.103398" TargetMode="External"/><Relationship Id="rId77" Type="http://schemas.openxmlformats.org/officeDocument/2006/relationships/hyperlink" Target="https://doi.org/10.1016/j.displa.2026.103396" TargetMode="External"/><Relationship Id="rId78" Type="http://schemas.openxmlformats.org/officeDocument/2006/relationships/hyperlink" Target="https://doi.org/10.1016/j.displa.2026.103397" TargetMode="External"/><Relationship Id="rId79" Type="http://schemas.openxmlformats.org/officeDocument/2006/relationships/hyperlink" Target="https://doi.org/10.1016/j.optlastec.2026.114943" TargetMode="External"/><Relationship Id="rId80" Type="http://schemas.openxmlformats.org/officeDocument/2006/relationships/hyperlink" Target="https://doi.org/10.1016/j.optlastec.2026.114912" TargetMode="External"/><Relationship Id="rId81" Type="http://schemas.openxmlformats.org/officeDocument/2006/relationships/hyperlink" Target="https://doi.org/10.1016/j.optlaseng.2026.109681" TargetMode="External"/><Relationship Id="rId82" Type="http://schemas.openxmlformats.org/officeDocument/2006/relationships/hyperlink" Target="https://doi.org/10.1016/j.optlaseng.2026.109685" TargetMode="External"/><Relationship Id="rId83" Type="http://schemas.openxmlformats.org/officeDocument/2006/relationships/hyperlink" Target="https://doi.org/10.1016/j.optcom.2026.133018" TargetMode="External"/><Relationship Id="rId84" Type="http://schemas.openxmlformats.org/officeDocument/2006/relationships/hyperlink" Target="https://doi.org/10.1364/ao.583720" TargetMode="External"/><Relationship Id="rId85" Type="http://schemas.openxmlformats.org/officeDocument/2006/relationships/hyperlink" Target="https://doi.org/10.1109/tvcg.2026.3664111" TargetMode="External"/><Relationship Id="rId86" Type="http://schemas.openxmlformats.org/officeDocument/2006/relationships/hyperlink" Target="https://doi.org/10.1021/acsphotonics.5c02729" TargetMode="External"/><Relationship Id="rId87" Type="http://schemas.openxmlformats.org/officeDocument/2006/relationships/hyperlink" Target="https://doi.org/10.1021/acsphotonics.5c02933" TargetMode="External"/><Relationship Id="rId88" Type="http://schemas.openxmlformats.org/officeDocument/2006/relationships/hyperlink" Target="https://doi.org/10.1021/acsphotonics.5c02487" TargetMode="External"/><Relationship Id="rId89" Type="http://schemas.openxmlformats.org/officeDocument/2006/relationships/hyperlink" Target="https://doi.org/10.1109/tci.2026.3657291" TargetMode="External"/><Relationship Id="rId90" Type="http://schemas.openxmlformats.org/officeDocument/2006/relationships/hyperlink" Target="https://doi.org/10.1109/tpami.2026.3664082" TargetMode="External"/><Relationship Id="rId91" Type="http://schemas.openxmlformats.org/officeDocument/2006/relationships/hyperlink" Target="https://doi.org/10.1109/tpami.2026.3664227" TargetMode="External"/><Relationship Id="rId92" Type="http://schemas.openxmlformats.org/officeDocument/2006/relationships/hyperlink" Target="https://doi.org/10.1109/tpami.2026.3664293" TargetMode="External"/><Relationship Id="rId93" Type="http://schemas.openxmlformats.org/officeDocument/2006/relationships/hyperlink" Target="https://doi.org/10.1109/tpami.2026.3664091" TargetMode="External"/><Relationship Id="rId94" Type="http://schemas.openxmlformats.org/officeDocument/2006/relationships/hyperlink" Target="https://doi.org/10.1109/tpami.2026.3664098" TargetMode="External"/><Relationship Id="rId95" Type="http://schemas.openxmlformats.org/officeDocument/2006/relationships/hyperlink" Target="https://doi.org/10.1109/tpami.2026.3664307" TargetMode="External"/><Relationship Id="rId96" Type="http://schemas.openxmlformats.org/officeDocument/2006/relationships/hyperlink" Target="https://doi.org/10.1109/tpami.2026.3664047" TargetMode="External"/><Relationship Id="rId97" Type="http://schemas.openxmlformats.org/officeDocument/2006/relationships/hyperlink" Target="https://doi.org/10.1109/tpami.2026.36640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