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通过自监督预测泽尼克反相网络进行智能波前校正</w:t>
      </w:r>
    </w:p>
    <w:p>
      <w:r>
        <w:rPr>
          <w:rFonts w:ascii="Times New Roman" w:hAnsi="Times New Roman" w:eastAsia="宋体"/>
          <w:b/>
          <w:color w:val="003264"/>
          <w:sz w:val="24"/>
        </w:rPr>
        <w:t>Intelligent Wavefront Correction via Self-supervised Predictive Zernike Phase Inversion Network</w:t>
      </w:r>
    </w:p>
    <w:p>
      <w:r>
        <w:rPr>
          <w:rFonts w:ascii="Times New Roman" w:hAnsi="Times New Roman" w:eastAsia="宋体"/>
          <w:sz w:val="21"/>
        </w:rPr>
        <w:t>作者: Xinjie Zhang, Haoyu Zhang, Chaoxu Chen, Ziwei Li, Chao Shen, Junwen Zhang, Nan Chi, Jianyang Shi</w:t>
        <w:br/>
      </w:r>
      <w:r>
        <w:rPr>
          <w:rFonts w:ascii="Times New Roman" w:hAnsi="Times New Roman" w:eastAsia="宋体"/>
          <w:sz w:val="21"/>
        </w:rPr>
        <w:t xml:space="preserve">时间: 2026-01-22 | </w:t>
      </w:r>
      <w:r>
        <w:t xml:space="preserve">链接: </w:t>
      </w:r>
      <w:hyperlink r:id="rId120">
        <w:r>
          <w:rPr>
            <w:rFonts w:ascii="Times New Roman" w:hAnsi="Times New Roman" w:eastAsia="宋体"/>
            <w:color w:val="0000FF"/>
            <w:sz w:val="21"/>
            <w:u w:val="single"/>
          </w:rPr>
          <w:t>https://doi.org/10.1364/oe.582700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在互耦合半导体激光器中使用光频差检测进行光子决策</w:t>
      </w:r>
    </w:p>
    <w:p>
      <w:r>
        <w:rPr>
          <w:rFonts w:ascii="Times New Roman" w:hAnsi="Times New Roman" w:eastAsia="宋体"/>
          <w:b/>
          <w:color w:val="003264"/>
          <w:sz w:val="24"/>
        </w:rPr>
        <w:t>Photonic decision making using optical frequency difference detection in mutually-coupled semiconductor lasers</w:t>
      </w:r>
    </w:p>
    <w:p>
      <w:r>
        <w:rPr>
          <w:rFonts w:ascii="Times New Roman" w:hAnsi="Times New Roman" w:eastAsia="宋体"/>
          <w:sz w:val="21"/>
        </w:rPr>
        <w:t>作者: Hidetoshi Taira, Takatomo Mihana, Shun Kotoku, Andre Rohm, Kazutaka Kanno, Atsushi Uchida, Ryoichi Horisaki</w:t>
        <w:br/>
      </w:r>
      <w:r>
        <w:rPr>
          <w:rFonts w:ascii="Times New Roman" w:hAnsi="Times New Roman" w:eastAsia="宋体"/>
          <w:sz w:val="21"/>
        </w:rPr>
        <w:t xml:space="preserve">时间: 2026-01-22 | </w:t>
      </w:r>
      <w:r>
        <w:t xml:space="preserve">链接: </w:t>
      </w:r>
      <w:hyperlink r:id="rId121">
        <w:r>
          <w:rPr>
            <w:rFonts w:ascii="Times New Roman" w:hAnsi="Times New Roman" w:eastAsia="宋体"/>
            <w:color w:val="0000FF"/>
            <w:sz w:val="21"/>
            <w:u w:val="single"/>
          </w:rPr>
          <w:t>https://doi.org/10.1364/oe.579304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用光单次将矩阵相乘</w:t>
      </w:r>
    </w:p>
    <w:p>
      <w:r>
        <w:rPr>
          <w:rFonts w:ascii="Times New Roman" w:hAnsi="Times New Roman" w:eastAsia="宋体"/>
          <w:b/>
          <w:color w:val="003264"/>
          <w:sz w:val="24"/>
        </w:rPr>
        <w:t>Multiplying matrices in a single pass with light</w:t>
      </w:r>
    </w:p>
    <w:p>
      <w:r>
        <w:rPr>
          <w:rFonts w:ascii="Times New Roman" w:hAnsi="Times New Roman" w:eastAsia="宋体"/>
          <w:sz w:val="21"/>
        </w:rPr>
        <w:t>作者: Nathan Youngblood</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https://www.nature.com/articles/s41566-025-01828-5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仅限于矢量矩阵乘法，矩阵运算需要波长或时分复用，从而降低了能源效率和速度。现在，研究人员展示了一种克服这些限制的自由空间光学方法，能够在单个光学操作中实现并行矩阵-矩阵和张量-矩阵乘法。</w:t>
      </w:r>
    </w:p>
    <w:p>
      <w:pPr>
        <w:spacing w:before="120"/>
      </w:pPr>
      <w:r>
        <w:rPr>
          <w:rFonts w:ascii="Times New Roman" w:hAnsi="Times New Roman" w:eastAsia="宋体"/>
          <w:b/>
          <w:sz w:val="21"/>
        </w:rPr>
        <w:t>English Abstract:</w:t>
      </w:r>
    </w:p>
    <w:p>
      <w:r>
        <w:rPr>
          <w:rFonts w:ascii="Times New Roman" w:hAnsi="Times New Roman" w:eastAsia="宋体"/>
          <w:sz w:val="21"/>
        </w:rPr>
        <w:t>Optical computing has been limited to vector–matrix multiplications, with matrix–matrix operations requiring wavelength- or time-division multiplexing, reducing energy efficiency and speed. Now, researchers have demonstrated a free-space optical approach that overcomes these limitations, enabling parallel matrix–matrix and tensor–matrix multiplications in a single optical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使用有机自适应晶体管进行像素内色彩校正</w:t>
      </w:r>
    </w:p>
    <w:p>
      <w:r>
        <w:rPr>
          <w:rFonts w:ascii="Times New Roman" w:hAnsi="Times New Roman" w:eastAsia="宋体"/>
          <w:b/>
          <w:color w:val="003264"/>
          <w:sz w:val="24"/>
        </w:rPr>
        <w:t>In-pixel colour correction with organic self-adaptive transistors</w:t>
      </w:r>
    </w:p>
    <w:p>
      <w:r>
        <w:rPr>
          <w:rFonts w:ascii="Times New Roman" w:hAnsi="Times New Roman" w:eastAsia="宋体"/>
          <w:sz w:val="21"/>
        </w:rPr>
        <w:t>作者: Chong-an Di</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https://www.nature.com/articles/s41566-025-01812-z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色彩校正阵列在单个像素内集成了红色、绿色和蓝色敏感有机晶体管，可实现自适应强度和色彩校正。</w:t>
      </w:r>
    </w:p>
    <w:p>
      <w:pPr>
        <w:spacing w:before="120"/>
      </w:pPr>
      <w:r>
        <w:rPr>
          <w:rFonts w:ascii="Times New Roman" w:hAnsi="Times New Roman" w:eastAsia="宋体"/>
          <w:b/>
          <w:sz w:val="21"/>
        </w:rPr>
        <w:t>English Abstract:</w:t>
      </w:r>
    </w:p>
    <w:p>
      <w:r>
        <w:rPr>
          <w:rFonts w:ascii="Times New Roman" w:hAnsi="Times New Roman" w:eastAsia="宋体"/>
          <w:sz w:val="21"/>
        </w:rPr>
        <w:t>A colour correction array featuring red-, green- and blue-sensitive organic transistors integrated within a single pixel enables self-adaptive intensity and colour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基于敏化荧光的稳定深蓝色有机发光二极管</w:t>
      </w:r>
    </w:p>
    <w:p>
      <w:r>
        <w:rPr>
          <w:rFonts w:ascii="Times New Roman" w:hAnsi="Times New Roman" w:eastAsia="宋体"/>
          <w:b/>
          <w:color w:val="003264"/>
          <w:sz w:val="24"/>
        </w:rPr>
        <w:t>Stable deep-blue organic light-emitting diodes based on sensitized fluorescence</w:t>
      </w:r>
    </w:p>
    <w:p>
      <w:r>
        <w:rPr>
          <w:rFonts w:ascii="Times New Roman" w:hAnsi="Times New Roman" w:eastAsia="宋体"/>
          <w:sz w:val="21"/>
        </w:rPr>
        <w:t>作者: Lian Duan</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https://www.nature.com/articles/s41566-025-01810-1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本综述讨论了深蓝色有机发光二极管敏化荧光发射器的最新进展，回顾了分子设计和器件性能方面的进展以及仍然存在的关键挑战。</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sensitized fluorescence emitters for deep-blue organic light-emitting diodes, reviewing progress in molecular design and device performance as well as key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用光波编码和操纵超快相干谷电子信息</w:t>
      </w:r>
    </w:p>
    <w:p>
      <w:r>
        <w:rPr>
          <w:rFonts w:ascii="Times New Roman" w:hAnsi="Times New Roman" w:eastAsia="宋体"/>
          <w:b/>
          <w:color w:val="003264"/>
          <w:sz w:val="24"/>
        </w:rPr>
        <w:t>Encoding and manipulating ultrafast coherent valleytronic information with lightwaves</w:t>
      </w:r>
    </w:p>
    <w:p>
      <w:r>
        <w:rPr>
          <w:rFonts w:ascii="Times New Roman" w:hAnsi="Times New Roman" w:eastAsia="宋体"/>
          <w:sz w:val="21"/>
        </w:rPr>
        <w:t>作者: Giulio Cerullo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https://www.nature.com/articles/s41566-025-01823-w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讨论了一种利用单层 WS2 谷自由度来相干操纵激子并执行全光逻辑运算的方法。</w:t>
      </w:r>
    </w:p>
    <w:p>
      <w:pPr>
        <w:spacing w:before="120"/>
      </w:pPr>
      <w:r>
        <w:rPr>
          <w:rFonts w:ascii="Times New Roman" w:hAnsi="Times New Roman" w:eastAsia="宋体"/>
          <w:b/>
          <w:sz w:val="21"/>
        </w:rPr>
        <w:t>English Abstract:</w:t>
      </w:r>
    </w:p>
    <w:p>
      <w:r>
        <w:rPr>
          <w:rFonts w:ascii="Times New Roman" w:hAnsi="Times New Roman" w:eastAsia="宋体"/>
          <w:sz w:val="21"/>
        </w:rPr>
        <w:t>A method to coherently manipulate excitons and perform all-optical logic operations using the valley degree of freedom in monolayer WS2 is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用于全空间太赫兹无线连接的片上拓扑漏波天线</w:t>
      </w:r>
    </w:p>
    <w:p>
      <w:r>
        <w:rPr>
          <w:rFonts w:ascii="Times New Roman" w:hAnsi="Times New Roman" w:eastAsia="宋体"/>
          <w:b/>
          <w:color w:val="003264"/>
          <w:sz w:val="24"/>
        </w:rPr>
        <w:t>On-chip topological leaky-wave antenna for full-space terahertz wireless connectivity</w:t>
      </w:r>
    </w:p>
    <w:p>
      <w:r>
        <w:rPr>
          <w:rFonts w:ascii="Times New Roman" w:hAnsi="Times New Roman" w:eastAsia="宋体"/>
          <w:sz w:val="21"/>
        </w:rPr>
        <w:t>作者: Ranjan Singh</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https://www.nature.com/articles/s41566-025-01825-8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基于谷光子晶体的片上太赫兹拓扑漏波天线实现了超过75%的三维立体角的波束扫描。时间反转对称拓扑漏波天线进一步实现了实时高清电视流和相反方向的24Gbps定向无线数据传输的同时演示。</w:t>
      </w:r>
    </w:p>
    <w:p>
      <w:pPr>
        <w:spacing w:before="120"/>
      </w:pPr>
      <w:r>
        <w:rPr>
          <w:rFonts w:ascii="Times New Roman" w:hAnsi="Times New Roman" w:eastAsia="宋体"/>
          <w:b/>
          <w:sz w:val="21"/>
        </w:rPr>
        <w:t>English Abstract:</w:t>
      </w:r>
    </w:p>
    <w:p>
      <w:r>
        <w:rPr>
          <w:rFonts w:ascii="Times New Roman" w:hAnsi="Times New Roman" w:eastAsia="宋体"/>
          <w:sz w:val="21"/>
        </w:rPr>
        <w:t>On-chip terahertz topological leaky-wave antennas based on valley photonic crystals achieve beam scanning over 75% of the three-dimensional solid angle. The time-reversal-symmetric topological leaky-wave antenna further enables the simultaneous demonstration of real-time high-definition television streaming and 24 Gbps directional wireless data transmission in opposite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高速异构钽酸锂硅光子平台</w:t>
      </w:r>
    </w:p>
    <w:p>
      <w:r>
        <w:rPr>
          <w:rFonts w:ascii="Times New Roman" w:hAnsi="Times New Roman" w:eastAsia="宋体"/>
          <w:b/>
          <w:color w:val="003264"/>
          <w:sz w:val="24"/>
        </w:rPr>
        <w:t>A high-speed heterogeneous lithium tantalate silicon photonics platform</w:t>
      </w:r>
    </w:p>
    <w:p>
      <w:r>
        <w:rPr>
          <w:rFonts w:ascii="Times New Roman" w:hAnsi="Times New Roman" w:eastAsia="宋体"/>
          <w:sz w:val="21"/>
        </w:rPr>
        <w:t>作者: Maximilien Billet</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https://www.nature.com/articles/s41566-025-01832-9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钽酸锂通过微转移印刷工艺与硅光子集成电路异构集成，与现有工作流程完全兼容。演示了插入损耗为 2.9dB、工作频率为 70GHz 的 Mach-Zehnder 调制器。</w:t>
      </w:r>
    </w:p>
    <w:p>
      <w:pPr>
        <w:spacing w:before="120"/>
      </w:pPr>
      <w:r>
        <w:rPr>
          <w:rFonts w:ascii="Times New Roman" w:hAnsi="Times New Roman" w:eastAsia="宋体"/>
          <w:b/>
          <w:sz w:val="21"/>
        </w:rPr>
        <w:t>English Abstract:</w:t>
      </w:r>
    </w:p>
    <w:p>
      <w:r>
        <w:rPr>
          <w:rFonts w:ascii="Times New Roman" w:hAnsi="Times New Roman" w:eastAsia="宋体"/>
          <w:sz w:val="21"/>
        </w:rPr>
        <w:t>Lithium tantalate is heterogeneously integrated with silicon photonic integrated circuits via a micro-transfer printing process in a manner fully compatible with existing workflows. A Mach–Zehnder modulator with an insertion loss of 2.9 dB and 70 GHz operation is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光稳定的供体-受体界面可最大限度地减少倒置钙钛矿太阳能电池的能量损失</w:t>
      </w:r>
    </w:p>
    <w:p>
      <w:r>
        <w:rPr>
          <w:rFonts w:ascii="Times New Roman" w:hAnsi="Times New Roman" w:eastAsia="宋体"/>
          <w:b/>
          <w:color w:val="003264"/>
          <w:sz w:val="24"/>
        </w:rPr>
        <w:t>Photostable donor–acceptor interface for minimizing energy loss in inverted perovskite solar cells</w:t>
      </w:r>
    </w:p>
    <w:p>
      <w:r>
        <w:rPr>
          <w:rFonts w:ascii="Times New Roman" w:hAnsi="Times New Roman" w:eastAsia="宋体"/>
          <w:sz w:val="21"/>
        </w:rPr>
        <w:t>作者: Chun-Chao Chen</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https://www.nature.com/articles/s41566-025-01827-6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倒置钙钛矿太阳能电池埋入界面处的新型自组装单层可提高光稳定性并有利于能量转移，从而使设备在 ISOS-L-2 协议下具有 27.19% 的认证功率转换效率和 1,500 小时的稳定性。</w:t>
      </w:r>
    </w:p>
    <w:p>
      <w:pPr>
        <w:spacing w:before="120"/>
      </w:pPr>
      <w:r>
        <w:rPr>
          <w:rFonts w:ascii="Times New Roman" w:hAnsi="Times New Roman" w:eastAsia="宋体"/>
          <w:b/>
          <w:sz w:val="21"/>
        </w:rPr>
        <w:t>English Abstract:</w:t>
      </w:r>
    </w:p>
    <w:p>
      <w:r>
        <w:rPr>
          <w:rFonts w:ascii="Times New Roman" w:hAnsi="Times New Roman" w:eastAsia="宋体"/>
          <w:sz w:val="21"/>
        </w:rPr>
        <w:t>A new self-assembled monolayer at the buried interface of inverted perovskite solar cells improves photostability and favours energy transfer, resulting in devices with a certified power conversion efficiency of 27.19% and 1,500-h stability under the ISOS-L-2 protocol.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用于钙钛矿太阳能电池的具有低异构化势垒的轴向手性分子接触</w:t>
      </w:r>
    </w:p>
    <w:p>
      <w:r>
        <w:rPr>
          <w:rFonts w:ascii="Times New Roman" w:hAnsi="Times New Roman" w:eastAsia="宋体"/>
          <w:b/>
          <w:color w:val="003264"/>
          <w:sz w:val="24"/>
        </w:rPr>
        <w:t>Axially chiral molecular contacts with low isomerization barriers for perovskite solar cells</w:t>
      </w:r>
    </w:p>
    <w:p>
      <w:r>
        <w:rPr>
          <w:rFonts w:ascii="Times New Roman" w:hAnsi="Times New Roman" w:eastAsia="宋体"/>
          <w:sz w:val="21"/>
        </w:rPr>
        <w:t>作者: Chao Liang</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https://www.nature.com/articles/s41566-025-01817-8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非共面轴向手性分子接触有利于钙钛矿薄膜的晶体生长，并提高钙钛矿太阳能电池的界面稳定性。小面积设备经认证的功率转换效率为 26.44%，并在运行 2,000 小时后仍保持 98%。</w:t>
      </w:r>
    </w:p>
    <w:p>
      <w:pPr>
        <w:spacing w:before="120"/>
      </w:pPr>
      <w:r>
        <w:rPr>
          <w:rFonts w:ascii="Times New Roman" w:hAnsi="Times New Roman" w:eastAsia="宋体"/>
          <w:b/>
          <w:sz w:val="21"/>
        </w:rPr>
        <w:t>English Abstract:</w:t>
      </w:r>
    </w:p>
    <w:p>
      <w:r>
        <w:rPr>
          <w:rFonts w:ascii="Times New Roman" w:hAnsi="Times New Roman" w:eastAsia="宋体"/>
          <w:sz w:val="21"/>
        </w:rPr>
        <w:t>A non-coplanar axially chiral molecular contact favours the crystalline growth of perovskite film and improves interfacial stability in perovskite solar cells. Small-area devices yield a certified power conversion efficiency of 26.44% and maintain 98% of it after 2,000 hours of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03:49 ---</w:t>
      </w:r>
    </w:p>
    <w:p>
      <w:pPr>
        <w:pStyle w:val="Heading2"/>
      </w:pPr>
      <w:r/>
      <w:r>
        <w:rPr>
          <w:rFonts w:ascii="Times New Roman" w:hAnsi="Times New Roman" w:eastAsia="宋体"/>
          <w:b/>
          <w:color w:val="000000"/>
          <w:sz w:val="24"/>
        </w:rPr>
        <w:t>通过克尔光分频实现阿秒定时毫米波</w:t>
      </w:r>
    </w:p>
    <w:p>
      <w:r>
        <w:rPr>
          <w:rFonts w:ascii="Times New Roman" w:hAnsi="Times New Roman" w:eastAsia="宋体"/>
          <w:b/>
          <w:color w:val="003264"/>
          <w:sz w:val="24"/>
        </w:rPr>
        <w:t>Attosecond-timing millimeter waves via Kerr optical frequency division</w:t>
      </w:r>
    </w:p>
    <w:p>
      <w:r>
        <w:rPr>
          <w:rFonts w:ascii="Times New Roman" w:hAnsi="Times New Roman" w:eastAsia="宋体"/>
          <w:sz w:val="21"/>
        </w:rPr>
        <w:t>作者: Antoine Rolland</w:t>
        <w:br/>
      </w:r>
      <w:r>
        <w:rPr>
          <w:rFonts w:ascii="Times New Roman" w:hAnsi="Times New Roman" w:eastAsia="宋体"/>
          <w:sz w:val="21"/>
        </w:rPr>
        <w:t xml:space="preserve">时间: 2026-01-21T20:52:13Z | </w:t>
      </w:r>
      <w:r>
        <w:t xml:space="preserve">链接: </w:t>
      </w:r>
      <w:hyperlink r:id="rId29">
        <w:r>
          <w:rPr>
            <w:rFonts w:ascii="Times New Roman" w:hAnsi="Times New Roman" w:eastAsia="宋体"/>
            <w:color w:val="0000FF"/>
            <w:sz w:val="21"/>
            <w:u w:val="single"/>
          </w:rPr>
          <w:t>https://arxiv.org/abs/2601.15456v1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振荡器支撑着通信、光谱学、雷达和天文学中的关键应用，但其可实现的光谱纯度仍然有限​​。直接生成毫米波载波的方法从根本上受到量子和热相位噪声过程的限制。在这里，我们表明，可以通过将芯片级微谐振器中的克尔诱导光学分频与大间距双波长布里渊激光器相结合来克服这些限制。这种 3.3 THz 光学参考注入锁定克尔孤子微梳，其重复率成为相干分割的 300 GHz 载波，相位噪声低于相应 300 GHz 双波长布里渊激光器的量子极限，并且远低于微环谐振器的热折射噪声。开发了互相关相位噪声测量，以表明所得振荡器在 1 MHz 偏移下达到 -152 dBc/Hz 的相位噪声本底，与光电检测散粒噪声一致。测量频谱的积分产生 1kHz 至 1MHz 范围内 135 的 RMS 定时抖动。这些结果将光频分确立为一种生成亚太赫兹载波的通用方法，其相干性不再受到直接生成限制的限制。</w:t>
      </w:r>
    </w:p>
    <w:p>
      <w:pPr>
        <w:spacing w:before="120"/>
      </w:pPr>
      <w:r>
        <w:rPr>
          <w:rFonts w:ascii="Times New Roman" w:hAnsi="Times New Roman" w:eastAsia="宋体"/>
          <w:b/>
          <w:sz w:val="21"/>
        </w:rPr>
        <w:t>English Abstract:</w:t>
      </w:r>
    </w:p>
    <w:p>
      <w:r>
        <w:rPr>
          <w:rFonts w:ascii="Times New Roman" w:hAnsi="Times New Roman" w:eastAsia="宋体"/>
          <w:sz w:val="21"/>
        </w:rPr>
        <w:t>Millimeter-wave oscillators underpin key applications in communication, spectroscopy, radar, and astronomy, yet their achievable spectral purity remains limited. Approaches that directly generate millimeter-wave carriers are fundamentally limited by quantum and thermal phase-noise processes. Here we show that these limits can be overcome by combining Kerr-induced optical frequency division in a chip-scale microresonator with a large-spacing dual-wavelength Brillouin laser. This 3.3 THz optical reference injection-locks a Kerr soliton microcomb, with a repetition rate that becomes a coherently divided 300 GHz carrier with phase noise below the quantum limit of a corresponding 300 GHz dual-wavelength Brillouin laser and far below the thermo-refractive noise of a microring resonator. Cross-correlation phase-noise measurements were developed to show that the resulting oscillator reaches a phase-noise floor of -152 dBc/Hz at 1 MHz offset, consistent with photodetection shot noise. Integration of the measured spectrum yields an RMS timing jitter of 135 as from 1 kHz to 1 MHz. These results establish optical frequency division as a generic method for generation of sub-terahertz carriers with coherence no longer constrained by direct-generation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千兆赫表面声波谐振器中高斯模式分布的可视化</w:t>
      </w:r>
    </w:p>
    <w:p>
      <w:r>
        <w:rPr>
          <w:rFonts w:ascii="Times New Roman" w:hAnsi="Times New Roman" w:eastAsia="宋体"/>
          <w:b/>
          <w:color w:val="003264"/>
          <w:sz w:val="24"/>
        </w:rPr>
        <w:t>Visualization of Gaussian Mode Profile in Gigahertz Surface-Acoustic-Wave Resonators</w:t>
      </w:r>
    </w:p>
    <w:p>
      <w:r>
        <w:rPr>
          <w:rFonts w:ascii="Times New Roman" w:hAnsi="Times New Roman" w:eastAsia="宋体"/>
          <w:sz w:val="21"/>
        </w:rPr>
        <w:t>作者: Keji Lai</w:t>
        <w:br/>
      </w:r>
      <w:r>
        <w:rPr>
          <w:rFonts w:ascii="Times New Roman" w:hAnsi="Times New Roman" w:eastAsia="宋体"/>
          <w:sz w:val="21"/>
        </w:rPr>
        <w:t xml:space="preserve">时间: 2026-01-21T21:30:51Z | </w:t>
      </w:r>
      <w:r>
        <w:t xml:space="preserve">链接: </w:t>
      </w:r>
      <w:hyperlink r:id="rId30">
        <w:r>
          <w:rPr>
            <w:rFonts w:ascii="Times New Roman" w:hAnsi="Times New Roman" w:eastAsia="宋体"/>
            <w:color w:val="0000FF"/>
            <w:sz w:val="21"/>
            <w:u w:val="single"/>
          </w:rPr>
          <w:t>https://arxiv.org/abs/2601.15480v1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在千兆赫 (GHz) 频率下工作的表面声波 (SAW) 谐振器广泛用于无线电信和量子信息处理。成功实现此类谐振器需要对其模式分布、能量耗散通道和微加工缺陷进行详细的微观理解。在这项工作中，我们报告了通过传输模式微波阻抗显微镜 (TMIM) 对 LiNbO3 SAW 谐振器中的声波进行可视化。在 TMIM 图像中可以清楚地看到被反射镜严格限制的高斯模式轮廓，从中可以提取谐振器本身的线宽。空间分辨的声学剖面还使我们能够对故障设备进行故障分析。我们的工作为进一步优化经典和量子声学应用的声表面波谐振器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Surface-acoustic-wave (SAW) resonators operating at gigahertz (GHz) frequencies are widely used in wireless telecommunication and quantum information processing. Successful implementation of such resonators calls for detailed microscopic understanding of their mode profiles, energy dissipation channels, and imperfections from microfabrication. In this work, we report on the visualization of acoustic waves in LiNbO3 SAW resonators by transmission-mode microwave impedance microscopy (TMIM). The Gaussian mode profile tightly confined by reflecting mirrors is vividly seen in the TMIM images, from which the linewidth of the resonator itself can be extracted. The spatially resolved acoustic profile also allows us to perform failure analysis on faulty devices. Our work establishes a pathway for further optimization of SAW resonators for classical and quantum acoustic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通过倏逝波对红细胞进行光学操纵：评估葡萄糖引起的迁移率变化</w:t>
      </w:r>
    </w:p>
    <w:p>
      <w:r>
        <w:rPr>
          <w:rFonts w:ascii="Times New Roman" w:hAnsi="Times New Roman" w:eastAsia="宋体"/>
          <w:b/>
          <w:color w:val="003264"/>
          <w:sz w:val="24"/>
        </w:rPr>
        <w:t>Optical Manipulation of Erythrocytes via Evanescent Waves: Assessing Glucose-Induced Mobility Variations</w:t>
      </w:r>
    </w:p>
    <w:p>
      <w:r>
        <w:rPr>
          <w:rFonts w:ascii="Times New Roman" w:hAnsi="Times New Roman" w:eastAsia="宋体"/>
          <w:sz w:val="21"/>
        </w:rPr>
        <w:t>作者: M. González-Ortiz</w:t>
        <w:br/>
      </w:r>
      <w:r>
        <w:rPr>
          <w:rFonts w:ascii="Times New Roman" w:hAnsi="Times New Roman" w:eastAsia="宋体"/>
          <w:sz w:val="21"/>
        </w:rPr>
        <w:t xml:space="preserve">时间: 2026-01-21T22:18:31Z | </w:t>
      </w:r>
      <w:r>
        <w:t xml:space="preserve">链接: </w:t>
      </w:r>
      <w:hyperlink r:id="rId31">
        <w:r>
          <w:rPr>
            <w:rFonts w:ascii="Times New Roman" w:hAnsi="Times New Roman" w:eastAsia="宋体"/>
            <w:color w:val="0000FF"/>
            <w:sz w:val="21"/>
            <w:u w:val="single"/>
          </w:rPr>
          <w:t>https://arxiv.org/abs/2601.15502v1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本研究研究了全内反射 (TIR) 产生的倏逝波影响下红细胞 (RBC) 的动态变化。使用 1064 nm 激光系统和双室棱镜装置，我们量化了红细胞在不同葡萄糖环境中的迁移率。我们的方法通过 TrackMate\c{opyright} 集成自动跟踪来分析 60 多个轨迹集。结果显示平均速度显着下降，从 5 mM 葡萄糖中的 11.8 μm/s 降至 50 mM 葡萄糖中的 8.8 μm/s (p = 0.019)。这些发现表明，倏逝波可以作为一种非侵入性工具来探测受生化变化影响的细胞膜的机械特性。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dynamics of red blood cells (RBCs) under the influence of evanescent waves generated by total internal reflection (TIR). Using a 1064 nm laser system and a dual-chamber prism setup, we quantified the mobility of erythrocytes in different glucose environments. Our methodology integrates automated tracking via TrackMate\c{opyright} to analyze over 60 trajectory sets. The results reveal a significant decrease in mean velocity, from 11.8 μm/s in 5 mM glucose to 8.8 μm/s in 50 mM glucose (p = 0.019). These findings suggest that evanescent waves can serve as a non-invasive tool to probe the mechanical properties of cell membranes influenced by biochemical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超快金刚石非线性光子传感器</w:t>
      </w:r>
    </w:p>
    <w:p>
      <w:r>
        <w:rPr>
          <w:rFonts w:ascii="Times New Roman" w:hAnsi="Times New Roman" w:eastAsia="宋体"/>
          <w:b/>
          <w:color w:val="003264"/>
          <w:sz w:val="24"/>
        </w:rPr>
        <w:t>An ultrafast diamond nonlinear photonic sensor</w:t>
      </w:r>
    </w:p>
    <w:p>
      <w:r>
        <w:rPr>
          <w:rFonts w:ascii="Times New Roman" w:hAnsi="Times New Roman" w:eastAsia="宋体"/>
          <w:sz w:val="21"/>
        </w:rPr>
        <w:t>作者: Muneaki Hase</w:t>
        <w:br/>
      </w:r>
      <w:r>
        <w:rPr>
          <w:rFonts w:ascii="Times New Roman" w:hAnsi="Times New Roman" w:eastAsia="宋体"/>
          <w:sz w:val="21"/>
        </w:rPr>
        <w:t xml:space="preserve">时间: 2026-01-22T01:01:43Z | </w:t>
      </w:r>
      <w:r>
        <w:t xml:space="preserve">链接: </w:t>
      </w:r>
      <w:hyperlink r:id="rId32">
        <w:r>
          <w:rPr>
            <w:rFonts w:ascii="Times New Roman" w:hAnsi="Times New Roman" w:eastAsia="宋体"/>
            <w:color w:val="0000FF"/>
            <w:sz w:val="21"/>
            <w:u w:val="single"/>
          </w:rPr>
          <w:t>https://arxiv.org/abs/2601.15562v1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和材料技术的集成是创造创新传感技术的关键。以高时空分辨率传感电场、磁场和温度是开发下一代纳米级量子器件的关键任务。钻石中的色心由于其特有的量子态而对潜在应用具有吸引力，尽管它们需要金属接触来引入外部微波。在这里，我们构建了一个超快金刚石非线性光子传感器来评估表面电场；基于金刚石纳米尖端中氮空位中心的电光传感器打破了传统泵浦探针技术的空间限制。 10-fs 近红外光脉冲调制二维过渡金属二硫属化物的表面电场，我们以纳米飞秒时空分辨率监测局部电场的动态。我们的纳米技术将为先进纳米材料的传感提供新的视野。</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light and materials technology is key to the creation of innovative sensing technologies. Sensing of electric and magnetic fields, and temperature with high spatio-temporal resolution is a critical task for the development of the next-generation of nanometer-scale quantum devices. Color centers in diamonds are attractive for potential applications owing to their characteristic quantum states, although they require metallic contacts for the introduction of external microwaves. Here, we build an ultrafast diamond nonlinear photonic sensor to assess the surface electric field; an electro-optic sensor based on nitrogen-vacancy centers in a diamond nanotip breaks the spatial-limit of conventional pump-probe techniques. The 10-fs near-infrared optical pulse modulates the surface electric field of a 2D transition metal dichalcogenide and we monitor the dynamics of the local electric field at nanometer-femtosecond spatio-temporal resolutions. Our nanoscopic technique will provide new horizons to the sensing of advanced nano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用于量子增强精密显微镜的明亮脉冲压缩光</w:t>
      </w:r>
    </w:p>
    <w:p>
      <w:r>
        <w:rPr>
          <w:rFonts w:ascii="Times New Roman" w:hAnsi="Times New Roman" w:eastAsia="宋体"/>
          <w:b/>
          <w:color w:val="003264"/>
          <w:sz w:val="24"/>
        </w:rPr>
        <w:t>Bright Pulsed Squeezed Light for Quantum-Enhanced Precision Microscopy</w:t>
      </w:r>
    </w:p>
    <w:p>
      <w:r>
        <w:rPr>
          <w:rFonts w:ascii="Times New Roman" w:hAnsi="Times New Roman" w:eastAsia="宋体"/>
          <w:sz w:val="21"/>
        </w:rPr>
        <w:t>作者: Warwick Bowen</w:t>
        <w:br/>
      </w:r>
      <w:r>
        <w:rPr>
          <w:rFonts w:ascii="Times New Roman" w:hAnsi="Times New Roman" w:eastAsia="宋体"/>
          <w:sz w:val="21"/>
        </w:rPr>
        <w:t xml:space="preserve">时间: 2026-01-22T01:07:55Z | </w:t>
      </w:r>
      <w:r>
        <w:t xml:space="preserve">链接: </w:t>
      </w:r>
      <w:hyperlink r:id="rId33">
        <w:r>
          <w:rPr>
            <w:rFonts w:ascii="Times New Roman" w:hAnsi="Times New Roman" w:eastAsia="宋体"/>
            <w:color w:val="0000FF"/>
            <w:sz w:val="21"/>
            <w:u w:val="single"/>
          </w:rPr>
          <w:t>https://arxiv.org/abs/2601.15565v1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光态可将噪声降低到标准量子极限以下，从而提高测量精度。压缩光的一个关键应用是非线性显微镜，其中最先进的性能受到光损伤和量子限制噪声的限制。此类显微镜需要明亮的脉冲光才能实现最佳操作，但生成和检测高水平的明亮脉冲挤压仍然具有挑战性。在这项工作中，我们提出了一种有效的技术，使用波导中的 $χ^2$ 光学参量放大过程来生成高水平的明亮皮秒脉冲压缩光。我们用与非线性显微镜兼容的光功率测量了$-3.2~\mathrm{dB}$的明亮挤压，以及$-3.6~\mathrm{dB}$的真空挤压。校正损耗后，这些挤压水平对应于波导中产生的挤压 $-15.4^{+2.7}_{-8.7}~\mathrm{dB}$。据我们所知，测量到的亮振幅脉冲挤压水平是迄今为止报道的最高水平，并将有助于量子增强非线性显微镜在生物学研究中的更广泛采用。</w:t>
      </w:r>
    </w:p>
    <w:p>
      <w:pPr>
        <w:spacing w:before="120"/>
      </w:pPr>
      <w:r>
        <w:rPr>
          <w:rFonts w:ascii="Times New Roman" w:hAnsi="Times New Roman" w:eastAsia="宋体"/>
          <w:b/>
          <w:sz w:val="21"/>
        </w:rPr>
        <w:t>English Abstract:</w:t>
      </w:r>
    </w:p>
    <w:p>
      <w:r>
        <w:rPr>
          <w:rFonts w:ascii="Times New Roman" w:hAnsi="Times New Roman" w:eastAsia="宋体"/>
          <w:sz w:val="21"/>
        </w:rPr>
        <w:t>Squeezed states of light enable enhanced measurement precision by reducing noise below the standard quantum limit. A key application of squeezed light is nonlinear microscopy, where state-of-the-art performance is limited by photodamage and quantum-limited noise. Such microscopes require bright, pulsed light for optimal operation, yet generating and detecting bright pulsed squeezing at high levels remains challenging. In this work, we present an efficient technique to generate high levels of bright picosecond pulsed squeezed light using a $χ^2$ optical parametric amplification process in a waveguide. We measure $-3.2~\mathrm{dB}$ of bright squeezing with optical power compatible with nonlinear microscopy, as well as $-3.6~\mathrm{dB}$ of vacuum squeezing. Corrected for losses, these squeezing levels correspond to $-15.4^{+2.7}_{-8.7}~\mathrm{dB}$ of squeezing generated in the waveguide. The measured level of bright amplitude pulsed squeezing is to our knowledge the highest reported to date, and will contribute to the broader adoption of quantum-enhanced nonlinear microscopy in biological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σh 断裂诱导拓扑准 BIC</w:t>
      </w:r>
    </w:p>
    <w:p>
      <w:r>
        <w:rPr>
          <w:rFonts w:ascii="Times New Roman" w:hAnsi="Times New Roman" w:eastAsia="宋体"/>
          <w:b/>
          <w:color w:val="003264"/>
          <w:sz w:val="24"/>
        </w:rPr>
        <w:t>σh-Broken Induced Topological quasi-BIC</w:t>
      </w:r>
    </w:p>
    <w:p>
      <w:r>
        <w:rPr>
          <w:rFonts w:ascii="Times New Roman" w:hAnsi="Times New Roman" w:eastAsia="宋体"/>
          <w:sz w:val="21"/>
        </w:rPr>
        <w:t>作者: Yurui Fang</w:t>
        <w:br/>
      </w:r>
      <w:r>
        <w:rPr>
          <w:rFonts w:ascii="Times New Roman" w:hAnsi="Times New Roman" w:eastAsia="宋体"/>
          <w:sz w:val="21"/>
        </w:rPr>
        <w:t xml:space="preserve">时间: 2026-01-22T01:21:57Z | </w:t>
      </w:r>
      <w:r>
        <w:t xml:space="preserve">链接: </w:t>
      </w:r>
      <w:hyperlink r:id="rId34">
        <w:r>
          <w:rPr>
            <w:rFonts w:ascii="Times New Roman" w:hAnsi="Times New Roman" w:eastAsia="宋体"/>
            <w:color w:val="0000FF"/>
            <w:sz w:val="21"/>
            <w:u w:val="single"/>
          </w:rPr>
          <w:t>https://arxiv.org/abs/2601.15569v1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从连续体束缚态 (BIC) 到准 BIC (qBIC) 的转变通常是通过引入面内不对称性来实现的，包括介电常数不对称性 (ε-qBICs) 和几何不对称性 (g-qBICs)。在这里，我们证明，当严格保持面内对称性时，如果设计了面外不对称性，也可以发生转变，这在本工作中称为 σh -qBICs。当{σh对称性逐渐被打破时，系统经历以Zak相反转为特征的拓扑相变，导致四极和偶极模式之间的能带反转。该过程不仅能够实现 BIC 的受控辐射耦合，而且还引入了缺陷免疫 qBIC 机制。我们的研究结果建立了一种设计高 Q 值共振和拓扑鲁棒等离子体腔的通用机制。</w:t>
      </w:r>
    </w:p>
    <w:p>
      <w:pPr>
        <w:spacing w:before="120"/>
      </w:pPr>
      <w:r>
        <w:rPr>
          <w:rFonts w:ascii="Times New Roman" w:hAnsi="Times New Roman" w:eastAsia="宋体"/>
          <w:b/>
          <w:sz w:val="21"/>
        </w:rPr>
        <w:t>English Abstract:</w:t>
      </w:r>
    </w:p>
    <w:p>
      <w:r>
        <w:rPr>
          <w:rFonts w:ascii="Times New Roman" w:hAnsi="Times New Roman" w:eastAsia="宋体"/>
          <w:sz w:val="21"/>
        </w:rPr>
        <w:t>Transitions from bound states in the continuum (BICs) to quasi-BICs (qBICs) are typically realized by introducing in-plane asymmetry, including permittivity asymmetry (ε-qBICs) and geometry asymmetry (g-qBICs). Here, we demonstrate that when the in-plane symmetry is rigorously kept, the transition can also be occurred, provided the out-of-plane asymmetry is designed, which is called σh -qBICs in this work. When the {σh symmetry is gradually broken, the system undergoes a topological phase transition characterized by a Zak phase inversion, leading to a band inversion between quadrupole and dipole modes. This process not only enables controlled radiation coupling of BICs but also introduces a defect-immune qBIC regime. Our findings establish a general mechanism for engineering high-Q resonances and topologically robust plasmonic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3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鬼影成像的自适应信息最大化编码--实验物理约束下的通用贝叶斯框架</w:t>
      </w:r>
    </w:p>
    <w:p>
      <w:r>
        <w:rPr>
          <w:rFonts w:ascii="Times New Roman" w:hAnsi="Times New Roman" w:eastAsia="宋体"/>
          <w:b/>
          <w:color w:val="003264"/>
          <w:sz w:val="24"/>
        </w:rPr>
        <w:t>Adaptive information-maximization encoding for ghost imaging--A general Bayesian framework under experimental physical constraints</w:t>
      </w:r>
    </w:p>
    <w:p>
      <w:r>
        <w:rPr>
          <w:rFonts w:ascii="Times New Roman" w:hAnsi="Times New Roman" w:eastAsia="宋体"/>
          <w:sz w:val="21"/>
        </w:rPr>
        <w:t>作者: Shensheng Han</w:t>
        <w:br/>
      </w:r>
      <w:r>
        <w:rPr>
          <w:rFonts w:ascii="Times New Roman" w:hAnsi="Times New Roman" w:eastAsia="宋体"/>
          <w:sz w:val="21"/>
        </w:rPr>
        <w:t xml:space="preserve">时间: 2026-01-22T03:05:50Z | </w:t>
      </w:r>
      <w:r>
        <w:t xml:space="preserve">链接: </w:t>
      </w:r>
      <w:hyperlink r:id="rId36">
        <w:r>
          <w:rPr>
            <w:rFonts w:ascii="Times New Roman" w:hAnsi="Times New Roman" w:eastAsia="宋体"/>
            <w:color w:val="0000FF"/>
            <w:sz w:val="21"/>
            <w:u w:val="single"/>
          </w:rPr>
          <w:t>https://arxiv.org/abs/2601.15604v1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非光学接触条件下蓝宝石与 Fe-36Ni 合金的突发模式超快激光焊接</w:t>
      </w:r>
    </w:p>
    <w:p>
      <w:r>
        <w:rPr>
          <w:rFonts w:ascii="Times New Roman" w:hAnsi="Times New Roman" w:eastAsia="宋体"/>
          <w:b/>
          <w:color w:val="003264"/>
          <w:sz w:val="24"/>
        </w:rPr>
        <w:t>Burst Mode Ultrafast Laser Welding of Sapphire and Fe-36Ni Alloy with Non-optical Contact Condition</w:t>
      </w:r>
    </w:p>
    <w:p>
      <w:r>
        <w:rPr>
          <w:rFonts w:ascii="Times New Roman" w:hAnsi="Times New Roman" w:eastAsia="宋体"/>
          <w:sz w:val="21"/>
        </w:rPr>
        <w:t>作者: Shanglu Yang</w:t>
        <w:br/>
      </w:r>
      <w:r>
        <w:rPr>
          <w:rFonts w:ascii="Times New Roman" w:hAnsi="Times New Roman" w:eastAsia="宋体"/>
          <w:sz w:val="21"/>
        </w:rPr>
        <w:t xml:space="preserve">时间: 2026-01-22T03:59:28Z | </w:t>
      </w:r>
      <w:r>
        <w:t xml:space="preserve">链接: </w:t>
      </w:r>
      <w:hyperlink r:id="rId37">
        <w:r>
          <w:rPr>
            <w:rFonts w:ascii="Times New Roman" w:hAnsi="Times New Roman" w:eastAsia="宋体"/>
            <w:color w:val="0000FF"/>
            <w:sz w:val="21"/>
            <w:u w:val="single"/>
          </w:rPr>
          <w:t>https://arxiv.org/abs/2601.15629v1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超快激光焊接为透明材料和金属材料的高精度集成提供了一种有前途的方法。然而，其实际应用仍然受到界面间隙精确调节的限制。本研究利用突发模式超快激光照射，研究了在受控非光学接触条件下蓝宝石和 Fe-36Ni 合金接头的界面响应和结合机制。在自然堆叠的样品之间引入聚合物夹层，以建立可变的界面间隙，从而可以系统地评估间隙相关的形态、熔化行为和元素传输。通过将脉冲能量重新分配为连续的子脉冲，突发模式重建了时间能量沉积过程，从而产生增强的等离子体-材料耦合和稳定的热积累。与单脉冲照射相比，突发模式可以在超过 10 微米的间隙中维持连续键合（远远超出单脉冲模式的失效阈值），并形成大 82% 的熔合区。 SEM 和 EDS 结果的断裂表面和横截面分析证实，连续子脉冲促进了广泛的蓝宝石熔化、液滴驱动的间隙桥接以及界面处增强的 Al-Fe 相互扩散。这些结果为先进光电和精密工程应用中的高间隙公差超快激光焊接和透明金属混合元件的可扩展集成提供了科学依据。</w:t>
      </w:r>
    </w:p>
    <w:p>
      <w:pPr>
        <w:spacing w:before="120"/>
      </w:pPr>
      <w:r>
        <w:rPr>
          <w:rFonts w:ascii="Times New Roman" w:hAnsi="Times New Roman" w:eastAsia="宋体"/>
          <w:b/>
          <w:sz w:val="21"/>
        </w:rPr>
        <w:t>English Abstract:</w:t>
      </w:r>
    </w:p>
    <w:p>
      <w:r>
        <w:rPr>
          <w:rFonts w:ascii="Times New Roman" w:hAnsi="Times New Roman" w:eastAsia="宋体"/>
          <w:sz w:val="21"/>
        </w:rPr>
        <w:t>Ultrafast laser welding provides a promising approach for high precision integration of transparent and metallic materials. However, its practical application remains constrained by the precise regulation of the interfacial gap. This study investigates the interfacial response and bonding mechanism of sapphire and Fe-36Ni alloy joints under controlled non-optical contact conditions using burst mode ultrafast laser irradiation. A polymer interlayer was introduced between naturally stacked samples to establish a variable interfacial gap, allowing systematic evaluation of gap-dependent morphology, melting behavior, and elemental transport. By redistributing the pulse energy into sequential sub-pulses, the burst mode reconstructs the temporal energy-deposition process, yielding enhanced plasma-material coupling and stable thermal accumulation. Compared with single pulse irradiation, burst mode sustains continuous bonding across gaps exceeding 10 um--far beyond the failure threshold of the single pulse mode--and forms a fusion zone 82% larger. Fracture surface and cross-sectional analyses of SEM and EDS results confirm that sequential sub-pulses promote extensive sapphire melting, droplet-driven gap bridging, and enhanced Al-Fe interdiffusion at the interface. These results provide a scientific basis for high-gap-tolerance ultrafast laser welding and scalable integration of transparent-metal hybrid components in advanced optoelectronic and precision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激子极化子的反常谷霍尔动力学</w:t>
      </w:r>
    </w:p>
    <w:p>
      <w:r>
        <w:rPr>
          <w:rFonts w:ascii="Times New Roman" w:hAnsi="Times New Roman" w:eastAsia="宋体"/>
          <w:b/>
          <w:color w:val="003264"/>
          <w:sz w:val="24"/>
        </w:rPr>
        <w:t>Anomalous valley Hall dynamics of exciton-polaritons</w:t>
      </w:r>
    </w:p>
    <w:p>
      <w:r>
        <w:rPr>
          <w:rFonts w:ascii="Times New Roman" w:hAnsi="Times New Roman" w:eastAsia="宋体"/>
          <w:sz w:val="21"/>
        </w:rPr>
        <w:t>作者: Jian Wu</w:t>
        <w:br/>
      </w:r>
      <w:r>
        <w:rPr>
          <w:rFonts w:ascii="Times New Roman" w:hAnsi="Times New Roman" w:eastAsia="宋体"/>
          <w:sz w:val="21"/>
        </w:rPr>
        <w:t xml:space="preserve">时间: 2026-01-22T04:09:25Z | </w:t>
      </w:r>
      <w:r>
        <w:t xml:space="preserve">链接: </w:t>
      </w:r>
      <w:hyperlink r:id="rId38">
        <w:r>
          <w:rPr>
            <w:rFonts w:ascii="Times New Roman" w:hAnsi="Times New Roman" w:eastAsia="宋体"/>
            <w:color w:val="0000FF"/>
            <w:sz w:val="21"/>
            <w:u w:val="single"/>
          </w:rPr>
          <w:t>https://arxiv.org/abs/2601.15631v1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原子薄过渡金属二硫属化物的谷自由度为信息处理提供了天然的二元索引。在强光-物质耦合下形成的激子极化子为克服裸谷激子的有限寿命和传输提供了一条有前途的途径。在这里，我们报告了单层 WS2 激子-极化系统中的反常光谷霍尔效应。使用偏振和时间分辨的实空间成像，我们直接可视化线性偏振激励下来自相反谷的极化激元的对称破缺空间分离，并伴随着 10^5 m/s 量级的超快霍尔漂移速度。这种行为不能用传统的空腔诱发机制来解释，而是表明应变诱发的合成赝磁场作用于极化激元的激子成分。我们的研究结果将激子极化子确立为用于谷传输的高速且光学可访问的平台，为可调谐谷电子和拓扑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valley degree of freedom in atomically thin transition-metal dichalcogenides provides a natural binary index for information processing. Exciton-polaritons formed under strong light-matter coupling offer a promising route to overcome the limited lifetime and transport of bare valley excitons. Here we report an anomalous optical valley Hall effect in a monolayer WS2 exciton-polariton system. Using polarization- and time-resolved real-space imaging, we directly visualize a symmetry-breaking spatial separation of polaritons from opposite valleys under linearly polarized excitation, accompanied by an ultrafast Hall drift velocity on the order of 10^5 m/s. This behaviour cannot be accounted for by conventional cavity-induced mechanisms and instead points to a strain-induced synthetic pseudomagnetic field acting on the excitonic component of polaritons. Our results establish exciton-polaritons as a high-speed and optically accessible platform for valley transport, opening pathways towards tunable valleytronic and topological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一种非线性谐振结构的光晶体管</w:t>
      </w:r>
    </w:p>
    <w:p>
      <w:r>
        <w:rPr>
          <w:rFonts w:ascii="Times New Roman" w:hAnsi="Times New Roman" w:eastAsia="宋体"/>
          <w:b/>
          <w:color w:val="003264"/>
          <w:sz w:val="24"/>
        </w:rPr>
        <w:t>An optical transistor of the nonlinear resonant structure</w:t>
      </w:r>
    </w:p>
    <w:p>
      <w:r>
        <w:rPr>
          <w:rFonts w:ascii="Times New Roman" w:hAnsi="Times New Roman" w:eastAsia="宋体"/>
          <w:sz w:val="21"/>
        </w:rPr>
        <w:t>作者: Jongbae Kim</w:t>
        <w:br/>
      </w:r>
      <w:r>
        <w:rPr>
          <w:rFonts w:ascii="Times New Roman" w:hAnsi="Times New Roman" w:eastAsia="宋体"/>
          <w:sz w:val="21"/>
        </w:rPr>
        <w:t xml:space="preserve">时间: 2026-01-22T04:31:34Z | </w:t>
      </w:r>
      <w:r>
        <w:t xml:space="preserve">链接: </w:t>
      </w:r>
      <w:hyperlink r:id="rId39">
        <w:r>
          <w:rPr>
            <w:rFonts w:ascii="Times New Roman" w:hAnsi="Times New Roman" w:eastAsia="宋体"/>
            <w:color w:val="0000FF"/>
            <w:sz w:val="21"/>
            <w:u w:val="single"/>
          </w:rPr>
          <w:t>https://arxiv.org/abs/2601.15638v1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论上通过谐振结构中的级联二阶非线性相互作用提出了一种能够同时放大和开关的光学晶体管。分析了两种不同的操作方案。单频方案采用级联二次谐波产生和逆二次谐波产生（SHG/iSHG），使用两个I型SHG相互作用，而双频方案采用级联SHG和光参量放大（SHG/OPA）。精确的理论解决方案和数值计算显示了级联放大和数字开/关切换。在级联SHG/iSHG和SHG/OPA的每个方案中，通过理论解预测了一种新的非线性透明光学现象，并通过数值解证实了这一现象。单频和双频配置满足级联性和扇出标准，功率传输比分别为 4.838 和 52.26，功率放大系数分别为 48.38 和 522.6。这些结果表明在毫瓦范围内的输入功率下具有类似晶体管的性能，很容易由激光二极管提供。所提出的结构为集成光子电路的高速和低功率运行的光学晶体管建立了一条物理上可行且实际上可扩展的路线，在所有光通信和计算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An optical transistor capable of simultaneous amplification and switching is theoretically proposed via cascaded second-order nonlinear interactions in a resonant structure. Two distinct operational schemes are analyzed. A single frequency scheme employs cascaded second harmonic generation and inverse second harmonic generation (SHG/iSHG) using two Type-I SHG interactions, whereas a dual frequency scheme employs cascaded SHG and optical parametric amplification (SHG/OPA). Exact theoretical solutions and numerical calculations show cascadable amplification and digital on/off switching. A new optical phenomenon of nonlinear transparency is predicted by the theoretical solutions and confirmed by the numerical solutions in each scheme of the cascaded SHG/iSHG and SHG/OPA. The single and dual frequency configurations satisfy the cascadability and fan-out criteria with power transfer ratios of 4.838 and 52.26 and power amplification factors of 48.38 and 522.6, respectively. These results indicate transistor-like performance at input powers in the milliwatt range, readily supplied by laser diodes. The proposed structure establishes a physically feasible and practically scalable route to optical transistors operating at high speed and low power for integrated photonic circuits, with broad applications in all optical communication and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通过非高斯运算增强包含亚普朗克尺度结构的相空间状态的大小</w:t>
      </w:r>
    </w:p>
    <w:p>
      <w:r>
        <w:rPr>
          <w:rFonts w:ascii="Times New Roman" w:hAnsi="Times New Roman" w:eastAsia="宋体"/>
          <w:b/>
          <w:color w:val="003264"/>
          <w:sz w:val="24"/>
        </w:rPr>
        <w:t>Enhancing the Size of Phase-Space States Containing Sub-Planck-Scale Structures via Non-Gaussian Operations</w:t>
      </w:r>
    </w:p>
    <w:p>
      <w:r>
        <w:rPr>
          <w:rFonts w:ascii="Times New Roman" w:hAnsi="Times New Roman" w:eastAsia="宋体"/>
          <w:sz w:val="21"/>
        </w:rPr>
        <w:t>作者: Prasanta K. Panigrahi</w:t>
        <w:br/>
      </w:r>
      <w:r>
        <w:rPr>
          <w:rFonts w:ascii="Times New Roman" w:hAnsi="Times New Roman" w:eastAsia="宋体"/>
          <w:sz w:val="21"/>
        </w:rPr>
        <w:t xml:space="preserve">时间: 2026-01-22T05:02:56Z | </w:t>
      </w:r>
      <w:r>
        <w:t xml:space="preserve">链接: </w:t>
      </w:r>
      <w:hyperlink r:id="rId40">
        <w:r>
          <w:rPr>
            <w:rFonts w:ascii="Times New Roman" w:hAnsi="Times New Roman" w:eastAsia="宋体"/>
            <w:color w:val="0000FF"/>
            <w:sz w:val="21"/>
            <w:u w:val="single"/>
          </w:rPr>
          <w:t>https://arxiv.org/abs/2601.15654v1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观察到添加光子的猫和小猫态在相空间灵敏度方面比其原始形式具有计量优势，这是由于通过光子添加增加了振幅而导致相空间变宽，尽管能量成本更高。使用可访问的非经典资源、弱挤压和位移，我们构造了一个挤压状态和两个叠加状态：挤压猫状态和对称挤压状态。使用量子费希尔信息和保真度将它们的光子添加变体与奇偶匹配的猫和 KS 进行比较。 QFI 等值线揭示了 KS 表现出高保真度和大振幅的状态，使其能够通过高斯运算和光子加法进行准备。通过挤压和光子添加增强的猫状态也发现了类似的机制，证明了计量性能的提高。此外，增加的幅度和更大的相空间面积减少了干涉条纹的尺寸，增强了cat码中量子纠错的有效性。</w:t>
      </w:r>
    </w:p>
    <w:p>
      <w:pPr>
        <w:spacing w:before="120"/>
      </w:pPr>
      <w:r>
        <w:rPr>
          <w:rFonts w:ascii="Times New Roman" w:hAnsi="Times New Roman" w:eastAsia="宋体"/>
          <w:b/>
          <w:sz w:val="21"/>
        </w:rPr>
        <w:t>English Abstract:</w:t>
      </w:r>
    </w:p>
    <w:p>
      <w:r>
        <w:rPr>
          <w:rFonts w:ascii="Times New Roman" w:hAnsi="Times New Roman" w:eastAsia="宋体"/>
          <w:sz w:val="21"/>
        </w:rPr>
        <w:t>We observe a metrological advantage in phase-space sensitivity for photon-added cat and kitten states over their original forms, due to phase-space broadening from increased amplitude via photon addition, albeit with higher energy cost. Using accessible non-classical resources, weak squeezing and displacement, we construct a squeezed state and two superposed states: the squeezed cat state and the symmetrically squeezed state. Their photon-added variants are compared with parity-matched cat and KSs using quantum Fisher information and fidelity. The QFI isocontours reveal regimes where KS exhibit high fidelity and large amplitude, enabling their preparation via Gaussian operations and photon addition. Similar regimes are identified for cat states enhanced by squeezing and photon addition, demonstrating improved metrological performance. Moreover, increased amplitude and thus larger phase-space area reduces the size of interferometric fringes, enhancing the effectiveness of quantum error correction in cat codes.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用于量子和原子应用的蓝色至近红外集成 PZT 氮化硅调制器</w:t>
      </w:r>
    </w:p>
    <w:p>
      <w:r>
        <w:rPr>
          <w:rFonts w:ascii="Times New Roman" w:hAnsi="Times New Roman" w:eastAsia="宋体"/>
          <w:b/>
          <w:color w:val="003264"/>
          <w:sz w:val="24"/>
        </w:rPr>
        <w:t>Blue to Near-IR Integrated PZT Silicon Nitride Modulators for Quantum and Atomic Applications</w:t>
      </w:r>
    </w:p>
    <w:p>
      <w:r>
        <w:rPr>
          <w:rFonts w:ascii="Times New Roman" w:hAnsi="Times New Roman" w:eastAsia="宋体"/>
          <w:sz w:val="21"/>
        </w:rPr>
        <w:t>作者: Daniel J. Blumenthal</w:t>
        <w:br/>
      </w:r>
      <w:r>
        <w:rPr>
          <w:rFonts w:ascii="Times New Roman" w:hAnsi="Times New Roman" w:eastAsia="宋体"/>
          <w:sz w:val="21"/>
        </w:rPr>
        <w:t xml:space="preserve">时间: 2026-01-22T06:47:25Z | </w:t>
      </w:r>
      <w:r>
        <w:t xml:space="preserve">链接: </w:t>
      </w:r>
      <w:hyperlink r:id="rId41">
        <w:r>
          <w:rPr>
            <w:rFonts w:ascii="Times New Roman" w:hAnsi="Times New Roman" w:eastAsia="宋体"/>
            <w:color w:val="0000FF"/>
            <w:sz w:val="21"/>
            <w:u w:val="single"/>
          </w:rPr>
          <w:t>https://arxiv.org/abs/2601.15695v1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和光信号的调制和控制对于俘获离子和冷中性原子量子系统是必要的。考虑到原子种类、实验模式和架构的多样性，设计用于在可见光到近红外光谱范围内运行的集成光调制器是迈向便携式、稳健和紧凑的量子计算机、时钟和传感器的关键一步。集成光调制器与波长无关、与 CMOS 兼容，并且能够保持低波导损耗和高谐振器品质因数、直流耦合宽带频率响应和低功耗，对于可扩展的光子集成至关重要。然而，实现这些目标的进展仍然有限。在这里，我们展示了四种类型的集成应力光学锆钛酸铅 (PZT) 氮化硅调制器：线圈马赫曾德调制器、线圈纯相位调制器以及总线耦合和分插环谐振器调制器，工作波长范围为 493 nm 至 780 nm。线圈 MZM 工作波长为 532 nm，V$π$ 为 2.8V、0.4 MHz 3 dB 带宽和 21.5 dB 消光比。线圈相位调制器的工作波长为 493 nm，V$π$ 为 2.8V，1kHz 偏移时的低残余幅度调制为 -34 dB。总线耦合环形谐振器调制器的工作波长为 493 nm，分插环形谐振器调制器的工作波长为 780 nm。基于环的调制器的固有品质因数分别为 340 万和 190 万，线性调谐强度分别为 0.9 GHz/V 和 1 GHz/V，以及 3 dB 带宽分别为 2.6 MHz 和 10 MHz。所有四种调制器设计都保持了 SiN 的低光波导损耗，采用宽带频率响应进行直流耦合，工作时与波长无关，并且每个执行器的功耗仅为数十 nW。此类解决方案释放了与其他精密 SiN 组件进一步集成的潜力，以实现芯片级原子和量子系统。</w:t>
      </w:r>
    </w:p>
    <w:p>
      <w:pPr>
        <w:spacing w:before="120"/>
      </w:pPr>
      <w:r>
        <w:rPr>
          <w:rFonts w:ascii="Times New Roman" w:hAnsi="Times New Roman" w:eastAsia="宋体"/>
          <w:b/>
          <w:sz w:val="21"/>
        </w:rPr>
        <w:t>English Abstract:</w:t>
      </w:r>
    </w:p>
    <w:p>
      <w:r>
        <w:rPr>
          <w:rFonts w:ascii="Times New Roman" w:hAnsi="Times New Roman" w:eastAsia="宋体"/>
          <w:sz w:val="21"/>
        </w:rPr>
        <w:t>Modulation and control of lasers and optical signals is necessary for trapped-ion and cold neutral atom quantum systems. Given the diversity of atomic species, experimental modalities, and architectures, integrated optical modulators designed to operate across the visible to near-infrared spectrum are a key step towards portable, robust, and compact quantum computers, clocks, and sensors. Integrated optical modulators that are wavelength-independent, CMOS-compatible, and capable of maintaining low waveguide losses and a high resonator quality factor, DC-coupled broadband frequency response, and low power consumption, are essential for scalable photonic integration. Yet progress towards these goals has remained limited. Here we demonstrate four types of integrated stress-optic lead zirconate titanate (PZT) silicon nitride modulators: a coil Mach-Zehnder modulator, a coil pure phase modulator, and bus-coupled and add-drop ring resonator modulators, with operation from 493 nm to 780 nm. The coil MZM operates at 532 nm with a V$π$ of 2.8V, a 0.4 MHz 3-dB bandwidth, and an extinction ratio of 21.5dB. The coil phase modulator operates at 493 nm with a V$π$ of 2.8V and low residual amplitude modulation of -34 dB at a 1kHz offset. The bus-coupled ring resonator modulator operates at 493 nm and the add-drop ring resonator modulator operates at 780 nm. The ring-based modulators have an intrinsic quality factor of 3.4 million and 1.9 million, a linear tuning strength of 0.9 GHz/V and 1 GHz/V, and a 3-dB bandwidth of 2.6 MHz and 10 MHz, respectively. All four modulator designs maintain the low optical waveguide loss of SiN, are DC coupled with broadband frequency response, operate independent of wavelength, and consume only tens of nW per actuator. Such solutions unlock the potential for further integration with other precision SiN components to realize chip-scale atomic and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固有 Q 因子超过 4X10(6) 的单片五氧化二钽微环</w:t>
      </w:r>
    </w:p>
    <w:p>
      <w:r>
        <w:rPr>
          <w:rFonts w:ascii="Times New Roman" w:hAnsi="Times New Roman" w:eastAsia="宋体"/>
          <w:b/>
          <w:color w:val="003264"/>
          <w:sz w:val="24"/>
        </w:rPr>
        <w:t>Monolithic tantalum pentoxide microrings with intrinsic Q factors exceeding 4X10(6)</w:t>
      </w:r>
    </w:p>
    <w:p>
      <w:r>
        <w:rPr>
          <w:rFonts w:ascii="Times New Roman" w:hAnsi="Times New Roman" w:eastAsia="宋体"/>
          <w:sz w:val="21"/>
        </w:rPr>
        <w:t>作者: Ya Cheng</w:t>
        <w:br/>
      </w:r>
      <w:r>
        <w:rPr>
          <w:rFonts w:ascii="Times New Roman" w:hAnsi="Times New Roman" w:eastAsia="宋体"/>
          <w:sz w:val="21"/>
        </w:rPr>
        <w:t xml:space="preserve">时间: 2026-01-22T08:28:04Z | </w:t>
      </w:r>
      <w:r>
        <w:t xml:space="preserve">链接: </w:t>
      </w:r>
      <w:hyperlink r:id="rId42">
        <w:r>
          <w:rPr>
            <w:rFonts w:ascii="Times New Roman" w:hAnsi="Times New Roman" w:eastAsia="宋体"/>
            <w:color w:val="0000FF"/>
            <w:sz w:val="21"/>
            <w:u w:val="single"/>
          </w:rPr>
          <w:t>https://arxiv.org/abs/2601.15753v1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五氧化二钽（Ta2O5）作为一种硅光子兼容材料平台，由于其卓越的性能而在高性能集成光子学领域获得了广泛关注：跨越0.28 um至8 um的宽透明度窗口、1550 nm处2.05的中等折射率以及令人印象深刻的7.2X10^(-19) m^2/W的非线性折射率。尽管有这些优点，但由于其固有的硬度和脆性，在 Ta2O5 平台上实现整体微环的低损耗制造仍然具有挑战性，这通常会导致侧壁粗糙和显着的散射损耗。在这项工作中，我们成功演示了具有极高本征和负载质量 (Q) 因数的单片 Ta2O5 微环谐振器。这是通过光刻辅助化学机械蚀刻（PLACE）技术的创新应用实现的。通过优化微环和总线波导之间的耦合区域，以及在制造过程中精心控制表面粗糙度，我们在所得微环中实现了近临界耦合。该器件在电信频段中表现出 2.74X10(6) 的负载 Q 因数，无需使用昂贵的电子束光刻，显示出高达 4.47X10(6) 的固有 Q 因数和仅 0.0732 dB/cm 的低传播损耗 - 代表了迄今为止强约束 Ta2O5 基微环谐振器报告的最高结果。这项工作为在Ta2O5平台上开发低制造成本的先进光子器件铺平了道路，包括低阈值微型激光器、高灵敏度传感器、宽带超连续谱源和光学频率梳。</w:t>
      </w:r>
    </w:p>
    <w:p>
      <w:pPr>
        <w:spacing w:before="120"/>
      </w:pPr>
      <w:r>
        <w:rPr>
          <w:rFonts w:ascii="Times New Roman" w:hAnsi="Times New Roman" w:eastAsia="宋体"/>
          <w:b/>
          <w:sz w:val="21"/>
        </w:rPr>
        <w:t>English Abstract:</w:t>
      </w:r>
    </w:p>
    <w:p>
      <w:r>
        <w:rPr>
          <w:rFonts w:ascii="Times New Roman" w:hAnsi="Times New Roman" w:eastAsia="宋体"/>
          <w:sz w:val="21"/>
        </w:rPr>
        <w:t>Tantalum pentoxide (Ta2O5), as a silicon-photonic-compatible material platform, has garnered significant attention for high-performance integrated photonics due to its exceptional properties: a broad transparency window spanning from 0.28 um to 8 um, a moderate refractive index of 2.05 at 1550 nm, and an impressive nonlinear refractive index of 7.2X10^(-19) m^2/W. Despite these advantages, achieving low-loss fabrication of monolithic microrings on the Ta2O5 platform remains challenging due to its inherent hardness and brittleness, which often result in rough sidewalls and significant scattering losses. In this work, we successfully demonstrated monolithic Ta2O5 microring resonators with exceptionally high intrinsic and loaded quality (Q) factors. This was accomplished through the innovative application of photolithography-assisted chemo-mechanical etching (PLACE) technology. By optimizing the coupling region between the microring and the bus waveguide, as well as meticulously controlling surface roughness during fabrication, we achieved near-critical coupling in the resulting microrings. The devices exhibited loaded Q factors of 2.74X10(6) in the telecom band without employing expensive electron-beam lithography, showing an intrinsic Q factor as high as 4.47X10(6) and a low propagation loss of only 0.0732 dB/cm - representing the highest results reported for strongly confined Ta2O5-based microring resonators to date. This work paves the way for the development of advanced photonic devices on the Ta2O5 platform with low manufacturing cost, including low-threshold microlasers, highly sensitive sensors, broad bandwidth supercontinuum sources, and optical frequency 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4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44">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45">
        <w:r>
          <w:rPr>
            <w:rFonts w:ascii="Times New Roman" w:hAnsi="Times New Roman" w:eastAsia="宋体"/>
            <w:color w:val="0000FF"/>
            <w:sz w:val="21"/>
            <w:u w:val="single"/>
          </w:rPr>
          <w:t>https://arxiv.org/abs/2601.15805v1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铌酸锂波导中的光折射管理：高温与低温解决方案</w:t>
      </w:r>
    </w:p>
    <w:p>
      <w:r>
        <w:rPr>
          <w:rFonts w:ascii="Times New Roman" w:hAnsi="Times New Roman" w:eastAsia="宋体"/>
          <w:b/>
          <w:color w:val="003264"/>
          <w:sz w:val="24"/>
        </w:rPr>
        <w:t>Photorefraction Management in Lithium Niobate Waveguides: High-Temperature vs. Cryogenic Solutions</w:t>
      </w:r>
    </w:p>
    <w:p>
      <w:r>
        <w:rPr>
          <w:rFonts w:ascii="Times New Roman" w:hAnsi="Times New Roman" w:eastAsia="宋体"/>
          <w:sz w:val="21"/>
        </w:rPr>
        <w:t>作者: Christine Silberhorn</w:t>
        <w:br/>
      </w:r>
      <w:r>
        <w:rPr>
          <w:rFonts w:ascii="Times New Roman" w:hAnsi="Times New Roman" w:eastAsia="宋体"/>
          <w:sz w:val="21"/>
        </w:rPr>
        <w:t xml:space="preserve">时间: 2026-01-22T10:04:46Z | </w:t>
      </w:r>
      <w:r>
        <w:t xml:space="preserve">链接: </w:t>
      </w:r>
      <w:hyperlink r:id="rId46">
        <w:r>
          <w:rPr>
            <w:rFonts w:ascii="Times New Roman" w:hAnsi="Times New Roman" w:eastAsia="宋体"/>
            <w:color w:val="0000FF"/>
            <w:sz w:val="21"/>
            <w:u w:val="single"/>
          </w:rPr>
          <w:t>https://arxiv.org/abs/2601.15817v1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广泛应用于非线性和量子光学器件，例如和频和差频生成或自发参量下变频。在铌酸锂波导中，非线性光学过程通常受到所谓的光折变效应的限制，这限制了最大输入或输出功率并影响非线性光谱响应。因此，光折变损伤的管理策略是设备设计中的关键考虑因素。通常，光折变损伤阈值，即最大允许工作功率，可以通过器件的高温工作来提高。然而，这种方法不适用于低温环境，而特殊应用可能需要低温环境。为了更好地了解光折射在非线性光学应用中的影响，我们研究了光折射对 1) 高温和 2) 低温下两个非线性光学和频生成实验的相位匹配光谱的影响。此外，我们提出了一种减少光折射影响的方法，该方法与低温操作兼容。这包括在同一波导中传播的辅助光源，用于恢复受光折射影响的相位匹配光谱，并减少热释电效应。我们的工作提供了一种适用于低温环境以及能源预算紧张的情况（如太空应用）的光折射管理的替代途径。</w:t>
      </w:r>
    </w:p>
    <w:p>
      <w:pPr>
        <w:spacing w:before="120"/>
      </w:pPr>
      <w:r>
        <w:rPr>
          <w:rFonts w:ascii="Times New Roman" w:hAnsi="Times New Roman" w:eastAsia="宋体"/>
          <w:b/>
          <w:sz w:val="21"/>
        </w:rPr>
        <w:t>English Abstract:</w:t>
      </w:r>
    </w:p>
    <w:p>
      <w:r>
        <w:rPr>
          <w:rFonts w:ascii="Times New Roman" w:hAnsi="Times New Roman" w:eastAsia="宋体"/>
          <w:sz w:val="21"/>
        </w:rPr>
        <w:t>Lithium niobate sees widespread use in nonlinear and quantum optical devices, such as for sum- and difference-frequency generation or spontaneous parametric down-conversion. In lithium niobate waveguides, nonlinear optical processes are often limited by the so-called photorefractive effect, which limits the maximum input or output powers and impacts the nonlinear spectral response. Therefore, strategies for the management of photorefractive damage are a key consideration in device design. Usually, the photorefractive damage threshold, i.e. the maximal permissible operating power, can be increased by high temperature operation of devices. This approach, however, is not applicable in cryogenic environments, which may be required for specialized applications. To better understand the impact of photorefraction in nonlinear optical applications, we study the impact of photorefraction on the phase-matching spectra of two nonlinear-optical sum-frequency generation experiments at 1) high temperatures and 2) cryogenic temperatures. Furthermore, we present an approach to reduce the impact of photorefraction which is compatible with cryogenic operation. This comprises an auxiliary light source, propagating in the same waveguide, which is used to restore phase-matching spectra impacted by photorefraction, as well as reduce pyroelectric effects. Our work provides an alternative route to photorefraction management applicable to cryogenic environments, as well as in situations with tight energy budgets like 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钙钛矿纳米晶体的尺寸依赖性介电常数</w:t>
      </w:r>
    </w:p>
    <w:p>
      <w:r>
        <w:rPr>
          <w:rFonts w:ascii="Times New Roman" w:hAnsi="Times New Roman" w:eastAsia="宋体"/>
          <w:b/>
          <w:color w:val="003264"/>
          <w:sz w:val="24"/>
        </w:rPr>
        <w:t>Size-dependent Dielectric Permittivity of Perovskite Nanocrystals</w:t>
      </w:r>
    </w:p>
    <w:p>
      <w:r>
        <w:rPr>
          <w:rFonts w:ascii="Times New Roman" w:hAnsi="Times New Roman" w:eastAsia="宋体"/>
          <w:sz w:val="21"/>
        </w:rPr>
        <w:t>作者: Alexey Y. Nikitin</w:t>
        <w:br/>
      </w:r>
      <w:r>
        <w:rPr>
          <w:rFonts w:ascii="Times New Roman" w:hAnsi="Times New Roman" w:eastAsia="宋体"/>
          <w:sz w:val="21"/>
        </w:rPr>
        <w:t xml:space="preserve">时间: 2026-01-22T12:25:07Z | </w:t>
      </w:r>
      <w:r>
        <w:t xml:space="preserve">链接: </w:t>
      </w:r>
      <w:hyperlink r:id="rId47">
        <w:r>
          <w:rPr>
            <w:rFonts w:ascii="Times New Roman" w:hAnsi="Times New Roman" w:eastAsia="宋体"/>
            <w:color w:val="0000FF"/>
            <w:sz w:val="21"/>
            <w:u w:val="single"/>
          </w:rPr>
          <w:t>https://arxiv.org/abs/2601.15898v1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钙钛矿纳米晶体（PNC）是有前途的量子光子器件的构建模块。 PNC 的光学特性可以通过与光腔或纳米天线集成来增强。设计此类结构需要精确的 PNC 尺寸相关介电常数。然而，当前的报告主要提供整体平均值，对单个 PNC 的内在响应的访问有限。在这里，我们提出了一种根据测量的胶体溶液吸收光谱重建 CsPbBr3 PNC 的尺寸依赖性复介电常数的方法。 PNC 的介电常数被建模为 Voigt 剖面振荡器的总和，其尺寸相关的跃迁能量由激子有效质量控制。使用透射电子显微镜导出的 PNC 尺寸分布，通过 Maxwell Garnett 有效介质近似获得溶液介电常数。该介电常数用于传输矩阵方法来模拟和拟合吸收光谱，从中重建 PNC 的介电常数。从介电常数虚部（78.4 meV）提取的光谱线宽与室温下单纳米晶发射线宽一致。有限元模拟显示耦合到纳米天线的单个 PNC 的吸收截面增强，证明了提取的介电常数的适用性。更一般地说，这些发现提供了一种从单个纳米晶体整体的吸光度测量中提取其固有介电常数的途径。</w:t>
      </w:r>
    </w:p>
    <w:p>
      <w:pPr>
        <w:spacing w:before="120"/>
      </w:pPr>
      <w:r>
        <w:rPr>
          <w:rFonts w:ascii="Times New Roman" w:hAnsi="Times New Roman" w:eastAsia="宋体"/>
          <w:b/>
          <w:sz w:val="21"/>
        </w:rPr>
        <w:t>English Abstract:</w:t>
      </w:r>
    </w:p>
    <w:p>
      <w:r>
        <w:rPr>
          <w:rFonts w:ascii="Times New Roman" w:hAnsi="Times New Roman" w:eastAsia="宋体"/>
          <w:sz w:val="21"/>
        </w:rPr>
        <w:t>Perovskite nanocrystals (PNCs) are promising building blocks for quantum photonic devices. Optical properties of PNCs can be enhanced by integration with optical cavities or nanoantennas. Designing such structures requires accurate size dependent dielectric permittivity of PNCs. However, current reports provide primarily ensemble averaged values with limited access to the intrinsic response of individual PNCs. Here we suggest a methodology to reconstruct the size dependent complex dielectric permittivity of CsPbBr3 PNCs from the measured absorbance spectrum of colloidal solution. The permittivity of PNCs is modeled as a sum of Voigt profile oscillators, with the size dependent transition energies governed by the exciton effective mass. Using a transmission electron microscopy derived size distribution of the PNCs, the solution permittivity is obtained via Maxwell Garnett effective medium approximation. This permittivity is used in a transfer matrix method to simulate and fit the absorbance spectrum, from which the permittivity of PNCs is reconstructed. The extracted spectral linewidth from the imaginary part of the permittivity (78.4 meV) is consistent with single nanocrystal emission linewidths at room temperature. Finite element simulations show enhanced absorption cross section of a single PNC coupled to a nanoantenna, demonstrating applicability of the extracted permittivity. More generally, these findings provide a route to extract intrinsic permittivity of individual nanocrystals from absorbance measurements of their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定量吸收断层扫描</w:t>
      </w:r>
    </w:p>
    <w:p>
      <w:r>
        <w:rPr>
          <w:rFonts w:ascii="Times New Roman" w:hAnsi="Times New Roman" w:eastAsia="宋体"/>
          <w:b/>
          <w:color w:val="003264"/>
          <w:sz w:val="24"/>
        </w:rPr>
        <w:t>Quantitative absorption tomography</w:t>
      </w:r>
    </w:p>
    <w:p>
      <w:r>
        <w:rPr>
          <w:rFonts w:ascii="Times New Roman" w:hAnsi="Times New Roman" w:eastAsia="宋体"/>
          <w:sz w:val="21"/>
        </w:rPr>
        <w:t>作者: YongKeun Park</w:t>
        <w:br/>
      </w:r>
      <w:r>
        <w:rPr>
          <w:rFonts w:ascii="Times New Roman" w:hAnsi="Times New Roman" w:eastAsia="宋体"/>
          <w:sz w:val="21"/>
        </w:rPr>
        <w:t xml:space="preserve">时间: 2026-01-22T12:59:28Z | </w:t>
      </w:r>
      <w:r>
        <w:t xml:space="preserve">链接: </w:t>
      </w:r>
      <w:hyperlink r:id="rId48">
        <w:r>
          <w:rPr>
            <w:rFonts w:ascii="Times New Roman" w:hAnsi="Times New Roman" w:eastAsia="宋体"/>
            <w:color w:val="0000FF"/>
            <w:sz w:val="21"/>
            <w:u w:val="single"/>
          </w:rPr>
          <w:t>https://arxiv.org/abs/2601.15925v1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明场显微镜是广泛的生物学、工程学和组织病理学的核心。但本质上仅限于二维定性成像，系统地研究三维 (3D) 体积结构。在这里，我们介绍定量吸收断层扫描（QAT），这是一种从明场焦点堆栈定量重建高分辨率体积吸收系数分布的计算方法。通过对对数强度空间中的吸收图像形成进行建模，并应用吸收光学传递函数的反卷积，QAT 无需干涉测量、样品旋转或专用硬件即可实现定量、光谱解析的 3D 吸收成像。我们使用光谱选择性模型验证 QAT，并在活体黑素细胞和完整植物组织中证明与折射率断层扫描互补的吸收特异性对比度。 QAT 进一步将 H&amp;E 染色的人体组织缩小到毫米级体积，无需连续切片即可揭示 3D 组织学微结构。这种方法将明场显微镜扩展到实用的 3D 组织病理学。</w:t>
      </w:r>
    </w:p>
    <w:p>
      <w:pPr>
        <w:spacing w:before="120"/>
      </w:pPr>
      <w:r>
        <w:rPr>
          <w:rFonts w:ascii="Times New Roman" w:hAnsi="Times New Roman" w:eastAsia="宋体"/>
          <w:b/>
          <w:sz w:val="21"/>
        </w:rPr>
        <w:t>English Abstract:</w:t>
      </w:r>
    </w:p>
    <w:p>
      <w:r>
        <w:rPr>
          <w:rFonts w:ascii="Times New Roman" w:hAnsi="Times New Roman" w:eastAsia="宋体"/>
          <w:sz w:val="21"/>
        </w:rPr>
        <w:t>Brightfield microscopy is central to wide range of biology, engineering, and histopathology; but is inherently limited to two-dimensional qualitative imaging, systematically investigating three-dimensional (3D) volumetric architecture. Here we introduce quantitative absorption tomography (QAT), a computational approach that quantitatively reconstructs high-resolution volumetric absorption coefficient distributions from brightfield focal stacks. By modeling absorption image formation in logarithmic intensity space and applying deconvolution with an absorption optical transfer function, QAT enables quantitative, spectrally resolved 3D absorption imaging without interferometry, sample rotation, or specialized hardware. We validate QAT using spectrally selective phantoms and demonstrate absorption-specific contrast complementary to refractive index tomography in living melanocytes and intact plant tissue. QAT further scales to millimeter-scale volumes of H&amp;E-stained human tissue, revealing 3D histological microarchitecture without serial sectioning. This approach extends brightfield microscopy toward practical 3D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结合高光谱和激光散斑成像的多模态成像系统，用于体内血流动力学和代谢监测</w:t>
      </w:r>
    </w:p>
    <w:p>
      <w:r>
        <w:rPr>
          <w:rFonts w:ascii="Times New Roman" w:hAnsi="Times New Roman" w:eastAsia="宋体"/>
          <w:b/>
          <w:color w:val="003264"/>
          <w:sz w:val="24"/>
        </w:rPr>
        <w:t>Multimodal Imaging System Combining Hyperspectral and Laser Speckle Imaging for In Vivo Hemodynamic and Metabolic Monitoring</w:t>
      </w:r>
    </w:p>
    <w:p>
      <w:r>
        <w:rPr>
          <w:rFonts w:ascii="Times New Roman" w:hAnsi="Times New Roman" w:eastAsia="宋体"/>
          <w:sz w:val="21"/>
        </w:rPr>
        <w:t>作者: Ilias Tachtsidis</w:t>
        <w:br/>
      </w:r>
      <w:r>
        <w:rPr>
          <w:rFonts w:ascii="Times New Roman" w:hAnsi="Times New Roman" w:eastAsia="宋体"/>
          <w:sz w:val="21"/>
        </w:rPr>
        <w:t xml:space="preserve">时间: 2026-01-22T13:32:34Z | </w:t>
      </w:r>
      <w:r>
        <w:t xml:space="preserve">链接: </w:t>
      </w:r>
      <w:hyperlink r:id="rId49">
        <w:r>
          <w:rPr>
            <w:rFonts w:ascii="Times New Roman" w:hAnsi="Times New Roman" w:eastAsia="宋体"/>
            <w:color w:val="0000FF"/>
            <w:sz w:val="21"/>
            <w:u w:val="single"/>
          </w:rPr>
          <w:t>https://arxiv.org/abs/2601.15947v1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多模态光学成像平台的开发和验证，该平台集成了高光谱成像（HSI）和激光散斑对比成像（LSCI），通过血流量测定和靶向氧合（HbO2）、脱氧血红蛋白（HHb）以及氧化细胞色素-c-氧化酶（oxCCO），实现组织氧合、灌注和代谢的实时、非侵入性绘图。该系统架构具有单个高速相机和双光路，具有同步交替照明：用于 HSI 的过滤超连续谱激光器和用于 LSCI 的 He-Ne 激光器。通过在常氧和低氧条件下对大鼠脊髓进行体内实验来评估系统性能，揭示血流动力学、代谢和相对血流指数（rBFI）的连贯生理变化。这些结果证明了该平台在功能组织成像和氧气输送和消耗的定量动态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the development and validation of a novel multimodal optical imaging platform that integrates hyperspectral imaging (HSI) and laser speckle contrast imaging (LSCI) to enable real-time, non-invasive mapping of tissue oxygenation, perfusion and metabolism, via blood flowmetry and targeting of oxy- (HbO2), deoxyhemoglobin (HHb), as well as oxidized cytochrome-c-oxidase (oxCCO). The system architecture features a single high-speed camera and dual optical path, with synchronized alternating illumination: a filtered, supercontinuum laser for HSI and a He-Ne laser for LSCI. The system performances were evaluated through in vivo experiments on rat spinal cord under normoxic and hypoxic conditions, revealing coherent physiological changes in hemodynamics, metabolism and relative blood flow index (rBFI). These results demonstrate the potential of the platform for functional tissue imaging and quantitative dynamic monitoring of both oxygen delivery and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达到宽度达 0.1 毫米的超导带状光子探测器的固有性能极限</w:t>
      </w:r>
    </w:p>
    <w:p>
      <w:r>
        <w:rPr>
          <w:rFonts w:ascii="Times New Roman" w:hAnsi="Times New Roman" w:eastAsia="宋体"/>
          <w:b/>
          <w:color w:val="003264"/>
          <w:sz w:val="24"/>
        </w:rPr>
        <w:t>Reaching the intrinsic performance limits of superconducting strip photon detectors up to 0.1 mm wide</w:t>
      </w:r>
    </w:p>
    <w:p>
      <w:r>
        <w:rPr>
          <w:rFonts w:ascii="Times New Roman" w:hAnsi="Times New Roman" w:eastAsia="宋体"/>
          <w:sz w:val="21"/>
        </w:rPr>
        <w:t>作者: Adam N. McCaughan</w:t>
        <w:br/>
      </w:r>
      <w:r>
        <w:rPr>
          <w:rFonts w:ascii="Times New Roman" w:hAnsi="Times New Roman" w:eastAsia="宋体"/>
          <w:sz w:val="21"/>
        </w:rPr>
        <w:t xml:space="preserve">时间: 2026-01-22T13:51:49Z | </w:t>
      </w:r>
      <w:r>
        <w:t xml:space="preserve">链接: </w:t>
      </w:r>
      <w:hyperlink r:id="rId50">
        <w:r>
          <w:rPr>
            <w:rFonts w:ascii="Times New Roman" w:hAnsi="Times New Roman" w:eastAsia="宋体"/>
            <w:color w:val="0000FF"/>
            <w:sz w:val="21"/>
            <w:u w:val="single"/>
          </w:rPr>
          <w:t>https://arxiv.org/abs/2601.15971v1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超导纳米线单光子探测器（SNSPD）已成为性能最高的光子计数探测器，使其成为量子光子学和光子匮乏光学传感领域的关键技术。然而，SNSPD 的性能不仅受到超导薄膜固有特性的限制，还受到边缘感应电流拥挤的限制。尽管为了减轻这种边缘限制行为而进行了广泛的材料优化和日益严格的制造策略，但器件边缘仍然限制了最大器件工作电流，从而降低了关键性能指标。在这里，我们首次演示了探测器从边缘限制到体限制状态的原位调谐，使设备能够达到其固有的性能极限。我们的方法基于放置在探测器两侧的电流偏置超导“轨道”，以抑制边缘的电流拥挤。我们表明，轨道的激活将暗计数率降低了 9 个数量级，并将 1550 nm 处的光子检测平台延长了 40% 以上。这些结果在宽度达 0.1 毫米的探测器上得到了证明，建立了一种全新的超宽带状探测器，我们称之为超导带状光子探测器 (SSPD)。此外，使用导轨抑制边缘电流拥挤的能力为带宽度延伸至毫米级的 SSPD 提供了一条途径。此类器件将实现具有红外灵敏度的大面积、高效 SSPD 阵列，并为从生物医学成像到深空光通信等应用领域开辟新的机遇。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Superconducting nanowire single-photon detectors (SNSPDs) have emerged as the highest performing photon-counting detectors, making them a critical technology in quantum photonics and photon-starved optical sensing. However, the performance of SNSPDs is limited not by the intrinsic properties of the superconducting film, but by edge-induced current crowding. Despite extensive materials optimization and increasingly demanding fabrication strategies aimed at mitigating this edge-limited behavior, the device edges continue to limit the maximum device operating current, thereby degrading key performance metrics. Here, we demonstrate for the first time in situ tuning of a detector from an edge-limited to a bulk-limited regime, allowing the device to reach its intrinsic performance limit. Our approach is based on current-biased superconducting "rails" placed on either side of the detector to suppress current crowding at the edges. We show that activation of the rails reduces the dark count rate by nine orders of magnitude and extends the photon detection plateau at 1550 nm by more than 40%. These results are demonstrated on detectors up to 0.1 mm wide, establishing an entirely new class of ultra-wide strip detectors that we call superconducting strip photon detectors (SSPD). Moreover, the ability to suppress edge current crowding using the rails provides a pathway toward SSPDs with strip widths extending into the mm-scale. Such devices will enable large-area, high efficiency SSPD arrays with infrared sensitivity and open new opportunities in applications ranging from biomedical imaging to deep space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基于上转换检测的中红外高灵敏无腔原位CO气体传感</w:t>
      </w:r>
    </w:p>
    <w:p>
      <w:r>
        <w:rPr>
          <w:rFonts w:ascii="Times New Roman" w:hAnsi="Times New Roman" w:eastAsia="宋体"/>
          <w:b/>
          <w:color w:val="003264"/>
          <w:sz w:val="24"/>
        </w:rPr>
        <w:t>Mid-infrared high-sensitive cavity-free in-situ CO gas sensing based on up-conversion detection</w:t>
      </w:r>
    </w:p>
    <w:p>
      <w:r>
        <w:rPr>
          <w:rFonts w:ascii="Times New Roman" w:hAnsi="Times New Roman" w:eastAsia="宋体"/>
          <w:sz w:val="21"/>
        </w:rPr>
        <w:t>作者: Bao-Sen Shi</w:t>
        <w:br/>
      </w:r>
      <w:r>
        <w:rPr>
          <w:rFonts w:ascii="Times New Roman" w:hAnsi="Times New Roman" w:eastAsia="宋体"/>
          <w:sz w:val="21"/>
        </w:rPr>
        <w:t xml:space="preserve">时间: 2026-01-22T14:03:56Z | </w:t>
      </w:r>
      <w:r>
        <w:t xml:space="preserve">链接: </w:t>
      </w:r>
      <w:hyperlink r:id="rId51">
        <w:r>
          <w:rPr>
            <w:rFonts w:ascii="Times New Roman" w:hAnsi="Times New Roman" w:eastAsia="宋体"/>
            <w:color w:val="0000FF"/>
            <w:sz w:val="21"/>
            <w:u w:val="single"/>
          </w:rPr>
          <w:t>https://arxiv.org/abs/2601.15981v1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氧化碳（CO）是一种重要的指示气体，在大气监测、工业生产和医疗诊断等方面具有相当大的应用价值。其基振谱带位于4.6 $\upmu$m附近，比泛谱带具有更大的吸收线强度，更适合CO的精确识别和浓度检测。本文采用上转换检测将TDLAS获得的中红外吸收信号转换到可见光波段，然后利用硅基探测器进行检测。由此，我们可以在无空腔原位条件下实现最高79.6 ppb的灵敏度，吸收范围长度仅为0.14 m。此外，利用SPAD实现了漫反射后CO浓度的单光子级实时检测。这项工作证明了上转换检测在室温下的功能和灵敏度检测能力方面的优点。此外，它还提出了一种设计和优化方法，有可能支持该方法向更实际的应用发展，例如工业过程监控、医疗诊断等。</w:t>
      </w:r>
    </w:p>
    <w:p>
      <w:pPr>
        <w:spacing w:before="120"/>
      </w:pPr>
      <w:r>
        <w:rPr>
          <w:rFonts w:ascii="Times New Roman" w:hAnsi="Times New Roman" w:eastAsia="宋体"/>
          <w:b/>
          <w:sz w:val="21"/>
        </w:rPr>
        <w:t>English Abstract:</w:t>
      </w:r>
    </w:p>
    <w:p>
      <w:r>
        <w:rPr>
          <w:rFonts w:ascii="Times New Roman" w:hAnsi="Times New Roman" w:eastAsia="宋体"/>
          <w:sz w:val="21"/>
        </w:rPr>
        <w:t>Carbon monoxide (CO) is a significant indicator gas with considerable application value in atmospheric monitoring, industrial production and medical diagnosis. Its fundamental vibrational band locates around 4.6 $\upmu$m and has larger absorption line strength than that of overtone band, which is more suitable for the precise identification and concentration detection of CO. In this paper, the up-conversion detection is employed to convert the mid-infrared absorption signal obtained by TDLAS to the visible light band, then a silicon-based detector is utilized for detection. By which, we can achieve the highest sensitivity of 79.6 ppb under the condition of cavity-free in-situ with an absorption range length of only 0.14 m. Furthermore, the single-photon level real-time detection of CO concentration after the diffuse reflection is realized by using SPAD. This work demonstrates the merits of the up-conversion detection in terms of its functionality at room temperature and capacity for sensitivity detection. Furthermore, it presents a design and optimization methodology that has the potential to underpin the advancement of the method towards more practical applications, like industrial process monitoring, medical diagnosis and so 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片上多模光电神经网络</w:t>
      </w:r>
    </w:p>
    <w:p>
      <w:r>
        <w:rPr>
          <w:rFonts w:ascii="Times New Roman" w:hAnsi="Times New Roman" w:eastAsia="宋体"/>
          <w:b/>
          <w:color w:val="003264"/>
          <w:sz w:val="24"/>
        </w:rPr>
        <w:t>On-chip Multimode Opto-electronic Neural Network</w:t>
      </w:r>
    </w:p>
    <w:p>
      <w:r>
        <w:rPr>
          <w:rFonts w:ascii="Times New Roman" w:hAnsi="Times New Roman" w:eastAsia="宋体"/>
          <w:sz w:val="21"/>
        </w:rPr>
        <w:t>作者: Xuhan Guo</w:t>
        <w:br/>
      </w:r>
      <w:r>
        <w:rPr>
          <w:rFonts w:ascii="Times New Roman" w:hAnsi="Times New Roman" w:eastAsia="宋体"/>
          <w:sz w:val="21"/>
        </w:rPr>
        <w:t xml:space="preserve">时间: 2026-01-22T14:12:39Z | </w:t>
      </w:r>
      <w:r>
        <w:t xml:space="preserve">链接: </w:t>
      </w:r>
      <w:hyperlink r:id="rId52">
        <w:r>
          <w:rPr>
            <w:rFonts w:ascii="Times New Roman" w:hAnsi="Times New Roman" w:eastAsia="宋体"/>
            <w:color w:val="0000FF"/>
            <w:sz w:val="21"/>
            <w:u w:val="single"/>
          </w:rPr>
          <w:t>https://arxiv.org/abs/2601.15989v1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计算结合了光子学和电子学的互补优势，可提供超高计算吞吐量和高能效。然而，其在实际应用中的实际部署受到依赖于精密波长管理或相敏相干检测的架构的限制。在这里，我们展示了绝缘体上硅平台上的第一个多模光电神经网络（MOENN）。通过利用正交波导本征模作为独立的信息载体，我们的架构实现了鲁棒的单波长计算，该计算本质上不受光谱串扰和相位噪声的影响。所制造的 MOENN 芯片单片集成了所有功能组件，包括输入编码器、可编程模分扇入/出单元，以及最重要的非线性多模激活功能。我们通过遗传算法进行原位训练来报告系统的多功能性，成功解决了两类数据集的非线性决策边界，并在鸢尾花分类基准上实现了 92.1% 的准确率。此外，我们将 MOENN 重新配置为一维卷积神经网络，在基于心电图的情绪识别任务上达到 90.7% 的准确率。这项工作建立了一种控制简单、鲁棒性优异的新型光电计算范式，为实现可扩展、可部署的光子智能提供了一条引人注目的道路。</w:t>
      </w:r>
    </w:p>
    <w:p>
      <w:pPr>
        <w:spacing w:before="120"/>
      </w:pPr>
      <w:r>
        <w:rPr>
          <w:rFonts w:ascii="Times New Roman" w:hAnsi="Times New Roman" w:eastAsia="宋体"/>
          <w:b/>
          <w:sz w:val="21"/>
        </w:rPr>
        <w:t>English Abstract:</w:t>
      </w:r>
    </w:p>
    <w:p>
      <w:r>
        <w:rPr>
          <w:rFonts w:ascii="Times New Roman" w:hAnsi="Times New Roman" w:eastAsia="宋体"/>
          <w:sz w:val="21"/>
        </w:rPr>
        <w:t>Opto-electronic computing combines the complementary strengths of photonics and electronics to deliver ultrahigh computational throughput with high energy efficiency. However, its practical deployment for real-world applications has been limited by architectures that rely on delicate wavelength management or phase-sensitive coherent detection. Here, we demonstrate the first multimode opto-electronic neural network (MOENN) on a silicon-on-insulator platform. By utilizing orthogonal waveguide eigenmodes as independent information carriers, our architecture achieves robust single-wavelength computation that is inherently immune to spectral crosstalk and phase noise. The fabricated MOENN chip monolithically integrates all functional components, including input encoders, programmable mode-division fan-in/-out units, and most importantly, the nonlinear multimode activation functions. We report the system's versatility through in-situ training via a genetic algorithm, successfully resolving the nonlinear decision boundaries of a two-class dataset and achieving 92.1% accuracy on the Iris classification benchmark. Furthermore, we reconfigure the MOENN into a one-dimensional convolutional neural network, attaining an accuracy of 90.7% on the electrocardiogram-based emotion recognition task. This work establishes a new opto-electronic computing paradigm of simple control and excellent robustness, providing a compelling path toward scalable, deployable photonic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二元光超流体的临界速度</w:t>
      </w:r>
    </w:p>
    <w:p>
      <w:r>
        <w:rPr>
          <w:rFonts w:ascii="Times New Roman" w:hAnsi="Times New Roman" w:eastAsia="宋体"/>
          <w:b/>
          <w:color w:val="003264"/>
          <w:sz w:val="24"/>
        </w:rPr>
        <w:t>Critical speed of a binary superfuid of light</w:t>
      </w:r>
    </w:p>
    <w:p>
      <w:r>
        <w:rPr>
          <w:rFonts w:ascii="Times New Roman" w:hAnsi="Times New Roman" w:eastAsia="宋体"/>
          <w:sz w:val="21"/>
        </w:rPr>
        <w:t>作者: Nicolas Cherroret</w:t>
        <w:br/>
      </w:r>
      <w:r>
        <w:rPr>
          <w:rFonts w:ascii="Times New Roman" w:hAnsi="Times New Roman" w:eastAsia="宋体"/>
          <w:sz w:val="21"/>
        </w:rPr>
        <w:t xml:space="preserve">时间: 2026-01-22T14:30:17Z | </w:t>
      </w:r>
      <w:r>
        <w:t xml:space="preserve">链接: </w:t>
      </w:r>
      <w:hyperlink r:id="rId53">
        <w:r>
          <w:rPr>
            <w:rFonts w:ascii="Times New Roman" w:hAnsi="Times New Roman" w:eastAsia="宋体"/>
            <w:color w:val="0000FF"/>
            <w:sz w:val="21"/>
            <w:u w:val="single"/>
          </w:rPr>
          <w:t>https://arxiv.org/abs/2601.16005v1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二维（2D）二元超流体光通过偏振敏感光学障碍物的超流体流动的临界速度。该速度对应于最大平均流速，低于该速度则不存在耗散。在弱障碍物状态下，线性响应理论表明，临界速度是由应用于密度和自旋 Bogoliubov 模式的朗道准则设定的，由于光学非线性的饱和，其相对顺序可以反转。对于任意强度和大空间范围的障碍物，我们根据水力和不可压缩近似内的稳态流体动力学方程的强椭圆性条件来确定临界速度。该状态下的数值模拟表明，对于不可穿透的障碍物，超流性的破坏是由涡旋-反涡对的成核引发的，对于可穿透的障碍物，是由琼斯-罗伯茨孤子型结构的成核引发的。除了光的超流体之外，我们的结果还为二维二元非线性薛定谔超流（包括玻色-玻色量子混合物）的临界速度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We theoretically study the critical speed for superfluid flow of a two-dimensional (2D) binary superfluid of light past a polarization-sensitive optical obstacle. This speed corresponds to the maximum mean flow velocity below which dissipation is absent. In the weak-obstacle regime, linear-response theory shows that the critical speed is set by Landau's criterion applied to the density and spin Bogoliubov modes, whose relative ordering can be inverted due to saturation of the optical nonlinearity. For obstacles of arbitrary strength and large spatial extent, we determine the critical speed from the conditions for strong ellipticity of the stationary hydrodynamic equations within the hydraulic and incompressible approximations. Numerical simulations in this regime reveal that the breakdown of superfluidity is initiated by the nucleation of vortex-antivortex pairs for an impenetrable obstacle, and of Jones-Roberts soliton-type structures for a penetrable obstacle. Beyond superfluids of light, our results provide a general framework for the critical speed of 2D binary nonlinear Schrödinger superflows, including Bose-Bose quantum mixtures.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03:50 ---</w:t>
      </w:r>
    </w:p>
    <w:p>
      <w:pPr>
        <w:pStyle w:val="Heading2"/>
      </w:pPr>
      <w:r/>
      <w:r>
        <w:rPr>
          <w:rFonts w:ascii="Times New Roman" w:hAnsi="Times New Roman" w:eastAsia="宋体"/>
          <w:b/>
          <w:color w:val="000000"/>
          <w:sz w:val="24"/>
        </w:rPr>
        <w:t>对齐稳定修复：减少不需要的对象插入并保持颜色一致性</w:t>
      </w:r>
    </w:p>
    <w:p>
      <w:r>
        <w:rPr>
          <w:rFonts w:ascii="Times New Roman" w:hAnsi="Times New Roman" w:eastAsia="宋体"/>
          <w:b/>
          <w:color w:val="003264"/>
          <w:sz w:val="24"/>
        </w:rPr>
        <w:t>Aligned Stable Inpainting: Mitigating Unwanted Object Insertion and Preserving Color Consistency</w:t>
      </w:r>
    </w:p>
    <w:p>
      <w:r>
        <w:rPr>
          <w:rFonts w:ascii="Times New Roman" w:hAnsi="Times New Roman" w:eastAsia="宋体"/>
          <w:sz w:val="21"/>
        </w:rPr>
        <w:t>作者: Yanwei Fu</w:t>
        <w:br/>
      </w:r>
      <w:r>
        <w:rPr>
          <w:rFonts w:ascii="Times New Roman" w:hAnsi="Times New Roman" w:eastAsia="宋体"/>
          <w:sz w:val="21"/>
        </w:rPr>
        <w:t xml:space="preserve">时间: 2026-01-21T17:57:18Z | </w:t>
      </w:r>
      <w:r>
        <w:t xml:space="preserve">链接: </w:t>
      </w:r>
      <w:hyperlink r:id="rId54">
        <w:r>
          <w:rPr>
            <w:rFonts w:ascii="Times New Roman" w:hAnsi="Times New Roman" w:eastAsia="宋体"/>
            <w:color w:val="0000FF"/>
            <w:sz w:val="21"/>
            <w:u w:val="single"/>
          </w:rPr>
          <w:t>https://arxiv.org/abs/2601.15368v1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使用大的、不规则的蒙版，生成图像修复也可以产生逼真的高保真结果。然而，现有方法仍然面临一些关键问题，导致修复后的图像看起来不自然。在本文中，我们确定了两个主要问题：（1）不需要的对象插入：生成模型可能会产生与周围上下文不匹配的屏蔽区域中的任意对象的幻觉。 (2) 颜色不一致：修复区域通常表现出明显的颜色变化，导致纹理模糊和图像质量下降。我们分析这些问题的根本原因，并为预训练的修复模型提出有效的事后解决方案。具体来说，我们介绍了带有未知区域先验的对齐稳定修复（ASUKA）的原则框架。为了减少不需要的对象插入，我们使用基于重建的先验来指导生成模型，抑制幻觉对象，同时保留生成灵活性。为了解决颜色不一致问题，我们设计了一个专门的 VAE 解码器，将潜在图像解码制定为本地协调任务。这种设计显着减少了颜色偏移并产生颜色更加一致的结果。我们在两种代表性的修复架构上实现了 ASUKA：基于 U-Net 的模型和基于 DiT 的模型。我们分析并提出了轻量级注入策略，最大限度地减少对模型原始发电能力的干扰，同时确保缓解这两个问题。我们使用 Places2 数据集和 MISATO（我们提出的多样化基准）来评估 ASUKA。实验表明，ASUKA 有效抑制物体幻觉并提高颜色一致性，优于标准扩散、整流流模型和其他修复方法。数据集、模型和代码将在github上发布。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Generative image inpainting can produce realistic, high-fidelity results even with large, irregular masks. However, existing methods still face key issues that make inpainted images look unnatural. In this paper, we identify two main problems: (1) Unwanted object insertion: generative models may hallucinate arbitrary objects in the masked region that do not match the surrounding context. (2) Color inconsistency: inpainted regions often exhibit noticeable color shifts, leading to smeared textures and degraded image quality. We analyze the underlying causes of these issues and propose efficient post-hoc solutions for pre-trained inpainting models. Specifically, we introduce the principled framework of Aligned Stable inpainting with UnKnown Areas prior (ASUKA). To reduce unwanted object insertion, we use reconstruction-based priors to guide the generative model, suppressing hallucinated objects while preserving generative flexibility. To address color inconsistency, we design a specialized VAE decoder that formulates latent-to-image decoding as a local harmonization task. This design significantly reduces color shifts and produces more color-consistent results. We implement ASUKA on two representative inpainting architectures: a U-Net-based model and a DiT-based model. We analyze and propose lightweight injection strategies that minimize interference with the model's original generation capacity while ensuring the mitigation of the two issues. We evaluate ASUKA using the Places2 dataset and MISATO, our proposed diverse benchmark. Experiments show that ASUKA effectively suppresses object hallucination and improves color consistency, outperforming standard diffusion, rectified flow models, and other inpainting methods. Dataset, models and codes will be released in 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OpenVision 3：用于理解和生成的统一视觉编码器系列</w:t>
      </w:r>
    </w:p>
    <w:p>
      <w:r>
        <w:rPr>
          <w:rFonts w:ascii="Times New Roman" w:hAnsi="Times New Roman" w:eastAsia="宋体"/>
          <w:b/>
          <w:color w:val="003264"/>
          <w:sz w:val="24"/>
        </w:rPr>
        <w:t>OpenVision 3: A Family of Unified Visual Encoder for Both Understanding and Generation</w:t>
      </w:r>
    </w:p>
    <w:p>
      <w:r>
        <w:rPr>
          <w:rFonts w:ascii="Times New Roman" w:hAnsi="Times New Roman" w:eastAsia="宋体"/>
          <w:sz w:val="21"/>
        </w:rPr>
        <w:t>作者: Cihang Xie</w:t>
        <w:br/>
      </w:r>
      <w:r>
        <w:rPr>
          <w:rFonts w:ascii="Times New Roman" w:hAnsi="Times New Roman" w:eastAsia="宋体"/>
          <w:sz w:val="21"/>
        </w:rPr>
        <w:t xml:space="preserve">时间: 2026-01-21T18:47:12Z | </w:t>
      </w:r>
      <w:r>
        <w:t xml:space="preserve">链接: </w:t>
      </w:r>
      <w:hyperlink r:id="rId55">
        <w:r>
          <w:rPr>
            <w:rFonts w:ascii="Times New Roman" w:hAnsi="Times New Roman" w:eastAsia="宋体"/>
            <w:color w:val="0000FF"/>
            <w:sz w:val="21"/>
            <w:u w:val="single"/>
          </w:rPr>
          <w:t>https://arxiv.org/abs/2601.15369v1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本文提出了一系列先进的视觉编码器，名为 OpenVision 3，它学习单一、统一的视觉表示，可以服务于图像理解和图像生成。我们的核心架构很简单：我们将 VAE 压缩的潜在图像提供给 ViT 编码器，并训练其输出以支持两个互补的角色。首先，编码器输出被传递到 ViT-VAE 解码器以重建原始图像，从而鼓励表示捕获生成结构。其次，通过对比学习和图像描述目标优化相同的表示，从而加强语义特征。通过在共享潜在空间中联合优化重建和语义驱动的信号，编码器学习在两种机制之间协同和泛化的表示。我们通过冻结编码器的广泛下游评估来验证这种统一设计。为了实现多模态理解，我们将编码器插入 LLaVA-1.5 框架中：它的性能与标准 CLIP 视觉编码器相当（例如，SeedBench 上的 62.4 与 62.2，以及 POPE 上的 83.7 与 82.9）。对于生成，我们在 RAE 框架下对其进行测试：我们的编码器大大超过了标准的基于 CLIP 的编码器（例如，gFID：ImageNet 上的 1.89 与 2.54）。我们希望这项工作能够促进未来统一建模的研究。</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family of advanced vision encoder, named OpenVision 3, that learns a single, unified visual representation that can serve both image understanding and image generation. Our core architecture is simple: we feed VAE-compressed image latents to a ViT encoder and train its output to support two complementary roles. First, the encoder output is passed to the ViT-VAE decoder to reconstruct the original image, encouraging the representation to capture generative structure. Second, the same representation is optimized with contrastive learning and image-captioning objectives, strengthening semantic features. By jointly optimizing reconstruction- and semantics-driven signals in a shared latent space, the encoder learns representations that synergize and generalize well across both regimes. We validate this unified design through extensive downstream evaluations with the encoder frozen. For multimodal understanding, we plug the encoder into the LLaVA-1.5 framework: it performs comparably with a standard CLIP vision encoder (e.g., 62.4 vs 62.2 on SeedBench, and 83.7 vs 82.9 on POPE). For generation, we test it under the RAE framework: ours substantially surpasses the standard CLIP-based encoder (e.g., gFID: 1.89 vs 2.54 on ImageNet). We hope this work can spur future research on unified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初步皮肤病变评估的机器视觉方法</w:t>
      </w:r>
    </w:p>
    <w:p>
      <w:r>
        <w:rPr>
          <w:rFonts w:ascii="Times New Roman" w:hAnsi="Times New Roman" w:eastAsia="宋体"/>
          <w:b/>
          <w:color w:val="003264"/>
          <w:sz w:val="24"/>
        </w:rPr>
        <w:t>A Machine Vision Approach to Preliminary Skin Lesion Assessments</w:t>
      </w:r>
    </w:p>
    <w:p>
      <w:r>
        <w:rPr>
          <w:rFonts w:ascii="Times New Roman" w:hAnsi="Times New Roman" w:eastAsia="宋体"/>
          <w:sz w:val="21"/>
        </w:rPr>
        <w:t>作者: Quinn McGill</w:t>
        <w:br/>
      </w:r>
      <w:r>
        <w:rPr>
          <w:rFonts w:ascii="Times New Roman" w:hAnsi="Times New Roman" w:eastAsia="宋体"/>
          <w:sz w:val="21"/>
        </w:rPr>
        <w:t xml:space="preserve">时间: 2026-01-21T23:48:59Z | </w:t>
      </w:r>
      <w:r>
        <w:t xml:space="preserve">链接: </w:t>
      </w:r>
      <w:hyperlink r:id="rId56">
        <w:r>
          <w:rPr>
            <w:rFonts w:ascii="Times New Roman" w:hAnsi="Times New Roman" w:eastAsia="宋体"/>
            <w:color w:val="0000FF"/>
            <w:sz w:val="21"/>
            <w:u w:val="single"/>
          </w:rPr>
          <w:t>https://arxiv.org/abs/2601.15539v1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早期发现恶性皮肤病变对于改善侵袭性、转移性皮肤癌的患者预后至关重要。本研究评估了一个用于初步皮肤病变评估的综合系统，该系统将临床建立的皮肤镜检查 ABCD 规则（分析不对称性、边界、颜色和皮肤镜结构）与机器学习分类相结合。该系统使用 HAM10000 数据集的 1,000 个图像子集，实现一个基于规则的自动化管道来计算每个病变的总皮肤镜评分 (TDS)。将这种手工方法与各种机器学习解决方案进行比较，包括传统分类器（逻辑回归、随机森林和 SVM）和深度学习模型。虽然基于规则的系统提供了较高的临床可解释性，但结果表明，将复杂的形态学简化为五个数字特征时存在性能瓶颈。实验结果表明，由于自然图像和医学图像之间的域转移，EfficientNet-B0 的迁移学习明显失败。相比之下，从头开始训练的定制三层卷积神经网络 (CNN) 在中值滤波图像上实现了 78.5% 的准确率和 86.5% 的召回率，比传统方法提高了 19 个点的准确度。结果表明，直接像素级学习可以捕获超出手工特征的诊断模式，并且针对小型、特定领域的医疗数据集，专门构建的轻量级架构可以优于大型预训练模型。</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malignant skin lesions is critical for improving patient outcomes in aggressive, metastatic skin cancers. This study evaluates a comprehensive system for preliminary skin lesion assessment that combines the clinically established ABCD rule of dermoscopy (analyzing Asymmetry, Borders, Color, and Dermoscopic Structures) with machine learning classification. Using a 1,000-image subset of the HAM10000 dataset, the system implements an automated, rule-based pipeline to compute a Total Dermoscopy Score (TDS) for each lesion. This handcrafted approach is compared against various machine learning solutions, including traditional classifiers (Logistic Regression, Random Forest, and SVM) and deep learning models. While the rule-based system provides high clinical interpretability, results indicate a performance bottleneck when reducing complex morphology to five numerical features. Experimental findings show that transfer learning with EfficientNet-B0 failed significantly due to domain shift between natural and medical images. In contrast, a custom three-layer Convolutional Neural Network (CNN) trained from scratch achieved 78.5% accuracy and 86.5% recall on median-filtered images, representing a 19-point accuracy improvement over traditional methods. The results demonstrate that direct pixel-level learning captures diagnostic patterns beyond handcrafted features and that purpose-built lightweight architectures can outperform large pretrained models for small, domain-specific medical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FUGC：宫颈分割半监督学习方法的基准测试</w:t>
      </w:r>
    </w:p>
    <w:p>
      <w:r>
        <w:rPr>
          <w:rFonts w:ascii="Times New Roman" w:hAnsi="Times New Roman" w:eastAsia="宋体"/>
          <w:b/>
          <w:color w:val="003264"/>
          <w:sz w:val="24"/>
        </w:rPr>
        <w:t>FUGC: Benchmarking Semi-Supervised Learning Methods for Cervical Segmentation</w:t>
      </w:r>
    </w:p>
    <w:p>
      <w:r>
        <w:rPr>
          <w:rFonts w:ascii="Times New Roman" w:hAnsi="Times New Roman" w:eastAsia="宋体"/>
          <w:sz w:val="21"/>
        </w:rPr>
        <w:t>作者: Karim Lekadir</w:t>
        <w:br/>
      </w:r>
      <w:r>
        <w:rPr>
          <w:rFonts w:ascii="Times New Roman" w:hAnsi="Times New Roman" w:eastAsia="宋体"/>
          <w:sz w:val="21"/>
        </w:rPr>
        <w:t xml:space="preserve">时间: 2026-01-22T01:34:39Z | </w:t>
      </w:r>
      <w:r>
        <w:t xml:space="preserve">链接: </w:t>
      </w:r>
      <w:hyperlink r:id="rId57">
        <w:r>
          <w:rPr>
            <w:rFonts w:ascii="Times New Roman" w:hAnsi="Times New Roman" w:eastAsia="宋体"/>
            <w:color w:val="0000FF"/>
            <w:sz w:val="21"/>
            <w:u w:val="single"/>
          </w:rPr>
          <w:t>https://arxiv.org/abs/2601.15572v1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经阴道超声 (TVS) 中宫颈结构的准确分割对于评估自发性早产 (PTB) 的风险至关重要，但标记数据的缺乏限制了监督学习方法的性能。本文介绍了胎儿超声大挑战赛 (FUGC)，这是在 ISBI 2025 上主办的第一个宫颈分割半监督学习基准。FUGC 提供了 890 张 TVS 图像的数据集，其中包括 500 张训练图像、90 张验证图像和 300 张测试图像。使用 Dice 相似系数 (DSC)、豪斯多夫距离 (HD) 和运行时间 (RT) 评估方法，加权组合为 0.4/0.4/0.2。本次挑战赛吸引了 10 个团队、82 名参赛者提交创新解决方案。每个指标的最佳性能方法分别达到 90.26% mDSC、38.88 mHD 和 32.85 ms RT。 FUGC 建立了宫颈分割的标准化基准，证明了有限标记数据的半监督方法的有效性，并为人工智能辅助临床 PTB 风险评估提供了基础。</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cervical structures in transvaginal ultrasound (TVS) is critical for assessing the risk of spontaneous preterm birth (PTB), yet the scarcity of labeled data limits the performance of supervised learning approaches. This paper introduces the Fetal Ultrasound Grand Challenge (FUGC), the first benchmark for semi-supervised learning in cervical segmentation, hosted at ISBI 2025. FUGC provides a dataset of 890 TVS images, including 500 training images, 90 validation images, and 300 test images. Methods were evaluated using the Dice Similarity Coefficient (DSC), Hausdorff Distance (HD), and runtime (RT), with a weighted combination of 0.4/0.4/0.2. The challenge attracted 10 teams with 82 participants submitting innovative solutions. The best-performing methods for each individual metric achieved 90.26\% mDSC, 38.88 mHD, and 32.85 ms RT, respectively. FUGC establishes a standardized benchmark for cervical segmentation, demonstrates the efficacy of semi-supervised methods with limited labeled data, and provides a foundation for AI-assisted clinical PTB risk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THOR：地球观测气候和社会应用的多功能基础模型</w:t>
      </w:r>
    </w:p>
    <w:p>
      <w:r>
        <w:rPr>
          <w:rFonts w:ascii="Times New Roman" w:hAnsi="Times New Roman" w:eastAsia="宋体"/>
          <w:b/>
          <w:color w:val="003264"/>
          <w:sz w:val="24"/>
        </w:rPr>
        <w:t>THOR: A Versatile Foundation Model for Earth Observation Climate and Society Applications</w:t>
      </w:r>
    </w:p>
    <w:p>
      <w:r>
        <w:rPr>
          <w:rFonts w:ascii="Times New Roman" w:hAnsi="Times New Roman" w:eastAsia="宋体"/>
          <w:sz w:val="21"/>
        </w:rPr>
        <w:t>作者: Arnt-Børre Salberg</w:t>
        <w:br/>
      </w:r>
      <w:r>
        <w:rPr>
          <w:rFonts w:ascii="Times New Roman" w:hAnsi="Times New Roman" w:eastAsia="宋体"/>
          <w:sz w:val="21"/>
        </w:rPr>
        <w:t xml:space="preserve">时间: 2026-01-22T14:38:00Z | </w:t>
      </w:r>
      <w:r>
        <w:t xml:space="preserve">链接: </w:t>
      </w:r>
      <w:hyperlink r:id="rId58">
        <w:r>
          <w:rPr>
            <w:rFonts w:ascii="Times New Roman" w:hAnsi="Times New Roman" w:eastAsia="宋体"/>
            <w:color w:val="0000FF"/>
            <w:sz w:val="21"/>
            <w:u w:val="single"/>
          </w:rPr>
          <w:t>https://arxiv.org/abs/2601.16011v1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当前的地球观测基础模型在架构上是僵化的，难以应对异构传感器，并且受限于固定的斑块尺寸。这限制了它们在需要灵活计算精度权衡的现实场景中的部署。我们提出了 THOR，一种“计算自适应”基础模型，可以解决输入异构性和部署刚性问题。 THOR 是第一个统一来自 Copernicus Sentinel-1、-2 和 -3 (OLCI &amp; SLSTR) 卫星数据的架构，在单个模型中处理其原始 10 m 至 1000 m 分辨率。我们使用新颖的随机补丁和输入图像大小策略对 THOR 进行预训练。这允许在任何补丁大小的推理中部署一组预训练的权重，从而无需重新训练即可在计算成本和特征分辨率之间进行动态权衡。我们在 THOR Pretrain（一种新的大规模多传感器数据集）上对 THOR 进行预训练，并在下游基准测试中展示了最先进的性能，特别是在 PANGEA 10% split 等数据有限的情况下，验证了 THOR 灵活的特征生成在不同的气候和社会应用中表现出色。</w:t>
      </w:r>
    </w:p>
    <w:p>
      <w:pPr>
        <w:spacing w:before="120"/>
      </w:pPr>
      <w:r>
        <w:rPr>
          <w:rFonts w:ascii="Times New Roman" w:hAnsi="Times New Roman" w:eastAsia="宋体"/>
          <w:b/>
          <w:sz w:val="21"/>
        </w:rPr>
        <w:t>English Abstract:</w:t>
      </w:r>
    </w:p>
    <w:p>
      <w:r>
        <w:rPr>
          <w:rFonts w:ascii="Times New Roman" w:hAnsi="Times New Roman" w:eastAsia="宋体"/>
          <w:sz w:val="21"/>
        </w:rPr>
        <w:t>Current Earth observation foundation models are architecturally rigid, struggle with heterogeneous sensors and are constrained to fixed patch sizes. This limits their deployment in real-world scenarios requiring flexible computeaccuracy trade-offs. We propose THOR, a "computeadaptive" foundation model that solves both input heterogeneity and deployment rigidity. THOR is the first architecture to unify data from Copernicus Sentinel-1, -2, and -3 (OLCI &amp; SLSTR) satellites, processing their native 10 m to 1000 m resolutions in a single model. We pre-train THOR with a novel randomized patch and input image size strategy. This allows a single set of pre-trained weights to be deployed at inference with any patch size, enabling a dynamic trade-off between computational cost and feature resolution without retraining. We pre-train THOR on THOR Pretrain, a new, large-scale multi-sensor dataset and demonstrate state-of-the-art performance on downstream benchmarks, particularly in data-limited regimes like the PANGAEA 10% split, validating that THOR's flexible feature generation excels for diverse climate and society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Phi-SegNet：医学图像分割的相位集成监督</w:t>
      </w:r>
    </w:p>
    <w:p>
      <w:r>
        <w:rPr>
          <w:rFonts w:ascii="Times New Roman" w:hAnsi="Times New Roman" w:eastAsia="宋体"/>
          <w:b/>
          <w:color w:val="003264"/>
          <w:sz w:val="24"/>
        </w:rPr>
        <w:t>Phi-SegNet: Phase-Integrated Supervision for Medical Image Segmentation</w:t>
      </w:r>
    </w:p>
    <w:p>
      <w:r>
        <w:rPr>
          <w:rFonts w:ascii="Times New Roman" w:hAnsi="Times New Roman" w:eastAsia="宋体"/>
          <w:sz w:val="21"/>
        </w:rPr>
        <w:t>作者: Taufiq Hasan</w:t>
        <w:br/>
      </w:r>
      <w:r>
        <w:rPr>
          <w:rFonts w:ascii="Times New Roman" w:hAnsi="Times New Roman" w:eastAsia="宋体"/>
          <w:sz w:val="21"/>
        </w:rPr>
        <w:t xml:space="preserve">时间: 2026-01-22T16:00:41Z | </w:t>
      </w:r>
      <w:r>
        <w:t xml:space="preserve">链接: </w:t>
      </w:r>
      <w:hyperlink r:id="rId59">
        <w:r>
          <w:rPr>
            <w:rFonts w:ascii="Times New Roman" w:hAnsi="Times New Roman" w:eastAsia="宋体"/>
            <w:color w:val="0000FF"/>
            <w:sz w:val="21"/>
            <w:u w:val="single"/>
          </w:rPr>
          <w:t>https://arxiv.org/abs/2601.16064v1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深度学习极大地推进了医学图像分割，但在不同的成像模式和解剖结构之间实现稳健的泛化仍然是一个重大挑战。造成这一限制的一个关键因素在于现有的架构（从 CNN 到 Transformer 及其混合体）主要编码空间信息，而忽略了捕获丰富结构和纹理线索的频域表示。尽管最近很少有研究开始探索特征级别的光谱信息，但频率线索的监督级别整合（对于细粒度对象定位至关重要）仍然很大程度上尚未开发。为此，我们提出了 Phi-SegNet，这是一种基于 CNN 的架构，在架构和优化级别上融合了阶段感知信息。该网络集成了双特征掩模形成器 (BFMF) 模块和反向傅里叶注意 (RFA) 模块，前者混合相邻编码器特征以减少语义间隙，后者使用相位正则化特征细化解码器输出。专用的相位感知损失将这些特征与结构先验保持一致，形成强调边界精度的闭合反馈环。在涵盖 X 射线、US、组织病理学、MRI 和结肠镜检查的五个公共数据集上进行评估后，Phi-SegNet 始终实现了最先进的性能，与下一个表现最佳的模型相比，IoU 平均相对提高了 1.54+/-1.26%，F1 分数平均相对提高了 0.98+/-0.71%。在涉及已知领域未见过的数据集的跨数据集泛化场景中，Phi-SegNet 还表现出稳健且卓越的性能，突出了其适应性和模态不可知的设计。这些发现证明了在特征表示和监督中利用光谱先验的潜力，为擅长细粒度对象定位的广义分割框架铺平了道路。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substantially advanced medical image segmentation, yet achieving robust generalization across diverse imaging modalities and anatomical structures remains a major challenge. A key contributor to this limitation lies in how existing architectures, ranging from CNNs to Transformers and their hybrids, primarily encode spatial information while overlooking frequency-domain representations that capture rich structural and textural cues. Although few recent studies have begun exploring spectral information at the feature level, supervision-level integration of frequency cues-crucial for fine-grained object localization-remains largely untapped. To this end, we propose Phi-SegNet, a CNN-based architecture that incorporates phase-aware information at both architectural and optimization levels. The network integrates Bi-Feature Mask Former (BFMF) modules that blend neighboring encoder features to reduce semantic gaps, and Reverse Fourier Attention (RFA) blocks that refine decoder outputs using phase-regularized features. A dedicated phase-aware loss aligns these features with structural priors, forming a closed feedback loop that emphasizes boundary precision. Evaluated on five public datasets spanning X-ray, US, histopathology, MRI, and colonoscopy, Phi-SegNet consistently achieved state-of-the-art performance, with an average relative improvement of 1.54+/-1.26% in IoU and 0.98+/-0.71% in F1-score over the next best-performing model. In cross-dataset generalization scenarios involving unseen datasets from the known domain, Phi-SegNet also exhibits robust and superior performance, highlighting its adaptability and modality-agnostic design. These findings demonstrate the potential of leveraging spectral priors in both feature representation and supervision, paving the way for generalized segmentation frameworks that excel in fine-grained object localization.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03:50 ---</w:t>
      </w:r>
    </w:p>
    <w:p>
      <w:pPr>
        <w:pStyle w:val="Heading2"/>
      </w:pPr>
      <w:r/>
      <w:r>
        <w:rPr>
          <w:rFonts w:ascii="Times New Roman" w:hAnsi="Times New Roman" w:eastAsia="宋体"/>
          <w:b/>
          <w:color w:val="000000"/>
          <w:sz w:val="24"/>
        </w:rPr>
        <w:t>GeMM-GAN：以组织病理学图像和临床描述为条件的多模态生成模型，用于生成基因表达谱</w:t>
      </w:r>
    </w:p>
    <w:p>
      <w:r>
        <w:rPr>
          <w:rFonts w:ascii="Times New Roman" w:hAnsi="Times New Roman" w:eastAsia="宋体"/>
          <w:b/>
          <w:color w:val="003264"/>
          <w:sz w:val="24"/>
        </w:rPr>
        <w:t>GeMM-GAN: A Multimodal Generative Model Conditioned on Histopathology Images and Clinical Descriptions for Gene Expression Profile Generation</w:t>
      </w:r>
    </w:p>
    <w:p>
      <w:r>
        <w:rPr>
          <w:rFonts w:ascii="Times New Roman" w:hAnsi="Times New Roman" w:eastAsia="宋体"/>
          <w:sz w:val="21"/>
        </w:rPr>
        <w:t>作者: Pietro Pinoli</w:t>
        <w:br/>
      </w:r>
      <w:r>
        <w:rPr>
          <w:rFonts w:ascii="Times New Roman" w:hAnsi="Times New Roman" w:eastAsia="宋体"/>
          <w:sz w:val="21"/>
        </w:rPr>
        <w:t xml:space="preserve">时间: 2026-01-21T19:03:54Z | </w:t>
      </w:r>
      <w:r>
        <w:t xml:space="preserve">链接: </w:t>
      </w:r>
      <w:hyperlink r:id="rId60">
        <w:r>
          <w:rPr>
            <w:rFonts w:ascii="Times New Roman" w:hAnsi="Times New Roman" w:eastAsia="宋体"/>
            <w:color w:val="0000FF"/>
            <w:sz w:val="21"/>
            <w:u w:val="single"/>
          </w:rPr>
          <w:t>https://arxiv.org/abs/2601.15392v1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研究越来越依赖于整合不同的数据模式，包括基因表达谱、医学图像和临床元数据。虽然医学图像和临床元数据是在临床实践中常规收集的，但基因表达数据对广泛的研究使用提出了独特的挑战，这主要是由于严格的隐私法规和昂贵的实验室实验。为了解决这些局限性，我们提出了 GeMM-GAN，这是一种以组织病理学组织切片和临床元数据为条件的新型生成对抗网络，旨在合成真实的基因表达谱。 GeMM-GAN 将图像补丁的 Transformer 编码器与补丁和文本标记之间的最终交叉注意力机制相结合，生成条件向量来指导生成模型生成生物相干的基因表达谱。我们在 TCGA 数据集上评估了我们的方法，并证明我们的框架优于标准生成模型，并生成更真实且具有功能意义的基因表达谱，与当前最先进的生成模型相比，下游疾病类型预测的准确性提高了 11% 以上。代码位于：https://github.com/francescapia/GeMM-GAN</w:t>
      </w:r>
    </w:p>
    <w:p>
      <w:pPr>
        <w:spacing w:before="120"/>
      </w:pPr>
      <w:r>
        <w:rPr>
          <w:rFonts w:ascii="Times New Roman" w:hAnsi="Times New Roman" w:eastAsia="宋体"/>
          <w:b/>
          <w:sz w:val="21"/>
        </w:rPr>
        <w:t>English Abstract:</w:t>
      </w:r>
    </w:p>
    <w:p>
      <w:r>
        <w:rPr>
          <w:rFonts w:ascii="Times New Roman" w:hAnsi="Times New Roman" w:eastAsia="宋体"/>
          <w:sz w:val="21"/>
        </w:rPr>
        <w:t>Biomedical research increasingly relies on integrating diverse data modalities, including gene expression profiles, medical images, and clinical metadata. While medical images and clinical metadata are routinely collected in clinical practice, gene expression data presents unique challenges for widespread research use, mainly due to stringent privacy regulations and costly laboratory experiments. To address these limitations, we present GeMM-GAN, a novel Generative Adversarial Network conditioned on histopathology tissue slides and clinical metadata, designed to synthesize realistic gene expression profiles. GeMM-GAN combines a Transformer Encoder for image patches with a final Cross Attention mechanism between patches and text tokens, producing a conditioning vector to guide a generative model in generating biologically coherent gene expression profiles. We evaluate our approach on the TCGA dataset and demonstrate that our framework outperforms standard generative models and generates more realistic and functionally meaningful gene expression profiles, improving by more than 11\% the accuracy on downstream disease type prediction compared to current state-of-the-art generative models. Code will be available at: https://github.com/francescapia/GeMM-GAN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评估异构人脸识别的多模态大语言模型</w:t>
      </w:r>
    </w:p>
    <w:p>
      <w:r>
        <w:rPr>
          <w:rFonts w:ascii="Times New Roman" w:hAnsi="Times New Roman" w:eastAsia="宋体"/>
          <w:b/>
          <w:color w:val="003264"/>
          <w:sz w:val="24"/>
        </w:rPr>
        <w:t>Evaluating Multimodal Large Language Models for Heterogeneous Face Recognition</w:t>
      </w:r>
    </w:p>
    <w:p>
      <w:r>
        <w:rPr>
          <w:rFonts w:ascii="Times New Roman" w:hAnsi="Times New Roman" w:eastAsia="宋体"/>
          <w:sz w:val="21"/>
        </w:rPr>
        <w:t>作者: Sébastien Marcel</w:t>
        <w:br/>
      </w:r>
      <w:r>
        <w:rPr>
          <w:rFonts w:ascii="Times New Roman" w:hAnsi="Times New Roman" w:eastAsia="宋体"/>
          <w:sz w:val="21"/>
        </w:rPr>
        <w:t xml:space="preserve">时间: 2026-01-21T19:17:21Z | </w:t>
      </w:r>
      <w:r>
        <w:t xml:space="preserve">链接: </w:t>
      </w:r>
      <w:hyperlink r:id="rId61">
        <w:r>
          <w:rPr>
            <w:rFonts w:ascii="Times New Roman" w:hAnsi="Times New Roman" w:eastAsia="宋体"/>
            <w:color w:val="0000FF"/>
            <w:sz w:val="21"/>
            <w:u w:val="single"/>
          </w:rPr>
          <w:t>https://arxiv.org/abs/2601.15406v1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最近在各种视觉语言任务中表现出了强大的性能，引起了人们对其在生物识别应用中的潜在用途的兴趣。在本文中，我们对用于异构人脸识别 (HFR) 的最先进的 MLLM 进行了系统评估，其中登记和探测图像来自不同的传感模式，包括视觉 (VIS)、近红外 (NIR)、短波红外 (SWIR) 和热像仪。我们在多个跨模态场景中对多个开源 MLLM 进行基准测试，包括 VIS-NIR、VIS-SWIR 和 VIS-THERMAL 人脸识别。 MLLM 的识别性能使用生物识别协议并基于不同的指标进行评估，包括获取率、等错误率 (EER) 和真实接受率 (TAR)。我们的结果揭示了 MLLM 和经典人脸识别系统之间存在巨大的性能差距，特别是在具有挑战性的跨光谱条件下，尽管 MLLM 最近取得了进展。我们的研究结果强调了当前 MLLM 在 HFR 方面的局限性，以及在考虑将其部署在人脸识别系统中时严格的生物识别评估的重要性。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recently demonstrated strong performance on a wide range of vision-language tasks, raising interest in their potential use for biometric applications. In this paper, we conduct a systematic evaluation of state-of-the-art MLLMs for heterogeneous face recognition (HFR), where enrollment and probe images are from different sensing modalities, including visual (VIS), near infrared (NIR), short-wave infrared (SWIR), and thermal camera. We benchmark multiple open-source MLLMs across several cross-modality scenarios, including VIS-NIR, VIS-SWIR, and VIS-THERMAL face recognition. The recognition performance of MLLMs is evaluated using biometric protocols and based on different metrics, including Acquire Rate, Equal Error Rate (EER), and True Accept Rate (TAR). Our results reveal substantial performance gaps between MLLMs and classical face recognition systems, particularly under challenging cross-spectral conditions, in spite of recent advances in MLLMs. Our findings highlight the limitations of current MLLMs for HFR and also the importance of rigorous biometric evaluation when considering their deployment in face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DuFal：用于高保真极稀疏视图 CBCT 重建的双频感知学习</w:t>
      </w:r>
    </w:p>
    <w:p>
      <w:r>
        <w:rPr>
          <w:rFonts w:ascii="Times New Roman" w:hAnsi="Times New Roman" w:eastAsia="宋体"/>
          <w:b/>
          <w:color w:val="003264"/>
          <w:sz w:val="24"/>
        </w:rPr>
        <w:t>DuFal: Dual-Frequency-Aware Learning for High-Fidelity Extremely Sparse-view CBCT Reconstruction</w:t>
      </w:r>
    </w:p>
    <w:p>
      <w:r>
        <w:rPr>
          <w:rFonts w:ascii="Times New Roman" w:hAnsi="Times New Roman" w:eastAsia="宋体"/>
          <w:sz w:val="21"/>
        </w:rPr>
        <w:t>作者: Ngan Le</w:t>
        <w:br/>
      </w:r>
      <w:r>
        <w:rPr>
          <w:rFonts w:ascii="Times New Roman" w:hAnsi="Times New Roman" w:eastAsia="宋体"/>
          <w:sz w:val="21"/>
        </w:rPr>
        <w:t xml:space="preserve">时间: 2026-01-21T19:27:47Z | </w:t>
      </w:r>
      <w:r>
        <w:t xml:space="preserve">链接: </w:t>
      </w:r>
      <w:hyperlink r:id="rId62">
        <w:r>
          <w:rPr>
            <w:rFonts w:ascii="Times New Roman" w:hAnsi="Times New Roman" w:eastAsia="宋体"/>
            <w:color w:val="0000FF"/>
            <w:sz w:val="21"/>
            <w:u w:val="single"/>
          </w:rPr>
          <w:t>https://arxiv.org/abs/2601.15416v1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由于与高频分量相对应的细粒度解剖细节固有的欠采样，基于有限 X 射线投影的稀疏视图锥形束计算机断层扫描重建仍然是医学成像中的一个具有挑战性的问题。传统的基于 CNN 的方法通常很难恢复这些精细结构，因为它们通常偏向于学习低频信息。为了应对这一挑战，本文提出了 DuFal（双频感知学习），这是一种通过双路径架构集成频域和空间域处理的新颖框架。核心创新在于我们的高局部分解傅里叶神经算子，它由两个互补的分支组成：捕获全局频率模式的全局高频增强傅里叶神经算子和处理空间分区补丁以保留全局频率分析中可能丢失的空间局部性的局部高频增强傅里叶神经算子。为了提高效率，我们设计了一种频谱通道分解方案，以减少傅立叶神经算子参数数量。我们还设计了一个交叉注意力频率融合模块来有效地整合空间和频率特征。然后，融合的特征通过特征解码器进行解码，以产生投影表示，随后通过强度场解码管道进行处理，以重建最终的计算机断层扫描体积。 LUNA16 和 ToothFairy 数据集上的实验结果表明，DuFal 在保留高频解剖特征方面显着优于现有的最先进方法，特别是在极其稀疏的视图设置下。</w:t>
      </w:r>
    </w:p>
    <w:p>
      <w:pPr>
        <w:spacing w:before="120"/>
      </w:pPr>
      <w:r>
        <w:rPr>
          <w:rFonts w:ascii="Times New Roman" w:hAnsi="Times New Roman" w:eastAsia="宋体"/>
          <w:b/>
          <w:sz w:val="21"/>
        </w:rPr>
        <w:t>English Abstract:</w:t>
      </w:r>
    </w:p>
    <w:p>
      <w:r>
        <w:rPr>
          <w:rFonts w:ascii="Times New Roman" w:hAnsi="Times New Roman" w:eastAsia="宋体"/>
          <w:sz w:val="21"/>
        </w:rPr>
        <w:t>Sparse-view Cone-Beam Computed Tomography reconstruction from limited X-ray projections remains a challenging problem in medical imaging due to the inherent undersampling of fine-grained anatomical details, which correspond to high-frequency components. Conventional CNN-based methods often struggle to recover these fine structures, as they are typically biased toward learning low-frequency information. To address this challenge, this paper presents DuFal (Dual-Frequency-Aware Learning), a novel framework that integrates frequency-domain and spatial-domain processing via a dual-path architecture. The core innovation lies in our High-Local Factorized Fourier Neural Operator, which comprises two complementary branches: a Global High-Frequency Enhanced Fourier Neural Operator that captures global frequency patterns and a Local High-Frequency Enhanced Fourier Neural Operator that processes spatially partitioned patches to preserve spatial locality that might be lost in global frequency analysis. To improve efficiency, we design a Spectral-Channel Factorization scheme that reduces the Fourier Neural Operator parameter count. We also design a Cross-Attention Frequency Fusion module to integrate spatial and frequency features effectively. The fused features are then decoded through a Feature Decoder to produce projection representations, which are subsequently processed through an Intensity Field Decoding pipeline to reconstruct a final Computed Tomography volume. Experimental results on the LUNA16 and ToothFairy datasets demonstrate that DuFal significantly outperforms existing state-of-the-art methods in preserving high-frequency anatomical features, particularly under extremely sparse-view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CASL：用于解释扩散模型的概念对齐稀疏潜伏</w:t>
      </w:r>
    </w:p>
    <w:p>
      <w:r>
        <w:rPr>
          <w:rFonts w:ascii="Times New Roman" w:hAnsi="Times New Roman" w:eastAsia="宋体"/>
          <w:b/>
          <w:color w:val="003264"/>
          <w:sz w:val="24"/>
        </w:rPr>
        <w:t>CASL: Concept-Aligned Sparse Latents for Interpreting Diffusion Models</w:t>
      </w:r>
    </w:p>
    <w:p>
      <w:r>
        <w:rPr>
          <w:rFonts w:ascii="Times New Roman" w:hAnsi="Times New Roman" w:eastAsia="宋体"/>
          <w:sz w:val="21"/>
        </w:rPr>
        <w:t>作者: Aidong Zhang</w:t>
        <w:br/>
      </w:r>
      <w:r>
        <w:rPr>
          <w:rFonts w:ascii="Times New Roman" w:hAnsi="Times New Roman" w:eastAsia="宋体"/>
          <w:sz w:val="21"/>
        </w:rPr>
        <w:t xml:space="preserve">时间: 2026-01-21T20:14:17Z | </w:t>
      </w:r>
      <w:r>
        <w:t xml:space="preserve">链接: </w:t>
      </w:r>
      <w:hyperlink r:id="rId63">
        <w:r>
          <w:rPr>
            <w:rFonts w:ascii="Times New Roman" w:hAnsi="Times New Roman" w:eastAsia="宋体"/>
            <w:color w:val="0000FF"/>
            <w:sz w:val="21"/>
            <w:u w:val="single"/>
          </w:rPr>
          <w:t>https://arxiv.org/abs/2601.15441v1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扩散模型的内部激活编码丰富的语义信息，但解释此类表示仍然具有挑战性。虽然稀疏自动编码器 (SAE) 在解开潜在表示方面表现出了良好的前景，但现有的基于 SAE 的扩散模型理解方法依赖于无监督方法，而这些方法无法将稀疏特征与人类可理解的概念结合起来。这限制了他们对生成的图像提供可靠的语义控制的能力。我们引入了 CASL（概念对齐稀疏潜在），这是一种监督框架，它将扩散模型的稀疏潜在维度与语义概念对齐。 CASL 首先在冻结的 U-Net 激活上训练 SAE，以获得解开的潜在表示，然后学习轻量级线性映射，将每个概念与一小组相关潜在维度相关联。为了验证这些对齐方向的语义意义，我们提出了 CASL-Steer，这是一种受控的潜在干预，可以沿着学习的概念轴改变激活。与编辑方法不同，CASL-Steer 仅用作因果探测，以揭示概念对齐的潜在因素如何影响生成的内容。我们进一步介绍了编辑精确率（EPR），这是一种联合衡量概念特异性和不相关属性保留的指标。实验表明，与现有方法相比，我们的方法实现了卓越的编辑精度和可解释性。据我们所知，这是第一个在扩散模型中实现潜在表示和语义概念之间的监督对齐的工作。</w:t>
      </w:r>
    </w:p>
    <w:p>
      <w:pPr>
        <w:spacing w:before="120"/>
      </w:pPr>
      <w:r>
        <w:rPr>
          <w:rFonts w:ascii="Times New Roman" w:hAnsi="Times New Roman" w:eastAsia="宋体"/>
          <w:b/>
          <w:sz w:val="21"/>
        </w:rPr>
        <w:t>English Abstract:</w:t>
      </w:r>
    </w:p>
    <w:p>
      <w:r>
        <w:rPr>
          <w:rFonts w:ascii="Times New Roman" w:hAnsi="Times New Roman" w:eastAsia="宋体"/>
          <w:sz w:val="21"/>
        </w:rPr>
        <w:t>Internal activations of diffusion models encode rich semantic information, but interpreting such representations remains challenging. While Sparse Autoencoders (SAEs) have shown promise in disentangling latent representations, existing SAE-based methods for diffusion model understanding rely on unsupervised approaches that fail to align sparse features with human-understandable concepts. This limits their ability to provide reliable semantic control over generated images. We introduce CASL (Concept-Aligned Sparse Latents), a supervised framework that aligns sparse latent dimensions of diffusion models with semantic concepts. CASL first trains an SAE on frozen U-Net activations to obtain disentangled latent representations, and then learns a lightweight linear mapping that associates each concept with a small set of relevant latent dimensions. To validate the semantic meaning of these aligned directions, we propose CASL-Steer, a controlled latent intervention that shifts activations along the learned concept axis. Unlike editing methods, CASL-Steer is used solely as a causal probe to reveal how concept-aligned latents influence generated content. We further introduce the Editing Precision Ratio (EPR), a metric that jointly measures concept specificity and the preservation of unrelated attributes. Experiments show that our method achieves superior editing precision and interpretability compared to existing approaches. To the best of our knowledge, this is the first work to achieve supervised alignment between latent representations and semantic concepts in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DevPrompt：用于单法线镜头图像异常检测的基于偏差的提示学习</w:t>
      </w:r>
    </w:p>
    <w:p>
      <w:r>
        <w:rPr>
          <w:rFonts w:ascii="Times New Roman" w:hAnsi="Times New Roman" w:eastAsia="宋体"/>
          <w:b/>
          <w:color w:val="003264"/>
          <w:sz w:val="24"/>
        </w:rPr>
        <w:t>DevPrompt: Deviation-Based Prompt Learning for One-Normal ShotImage Anomaly Detection</w:t>
      </w:r>
    </w:p>
    <w:p>
      <w:r>
        <w:rPr>
          <w:rFonts w:ascii="Times New Roman" w:hAnsi="Times New Roman" w:eastAsia="宋体"/>
          <w:sz w:val="21"/>
        </w:rPr>
        <w:t>作者: Marc Lalonde</w:t>
        <w:br/>
      </w:r>
      <w:r>
        <w:rPr>
          <w:rFonts w:ascii="Times New Roman" w:hAnsi="Times New Roman" w:eastAsia="宋体"/>
          <w:sz w:val="21"/>
        </w:rPr>
        <w:t xml:space="preserve">时间: 2026-01-21T20:35:51Z | </w:t>
      </w:r>
      <w:r>
        <w:t xml:space="preserve">链接: </w:t>
      </w:r>
      <w:hyperlink r:id="rId64">
        <w:r>
          <w:rPr>
            <w:rFonts w:ascii="Times New Roman" w:hAnsi="Times New Roman" w:eastAsia="宋体"/>
            <w:color w:val="0000FF"/>
            <w:sz w:val="21"/>
            <w:u w:val="single"/>
          </w:rPr>
          <w:t>https://arxiv.org/abs/2601.15453v1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少正常镜头异常检测（FNSAD）旨在仅使用少量正常训练样本来检测图像中的异常区域，由于有限的监督和潜在缺陷的多样性，使得该任务极具挑战性。最近的方法利用视觉语言模型（例如 CLIP）和基于提示的学习来对齐图像和文本特征。然而，现有方法通常对正常和异常提示的区分能力较弱，并且缺乏针对补丁级异常的原则性评分机制。我们提出了一种偏差引导的即时学习框架，它将视觉语言模型的语义能力与基于偏差的评分的统计可靠性相结合。具体来说，我们用在正常和异常提示之间共享的可学习上下文向量替换固定提示前缀，而特定于异常的后缀标记启用类感知对齐。为了增强可分离性，我们引入了 Top-K 多实例学习 (MIL) 的偏差损失，将块级特征建模为与正态分布的高斯偏差。这使得网络能够为具有统计显着偏差的补丁分配更高的异常分数，从而提高定位和可解释性。 MVTecAD 和 VISA 基准测试的实验表明，与 PromptAD 和其他基准相比，具有卓越的像素级检测性能。消融研究进一步验证了可学习提示、基于偏差的评分和 Top-K MIL 策略的有效性。</w:t>
      </w:r>
    </w:p>
    <w:p>
      <w:pPr>
        <w:spacing w:before="120"/>
      </w:pPr>
      <w:r>
        <w:rPr>
          <w:rFonts w:ascii="Times New Roman" w:hAnsi="Times New Roman" w:eastAsia="宋体"/>
          <w:b/>
          <w:sz w:val="21"/>
        </w:rPr>
        <w:t>English Abstract:</w:t>
      </w:r>
    </w:p>
    <w:p>
      <w:r>
        <w:rPr>
          <w:rFonts w:ascii="Times New Roman" w:hAnsi="Times New Roman" w:eastAsia="宋体"/>
          <w:sz w:val="21"/>
        </w:rPr>
        <w:t>Few-normal shot anomaly detection (FNSAD) aims to detect abnormal regions in images using only a few normal training samples, making the task highly challenging due to limited supervision and the diversity of potential defects. Recent approaches leverage vision-language models such as CLIP with prompt-based learning to align image and text features. However, existing methods often exhibit weak discriminability between normal and abnormal prompts and lack principled scoring mechanisms for patch-level anomalies. We propose a deviation-guided prompt learning framework that integrates the semantic power of vision-language models with the statistical reliability of deviation-based scoring. Specifically, we replace fixed prompt prefixes with learnable context vectors shared across normal and abnormal prompts, while anomaly-specific suffix tokens enable class-aware alignment. To enhance separability, we introduce a deviation loss with Top-K Multiple Instance Learning (MIL), modeling patch-level features as Gaussian deviations from the normal distribution. This allows the network to assign higher anomaly scores to patches with statistically significant deviations, improving localization and interpretability. Experiments on the MVTecAD and VISA benchmarks demonstrate superior pixel-level detection performance compared to PromptAD and other baselines. Ablation studies further validate the effectiveness of learnable prompts, deviation-based scoring, and the Top-K MIL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65">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混合视觉 Transformer_GAN 属性中和器，用于减轻胸部 X 射线诊断中的偏差</w:t>
      </w:r>
    </w:p>
    <w:p>
      <w:r>
        <w:rPr>
          <w:rFonts w:ascii="Times New Roman" w:hAnsi="Times New Roman" w:eastAsia="宋体"/>
          <w:b/>
          <w:color w:val="003264"/>
          <w:sz w:val="24"/>
        </w:rPr>
        <w:t>Hybrid Vision Transformer_GAN Attribute Neutralizer for Mitigating Bias in Chest X_Ray Diagnosis</w:t>
      </w:r>
    </w:p>
    <w:p>
      <w:r>
        <w:rPr>
          <w:rFonts w:ascii="Times New Roman" w:hAnsi="Times New Roman" w:eastAsia="宋体"/>
          <w:sz w:val="21"/>
        </w:rPr>
        <w:t>作者: Seyed Sahand Mohammadi Ziabari</w:t>
        <w:br/>
      </w:r>
      <w:r>
        <w:rPr>
          <w:rFonts w:ascii="Times New Roman" w:hAnsi="Times New Roman" w:eastAsia="宋体"/>
          <w:sz w:val="21"/>
        </w:rPr>
        <w:t xml:space="preserve">时间: 2026-01-21T21:43:19Z | </w:t>
      </w:r>
      <w:r>
        <w:t xml:space="preserve">链接: </w:t>
      </w:r>
      <w:hyperlink r:id="rId66">
        <w:r>
          <w:rPr>
            <w:rFonts w:ascii="Times New Roman" w:hAnsi="Times New Roman" w:eastAsia="宋体"/>
            <w:color w:val="0000FF"/>
            <w:sz w:val="21"/>
            <w:u w:val="single"/>
          </w:rPr>
          <w:t>https://arxiv.org/abs/2601.15490v1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分类器的偏差常常源于与性别和年龄相关的捷径，导致少数亚组的系统性诊断不足。以前的像素空间属性中和器依赖于卷积编码器，在临床可用的编辑强度下减少但没有完全消除这种属性泄漏。本研究评估在属性中性框架中用 Vision Transformer 主干替代 U-Net 卷积编码器是否可以减少人口统计属性泄漏，同时保持诊断准确性。在 ChestX-ray14 数据集上训练了数据高效的 Image Transformer Small (DeiT-S) 中和器。其编辑后的图像在 11 个编辑强度级别上生成，并由独立的人工智能法官评估属性泄漏，并使用卷积神经网络 (ConvNet) 进行疾病预测。在中等编辑水平（alpha = 0.5）下，Vision Transformer (ViT) 中和器将患者性别识别曲线下面积 (AUC) 降低至约 0.80，比原始框架的卷积 U-Net 编码器低约 10 个百分点，尽管训练次数仅为原来框架的一半。与此同时，15 个研究结果的宏观受试者工作特征曲线下面积 (ROC AUC) 与未经编辑的基线相比保持在 5 个百分点以内，最坏情况亚组 AUC 仍接近 0.70。这些结果表明，全局自注意力视觉模型可以在不牺牲临床实用性的情况下进一步抑制属性泄漏，这为实现更公平的胸部 X 射线人工智能提供了一条实用途径。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Bias in chest X-ray classifiers frequently stems from sex- and age-related shortcuts, leading to systematic underdiagnosis of minority subgroups. Previous pixel-space attribute neutralizers, which rely on convolutional encoders, lessen but do not fully remove this attribute leakage at clinically usable edit strengths. This study evaluates whether substituting the U-Net convolutional encoder with a Vision Transformer backbone in the Attribute-Neutral Framework can reduce demographic attribute leakage while preserving diagnostic accuracy. A data-efficient Image Transformer Small (DeiT-S) neutralizer was trained on the ChestX-ray14 dataset. Its edited images, generated across eleven edit-intensity levels, were evaluated with an independent AI judge for attribute leakage and with a convolutional neural network (ConvNet) for disease prediction. At a moderate edit level (alpha = 0.5), the Vision Transformer (ViT) neutralizer reduces patient sex-recognition area under the curve (AUC) to approximately 0.80, about 10 percentage points below the original framework's convolutional U-Net encoder, despite being trained for only half as many epochs. Meanwhile, macro receiver operating characteristic area under the curve (ROC AUC) across 15 findings stays within five percentage points of the unedited baseline, and the worst-case subgroup AUC remains near 0.70. These results indicate that global self-attention vision models can further suppress attribute leakage without sacrificing clinical utility, suggesting a practical route toward fairer chest X-ray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用于现实世界编辑的可控分层图像生成</w:t>
      </w:r>
    </w:p>
    <w:p>
      <w:r>
        <w:rPr>
          <w:rFonts w:ascii="Times New Roman" w:hAnsi="Times New Roman" w:eastAsia="宋体"/>
          <w:b/>
          <w:color w:val="003264"/>
          <w:sz w:val="24"/>
        </w:rPr>
        <w:t>Controllable Layered Image Generation for Real-World Editing</w:t>
      </w:r>
    </w:p>
    <w:p>
      <w:r>
        <w:rPr>
          <w:rFonts w:ascii="Times New Roman" w:hAnsi="Times New Roman" w:eastAsia="宋体"/>
          <w:sz w:val="21"/>
        </w:rPr>
        <w:t>作者: Yuyin Zhou</w:t>
        <w:br/>
      </w:r>
      <w:r>
        <w:rPr>
          <w:rFonts w:ascii="Times New Roman" w:hAnsi="Times New Roman" w:eastAsia="宋体"/>
          <w:sz w:val="21"/>
        </w:rPr>
        <w:t xml:space="preserve">时间: 2026-01-21T22:29:33Z | </w:t>
      </w:r>
      <w:r>
        <w:t xml:space="preserve">链接: </w:t>
      </w:r>
      <w:hyperlink r:id="rId67">
        <w:r>
          <w:rPr>
            <w:rFonts w:ascii="Times New Roman" w:hAnsi="Times New Roman" w:eastAsia="宋体"/>
            <w:color w:val="0000FF"/>
            <w:sz w:val="21"/>
            <w:u w:val="single"/>
          </w:rPr>
          <w:t>https://arxiv.org/abs/2601.15507v1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图像生成模型已经显示出令人印象深刻的进步，但当用户尝试编辑现有图像中的特定元素时，它们通常难以产生可控且一致的结果。分层表示可以实现灵活的、用户驱动的内容创建，但现有方法通常无法生成具有连贯合成关系的图层，并且它们的对象图层通常缺乏真实的视觉效果，例如阴影和反射。为了克服这些限制，我们提出了 LASAGNA，这是一种新颖的、统一的框架，可以与其合成层联合生成图像——逼真的背景和具有引人注目的视觉效果的高质量透明前景。与之前的工作不同，LASAGNA 可以从各种条件输入（文本提示、前景、背景和位置蒙版）中有效地学习正确的图像构成，为现实世界的应用提供更大的可控性。为了实现这一点，我们引入了 LASAGNA-48K，这是一个由干净背景和 RGBA 前景组成的新数据集，具有物理基础的视觉效果。我们还提出了 LASAGNABENCH，这是图层编辑的第一个基准。我们证明，LASAGNA 擅长同时跨多个图像层生成高度一致和连贯的结果，从而支持准确保留身份和视觉效果的各种后期编辑应用程序。 LASAGNA-48K 和 LASAGNABENCH 将公开发布，以促进社区的开放研究。项目页面为 https://rayjryang.github.io/LASAGNA-Page/。</w:t>
      </w:r>
    </w:p>
    <w:p>
      <w:pPr>
        <w:spacing w:before="120"/>
      </w:pPr>
      <w:r>
        <w:rPr>
          <w:rFonts w:ascii="Times New Roman" w:hAnsi="Times New Roman" w:eastAsia="宋体"/>
          <w:b/>
          <w:sz w:val="21"/>
        </w:rPr>
        <w:t>English Abstract:</w:t>
      </w:r>
    </w:p>
    <w:p>
      <w:r>
        <w:rPr>
          <w:rFonts w:ascii="Times New Roman" w:hAnsi="Times New Roman" w:eastAsia="宋体"/>
          <w:sz w:val="21"/>
        </w:rPr>
        <w:t>Recent image generation models have shown impressive progress, yet they often struggle to yield controllable and consistent results when users attempt to edit specific elements within an existing image. Layered representations enable flexible, user-driven content creation, but existing approaches often fail to produce layers with coherent compositing relationships, and their object layers typically lack realistic visual effects such as shadows and reflections. To overcome these limitations, we propose LASAGNA, a novel, unified framework that generates an image jointly with its composing layers--a photorealistic background and a high-quality transparent foreground with compelling visual effects. Unlike prior work, LASAGNA efficiently learns correct image composition from a wide range of conditioning inputs--text prompts, foreground, background, and location masks--offering greater controllability for real-world applications. To enable this, we introduce LASAGNA-48K, a new dataset composed of clean backgrounds and RGBA foregrounds with physically grounded visual effects. We also propose LASAGNABENCH, the first benchmark for layer editing. We demonstrate that LASAGNA excels in generating highly consistent and coherent results across multiple image layers simultaneously, enabling diverse post-editing applications that accurately preserve identity and visual effects. LASAGNA-48K and LASAGNABENCH will be publicly released to foster open research in the community. The project page is https://rayjryang.github.io/LASAGNA-Page/.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DeltaDorsal：利用自我中心视图中的背部特征增强手部姿势估计</w:t>
      </w:r>
    </w:p>
    <w:p>
      <w:r>
        <w:rPr>
          <w:rFonts w:ascii="Times New Roman" w:hAnsi="Times New Roman" w:eastAsia="宋体"/>
          <w:b/>
          <w:color w:val="003264"/>
          <w:sz w:val="24"/>
        </w:rPr>
        <w:t>DeltaDorsal: Enhancing Hand Pose Estimation with Dorsal Features in Egocentric Views</w:t>
      </w:r>
    </w:p>
    <w:p>
      <w:r>
        <w:rPr>
          <w:rFonts w:ascii="Times New Roman" w:hAnsi="Times New Roman" w:eastAsia="宋体"/>
          <w:sz w:val="21"/>
        </w:rPr>
        <w:t>作者: Yang Zhang</w:t>
        <w:br/>
      </w:r>
      <w:r>
        <w:rPr>
          <w:rFonts w:ascii="Times New Roman" w:hAnsi="Times New Roman" w:eastAsia="宋体"/>
          <w:sz w:val="21"/>
        </w:rPr>
        <w:t xml:space="preserve">时间: 2026-01-21T23:00:43Z | </w:t>
      </w:r>
      <w:r>
        <w:t xml:space="preserve">链接: </w:t>
      </w:r>
      <w:hyperlink r:id="rId68">
        <w:r>
          <w:rPr>
            <w:rFonts w:ascii="Times New Roman" w:hAnsi="Times New Roman" w:eastAsia="宋体"/>
            <w:color w:val="0000FF"/>
            <w:sz w:val="21"/>
            <w:u w:val="single"/>
          </w:rPr>
          <w:t>https://arxiv.org/abs/2601.15516v1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XR 设备的激增使得以自我为中心的手势估计成为一项重要任务，但这种观点本质上受到频繁的手指遮挡的挑战。为了解决这个问题，我们提出了一种新颖的方法，利用密集视觉特征器的最新进展解锁的手背皮肤变形的丰富信息。我们引入了一种双流增量编码器，它通过对比动态手与基线放松位置的特征来学习姿势。我们的评估表明，与依赖于整个手的几何形状和大型模型主干的最先进技术相比，仅使用裁剪的背部图像，我们的方法在自遮挡场景（手指 &gt;= 50% 遮挡）中将平均每关节角度误差 (MPJAE) 降低了 18%。因此，我们的方法不仅增强了下游任务的可靠性，例如在遮挡场景中食指捏合和敲击估计，而且还解锁了新的交互范例，例如在没有可见移动的情况下检测表面“点击”的等距力，同时最小化模型尺寸。</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XR devices has made egocentric hand pose estimation a vital task, yet this perspective is inherently challenged by frequent finger occlusions. To address this, we propose a novel approach that leverages the rich information in dorsal hand skin deformation, unlocked by recent advances in dense visual featurizers. We introduce a dual-stream delta encoder that learns pose by contrasting features from a dynamic hand with a baseline relaxed position. Our evaluation demonstrates that, using only cropped dorsal images, our method reduces the Mean Per Joint Angle Error (MPJAE) by 18% in self-occluded scenarios (fingers &gt;=50% occluded) compared to state-of-the-art techniques that depend on the whole hand's geometry and large model backbones. Consequently, our method not only enhances the reliability of downstream tasks like index finger pinch and tap estimation in occluded scenarios but also unlocks new interaction paradigms, such as detecting isometric force for a surface "click" without visible movement while minimizing model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相对分类准确性：细粒度 K-pop 人脸生成中身份一致性的校准指标</w:t>
      </w:r>
    </w:p>
    <w:p>
      <w:r>
        <w:rPr>
          <w:rFonts w:ascii="Times New Roman" w:hAnsi="Times New Roman" w:eastAsia="宋体"/>
          <w:b/>
          <w:color w:val="003264"/>
          <w:sz w:val="24"/>
        </w:rPr>
        <w:t>Relative Classification Accuracy: A Calibrated Metric for Identity Consistency in Fine-Grained K-pop Face Generation</w:t>
      </w:r>
    </w:p>
    <w:p>
      <w:r>
        <w:rPr>
          <w:rFonts w:ascii="Times New Roman" w:hAnsi="Times New Roman" w:eastAsia="宋体"/>
          <w:sz w:val="21"/>
        </w:rPr>
        <w:t>作者: Eranki Vasistha</w:t>
        <w:br/>
      </w:r>
      <w:r>
        <w:rPr>
          <w:rFonts w:ascii="Times New Roman" w:hAnsi="Times New Roman" w:eastAsia="宋体"/>
          <w:sz w:val="21"/>
        </w:rPr>
        <w:t xml:space="preserve">时间: 2026-01-22T00:58:59Z | </w:t>
      </w:r>
      <w:r>
        <w:t xml:space="preserve">链接: </w:t>
      </w:r>
      <w:hyperlink r:id="rId69">
        <w:r>
          <w:rPr>
            <w:rFonts w:ascii="Times New Roman" w:hAnsi="Times New Roman" w:eastAsia="宋体"/>
            <w:color w:val="0000FF"/>
            <w:sz w:val="21"/>
            <w:u w:val="single"/>
          </w:rPr>
          <w:t>https://arxiv.org/abs/2601.15560v1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去噪扩散概率模型（DDPM）在高保真图像生成方面取得了显着的成功。然而，评估它们的语义可控性（特别是针对细粒度、单域任务）仍然具有挑战性。 FID 和初始分数 (IS) 等标准指标通常无法检测此类专门环境中的身份错位。在这项工作中，我们研究了用于 K-pop 偶像脸部生成 (32x32) 的类条件 DDPM，这是一个以类间高度相似性为特征的领域。我们提出了一个校准指标，即相对分类精度（RCA），它根据预言机分类器的基线标准化生成性能。我们的评估揭示了一个关键的权衡：虽然该模型实现了高视觉质量（FID 8.93），但它遭受了严重的语义模式崩溃（RCA 0.27），特别是对于视觉上模糊的身份。我们通过混淆矩阵分析这些失败模式，并将其归因于分辨率限制和性别内部模糊性。我们的框架为验证条件生成模型中的身份一致性提供了严格的标准。</w:t>
      </w:r>
    </w:p>
    <w:p>
      <w:pPr>
        <w:spacing w:before="120"/>
      </w:pPr>
      <w:r>
        <w:rPr>
          <w:rFonts w:ascii="Times New Roman" w:hAnsi="Times New Roman" w:eastAsia="宋体"/>
          <w:b/>
          <w:sz w:val="21"/>
        </w:rPr>
        <w:t>English Abstract:</w:t>
      </w:r>
    </w:p>
    <w:p>
      <w:r>
        <w:rPr>
          <w:rFonts w:ascii="Times New Roman" w:hAnsi="Times New Roman" w:eastAsia="宋体"/>
          <w:sz w:val="21"/>
        </w:rPr>
        <w:t>Denoising Diffusion Probabilistic Models (DDPMs) have achieved remarkable success in high-fidelity image generation. However, evaluating their semantic controllability-specifically for fine-grained, single-domain tasks-remains challenging. Standard metrics like FID and Inception Score (IS) often fail to detect identity misalignment in such specialized contexts. In this work, we investigate Class-Conditional DDPMs for K-pop idol face generation (32x32), a domain characterized by high inter-class similarity. We propose a calibrated metric, Relative Classification Accuracy (RCA), which normalizes generative performance against an oracle classifier's baseline. Our evaluation reveals a critical trade-off: while the model achieves high visual quality (FID 8.93), it suffers from severe semantic mode collapse (RCA 0.27), particularly for visually ambiguous identities. We analyze these failure modes through confusion matrices and attribute them to resolution constraints and intra-gender ambiguity. Our framework provides a rigorous standard for verifying identity consistency in conditional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RL 增强型自混合图像进行可解释的 Deepfake 检测</w:t>
      </w:r>
    </w:p>
    <w:p>
      <w:r>
        <w:rPr>
          <w:rFonts w:ascii="Times New Roman" w:hAnsi="Times New Roman" w:eastAsia="宋体"/>
          <w:b/>
          <w:color w:val="003264"/>
          <w:sz w:val="24"/>
        </w:rPr>
        <w:t>Explainable Deepfake Detection with RL Enhanced Self-Blended Images</w:t>
      </w:r>
    </w:p>
    <w:p>
      <w:r>
        <w:rPr>
          <w:rFonts w:ascii="Times New Roman" w:hAnsi="Times New Roman" w:eastAsia="宋体"/>
          <w:sz w:val="21"/>
        </w:rPr>
        <w:t>作者: Ying Li</w:t>
        <w:br/>
      </w:r>
      <w:r>
        <w:rPr>
          <w:rFonts w:ascii="Times New Roman" w:hAnsi="Times New Roman" w:eastAsia="宋体"/>
          <w:sz w:val="21"/>
        </w:rPr>
        <w:t xml:space="preserve">时间: 2026-01-22T03:55:46Z | </w:t>
      </w:r>
      <w:r>
        <w:t xml:space="preserve">链接: </w:t>
      </w:r>
      <w:hyperlink r:id="rId70">
        <w:r>
          <w:rPr>
            <w:rFonts w:ascii="Times New Roman" w:hAnsi="Times New Roman" w:eastAsia="宋体"/>
            <w:color w:val="0000FF"/>
            <w:sz w:val="21"/>
            <w:u w:val="single"/>
          </w:rPr>
          <w:t>https://arxiv.org/abs/2601.15624v1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大多数现有的深度伪造检测方法缺乏可解释的输出。随着人们对多模态大语言模型（MLLM）的兴趣日益浓厚，研究人员开始探索它们在可解释的深度伪造检测中的应用。然而，将 MLLM 应用于此任务的一个主要障碍是缺乏具有详细伪造属性注释的高质量数据集，因为文本注释既昂贵又具有挑战性 - 特别是对于高保真伪造图像或视频。此外，多项研究表明强化学习（RL）可以显着提高视觉任务的表现，特别是在提高跨领域泛化能力方面。为了促进在 Deepfake 检测中采用主流 MLLM 框架并降低注释成本，并研究 RL 在这方面的潜力，我们提出了一种基于自混合图像的自动化思想链（CoT）数据生成框架，以及 RL 增强的 Deepfake 检测框架。大量的实验验证了我们的 CoT 数据构建管道、定制奖励机制和反馈驱动的合成数据生成方法的有效性。我们的方法在多个跨数据集基准测试中实现了与最先进 (SOTA) 方法相媲美的性能。实施细节可在 https://github.com/deon1219/rlsbi 获取。</w:t>
      </w:r>
    </w:p>
    <w:p>
      <w:pPr>
        <w:spacing w:before="120"/>
      </w:pPr>
      <w:r>
        <w:rPr>
          <w:rFonts w:ascii="Times New Roman" w:hAnsi="Times New Roman" w:eastAsia="宋体"/>
          <w:b/>
          <w:sz w:val="21"/>
        </w:rPr>
        <w:t>English Abstract:</w:t>
      </w:r>
    </w:p>
    <w:p>
      <w:r>
        <w:rPr>
          <w:rFonts w:ascii="Times New Roman" w:hAnsi="Times New Roman" w:eastAsia="宋体"/>
          <w:sz w:val="21"/>
        </w:rPr>
        <w:t>Most prior deepfake detection methods lack explainable outputs. With the growing interest in multimodal large language models (MLLMs), researchers have started exploring their use in interpretable deepfake detection. However, a major obstacle in applying MLLMs to this task is the scarcity of high-quality datasets with detailed forgery attribution annotations, as textual annotation is both costly and challenging - particularly for high-fidelity forged images or videos. Moreover, multiple studies have shown that reinforcement learning (RL) can substantially enhance performance in visual tasks, especially in improving cross-domain generalization. To facilitate the adoption of mainstream MLLM frameworks in deepfake detection with reduced annotation cost, and to investigate the potential of RL in this context, we propose an automated Chain-of-Thought (CoT) data generation framework based on Self-Blended Images, along with an RL-enhanced deepfake detection framework. Extensive experiments validate the effectiveness of our CoT data construction pipeline, tailored reward mechanism, and feedback-driven synthetic data generation approach. Our method achieves performance competitive with state-of-the-art (SOTA) approaches across multiple cross-dataset benchmarks. Implementation details are available at https://github.com/deon1219/rlsbi.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不断进化：统一多模态增量学习以实现持续的全景感知</w:t>
      </w:r>
    </w:p>
    <w:p>
      <w:r>
        <w:rPr>
          <w:rFonts w:ascii="Times New Roman" w:hAnsi="Times New Roman" w:eastAsia="宋体"/>
          <w:b/>
          <w:color w:val="003264"/>
          <w:sz w:val="24"/>
        </w:rPr>
        <w:t>Evolving Without Ending: Unifying Multimodal Incremental Learning for Continual Panoptic Perception</w:t>
      </w:r>
    </w:p>
    <w:p>
      <w:r>
        <w:rPr>
          <w:rFonts w:ascii="Times New Roman" w:hAnsi="Times New Roman" w:eastAsia="宋体"/>
          <w:sz w:val="21"/>
        </w:rPr>
        <w:t>作者: Zhiguo Jiang</w:t>
        <w:br/>
      </w:r>
      <w:r>
        <w:rPr>
          <w:rFonts w:ascii="Times New Roman" w:hAnsi="Times New Roman" w:eastAsia="宋体"/>
          <w:sz w:val="21"/>
        </w:rPr>
        <w:t xml:space="preserve">时间: 2026-01-22T04:45:28Z | </w:t>
      </w:r>
      <w:r>
        <w:t xml:space="preserve">链接: </w:t>
      </w:r>
      <w:hyperlink r:id="rId71">
        <w:r>
          <w:rPr>
            <w:rFonts w:ascii="Times New Roman" w:hAnsi="Times New Roman" w:eastAsia="宋体"/>
            <w:color w:val="0000FF"/>
            <w:sz w:val="21"/>
            <w:u w:val="single"/>
          </w:rPr>
          <w:t>https://arxiv.org/abs/2601.15643v1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持续学习（CL）是开发智能感知人工智能系统的伟大努力。然而，先驱研究主要集中在单任务 CL 上，这限制了多任务和多模式场景中的潜力。除了众所周知的灾难性遗忘问题之外，多任务 CL 还带来了多模态对齐的语义混淆，导致增量训练步骤中模型严重退化。在本文中，我们将 CL 扩展到连续全景感知（CPP），集成多模态和多任务 CL，通过像素级、实例级和图像级联合解释来增强综合图像感知。我们在多模态场景中形式化了 CL 任务，并提出了一种端到端的连续全景感知模型。具体来说，CPP 模型具有用于多模态嵌入的协作跨模态编码器（CCE）。我们还通过对比特征蒸馏和实例蒸馏提出了可延展的知识继承模块，解决任务交互提升方式中的灾难性遗忘问题。此外，我们提出了跨模态一致性约束并开发了CPP+，确保多任务增量场景下模型更新的多模态语义对齐。此外，我们提出的模型采用了非对称伪标记方式，使模型能够在没有样本重放的情况下进化。对多模态数据集和各种 CL 任务的大量实验证明了所提出模型的优越性，特别是在细粒度 CL 任务中。</w:t>
      </w:r>
    </w:p>
    <w:p>
      <w:pPr>
        <w:spacing w:before="120"/>
      </w:pPr>
      <w:r>
        <w:rPr>
          <w:rFonts w:ascii="Times New Roman" w:hAnsi="Times New Roman" w:eastAsia="宋体"/>
          <w:b/>
          <w:sz w:val="21"/>
        </w:rPr>
        <w:t>English Abstract:</w:t>
      </w:r>
    </w:p>
    <w:p>
      <w:r>
        <w:rPr>
          <w:rFonts w:ascii="Times New Roman" w:hAnsi="Times New Roman" w:eastAsia="宋体"/>
          <w:sz w:val="21"/>
        </w:rPr>
        <w:t>Continual learning (CL) is a great endeavour in developing intelligent perception AI systems. However, the pioneer research has predominantly focus on single-task CL, which restricts the potential in multi-task and multimodal scenarios. Beyond the well-known issue of catastrophic forgetting, the multi-task CL also brings semantic obfuscation across multimodal alignment, leading to severe model degradation during incremental training steps. In this paper, we extend CL to continual panoptic perception (CPP), integrating multimodal and multi-task CL to enhance comprehensive image perception through pixel-level, instance-level, and image-level joint interpretation. We formalize the CL task in multimodal scenarios and propose an end-to-end continual panoptic perception model. Concretely, CPP model features a collaborative cross-modal encoder (CCE) for multimodal embedding. We also propose a malleable knowledge inheritance module via contrastive feature distillation and instance distillation, addressing catastrophic forgetting from task-interactive boosting manner. Furthermore, we propose a cross-modal consistency constraint and develop CPP+, ensuring multimodal semantic alignment for model updating under multi-task incremental scenarios. Additionally, our proposed model incorporates an asymmetric pseudo-labeling manner, enabling model evolving without exemplar replay. Extensive experiments on multimodal datasets and diverse CL tasks demonstrate the superiority of the proposed model, particularly in fine-grained CL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Skywork UniPic 3.0：通过序列建模统一多图像合成</w:t>
      </w:r>
    </w:p>
    <w:p>
      <w:r>
        <w:rPr>
          <w:rFonts w:ascii="Times New Roman" w:hAnsi="Times New Roman" w:eastAsia="宋体"/>
          <w:b/>
          <w:color w:val="003264"/>
          <w:sz w:val="24"/>
        </w:rPr>
        <w:t>Skywork UniPic 3.0: Unified Multi-Image Composition via Sequence Modeling</w:t>
      </w:r>
    </w:p>
    <w:p>
      <w:r>
        <w:rPr>
          <w:rFonts w:ascii="Times New Roman" w:hAnsi="Times New Roman" w:eastAsia="宋体"/>
          <w:sz w:val="21"/>
        </w:rPr>
        <w:t>作者: Yahui Zhou</w:t>
        <w:br/>
      </w:r>
      <w:r>
        <w:rPr>
          <w:rFonts w:ascii="Times New Roman" w:hAnsi="Times New Roman" w:eastAsia="宋体"/>
          <w:sz w:val="21"/>
        </w:rPr>
        <w:t xml:space="preserve">时间: 2026-01-22T05:23:20Z | </w:t>
      </w:r>
      <w:r>
        <w:t xml:space="preserve">链接: </w:t>
      </w:r>
      <w:hyperlink r:id="rId72">
        <w:r>
          <w:rPr>
            <w:rFonts w:ascii="Times New Roman" w:hAnsi="Times New Roman" w:eastAsia="宋体"/>
            <w:color w:val="0000FF"/>
            <w:sz w:val="21"/>
            <w:u w:val="single"/>
          </w:rPr>
          <w:t>https://arxiv.org/abs/2601.15664v1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Nano-Banana 和 Seedream 4.0 最近的流行度突显了社区对多图像合成任务的浓厚兴趣。与单图像编辑相比，多图像合成在一致性和质量方面提出了更大的挑战，但现有模型尚未公开实现高质量融合的具体方法细节。通过统计分析，我们将人机交互（HOI）确定为社区最抢手的类别。因此，我们系统地分析和实施了最先进的多图像合成解决方案，主要关注以 HOI 为中心的任务。我们推出了 Skywork UniPic 3.0，这是一个集成了单图像编辑和多图像合成的统一多模式框架。我们的模型支持任意 (1~6) 数量和分辨率的输入图像，以及任意输出分辨率（在 1024x1024 的总像素预算内）。为了解决多图像合成的挑战，我们设计了全面的数据收集、过滤和合成管道，仅用 70 万个高质量训练样本即可实现强大的性能。此外，我们引入了一种新颖的训练范例，将多图像合成表述为序列建模问题，将条件生成转化为统一的序列合成。为了加速推理，我们将轨迹映射和分布匹配集成到训练后阶段，使模型只需 8 个步骤即可生成高保真样本，并比标准合成采样实现 12.5 倍的加速。 Skywork UniPic 3.0 在单图像编辑基准上实现了最先进的性能，并在多图像合成基准上超越了 Nano-Banana 和 Seedream 4.0，从而验证了我们的数据管道和训练范例的有效性。代码、模型和数据集是公开的。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The recent surge in popularity of Nano-Banana and Seedream 4.0 underscores the community's strong interest in multi-image composition tasks. Compared to single-image editing, multi-image composition presents significantly greater challenges in terms of consistency and quality, yet existing models have not disclosed specific methodological details for achieving high-quality fusion. Through statistical analysis, we identify Human-Object Interaction (HOI) as the most sought-after category by the community. We therefore systematically analyze and implement a state-of-the-art solution for multi-image composition with a primary focus on HOI-centric tasks. We present Skywork UniPic 3.0, a unified multimodal framework that integrates single-image editing and multi-image composition. Our model supports an arbitrary (1~6) number and resolution of input images, as well as arbitrary output resolutions (within a total pixel budget of 1024x1024). To address the challenges of multi-image composition, we design a comprehensive data collection, filtering, and synthesis pipeline, achieving strong performance with only 700K high-quality training samples. Furthermore, we introduce a novel training paradigm that formulates multi-image composition as a sequence-modeling problem, transforming conditional generation into unified sequence synthesis. To accelerate inference, we integrate trajectory mapping and distribution matching into the post-training stage, enabling the model to produce high-fidelity samples in just 8 steps and achieve a 12.5x speedup over standard synthesis sampling. Skywork UniPic 3.0 achieves state-of-the-art performance on single-image editing benchmark and surpasses both Nano-Banana and Seedream 4.0 on multi-image composition benchmark, thereby validating the effectiveness of our data pipeline and training paradigm. Code, models and dataset are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超越视觉安全：通过与语义无关的输入生成有害图像的越狱多模态大型语言模型</w:t>
      </w:r>
    </w:p>
    <w:p>
      <w:r>
        <w:rPr>
          <w:rFonts w:ascii="Times New Roman" w:hAnsi="Times New Roman" w:eastAsia="宋体"/>
          <w:b/>
          <w:color w:val="003264"/>
          <w:sz w:val="24"/>
        </w:rPr>
        <w:t>Beyond Visual Safety: Jailbreaking Multimodal Large Language Models for Harmful Image Generation via Semantic-Agnostic Inputs</w:t>
      </w:r>
    </w:p>
    <w:p>
      <w:r>
        <w:rPr>
          <w:rFonts w:ascii="Times New Roman" w:hAnsi="Times New Roman" w:eastAsia="宋体"/>
          <w:sz w:val="21"/>
        </w:rPr>
        <w:t>作者: Sujuan Qin</w:t>
        <w:br/>
      </w:r>
      <w:r>
        <w:rPr>
          <w:rFonts w:ascii="Times New Roman" w:hAnsi="Times New Roman" w:eastAsia="宋体"/>
          <w:sz w:val="21"/>
        </w:rPr>
        <w:t xml:space="preserve">时间: 2026-01-22T06:56:27Z | </w:t>
      </w:r>
      <w:r>
        <w:t xml:space="preserve">链接: </w:t>
      </w:r>
      <w:hyperlink r:id="rId73">
        <w:r>
          <w:rPr>
            <w:rFonts w:ascii="Times New Roman" w:hAnsi="Times New Roman" w:eastAsia="宋体"/>
            <w:color w:val="0000FF"/>
            <w:sz w:val="21"/>
            <w:u w:val="single"/>
          </w:rPr>
          <w:t>https://arxiv.org/abs/2601.15698v1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的快速发展带来了复杂的安全挑战，特别是在文本和视觉安全的交叉点。虽然现有方案已经探索了 MLLM 的安全漏洞，但对其视觉安全边界的调查仍然不足。在本文中，我们提出了超越视觉安全（BVS），这是一种新颖的图像文本对越狱框架，专门用于探测 MLLM 的视觉安全边界。 BVS 采用“重建然后生成”策略，利用中和视觉拼接和归纳重组将恶意意图与原始输入分离，从而导致 MLLM 被诱导生成有害图像。实验结果表明，BVS 对 GPT-5（2026 年 1 月 12 日发布）的越狱成功率达到了 98.21%。我们的研究结果暴露了当前 MLLM 视觉安全调整中的关键漏洞。</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Multimodal Large Language Models (MLLMs) has introduced complex security challenges, particularly at the intersection of textual and visual safety. While existing schemes have explored the security vulnerabilities of MLLMs, the investigation into their visual safety boundaries remains insufficient. In this paper, we propose Beyond Visual Safety (BVS), a novel image-text pair jailbreaking framework specifically designed to probe the visual safety boundaries of MLLMs. BVS employs a "reconstruction-then-generation" strategy, leveraging neutralized visual splicing and inductive recomposition to decouple malicious intent from raw inputs, thereby leading MLLMs to be induced into generating harmful images. Experimental results demonstrate that BVS achieves a remarkable jailbreak success rate of 98.21\% against GPT-5 (12 January 2026 release). Our findings expose critical vulnerabilities in the visual safety alignment of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使用视觉语言模型进行零样本产品属性标记：三层评估框架</w:t>
      </w:r>
    </w:p>
    <w:p>
      <w:r>
        <w:rPr>
          <w:rFonts w:ascii="Times New Roman" w:hAnsi="Times New Roman" w:eastAsia="宋体"/>
          <w:b/>
          <w:color w:val="003264"/>
          <w:sz w:val="24"/>
        </w:rPr>
        <w:t>Zero-Shot Product Attribute Labeling with Vision-Language Models: A Three-Tier Evaluation Framework</w:t>
      </w:r>
    </w:p>
    <w:p>
      <w:r>
        <w:rPr>
          <w:rFonts w:ascii="Times New Roman" w:hAnsi="Times New Roman" w:eastAsia="宋体"/>
          <w:sz w:val="21"/>
        </w:rPr>
        <w:t>作者: Kunal Sonalkar</w:t>
        <w:br/>
      </w:r>
      <w:r>
        <w:rPr>
          <w:rFonts w:ascii="Times New Roman" w:hAnsi="Times New Roman" w:eastAsia="宋体"/>
          <w:sz w:val="21"/>
        </w:rPr>
        <w:t xml:space="preserve">时间: 2026-01-22T07:33:41Z | </w:t>
      </w:r>
      <w:r>
        <w:t xml:space="preserve">链接: </w:t>
      </w:r>
      <w:hyperlink r:id="rId74">
        <w:r>
          <w:rPr>
            <w:rFonts w:ascii="Times New Roman" w:hAnsi="Times New Roman" w:eastAsia="宋体"/>
            <w:color w:val="0000FF"/>
            <w:sz w:val="21"/>
            <w:u w:val="single"/>
          </w:rPr>
          <w:t>https://arxiv.org/abs/2601.15711v1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属性预测对于时尚零售应用至关重要，包括目录丰富、视觉搜索和推荐系统。视觉语言模型（VLM）无需特定任务训练即可提供零样本预测，但其对多属性时尚任务的系统评估仍未得到充分探索。一个关键的挑战是时尚属性通常是有条件的。例如，当没有可见的外衣时，“外层织物”是未定义的。这需要模型在尝试分类之前检测属性的适用性。我们引入了一个三层评估框架来分解这一挑战：（1）所有属性的所有类（包括 NA 类：建议属性不适用）的总体任务性能，（2）属性适用性检测，以及（3）当属性可确定时的细粒度分类。使用 DeepFashion-MultiModal 在属性标签空间中明确定义 NA（表示属性不存在或不可见），我们对涵盖旗舰（GPT-5、Gemini 2.5 Pro）、高效（GPT-5 Mini、Gemini 2.5 Flash）和超高效层（GPT-5 Nano、Gemini 2.5 Flash-Lite）的 9 个 VLM 与在预训练的 Fashion-CLIP 嵌入上训练的分类器进行了基准测试涵盖 18 个属性的 5,000 张图像。我们的研究结果表明：(1) 零样本 VLM 实现了 64.0% 的宏 F1，比预训练 Fashion-CLIP 嵌入的逻辑回归提高了三倍； (2) VLM 擅长细粒度分类（第 3 层：70.8% F1），但在适用性检测方面遇到困难（第 2 层：34.1% NA-F1），识别关键瓶颈； (3)高效机型以更低的成本实现旗舰机90%以上的性能，提供实用的部署路径。该诊断框架使从业人员能够查明错误是否源于可见性检测或分类，从而指导生产系统的有针对性的改进。</w:t>
      </w:r>
    </w:p>
    <w:p>
      <w:pPr>
        <w:spacing w:before="120"/>
      </w:pPr>
      <w:r>
        <w:rPr>
          <w:rFonts w:ascii="Times New Roman" w:hAnsi="Times New Roman" w:eastAsia="宋体"/>
          <w:b/>
          <w:sz w:val="21"/>
        </w:rPr>
        <w:t>English Abstract:</w:t>
      </w:r>
    </w:p>
    <w:p>
      <w:r>
        <w:rPr>
          <w:rFonts w:ascii="Times New Roman" w:hAnsi="Times New Roman" w:eastAsia="宋体"/>
          <w:sz w:val="21"/>
        </w:rPr>
        <w:t>Fine-grained attribute prediction is essential for fashion retail applications including catalog enrichment, visual search, and recommendation systems. Vision-Language Models (VLMs) offer zero-shot prediction without task-specific training, yet their systematic evaluation on multi-attribute fashion tasks remains underexplored. A key challenge is that fashion attributes are often conditional. For example, "outer fabric" is undefined when no outer garment is visible. This requires models to detect attribute applicability before attempting classification. We introduce a three-tier evaluation framework that decomposes this challenge: (1) overall task performance across all classes (including NA class: suggesting attribute is not applicable) for all attributes, (2) attribute applicability detection, and (3) fine-grained classification when attributes are determinable. Using DeepFashion-MultiModal, which explicitly defines NA (meaning attribute doesn't exist or is not visible) within attribute label spaces, we benchmark nine VLMs spanning flagship (GPT-5, Gemini 2.5 Pro), efficient (GPT-5 Mini, Gemini 2.5 Flash), and ultra-efficient tiers (GPT-5 Nano, Gemini 2.5 Flash-Lite) against classifiers trained on pretrained Fashion-CLIP embeddings on 5,000 images across 18 attributes. Our findings reveal that: (1) zero-shot VLMs achieve 64.0% macro-F1, a threefold improvement over logistic regression on pretrained Fashion-CLIP embeddings; (2) VLMs excel at fine-grained classification (Tier 3: 70.8% F1) but struggle with applicability detection (Tier 2: 34.1% NA-F1), identifying a key bottleneck; (3) efficient models achieve over 90% of flagship performance at lower cost, offering practical deployment paths. This diagnostic framework enables practitioners to pinpoint whether errors stem from visibility detection or classification, guiding targeted improvements for production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FAIR-ESI：电生理源成像的特征自适应重要性细化</w:t>
      </w:r>
    </w:p>
    <w:p>
      <w:r>
        <w:rPr>
          <w:rFonts w:ascii="Times New Roman" w:hAnsi="Times New Roman" w:eastAsia="宋体"/>
          <w:b/>
          <w:color w:val="003264"/>
          <w:sz w:val="24"/>
        </w:rPr>
        <w:t>FAIR-ESI: Feature Adaptive Importance Refinement for Electrophysiological Source Imaging</w:t>
      </w:r>
    </w:p>
    <w:p>
      <w:r>
        <w:rPr>
          <w:rFonts w:ascii="Times New Roman" w:hAnsi="Times New Roman" w:eastAsia="宋体"/>
          <w:sz w:val="21"/>
        </w:rPr>
        <w:t>作者: Zikang Xu</w:t>
        <w:br/>
      </w:r>
      <w:r>
        <w:rPr>
          <w:rFonts w:ascii="Times New Roman" w:hAnsi="Times New Roman" w:eastAsia="宋体"/>
          <w:sz w:val="21"/>
        </w:rPr>
        <w:t xml:space="preserve">时间: 2026-01-22T07:57:27Z | </w:t>
      </w:r>
      <w:r>
        <w:t xml:space="preserve">链接: </w:t>
      </w:r>
      <w:hyperlink r:id="rId75">
        <w:r>
          <w:rPr>
            <w:rFonts w:ascii="Times New Roman" w:hAnsi="Times New Roman" w:eastAsia="宋体"/>
            <w:color w:val="0000FF"/>
            <w:sz w:val="21"/>
            <w:u w:val="single"/>
          </w:rPr>
          <w:t>https://arxiv.org/abs/2601.15731v1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诊断脑部疾病的一项重要技术是电生理源成像（ESI）。虽然基于模型的优化和深度学习方法在该领域取得了可喜的成果，但特征的准确选择和细化仍然是精确 ESI 的核心挑战。本文提出了 FAIR-ESI，这是一种新颖的框架，可以在不同视图中自适应地细化特征重要性，包括基于 FFT 的频谱特征细化、加权时间特征细化和基于自注意力的 patch-wise 特征细化。对两个具有不同配置的模拟数据集和两个真实世界的临床数据集进行的广泛实验验证了我们的框架的功效，突出了其推进脑部疾病诊断并提供对大脑功能的新见解的潜力。</w:t>
      </w:r>
    </w:p>
    <w:p>
      <w:pPr>
        <w:spacing w:before="120"/>
      </w:pPr>
      <w:r>
        <w:rPr>
          <w:rFonts w:ascii="Times New Roman" w:hAnsi="Times New Roman" w:eastAsia="宋体"/>
          <w:b/>
          <w:sz w:val="21"/>
        </w:rPr>
        <w:t>English Abstract:</w:t>
      </w:r>
    </w:p>
    <w:p>
      <w:r>
        <w:rPr>
          <w:rFonts w:ascii="Times New Roman" w:hAnsi="Times New Roman" w:eastAsia="宋体"/>
          <w:sz w:val="21"/>
        </w:rPr>
        <w:t>An essential technique for diagnosing brain disorders is electrophysiological source imaging (ESI). While model-based optimization and deep learning methods have achieved promising results in this field, the accurate selection and refinement of features remains a central challenge for precise ESI. This paper proposes FAIR-ESI, a novel framework that adaptively refines feature importance across different views, including FFT-based spectral feature refinement, weighted temporal feature refinement, and self-attention-based patch-wise feature refinement. Extensive experiments on two simulation datasets with diverse configurations and two real-world clinical datasets validate our framework's efficacy, highlighting its potential to advance brain disorder diagnosis and offer new insights into brain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多模态脑肿瘤分割的子区域感知模态融合和自适应提示</w:t>
      </w:r>
    </w:p>
    <w:p>
      <w:r>
        <w:rPr>
          <w:rFonts w:ascii="Times New Roman" w:hAnsi="Times New Roman" w:eastAsia="宋体"/>
          <w:b/>
          <w:color w:val="003264"/>
          <w:sz w:val="24"/>
        </w:rPr>
        <w:t>Sub-Region-Aware Modality Fusion and Adaptive Prompting for Multi-Modal Brain Tumor Segmentation</w:t>
      </w:r>
    </w:p>
    <w:p>
      <w:r>
        <w:rPr>
          <w:rFonts w:ascii="Times New Roman" w:hAnsi="Times New Roman" w:eastAsia="宋体"/>
          <w:sz w:val="21"/>
        </w:rPr>
        <w:t>作者: Homayoun Najjaran</w:t>
        <w:br/>
      </w:r>
      <w:r>
        <w:rPr>
          <w:rFonts w:ascii="Times New Roman" w:hAnsi="Times New Roman" w:eastAsia="宋体"/>
          <w:sz w:val="21"/>
        </w:rPr>
        <w:t xml:space="preserve">时间: 2026-01-22T08:03:17Z | </w:t>
      </w:r>
      <w:r>
        <w:t xml:space="preserve">链接: </w:t>
      </w:r>
      <w:hyperlink r:id="rId76">
        <w:r>
          <w:rPr>
            <w:rFonts w:ascii="Times New Roman" w:hAnsi="Times New Roman" w:eastAsia="宋体"/>
            <w:color w:val="0000FF"/>
            <w:sz w:val="21"/>
            <w:u w:val="single"/>
          </w:rPr>
          <w:t>https://arxiv.org/abs/2601.15734v1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成功适应多模态医学成像是一个关键但尚未解决的挑战。现有模型通常难以有效地融合多个来源的信息并适应病理组织的异质性。为了解决这个问题，我们引入了一种使基础模型适应多模态医学成像的新颖框架，具有两项关键技术创新：子区域感知模态注意和自适应提示工程。注意力机制使模型能够学习每个肿瘤子区域的最佳模式组合，而自适应提示策略则利用基础模型的固有功能来提高分割精度。我们在 BraTS 2020 脑肿瘤分割数据集上验证了我们的框架，证明我们的方法显着优于基线方法，特别是在具有挑战性的坏死核心子区域。我们的工作为多模态融合和提示提供了一种有原则且有效的方法，为医学成像中更准确、更强大的基于基础模型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successful adaptation of foundation models to multi-modal medical imaging is a critical yet unresolved challenge. Existing models often struggle to effectively fuse information from multiple sources and adapt to the heterogeneous nature of pathological tissues. To address this, we introduce a novel framework for adapting foundation models to multi-modal medical imaging, featuring two key technical innovations: sub-region-aware modality attention and adaptive prompt engineering. The attention mechanism enables the model to learn the optimal combination of modalities for each tumor sub-region, while the adaptive prompting strategy leverages the inherent capabilities of foundation models to refine segmentation accuracy. We validate our framework on the BraTS 2020 brain tumor segmentation dataset, demonstrating that our approach significantly outperforms baseline methods, particularly in the challenging necrotic core sub-region. Our work provides a principled and effective approach to multi-modal fusion and prompting, paving the way for more accurate and robust foundation model-based solutions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打破分辨率障碍：任意分辨率深度图像隐写框架</w:t>
      </w:r>
    </w:p>
    <w:p>
      <w:r>
        <w:rPr>
          <w:rFonts w:ascii="Times New Roman" w:hAnsi="Times New Roman" w:eastAsia="宋体"/>
          <w:b/>
          <w:color w:val="003264"/>
          <w:sz w:val="24"/>
        </w:rPr>
        <w:t>Breaking the Resolution Barrier: Arbitrary-resolution Deep Image Steganography Framework</w:t>
      </w:r>
    </w:p>
    <w:p>
      <w:r>
        <w:rPr>
          <w:rFonts w:ascii="Times New Roman" w:hAnsi="Times New Roman" w:eastAsia="宋体"/>
          <w:sz w:val="21"/>
        </w:rPr>
        <w:t>作者: Zhangjie Fu</w:t>
        <w:br/>
      </w:r>
      <w:r>
        <w:rPr>
          <w:rFonts w:ascii="Times New Roman" w:hAnsi="Times New Roman" w:eastAsia="宋体"/>
          <w:sz w:val="21"/>
        </w:rPr>
        <w:t xml:space="preserve">时间: 2026-01-22T08:07:10Z | </w:t>
      </w:r>
      <w:r>
        <w:t xml:space="preserve">链接: </w:t>
      </w:r>
      <w:hyperlink r:id="rId77">
        <w:r>
          <w:rPr>
            <w:rFonts w:ascii="Times New Roman" w:hAnsi="Times New Roman" w:eastAsia="宋体"/>
            <w:color w:val="0000FF"/>
            <w:sz w:val="21"/>
            <w:u w:val="single"/>
          </w:rPr>
          <w:t>https://arxiv.org/abs/2601.15739v1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图像隐写术（DIS）在容量和隐秘性方面取得了显着的成果。然而，当前的范例强制秘密图像在隐藏和显示期间保持与封面图像相同的分辨率。这带来了两个挑战：分辨率不一致的秘密图像必须事先进行重采样，这会导致恢复过程中细节丢失；并且当分辨率值未知时，秘密图像无法恢复到原始分辨率。为了解决这些问题，我们提出了 ARDIS，这是第一个任意分辨率 DIS 框架，它将范式从离散映射转变为参考引导的连续信号重建。具体来说，为了最大限度地减少分辨率不匹配造成的细节损失，我们首先在隐藏阶段设计了频率解耦架构。它将秘密分解为与分辨率一致的全局基础和隐藏在固定分辨率覆盖物中的与分辨率无关的高频潜力。其次，对于恢复，我们提出了一个潜在引导隐式重建器来执行确定性恢复。恢复的细节潜在代码调制连续隐式函数，以准确查询高频残差并将其渲染到恢复的全局基础上，确保忠实恢复原始细节。此外，为了实现盲恢复，我们引入了隐式解析编码策略。通过将离散分辨率值转换为密集特征图并将其隐藏在特征域的冗余空间中，重建器可以直接从隐写表示中正确解码秘密的分辨率。实验结果表明，ARDIS 在隐形性和跨分辨率恢复保真度方面均显着优于最先进的方法。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Deep image steganography (DIS) has achieved significant results in capacity and invisibility. However, current paradigms enforce the secret image to maintain the same resolution as the cover image during hiding and revealing. This leads to two challenges: secret images with inconsistent resolutions must undergo resampling beforehand which results in detail loss during recovery, and the secret image cannot be recovered to its original resolution when the resolution value is unknown. To address these, we propose ARDIS, the first Arbitrary Resolution DIS framework, which shifts the paradigm from discrete mapping to reference-guided continuous signal reconstruction. Specifically, to minimize the detail loss caused by resolution mismatch, we first design a Frequency Decoupling Architecture in hiding stage. It disentangles the secret into a resolution-aligned global basis and a resolution-agnostic high-frequency latent to hide in a fixed-resolution cover. Second, for recovery, we propose a Latent-Guided Implicit Reconstructor to perform deterministic restoration. The recovered detail latent code modulates a continuous implicit function to accurately query and render high-frequency residuals onto the recovered global basis, ensuring faithful restoration of original details. Furthermore, to achieve blind recovery, we introduce an Implicit Resolution Coding strategy. By transforming discrete resolution values into dense feature maps and hiding them in the redundant space of the feature domain, the reconstructor can correctly decode the secret's resolution directly from the steganographic representation. Experimental results demonstrate that ARDIS significantly outperforms state-of-the-art methods in both invisibility and cross-resolution recovery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白盒 mHC：用于高光谱图像分类的电磁频谱感知和可解释流交互</w:t>
      </w:r>
    </w:p>
    <w:p>
      <w:r>
        <w:rPr>
          <w:rFonts w:ascii="Times New Roman" w:hAnsi="Times New Roman" w:eastAsia="宋体"/>
          <w:b/>
          <w:color w:val="003264"/>
          <w:sz w:val="24"/>
        </w:rPr>
        <w:t>White-Box mHC: Electromagnetic Spectrum-Aware and Interpretable Stream Interactions for Hyperspectral Image Classification</w:t>
      </w:r>
    </w:p>
    <w:p>
      <w:r>
        <w:rPr>
          <w:rFonts w:ascii="Times New Roman" w:hAnsi="Times New Roman" w:eastAsia="宋体"/>
          <w:sz w:val="21"/>
        </w:rPr>
        <w:t>作者: Megan Greenwood</w:t>
        <w:br/>
      </w:r>
      <w:r>
        <w:rPr>
          <w:rFonts w:ascii="Times New Roman" w:hAnsi="Times New Roman" w:eastAsia="宋体"/>
          <w:sz w:val="21"/>
        </w:rPr>
        <w:t xml:space="preserve">时间: 2026-01-22T08:48:01Z | </w:t>
      </w:r>
      <w:r>
        <w:t xml:space="preserve">链接: </w:t>
      </w:r>
      <w:hyperlink r:id="rId78">
        <w:r>
          <w:rPr>
            <w:rFonts w:ascii="Times New Roman" w:hAnsi="Times New Roman" w:eastAsia="宋体"/>
            <w:color w:val="0000FF"/>
            <w:sz w:val="21"/>
            <w:u w:val="single"/>
          </w:rPr>
          <w:t>https://arxiv.org/abs/2601.15757v1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在高光谱图像分类（HSIC）中，大多数深度学习模型依赖于不透明的光谱空间特征混合，限制了它们的可解释性并阻碍了对内部决策机制的理解。我们提出了物理频谱感知白盒 mHC，名为 ES-mHC，这是一个超连接框架，它使用结构化的方向矩阵显式地模拟不同电磁频谱分组（mHC 中的剩余流）之间的交互。通过将特征表示与交互结构分离，ES-mHC促进电磁频谱分组专业化，减少冗余，并暴露可直接可视化和空间分析的内部信息流。使用高光谱图像分类作为代表性测试平台，我们证明了学习的超连接矩阵表现出连贯的空间模式和不对称的交互行为，为模型内部动态提供了机制洞察。此外，我们发现增加扩张率加速了结构化交互模式的出现。这些结果表明，ES-mHC 将 HSIC 从纯粹的黑盒预测任务转变为结构透明、部分白盒的学习过程。</w:t>
      </w:r>
    </w:p>
    <w:p>
      <w:pPr>
        <w:spacing w:before="120"/>
      </w:pPr>
      <w:r>
        <w:rPr>
          <w:rFonts w:ascii="Times New Roman" w:hAnsi="Times New Roman" w:eastAsia="宋体"/>
          <w:b/>
          <w:sz w:val="21"/>
        </w:rPr>
        <w:t>English Abstract:</w:t>
      </w:r>
    </w:p>
    <w:p>
      <w:r>
        <w:rPr>
          <w:rFonts w:ascii="Times New Roman" w:hAnsi="Times New Roman" w:eastAsia="宋体"/>
          <w:sz w:val="21"/>
        </w:rPr>
        <w:t>In hyperspectral image classification (HSIC), most deep learning models rely on opaque spectral-spatial feature mixing, limiting their interpretability and hindering understanding of internal decision mechanisms. We present physical spectrum-aware white-box mHC, named ES-mHC, a hyper-connection framework that explicitly models interactions among different electromagnetic spectrum groupings (residual stream in mHC) interactions using structured, directional matrices. By separating feature representation from interaction structure, ES-mHC promotes electromagnetic spectrum grouping specialization, reduces redundancy, and exposes internal information flow that can be directly visualized and spatially analyzed. Using hyperspectral image classification as a representative testbed, we demonstrate that the learned hyper-connection matrices exhibit coherent spatial patterns and asymmetric interaction behaviors, providing mechanistic insight into the model internal dynamics. Furthermore, we find that increasing the expansion rate accelerates the emergence of structured interaction patterns. These results suggest that ES-mHC transforms HSIC from a purely black-box prediction task into a structurally transparent, partially white-box learning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用于胎儿脑 MRI 的 Atlas 辅助分段任意模型 (FeTal-SAM)</w:t>
      </w:r>
    </w:p>
    <w:p>
      <w:r>
        <w:rPr>
          <w:rFonts w:ascii="Times New Roman" w:hAnsi="Times New Roman" w:eastAsia="宋体"/>
          <w:b/>
          <w:color w:val="003264"/>
          <w:sz w:val="24"/>
        </w:rPr>
        <w:t>Atlas-Assisted Segment Anything Model for Fetal Brain MRI (FeTal-SAM)</w:t>
      </w:r>
    </w:p>
    <w:p>
      <w:r>
        <w:rPr>
          <w:rFonts w:ascii="Times New Roman" w:hAnsi="Times New Roman" w:eastAsia="宋体"/>
          <w:sz w:val="21"/>
        </w:rPr>
        <w:t>作者: Davood Karimi</w:t>
        <w:br/>
      </w:r>
      <w:r>
        <w:rPr>
          <w:rFonts w:ascii="Times New Roman" w:hAnsi="Times New Roman" w:eastAsia="宋体"/>
          <w:sz w:val="21"/>
        </w:rPr>
        <w:t xml:space="preserve">时间: 2026-01-22T08:49:33Z | </w:t>
      </w:r>
      <w:r>
        <w:t xml:space="preserve">链接: </w:t>
      </w:r>
      <w:hyperlink r:id="rId79">
        <w:r>
          <w:rPr>
            <w:rFonts w:ascii="Times New Roman" w:hAnsi="Times New Roman" w:eastAsia="宋体"/>
            <w:color w:val="0000FF"/>
            <w:sz w:val="21"/>
            <w:u w:val="single"/>
          </w:rPr>
          <w:t>https://arxiv.org/abs/2601.15759v1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 FeTal-SAM，这是一种针对胎儿大脑 MRI 分割而定制的分段任意模型 (SAM) 的新型改编版本。传统的深度学习方法通​​常需要大量带注释的数据集来表示一组固定的标签，这使得它们在临床或研究需求发生变化时变得不灵活。通过整合基于图谱的提示和基础模型原则，FeTal-SAM 解决了胎儿大脑 MRI 分割的两个关键限制：(1) 需要针对不同的标签定义重新训练模型，(2) 缺乏对分割是由真实图像对比度驱动还是由学习的空间先验驱动的洞察力。我们利用多图集配准来生成空间对齐的标签模板，这些模板作为密集提示以及边界框提示，用于 SAM 的分段解码器。该策略能够在每个结构的基础上进行二元分割，随后将其融合以重建完整的 3D 分割体积。对两个数据集（dHCP 数据集和内部数据集）的评估证明了 FeTal-SAM 在各个孕龄期间的稳健性能。值得注意的是，它获得的 Dice 分数与最先进的基线相当，这些基线针对每个数据集进行了训练，并针对皮质板和小脑等对比度良好的结构进行了标签定义，同时保持了分割任何用户指定的解剖结构的灵活性。尽管对于细微的、低对比度的结构（例如海马体、杏仁核）观察到的准确度略低，但我们的结果凸显了 FeTal-SAM 无需彻底再训练即可用作通用分割模型的潜力。因此，该方法为临床适用的胎儿脑 MRI 分析工具迈出了有希望的一步。</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FeTal-SAM, a novel adaptation of the Segment Anything Model (SAM) tailored for fetal brain MRI segmentation. Traditional deep learning methods often require large annotated datasets for a fixed set of labels, making them inflexible when clinical or research needs change. By integrating atlas-based prompts and foundation-model principles, FeTal-SAM addresses two key limitations in fetal brain MRI segmentation: (1) the need to retrain models for varying label definitions, and (2) the lack of insight into whether segmentations are driven by genuine image contrast or by learned spatial priors. We leverage multi-atlas registration to generate spatially aligned label templates that serve as dense prompts, alongside a bounding-box prompt, for SAM's segmentation decoder. This strategy enables binary segmentation on a per-structure basis, which is subsequently fused to reconstruct the full 3D segmentation volumes. Evaluations on two datasets, the dHCP dataset and an in-house dataset demonstrate FeTal-SAM's robust performance across gestational ages. Notably, it achieves Dice scores comparable to state-of-the-art baselines which were trained for each dataset and label definition for well-contrasted structures like cortical plate and cerebellum, while maintaining the flexibility to segment any user-specified anatomy. Although slightly lower accuracy is observed for subtle, low-contrast structures (e.g., hippocampus, amygdala), our results highlight FeTal-SAM's potential to serve as a general-purpose segmentation model without exhaustive retraining. This method thus constitutes a promising step toward clinically adaptable fetal brain MRI analysis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LL-GaussianMap：通过 2D 高斯泼溅引导增益图进行零样本低光图像增强</w:t>
      </w:r>
    </w:p>
    <w:p>
      <w:r>
        <w:rPr>
          <w:rFonts w:ascii="Times New Roman" w:hAnsi="Times New Roman" w:eastAsia="宋体"/>
          <w:b/>
          <w:color w:val="003264"/>
          <w:sz w:val="24"/>
        </w:rPr>
        <w:t>LL-GaussianMap: Zero-shot Low-Light Image Enhancement via 2D Gaussian Splatting Guided Gain Maps</w:t>
      </w:r>
    </w:p>
    <w:p>
      <w:r>
        <w:rPr>
          <w:rFonts w:ascii="Times New Roman" w:hAnsi="Times New Roman" w:eastAsia="宋体"/>
          <w:sz w:val="21"/>
        </w:rPr>
        <w:t>作者: Keqiang Li</w:t>
        <w:br/>
      </w:r>
      <w:r>
        <w:rPr>
          <w:rFonts w:ascii="Times New Roman" w:hAnsi="Times New Roman" w:eastAsia="宋体"/>
          <w:sz w:val="21"/>
        </w:rPr>
        <w:t xml:space="preserve">时间: 2026-01-22T08:57:36Z | </w:t>
      </w:r>
      <w:r>
        <w:t xml:space="preserve">链接: </w:t>
      </w:r>
      <w:hyperlink r:id="rId80">
        <w:r>
          <w:rPr>
            <w:rFonts w:ascii="Times New Roman" w:hAnsi="Times New Roman" w:eastAsia="宋体"/>
            <w:color w:val="0000FF"/>
            <w:sz w:val="21"/>
            <w:u w:val="single"/>
          </w:rPr>
          <w:t>https://arxiv.org/abs/2601.15766v1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光图像增强在视觉质量方面取得了重大进展。然而，大多数现有方法主要在像素域中操作或依赖于隐式特征表示。因此，图像的内在几何结构先验常常被忽视。二维高斯分布（2DGS）已成为一种突出的显式场景表示技术，其特点是卓越的结构拟合能力和高渲染效率。尽管有这些优点，2DGS 在低级视觉任务中的应用仍未得到探索。为了弥补这一差距，LL-GaussianMap 被提出作为第一个将 2DGS 纳入低光图像增强的无监督框架。与传统方法不同，增强任务被制定为由 2DGS 原语引导的增益图生成过程。所提出的方法包括两个主要阶段。首先，利用 2DGS 执行高保真结构重建。然后，通过创新的统一增强模块，通过高斯泼溅的光栅化机制渲染数据驱动的增强字典系数。该设计有效地将 2DGS 的结构感知能力融入增益图生成中，从而在增强过程中保留边缘并抑制伪影。此外，通过无监督学习避免了对配对数据的依赖。实验结果表明，LL-GaussianMap 以极低的存储占用实现了卓越的增强性能，凸显了显式高斯表示对于图像增强的有效性。</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low-light image enhancement with respect to visual quality. However, most existing methods primarily operate in the pixel domain or rely on implicit feature representations. As a result, the intrinsic geometric structural priors of images are often neglected. 2D Gaussian Splatting (2DGS) has emerged as a prominent explicit scene representation technique characterized by superior structural fitting capabilities and high rendering efficiency. Despite these advantages, the utilization of 2DGS in low-level vision tasks remains unexplored. To bridge this gap, LL-GaussianMap is proposed as the first unsupervised framework incorporating 2DGS into low-light image enhancement. Distinct from conventional methodologies, the enhancement task is formulated as a gain map generation process guided by 2DGS primitives. The proposed method comprises two primary stages. First, high-fidelity structural reconstruction is executed utilizing 2DGS. Then, data-driven enhancement dictionary coefficients are rendered via the rasterization mechanism of Gaussian splatting through an innovative unified enhancement module. This design effectively incorporates the structural perception capabilities of 2DGS into gain map generation, thereby preserving edges and suppressing artifacts during enhancement. Additionally, the reliance on paired data is circumvented through unsupervised learning. Experimental results demonstrate that LL-GaussianMap achieves superior enhancement performance with an extremely low storage footprint, highlighting the effectiveness of explicit Gaussian representations for image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LL-GaussianImage：通过 2D 高斯分布实现零样本低光增强的高效图像表示</w:t>
      </w:r>
    </w:p>
    <w:p>
      <w:r>
        <w:rPr>
          <w:rFonts w:ascii="Times New Roman" w:hAnsi="Times New Roman" w:eastAsia="宋体"/>
          <w:b/>
          <w:color w:val="003264"/>
          <w:sz w:val="24"/>
        </w:rPr>
        <w:t>LL-GaussianImage: Efficient Image Representation for Zero-shot Low-Light Enhancement with 2D Gaussian Splatting</w:t>
      </w:r>
    </w:p>
    <w:p>
      <w:r>
        <w:rPr>
          <w:rFonts w:ascii="Times New Roman" w:hAnsi="Times New Roman" w:eastAsia="宋体"/>
          <w:sz w:val="21"/>
        </w:rPr>
        <w:t>作者: Keqiang Li</w:t>
        <w:br/>
      </w:r>
      <w:r>
        <w:rPr>
          <w:rFonts w:ascii="Times New Roman" w:hAnsi="Times New Roman" w:eastAsia="宋体"/>
          <w:sz w:val="21"/>
        </w:rPr>
        <w:t xml:space="preserve">时间: 2026-01-22T09:01:08Z | </w:t>
      </w:r>
      <w:r>
        <w:t xml:space="preserve">链接: </w:t>
      </w:r>
      <w:hyperlink r:id="rId81">
        <w:r>
          <w:rPr>
            <w:rFonts w:ascii="Times New Roman" w:hAnsi="Times New Roman" w:eastAsia="宋体"/>
            <w:color w:val="0000FF"/>
            <w:sz w:val="21"/>
            <w:u w:val="single"/>
          </w:rPr>
          <w:t>https://arxiv.org/abs/2601.15772v1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2D 高斯分布 (2DGS) 是一种新兴的显式场景表示方法，由于高保真度和高压缩比，在图像压缩方面具有巨大的潜力。然而，现有的低光增强算法主要在像素域内运行。处理 2DGS 压缩图像需要繁琐的解压-增强-再压缩流程，这会降低效率并引入二次降级。为了解决这些限制，我们提出了 LL-GaussianImage，这是第一个零样本无监督框架，专为直接在 2DGS 压缩表示域内进行低光增强而设计。该框架提供了三个主要优点。首先，设计了一个语义引导的 Mixture-of-Experts 增强框架。使用渲染图像作为指导，将动态自适应变换应用于 2DGS 的稀疏属性空间，以实现压缩增强，而无需完全解压缩到像素网格。其次，建立多目标协同损失函数系统，严格约束增强过程中的平滑度和保真度，在提高视觉质量的同时抑制伪影。第三，利用两阶段优化过程来实现重建增强。通过单尺度重建保证了基础表示的准确性，增强了网络的鲁棒性。在保持高压缩比的同时实现低光图像的高质量增强。通过实验结果验证了压缩表示域内直接处理范例的可行性和优越性。</w:t>
      </w:r>
    </w:p>
    <w:p>
      <w:pPr>
        <w:spacing w:before="120"/>
      </w:pPr>
      <w:r>
        <w:rPr>
          <w:rFonts w:ascii="Times New Roman" w:hAnsi="Times New Roman" w:eastAsia="宋体"/>
          <w:b/>
          <w:sz w:val="21"/>
        </w:rPr>
        <w:t>English Abstract:</w:t>
      </w:r>
    </w:p>
    <w:p>
      <w:r>
        <w:rPr>
          <w:rFonts w:ascii="Times New Roman" w:hAnsi="Times New Roman" w:eastAsia="宋体"/>
          <w:sz w:val="21"/>
        </w:rPr>
        <w:t>2D Gaussian Splatting (2DGS) is an emerging explicit scene representation method with significant potential for image compression due to high fidelity and high compression ratios. However, existing low-light enhancement algorithms operate predominantly within the pixel domain. Processing 2DGS-compressed images necessitates a cumbersome decompression-enhancement-recompression pipeline, which compromises efficiency and introduces secondary degradation. To address these limitations, we propose LL-GaussianImage, the first zero-shot unsupervised framework designed for low-light enhancement directly within the 2DGS compressed representation domain. Three primary advantages are offered by this framework. First, a semantic-guided Mixture-of-Experts enhancement framework is designed. Dynamic adaptive transformations are applied to the sparse attribute space of 2DGS using rendered images as guidance to enable compression-as-enhancement without full decompression to a pixel grid. Second, a multi-objective collaborative loss function system is established to strictly constrain smoothness and fidelity during enhancement, suppressing artifacts while improving visual quality. Third, a two-stage optimization process is utilized to achieve reconstruction-as-enhancement. The accuracy of the base representation is ensured through single-scale reconstruction and network robustness is enhanced. High-quality enhancement of low-light images is achieved while high compression ratios are maintained. The feasibility and superiority of the paradigm for direct processing within the compressed representation domain are validated through experimental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基于扩散模型的数据增强增强神经元分割</w:t>
      </w:r>
    </w:p>
    <w:p>
      <w:r>
        <w:rPr>
          <w:rFonts w:ascii="Times New Roman" w:hAnsi="Times New Roman" w:eastAsia="宋体"/>
          <w:b/>
          <w:color w:val="003264"/>
          <w:sz w:val="24"/>
        </w:rPr>
        <w:t>Diffusion Model-Based Data Augmentation for Enhanced Neuron Segmentation</w:t>
      </w:r>
    </w:p>
    <w:p>
      <w:r>
        <w:rPr>
          <w:rFonts w:ascii="Times New Roman" w:hAnsi="Times New Roman" w:eastAsia="宋体"/>
          <w:sz w:val="21"/>
        </w:rPr>
        <w:t>作者: Hua Han</w:t>
        <w:br/>
      </w:r>
      <w:r>
        <w:rPr>
          <w:rFonts w:ascii="Times New Roman" w:hAnsi="Times New Roman" w:eastAsia="宋体"/>
          <w:sz w:val="21"/>
        </w:rPr>
        <w:t xml:space="preserve">时间: 2026-01-22T09:12:05Z | </w:t>
      </w:r>
      <w:r>
        <w:t xml:space="preserve">链接: </w:t>
      </w:r>
      <w:hyperlink r:id="rId82">
        <w:r>
          <w:rPr>
            <w:rFonts w:ascii="Times New Roman" w:hAnsi="Times New Roman" w:eastAsia="宋体"/>
            <w:color w:val="0000FF"/>
            <w:sz w:val="21"/>
            <w:u w:val="single"/>
          </w:rPr>
          <w:t>https://arxiv.org/abs/2601.15779v1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显微镜（EM）中的神经元分割旨在重建完整的神经元连接组；然而，当前基于深度学习的方法由于依赖大规模训练数据和大量耗时的手动注释而受到限制。传统方法通过几何和光度变换来扩充训练集；然而，生成的样本仍然与原始图像高度相关，并且缺乏结构多样性。为了解决这个限制，我们提出了一种基于扩散的数据增强框架，能够为神经元分割生成多样化且结构合理的图像标签对。具体来说，该框架采用具有多尺度调节和 EM 分辨率先验的分辨率感知条件扩散模型，以实现从 3D 掩模合成体素级图像。它还包含一个生物学引导的面具重塑模块，可生成具有增强结构真实性的增强面具。这些组件共同有效地丰富了训练集并提高了分割性能。在低注释机制下的 AC3 和 AC4 数据集上，当与两种不同的后处理方法相结合时，我们的方法将 ARAND 指标分别提高了 32.1% 和 30.7%。我们的代码可在 https://github.com/HeadLiuYun/NeuroDiff 获取。</w:t>
      </w:r>
    </w:p>
    <w:p>
      <w:pPr>
        <w:spacing w:before="120"/>
      </w:pPr>
      <w:r>
        <w:rPr>
          <w:rFonts w:ascii="Times New Roman" w:hAnsi="Times New Roman" w:eastAsia="宋体"/>
          <w:b/>
          <w:sz w:val="21"/>
        </w:rPr>
        <w:t>English Abstract:</w:t>
      </w:r>
    </w:p>
    <w:p>
      <w:r>
        <w:rPr>
          <w:rFonts w:ascii="Times New Roman" w:hAnsi="Times New Roman" w:eastAsia="宋体"/>
          <w:sz w:val="21"/>
        </w:rPr>
        <w:t>Neuron segmentation in electron microscopy (EM) aims to reconstruct the complete neuronal connectome; however, current deep learning-based methods are limited by their reliance on large-scale training data and extensive, time-consuming manual annotations. Traditional methods augment the training set through geometric and photometric transformations; however, the generated samples remain highly correlated with the original images and lack structural diversity. To address this limitation, we propose a diffusion-based data augmentation framework capable of generating diverse and structurally plausible image-label pairs for neuron segmentation. Specifically, the framework employs a resolution-aware conditional diffusion model with multi-scale conditioning and EM resolution priors to enable voxel-level image synthesis from 3D masks. It further incorporates a biology-guided mask remodeling module that produces augmented masks with enhanced structural realism. Together, these components effectively enrich the training set and improve segmentation performance. On the AC3 and AC4 datasets under low-annotation regimes, our method improves the ARAND metric by 32.1% and 30.7%, respectively, when combined with two different post-processing methods. Our code is available at https://github.com/HeadLiuYun/NeuroDiff.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超越现成模型：为生态学家处理图像数据提供轻量级且可访问的机器学习管道</w:t>
      </w:r>
    </w:p>
    <w:p>
      <w:r>
        <w:rPr>
          <w:rFonts w:ascii="Times New Roman" w:hAnsi="Times New Roman" w:eastAsia="宋体"/>
          <w:b/>
          <w:color w:val="003264"/>
          <w:sz w:val="24"/>
        </w:rPr>
        <w:t>Beyond Off-the-Shelf Models: A Lightweight and Accessible Machine Learning Pipeline for Ecologists Working with Image Data</w:t>
      </w:r>
    </w:p>
    <w:p>
      <w:r>
        <w:rPr>
          <w:rFonts w:ascii="Times New Roman" w:hAnsi="Times New Roman" w:eastAsia="宋体"/>
          <w:sz w:val="21"/>
        </w:rPr>
        <w:t>作者: Ludwig Bothmann</w:t>
        <w:br/>
      </w:r>
      <w:r>
        <w:rPr>
          <w:rFonts w:ascii="Times New Roman" w:hAnsi="Times New Roman" w:eastAsia="宋体"/>
          <w:sz w:val="21"/>
        </w:rPr>
        <w:t xml:space="preserve">时间: 2026-01-22T10:01:01Z | </w:t>
      </w:r>
      <w:r>
        <w:t xml:space="preserve">链接: </w:t>
      </w:r>
      <w:hyperlink r:id="rId83">
        <w:r>
          <w:rPr>
            <w:rFonts w:ascii="Times New Roman" w:hAnsi="Times New Roman" w:eastAsia="宋体"/>
            <w:color w:val="0000FF"/>
            <w:sz w:val="21"/>
            <w:u w:val="single"/>
          </w:rPr>
          <w:t>https://arxiv.org/abs/2601.15813v1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轻量级实验流程，旨在降低在生态研究中应用机器学习（ML）方法对图像进行分类的障碍。我们使生态学家能够独立试验机器学习模型，因此他们可以超越现成的模型，并生成针对本地数据集和特定分类任务和目标变量的见解。我们的工具将用于预处理、训练和评估的简单命令行界面与用于注释、错误分析和模型比较的图形界面相结合。这种设计使生态学家能够构建和迭代紧凑的、特定于任务的分类器，而无需高级的机器学习专业知识。作为概念验证，我们应用该管道根据在德国 Veldenstein 森林收集的 3392 张相机陷阱图像中的年龄和性别对马鹿 (Cervus elaphus) 进行分类。使用 4352 张包含由专家标记的个体鹿的裁剪图像，我们使用各种参数和数据增强策略来训练和评估多个骨干架构。我们表现​​最好的模型的年龄分类准确率达到 90.77%，性别分类准确率达到 96.15%。这些结果表明，即使数据有限，也可以进行可靠的人口统计分类来回答狭窄的、明确的生态问题。更广泛地说，该框架为生态学家提供了一个易于使用的工具，用于开发针对特定研究问题的机器学习模型，为在野生动物监测和人口分析中更广泛地采用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We introduce a lightweight experimentation pipeline designed to lower the barrier for applying machine learning (ML) methods for classifying images in ecological research. We enable ecologists to experiment with ML models independently, thus they can move beyond off-the-shelf models and generate insights tailored to local datasets and specific classification tasks and target variables. Our tool combines a simple command-line interface for preprocessing, training, and evaluation with a graphical interface for annotation, error analysis, and model comparison. This design enables ecologists to build and iterate on compact, task-specific classifiers without requiring advanced ML expertise. As a proof of concept, we apply the pipeline to classify red deer (Cervus elaphus) by age and sex from 3392 camera trap images collected in the Veldenstein Forest, Germany. Using 4352 cropped images containing individual deer labeled by experts, we trained and evaluated multiple backbone architectures with a wide variety of parameters and data augmentation strategies. Our best-performing models achieved 90.77% accuracy for age classification and 96.15% for sex classification. These results demonstrate that reliable demographic classification is feasible even with limited data to answer narrow, well-defined ecological problems. More broadly, the framework provides ecologists with an accessible tool for developing ML models tailored to specific research questions, paving the way for broader adoption of ML in wildlife monitoring and demographic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通过判别原型引导扩散实现现实遥感数据集蒸馏</w:t>
      </w:r>
    </w:p>
    <w:p>
      <w:r>
        <w:rPr>
          <w:rFonts w:ascii="Times New Roman" w:hAnsi="Times New Roman" w:eastAsia="宋体"/>
          <w:b/>
          <w:color w:val="003264"/>
          <w:sz w:val="24"/>
        </w:rPr>
        <w:t>Towards Realistic Remote Sensing Dataset Distillation with Discriminative Prototype-guided Diffusion</w:t>
      </w:r>
    </w:p>
    <w:p>
      <w:r>
        <w:rPr>
          <w:rFonts w:ascii="Times New Roman" w:hAnsi="Times New Roman" w:eastAsia="宋体"/>
          <w:sz w:val="21"/>
        </w:rPr>
        <w:t>作者: Qihao Weng</w:t>
        <w:br/>
      </w:r>
      <w:r>
        <w:rPr>
          <w:rFonts w:ascii="Times New Roman" w:hAnsi="Times New Roman" w:eastAsia="宋体"/>
          <w:sz w:val="21"/>
        </w:rPr>
        <w:t xml:space="preserve">时间: 2026-01-22T10:30:32Z | </w:t>
      </w:r>
      <w:r>
        <w:t xml:space="preserve">链接: </w:t>
      </w:r>
      <w:hyperlink r:id="rId84">
        <w:r>
          <w:rPr>
            <w:rFonts w:ascii="Times New Roman" w:hAnsi="Times New Roman" w:eastAsia="宋体"/>
            <w:color w:val="0000FF"/>
            <w:sz w:val="21"/>
            <w:u w:val="single"/>
          </w:rPr>
          <w:t>https://arxiv.org/abs/2601.15829v1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在大规模基准数据集的推动下，深度学习在遥感图像解释方面取得了巨大成功。然而，这种对海量训练数据的依赖也带来了两大挑战：（1）高昂的存储和计算成本，以及（2）数据泄露的风险，尤其是涉及敏感类别时。为了应对这些挑战，本研究首次将数据集蒸馏的概念引入遥感图像解译领域。具体来说，我们训练文本到图像的扩散模型，将大规模遥感数据集压缩为紧凑且具有代表性的蒸馏数据集。为了提高合成样本的判别质量，我们提出了一种分类器驱动的指导，通过将预训练模型的分类一致性损失注入到扩散训练过程中。此外，考虑到遥感图像丰富的语义复杂性，我们进一步对训练样本进行潜在空间聚类，以选择具有代表性和多样性的原型作为视觉风格指导，同时使用视觉语言模型提供聚合的文本描述。在三个高分辨率遥感场景分类基准上的实验表明，该方法可以提取真实且多样化的样本用于下游模型训练。代码和预训练模型可在线获取（https://github.com/YonghaoXu/DPD）。</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the remarkable success of deep learning in remote sensing image interpretation, driven by the availability of large-scale benchmark datasets. However, this reliance on massive training data also brings two major challenges: (1) high storage and computational costs, and (2) the risk of data leakage, especially when sensitive categories are involved. To address these challenges, this study introduces the concept of dataset distillation into the field of remote sensing image interpretation for the first time. Specifically, we train a text-to-image diffusion model to condense a large-scale remote sensing dataset into a compact and representative distilled dataset. To improve the discriminative quality of the synthesized samples, we propose a classifier-driven guidance by injecting a classification consistency loss from a pre-trained model into the diffusion training process. Besides, considering the rich semantic complexity of remote sensing imagery, we further perform latent space clustering on training samples to select representative and diverse prototypes as visual style guidance, while using a visual language model to provide aggregated text descriptions. Experiments on three high-resolution remote sensing scene classification benchmarks show that the proposed method can distill realistic and diverse samples for downstream model training. Code and pre-trained models are available online (https://github.com/YonghaoXu/DPD).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不确定性引导的暗场射线照片生成</w:t>
      </w:r>
    </w:p>
    <w:p>
      <w:r>
        <w:rPr>
          <w:rFonts w:ascii="Times New Roman" w:hAnsi="Times New Roman" w:eastAsia="宋体"/>
          <w:b/>
          <w:color w:val="003264"/>
          <w:sz w:val="24"/>
        </w:rPr>
        <w:t>Uncertainty-guided Generation of Dark-field Radiographs</w:t>
      </w:r>
    </w:p>
    <w:p>
      <w:r>
        <w:rPr>
          <w:rFonts w:ascii="Times New Roman" w:hAnsi="Times New Roman" w:eastAsia="宋体"/>
          <w:sz w:val="21"/>
        </w:rPr>
        <w:t>作者: Julia Schnabel</w:t>
        <w:br/>
      </w:r>
      <w:r>
        <w:rPr>
          <w:rFonts w:ascii="Times New Roman" w:hAnsi="Times New Roman" w:eastAsia="宋体"/>
          <w:sz w:val="21"/>
        </w:rPr>
        <w:t xml:space="preserve">时间: 2026-01-22T11:07:19Z | </w:t>
      </w:r>
      <w:r>
        <w:t xml:space="preserve">链接: </w:t>
      </w:r>
      <w:hyperlink r:id="rId85">
        <w:r>
          <w:rPr>
            <w:rFonts w:ascii="Times New Roman" w:hAnsi="Times New Roman" w:eastAsia="宋体"/>
            <w:color w:val="0000FF"/>
            <w:sz w:val="21"/>
            <w:u w:val="single"/>
          </w:rPr>
          <w:t>https://arxiv.org/abs/2601.15859v1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暗场放射成像通过小角度散射可视化微观结构组织变化，为传统衰减成像提供补充诊断信息。然而，此类数据的可用性有限，给开发强大的深度学习模型带来了挑战。在这项工作中，我们提出了第一个使用不确定性引导渐进生成对抗网络直接从标准衰减胸部 X 射线生成暗场图像的框架。该模型结合了任意和认知不确定性，以提高可解释性和可靠性。实验证明生成的图像具有高结构保真度，并且各个阶段的定量指标得到了一致的改进。此外，分布外评估证实所提出的模型具有良好的泛化性。我们的结果表明，不确定性引导的生成模型可以实现逼真的暗场图像合成，并为未来的临床应用提供可靠的基础。</w:t>
      </w:r>
    </w:p>
    <w:p>
      <w:pPr>
        <w:spacing w:before="120"/>
      </w:pPr>
      <w:r>
        <w:rPr>
          <w:rFonts w:ascii="Times New Roman" w:hAnsi="Times New Roman" w:eastAsia="宋体"/>
          <w:b/>
          <w:sz w:val="21"/>
        </w:rPr>
        <w:t>English Abstract:</w:t>
      </w:r>
    </w:p>
    <w:p>
      <w:r>
        <w:rPr>
          <w:rFonts w:ascii="Times New Roman" w:hAnsi="Times New Roman" w:eastAsia="宋体"/>
          <w:sz w:val="21"/>
        </w:rPr>
        <w:t>X-ray dark-field radiography provides complementary diagnostic information to conventional attenuation imaging by visualizing microstructural tissue changes through small-angle scattering. However, the limited availability of such data poses challenges for developing robust deep learning models. In this work, we present the first framework for generating dark-field images directly from standard attenuation chest X-rays using an Uncertainty-Guided Progressive Generative Adversarial Network. The model incorporates both aleatoric and epistemic uncertainty to improve interpretability and reliability. Experiments demonstrate high structural fidelity of the generated images, with consistent improvement of quantitative metrics across stages. Furthermore, out-of-distribution evaluation confirms that the proposed model generalizes well. Our results indicate that uncertainty-guided generative modeling enables realistic dark-field image synthesis and provides a reliable foundation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用于冠状动脉造影的轻量级脑启发机器学习框架：混合神经表示和鲁棒学习策略</w:t>
      </w:r>
    </w:p>
    <w:p>
      <w:r>
        <w:rPr>
          <w:rFonts w:ascii="Times New Roman" w:hAnsi="Times New Roman" w:eastAsia="宋体"/>
          <w:b/>
          <w:color w:val="003264"/>
          <w:sz w:val="24"/>
        </w:rPr>
        <w:t>A Lightweight Brain-Inspired Machine Learning Framework for Coronary Angiography: Hybrid Neural Representation and Robust Learning Strategies</w:t>
      </w:r>
    </w:p>
    <w:p>
      <w:r>
        <w:rPr>
          <w:rFonts w:ascii="Times New Roman" w:hAnsi="Times New Roman" w:eastAsia="宋体"/>
          <w:sz w:val="21"/>
        </w:rPr>
        <w:t>作者: Siqi Wang</w:t>
        <w:br/>
      </w:r>
      <w:r>
        <w:rPr>
          <w:rFonts w:ascii="Times New Roman" w:hAnsi="Times New Roman" w:eastAsia="宋体"/>
          <w:sz w:val="21"/>
        </w:rPr>
        <w:t xml:space="preserve">时间: 2026-01-22T11:14:37Z | </w:t>
      </w:r>
      <w:r>
        <w:t xml:space="preserve">链接: </w:t>
      </w:r>
      <w:hyperlink r:id="rId86">
        <w:r>
          <w:rPr>
            <w:rFonts w:ascii="Times New Roman" w:hAnsi="Times New Roman" w:eastAsia="宋体"/>
            <w:color w:val="0000FF"/>
            <w:sz w:val="21"/>
            <w:u w:val="single"/>
          </w:rPr>
          <w:t>https://arxiv.org/abs/2601.15865v1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冠状动脉造影（CAG）是评估冠状动脉疾病和指导介入治疗决策的基础成像方式。然而，在现实临床环境中，血管造影图像通常具有复杂的病变形态、严重的类别不平衡、标签不确定性和有限的计算资源等特点，这对传统深度学习方法在鲁棒性和泛化性方面提出了巨大的挑战。 方法：所提出的框架建立在预训练的卷积神经网络的基础上，以构建轻量级的混合神经表示。引入选择性神经可塑性训练策略以实现有效的参数适应。此外，采用受大脑启发的注意力调制损失函数，将焦点损失与标签平滑相结合，以增强对硬样本和不确定注释的敏感性。采用类不平衡感知采样和热重启余弦退火来模拟生物神经系统中观察到的节律调节和注意力分配机制。结果：实验结果表明，所提出的轻量级类脑启发模型在二元冠状动脉造影分类中实现了强大而稳定的性能，在保持高计算效率的同时产生了有竞争力的准确性、召回率、F1分数和AUC指标。结论：本研究验证了类脑启发学习机制在轻量级医学图像分析中的有效性，并提供了一种在有限的计算资源下为智能临床决策支持提供生物学上合理且可部署的解决方案。</w:t>
      </w:r>
    </w:p>
    <w:p>
      <w:pPr>
        <w:spacing w:before="120"/>
      </w:pPr>
      <w:r>
        <w:rPr>
          <w:rFonts w:ascii="Times New Roman" w:hAnsi="Times New Roman" w:eastAsia="宋体"/>
          <w:b/>
          <w:sz w:val="21"/>
        </w:rPr>
        <w:t>English Abstract:</w:t>
      </w:r>
    </w:p>
    <w:p>
      <w:r>
        <w:rPr>
          <w:rFonts w:ascii="Times New Roman" w:hAnsi="Times New Roman" w:eastAsia="宋体"/>
          <w:sz w:val="21"/>
        </w:rPr>
        <w:t>Background: Coronary angiography (CAG) is a cornerstone imaging modality for assessing coronary artery disease and guiding interventional treatment decisions. However, in real-world clinical settings, angiographic images are often characterized by complex lesion morphology, severe class imbalance, label uncertainty, and limited computational resources, posing substantial challenges to conventional deep learning approaches in terms of robustness and generalization.Methods: The proposed framework is built upon a pretrained convolutional neural network to construct a lightweight hybrid neural representation. A selective neural plasticity training strategy is introduced to enable efficient parameter adaptation. Furthermore, a brain-inspired attention-modulated loss function, combining Focal Loss with label smoothing, is employed to enhance sensitivity to hard samples and uncertain annotations. Class-imbalance-aware sampling and cosine annealing with warm restarts are adopted to mimic rhythmic regulation and attention allocation mechanisms observed in biological neural systems.Results: Experimental results demonstrate that the proposed lightweight brain-inspired model achieves strong and stable performance in binary coronary angiography classification, yielding competitive accuracy, recall, F1-score, and AUC metrics while maintaining high computational efficiency.Conclusion: This study validates the effectiveness of brain-inspired learning mechanisms in lightweight medical image analysis and provides a biologically plausible and deployable solution for intelligent clinical decision support under limited computational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基于总变异估计的分布外检测</w:t>
      </w:r>
    </w:p>
    <w:p>
      <w:r>
        <w:rPr>
          <w:rFonts w:ascii="Times New Roman" w:hAnsi="Times New Roman" w:eastAsia="宋体"/>
          <w:b/>
          <w:color w:val="003264"/>
          <w:sz w:val="24"/>
        </w:rPr>
        <w:t>Out-of-Distribution Detection Based on Total Variation Estimation</w:t>
      </w:r>
    </w:p>
    <w:p>
      <w:r>
        <w:rPr>
          <w:rFonts w:ascii="Times New Roman" w:hAnsi="Times New Roman" w:eastAsia="宋体"/>
          <w:sz w:val="21"/>
        </w:rPr>
        <w:t>作者: Haojun Fei</w:t>
        <w:br/>
      </w:r>
      <w:r>
        <w:rPr>
          <w:rFonts w:ascii="Times New Roman" w:hAnsi="Times New Roman" w:eastAsia="宋体"/>
          <w:sz w:val="21"/>
        </w:rPr>
        <w:t xml:space="preserve">时间: 2026-01-22T11:15:16Z | </w:t>
      </w:r>
      <w:r>
        <w:t xml:space="preserve">链接: </w:t>
      </w:r>
      <w:hyperlink r:id="rId87">
        <w:r>
          <w:rPr>
            <w:rFonts w:ascii="Times New Roman" w:hAnsi="Times New Roman" w:eastAsia="宋体"/>
            <w:color w:val="0000FF"/>
            <w:sz w:val="21"/>
            <w:u w:val="single"/>
          </w:rPr>
          <w:t>https://arxiv.org/abs/2601.15867v1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本文介绍了一种确保机器学习模型部署免受实际应用中潜在分布变化影响的新方法，即总变异分布外 (TV-OOD) 检测方法。现有方法已经产生了令人满意的结果，但 TV-OOD 通过利用总变异网络估计器来计算每个输入对总体总变异的贡献，从而对这些方法进行了改进。通过将其定义为总变异分数，TV-OOD 可以区分分布内和分布外的数据。该方法的功效在一系列模型和数据集上进行了测试，在图像分类任务中始终产生与所有评估指标中领先的分布外检测技术所获得的结果相当或优于的结果。</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approach to securing machine learning model deployments against potential distribution shifts in practical applications, the Total Variation Out-of-Distribution (TV-OOD) detection method. Existing methods have produced satisfactory results, but TV-OOD improves upon these by leveraging the Total Variation Network Estimator to calculate each input's contribution to the overall total variation. By defining this as the total variation score, TV-OOD discriminates between in- and out-of-distribution data. The method's efficacy was tested across a range of models and datasets, consistently yielding results in image classification tasks that were either comparable or superior to those achieved by leading-edge out-of-distribution detection techniques across all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PMPBench：用于医学图像合成的配对多模态泛癌症基准</w:t>
      </w:r>
    </w:p>
    <w:p>
      <w:r>
        <w:rPr>
          <w:rFonts w:ascii="Times New Roman" w:hAnsi="Times New Roman" w:eastAsia="宋体"/>
          <w:b/>
          <w:color w:val="003264"/>
          <w:sz w:val="24"/>
        </w:rPr>
        <w:t>PMPBench: A Paired Multi-Modal Pan-Cancer Benchmark for Medical Image Synthesis</w:t>
      </w:r>
    </w:p>
    <w:p>
      <w:r>
        <w:rPr>
          <w:rFonts w:ascii="Times New Roman" w:hAnsi="Times New Roman" w:eastAsia="宋体"/>
          <w:sz w:val="21"/>
        </w:rPr>
        <w:t>作者: Chao Li</w:t>
        <w:br/>
      </w:r>
      <w:r>
        <w:rPr>
          <w:rFonts w:ascii="Times New Roman" w:hAnsi="Times New Roman" w:eastAsia="宋体"/>
          <w:sz w:val="21"/>
        </w:rPr>
        <w:t xml:space="preserve">时间: 2026-01-22T11:58:37Z | </w:t>
      </w:r>
      <w:r>
        <w:t xml:space="preserve">链接: </w:t>
      </w:r>
      <w:hyperlink r:id="rId88">
        <w:r>
          <w:rPr>
            <w:rFonts w:ascii="Times New Roman" w:hAnsi="Times New Roman" w:eastAsia="宋体"/>
            <w:color w:val="0000FF"/>
            <w:sz w:val="21"/>
            <w:u w:val="single"/>
          </w:rPr>
          <w:t>https://arxiv.org/abs/2601.15884v1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造影剂在放射成像中发挥着关键作用，因为它可以增强病变的清晰度并改善肿瘤相关疾病诊断的检测。然而，根据患者的健康状况或可用的医疗资源，使用造影剂并不总是可行的。最近的工作探索了基于人工智能的图像翻译，直接从非对比扫描合成对比增强图像，旨在减少副作用并简化临床工作流程。这一方向的进展受到数据限制的限制：（1）现有的公共数据集几乎完全关注与大脑相关的配对 MR 模式； (2) 其他集合包括部分配对的数据，但存在模式/时间戳缺失和空间对齐不完善的问题； (3) 通常缺乏 CT 与 CTC 或 DCE 相位的明确标记； (4)大量资源仍然是私人的。为了弥补这一差距，我们引入了第一个公开的、完全配对的、涵盖 11 个人体器官的泛癌症医学成像数据集。 MR 数据包括覆盖所有三个阶段 (DCE1-DCE3) 的完整动态对比增强 (DCE) 序列，而 CT 数据提供配对的非对比和对比增强采集 (CTC)。该数据集针对解剖对应进行整理，能够对 1 对 1、N 对 1 和 N 对 N 转换设置进行严格评估（例如，根据非对比输入预测 DCE 相位）。在此资源的基础上，我们建立了一个全面的基准。我们报告了当代图像到图像翻译的代表性基线的结果。我们发布数据集和基准，以促进安全、有效的对比合成研究，与多器官肿瘤成像工作流程直接相关。我们的代码和数据集可在 https://github.com/YifanChen02/PMPBench 上公开获取。</w:t>
      </w:r>
    </w:p>
    <w:p>
      <w:pPr>
        <w:spacing w:before="120"/>
      </w:pPr>
      <w:r>
        <w:rPr>
          <w:rFonts w:ascii="Times New Roman" w:hAnsi="Times New Roman" w:eastAsia="宋体"/>
          <w:b/>
          <w:sz w:val="21"/>
        </w:rPr>
        <w:t>English Abstract:</w:t>
      </w:r>
    </w:p>
    <w:p>
      <w:r>
        <w:rPr>
          <w:rFonts w:ascii="Times New Roman" w:hAnsi="Times New Roman" w:eastAsia="宋体"/>
          <w:sz w:val="21"/>
        </w:rPr>
        <w:t>Contrast medium plays a pivotal role in radiological imaging, as it amplifies lesion conspicuity and improves detection for the diagnosis of tumor-related diseases. However, depending on the patient's health condition or the medical resources available, the use of contrast medium is not always feasible. Recent work has explored AI-based image translation to synthesize contrast-enhanced images directly from non-contrast scans, aims to reduce side effects and streamlines clinical workflows. Progress in this direction has been constrained by data limitations: (1) existing public datasets focus almost exclusively on brain-related paired MR modalities; (2) other collections include partially paired data but suffer from missing modalities/timestamps and imperfect spatial alignment; (3) explicit labeling of CT vs. CTC or DCE phases is often absent; (4) substantial resources remain private. To bridge this gap, we introduce the first public, fully paired, pan-cancer medical imaging dataset spanning 11 human organs. The MR data include complete dynamic contrast-enhanced (DCE) sequences covering all three phases (DCE1-DCE3), while the CT data provide paired non-contrast and contrast-enhanced acquisitions (CTC). The dataset is curated for anatomical correspondence, enabling rigorous evaluation of 1-to-1, N-to-1, and N-to-N translation settings (e.g., predicting DCE phases from non-contrast inputs). Built upon this resource, we establish a comprehensive benchmark. We report results from representative baselines of contemporary image-to-image translation. We release the dataset and benchmark to catalyze research on safe, effective contrast synthesis, with direct relevance to multi-organ oncology imaging workflows. Our code and dataset are publicly available at https://github.com/YifanChen02/PMPBench.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了解视觉基础模型的传输限制</w:t>
      </w:r>
    </w:p>
    <w:p>
      <w:r>
        <w:rPr>
          <w:rFonts w:ascii="Times New Roman" w:hAnsi="Times New Roman" w:eastAsia="宋体"/>
          <w:b/>
          <w:color w:val="003264"/>
          <w:sz w:val="24"/>
        </w:rPr>
        <w:t>Understanding the Transfer Limits of Vision Foundation Models</w:t>
      </w:r>
    </w:p>
    <w:p>
      <w:r>
        <w:rPr>
          <w:rFonts w:ascii="Times New Roman" w:hAnsi="Times New Roman" w:eastAsia="宋体"/>
          <w:sz w:val="21"/>
        </w:rPr>
        <w:t>作者: Yipeng Hu</w:t>
        <w:br/>
      </w:r>
      <w:r>
        <w:rPr>
          <w:rFonts w:ascii="Times New Roman" w:hAnsi="Times New Roman" w:eastAsia="宋体"/>
          <w:sz w:val="21"/>
        </w:rPr>
        <w:t xml:space="preserve">时间: 2026-01-22T12:07:56Z | </w:t>
      </w:r>
      <w:r>
        <w:t xml:space="preserve">链接: </w:t>
      </w:r>
      <w:hyperlink r:id="rId89">
        <w:r>
          <w:rPr>
            <w:rFonts w:ascii="Times New Roman" w:hAnsi="Times New Roman" w:eastAsia="宋体"/>
            <w:color w:val="0000FF"/>
            <w:sz w:val="21"/>
            <w:u w:val="single"/>
          </w:rPr>
          <w:t>https://arxiv.org/abs/2601.15888v1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基础模型利用大规模预训练来捕获广泛的知识，展示各种语言任务的泛化能力。相比之下，尽管计算投入巨大，但视觉基础模型 (VFM) 在下游任务中通常表现出不均匀的改进。我们假设这种限制是由于预训练目标与下游视觉和成像任务的需求之间的不匹配造成的。用于恢复通用视觉模式或全局语义结构等任务的预训练策略（例如掩模图像重建或对比学习形状表示）可能与下游应用程序（包括分割、分类或图像合成）的特定任务要求不一致。为了在具体的现实世界临床领域中研究这一点，我们在五个前列腺多参数 MR 成像任务上评估了两个 VFM，一个专注于重建的基于 MAE 的模型 (ProFound) 和一个基于对比学习的模型 (ProViCNet)，检查此类任务对齐如何影响传输性能，即从预训练到微调。我们的研究结果表明，通过简单的分歧指标（例如微调前后相同特征之间的最大均值差异（MMD））来衡量预训练和下游任务之间的更好一致性，与更大的性能改进和更快的收敛相关，强调了设计和分析预训练目标时考虑下游适用性的重要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leverage large-scale pretraining to capture extensive knowledge, demonstrating generalization in a wide range of language tasks. By comparison, vision foundation models (VFMs) often exhibit uneven improvements across downstream tasks, despite substantial computational investment. We postulate that this limitation arises from a mismatch between pretraining objectives and the demands of downstream vision-and-imaging tasks. Pretraining strategies like masked image reconstruction or contrastive learning shape representations for tasks such as recovery of generic visual patterns or global semantic structures, which may not align with the task-specific requirements of downstream applications including segmentation, classification, or image synthesis. To investigate this in a concrete real-world clinical area, we assess two VFMs, a reconstruction-focused MAE-based model (ProFound) and a contrastive-learning-based model (ProViCNet), on five prostate multiparametric MR imaging tasks, examining how such task alignment influences transfer performance, i.e., from pretraining to fine-tuning. Our findings indicate that better alignment between pretraining and downstream tasks, measured by simple divergence metrics such as maximum-mean-discrepancy (MMD) between the same features before and after fine-tuning, correlates with greater performance improvements and faster convergence, emphasizing the importance of designing and analyzing pretraining objectives with downstream applicability in 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RadJEPA：通过联合嵌入预测架构进行胸部 X 光放射学编码器</w:t>
      </w:r>
    </w:p>
    <w:p>
      <w:r>
        <w:rPr>
          <w:rFonts w:ascii="Times New Roman" w:hAnsi="Times New Roman" w:eastAsia="宋体"/>
          <w:b/>
          <w:color w:val="003264"/>
          <w:sz w:val="24"/>
        </w:rPr>
        <w:t>RadJEPA: Radiology Encoder for Chest X-Rays via Joint Embedding Predictive Architecture</w:t>
      </w:r>
    </w:p>
    <w:p>
      <w:r>
        <w:rPr>
          <w:rFonts w:ascii="Times New Roman" w:hAnsi="Times New Roman" w:eastAsia="宋体"/>
          <w:sz w:val="21"/>
        </w:rPr>
        <w:t>作者: Kshitij Jadhav</w:t>
        <w:br/>
      </w:r>
      <w:r>
        <w:rPr>
          <w:rFonts w:ascii="Times New Roman" w:hAnsi="Times New Roman" w:eastAsia="宋体"/>
          <w:sz w:val="21"/>
        </w:rPr>
        <w:t xml:space="preserve">时间: 2026-01-22T12:11:53Z | </w:t>
      </w:r>
      <w:r>
        <w:t xml:space="preserve">链接: </w:t>
      </w:r>
      <w:hyperlink r:id="rId90">
        <w:r>
          <w:rPr>
            <w:rFonts w:ascii="Times New Roman" w:hAnsi="Times New Roman" w:eastAsia="宋体"/>
            <w:color w:val="0000FF"/>
            <w:sz w:val="21"/>
            <w:u w:val="single"/>
          </w:rPr>
          <w:t>https://arxiv.org/abs/2601.15891v1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视觉语言模型的最新进展指导了视觉表征的学习；然而，这种形式的监督受到配对图像文本数据的可用性的限制，这就提出了一个问题：是否可以在不依赖语言监督的情况下学习鲁棒的放射学编码器。在这项工作中，我们介绍了 RadJEPA，这是一个基于联合嵌入预测架构构建的自监督框架，无需语言监督即可学习。该模型仅针对未标记的胸部 X 射线图像进行预训练，学习预测屏蔽图像区域的潜在表示。这种预测目标与图像文本预训练和 DINO 式自蒸馏都有根本的不同：​​RadJEPA 不是跨视图或模态对齐全局表示，而是显式地对潜在空间预测进行建模。我们在疾病分类、语义分割和报告生成任务上评估学习的编码器。在各个基准测试中，RadJEPA 的性能超过了最先进的方法，包括 Rad-DINO。</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medical vision language models guide the learning of visual representations; however, this form of supervision is constrained by the availability of paired image text data, raising the question of whether robust radiology encoders can be learned without relying on language supervision. In this work, we introduce RadJEPA, a self-supervised framework built on a Joint Embedding Predictive Architecture that learns without language supervision. Pre-trained solely on unlabeled chest X-ray images, the model learns to predict latent representations of masked image regions. This predictive objective differs fundamentally from both image text pre-training and DINO-style self-distillation: rather than aligning global representations across views or modalities, RadJEPA explicitly models latent-space prediction. We evaluate the learned encoder on disease classification, semantic segmentation, and report generation tasks. Across benchmarks, RadJEPA achieves performance exceeding state-of-the-art approaches, including Rad-DINO.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MEG 的想象语音解码的 ImageNet 迁移学习</w:t>
      </w:r>
    </w:p>
    <w:p>
      <w:r>
        <w:rPr>
          <w:rFonts w:ascii="Times New Roman" w:hAnsi="Times New Roman" w:eastAsia="宋体"/>
          <w:b/>
          <w:color w:val="003264"/>
          <w:sz w:val="24"/>
        </w:rPr>
        <w:t>Transfer Learning from ImageNet for MEG-Based Decoding of Imagined Speech</w:t>
      </w:r>
    </w:p>
    <w:p>
      <w:r>
        <w:rPr>
          <w:rFonts w:ascii="Times New Roman" w:hAnsi="Times New Roman" w:eastAsia="宋体"/>
          <w:sz w:val="21"/>
        </w:rPr>
        <w:t>作者: Anne-Lise Giraud</w:t>
        <w:br/>
      </w:r>
      <w:r>
        <w:rPr>
          <w:rFonts w:ascii="Times New Roman" w:hAnsi="Times New Roman" w:eastAsia="宋体"/>
          <w:sz w:val="21"/>
        </w:rPr>
        <w:t xml:space="preserve">时间: 2026-01-22T12:38:20Z | </w:t>
      </w:r>
      <w:r>
        <w:t xml:space="preserve">链接: </w:t>
      </w:r>
      <w:hyperlink r:id="rId91">
        <w:r>
          <w:rPr>
            <w:rFonts w:ascii="Times New Roman" w:hAnsi="Times New Roman" w:eastAsia="宋体"/>
            <w:color w:val="0000FF"/>
            <w:sz w:val="21"/>
            <w:u w:val="single"/>
          </w:rPr>
          <w:t>https://arxiv.org/abs/2601.15909v1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微弱的分布式信号和有限的标记数据，对想象语音的非侵入式解码仍然具有挑战性。我们的论文介绍了一种基于图像的方法，可将脑磁图（MEG）信号转换为与预训练视觉模型兼容的时频表示。来自执行想象语音任务的 21 名参与者的 MEG 数据通过可学习的传感器空间卷积投影到三个空间尺度图混合物中，为 ImageNet 预训练的视觉架构生成紧凑的类似图像的输入。这些模型的性能优于经典模型和非预训练模型，图像与静音的平衡准确率高达 90.4%，默读的平衡准确率为 81.0%，元音解码的平衡准确率为 60.6%。跨受试者评估证实，预训练模型捕获共享神经表征，并针对图像锁定间隔进行局部判别信息的时间分析。这些发现表明，应用于基于图像的 MEG 表示的预训练视觉模型可以有效地捕获非侵入性神经信号中想象的语音结构。</w:t>
      </w:r>
    </w:p>
    <w:p>
      <w:pPr>
        <w:spacing w:before="120"/>
      </w:pPr>
      <w:r>
        <w:rPr>
          <w:rFonts w:ascii="Times New Roman" w:hAnsi="Times New Roman" w:eastAsia="宋体"/>
          <w:b/>
          <w:sz w:val="21"/>
        </w:rPr>
        <w:t>English Abstract:</w:t>
      </w:r>
    </w:p>
    <w:p>
      <w:r>
        <w:rPr>
          <w:rFonts w:ascii="Times New Roman" w:hAnsi="Times New Roman" w:eastAsia="宋体"/>
          <w:sz w:val="21"/>
        </w:rPr>
        <w:t>Non-invasive decoding of imagined speech remains challenging due to weak, distributed signals and limited labeled data. Our paper introduces an image-based approach that transforms magnetoencephalography (MEG) signals into time-frequency representations compatible with pretrained vision models. MEG data from 21 participants performing imagined speech tasks were projected into three spatial scalogram mixtures via a learnable sensor-space convolution, producing compact image-like inputs for ImageNet-pretrained vision architectures. These models outperformed classical and non-pretrained models, achieving up to 90.4% balanced accuracy for imagery vs. silence, 81.0% vs. silent reading, and 60.6% for vowel decoding. Cross-subject evaluation confirmed that pretrained models capture shared neural representations, and temporal analyses localized discriminative information to imagery-locked intervals. These findings show that pretrained vision models applied to image-based MEG representations can effectively capture the structure of imagined speech in non-invasive neural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HyperAlign：用于扩散模型的高效测试时对齐的超网络</w:t>
      </w:r>
    </w:p>
    <w:p>
      <w:r>
        <w:rPr>
          <w:rFonts w:ascii="Times New Roman" w:hAnsi="Times New Roman" w:eastAsia="宋体"/>
          <w:b/>
          <w:color w:val="003264"/>
          <w:sz w:val="24"/>
        </w:rPr>
        <w:t>HyperAlign: Hypernetwork for Efficient Test-Time Alignment of Diffusion Models</w:t>
      </w:r>
    </w:p>
    <w:p>
      <w:r>
        <w:rPr>
          <w:rFonts w:ascii="Times New Roman" w:hAnsi="Times New Roman" w:eastAsia="宋体"/>
          <w:sz w:val="21"/>
        </w:rPr>
        <w:t>作者: Dong Gong</w:t>
        <w:br/>
      </w:r>
      <w:r>
        <w:rPr>
          <w:rFonts w:ascii="Times New Roman" w:hAnsi="Times New Roman" w:eastAsia="宋体"/>
          <w:sz w:val="21"/>
        </w:rPr>
        <w:t xml:space="preserve">时间: 2026-01-22T13:49:47Z | </w:t>
      </w:r>
      <w:r>
        <w:t xml:space="preserve">链接: </w:t>
      </w:r>
      <w:hyperlink r:id="rId93">
        <w:r>
          <w:rPr>
            <w:rFonts w:ascii="Times New Roman" w:hAnsi="Times New Roman" w:eastAsia="宋体"/>
            <w:color w:val="0000FF"/>
            <w:sz w:val="21"/>
            <w:u w:val="single"/>
          </w:rPr>
          <w:t>https://arxiv.org/abs/2601.15968v1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实现了最先进的性能，但通常无法生成符合人类偏好和意图的输出，导致图像的审美质量较差和语义不一致。现有的对齐方法存在一个困难的权衡：微调方法会因奖励过度优化而损失多样性，而测试时间缩放方法会引入大量的计算开销，并且往往会优化不足。为了解决这些限制，我们提出了 HyperAlign，这是一种新颖的框架，可以训练超网络以实现高效且有效的测试时间对齐。 HyperAlign 不是修改潜在状态，而是动态生成低秩适应权重来调节扩散模型的生成算子。这使得去噪轨迹能够根据输入潜伏、时间步长和奖励条件对齐的提示进行自适应调整。我们引入了 HyperAlign 的多个变体，这些变体的不同之处在于超网络的应用频率，以平衡性能和效率。此外，我们使用偏好数据规范化的奖励分数目标来优化超网络，以减少奖励黑客行为。我们在多种扩展生成范式上评估 HyperAlign，包括稳定扩散和通量。它在增强语义一致性和视觉吸引力方面显着优于现有的微调和测试时间缩放基线。</w:t>
      </w:r>
    </w:p>
    <w:p>
      <w:pPr>
        <w:spacing w:before="120"/>
      </w:pPr>
      <w:r>
        <w:rPr>
          <w:rFonts w:ascii="Times New Roman" w:hAnsi="Times New Roman" w:eastAsia="宋体"/>
          <w:b/>
          <w:sz w:val="21"/>
        </w:rPr>
        <w:t>English Abstract:</w:t>
      </w:r>
    </w:p>
    <w:p>
      <w:r>
        <w:rPr>
          <w:rFonts w:ascii="Times New Roman" w:hAnsi="Times New Roman" w:eastAsia="宋体"/>
          <w:sz w:val="21"/>
        </w:rPr>
        <w:t>Diffusion models achieve state-of-the-art performance but often fail to generate outputs that align with human preferences and intentions, resulting in images with poor aesthetic quality and semantic inconsistencies. Existing alignment methods present a difficult trade-off: fine-tuning approaches suffer from loss of diversity with reward over-optimization, while test-time scaling methods introduce significant computational overhead and tend to under-optimize. To address these limitations, we propose HyperAlign, a novel framework that trains a hypernetwork for efficient and effective test-time alignment. Instead of modifying latent states, HyperAlign dynamically generates low-rank adaptation weights to modulate the diffusion model's generation operators. This allows the denoising trajectory to be adaptively adjusted based on input latents, timesteps and prompts for reward-conditioned alignment. We introduce multiple variants of HyperAlign that differ in how frequently the hypernetwork is applied, balancing between performance and efficiency. Furthermore, we optimize the hypernetwork using a reward score objective regularized with preference data to reduce reward hacking. We evaluate HyperAlign on multiple extended generative paradigms, including Stable Diffusion and FLUX. It significantly outperforms existing fine-tuning and test-time scaling baselines in enhancing semantic consistency and visual appeal.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PhysicsMind：基础 VLM 和世界模型中物理推理和预测的模拟和真实力学基准测试</w:t>
      </w:r>
    </w:p>
    <w:p>
      <w:r>
        <w:rPr>
          <w:rFonts w:ascii="Times New Roman" w:hAnsi="Times New Roman" w:eastAsia="宋体"/>
          <w:b/>
          <w:color w:val="003264"/>
          <w:sz w:val="24"/>
        </w:rPr>
        <w:t>PhysicsMind: Sim and Real Mechanics Benchmarking for Physical Reasoning and Prediction in Foundational VLMs and World Models</w:t>
      </w:r>
    </w:p>
    <w:p>
      <w:r>
        <w:rPr>
          <w:rFonts w:ascii="Times New Roman" w:hAnsi="Times New Roman" w:eastAsia="宋体"/>
          <w:sz w:val="21"/>
        </w:rPr>
        <w:t>作者: Shanghang Zhang</w:t>
        <w:br/>
      </w:r>
      <w:r>
        <w:rPr>
          <w:rFonts w:ascii="Times New Roman" w:hAnsi="Times New Roman" w:eastAsia="宋体"/>
          <w:sz w:val="21"/>
        </w:rPr>
        <w:t xml:space="preserve">时间: 2026-01-22T14:33:01Z | </w:t>
      </w:r>
      <w:r>
        <w:t xml:space="preserve">链接: </w:t>
      </w:r>
      <w:hyperlink r:id="rId94">
        <w:r>
          <w:rPr>
            <w:rFonts w:ascii="Times New Roman" w:hAnsi="Times New Roman" w:eastAsia="宋体"/>
            <w:color w:val="0000FF"/>
            <w:sz w:val="21"/>
            <w:u w:val="single"/>
          </w:rPr>
          <w:t>https://arxiv.org/abs/2601.16007v1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现代基础多模态大语言模型 (MLLM) 和视频世界模型在数学、常识和视觉推理方面取得了显着进步，但它们对底层物理的掌握仍然有待探索。试图衡量这个问题的现有基准依赖于合成的视觉问答模板或关注感知视频质量，这与衡量视频遵守物理定律的程度无关。为了解决这种碎片化问题，我们引入了PhysicsMind，这是一个具有真实和模拟环境的统一基准，可根据三个规范原理（质心、杠杆平衡和牛顿第一定律）评估规律一致的推理和生成。 PhysicsMind 包括两个主要任务：i）VQA 任务，测试模型是否可以推理并确定图像或短视频中的物理量和值；ii）视频生成（VG）任务，评估预测的运动轨迹是否遵循与地面真实情况相同的质心、扭矩和惯性约束。在PhysicsMind 上评估了一系列最新的模型和视频生成模型，发现它们依赖于外观启发法，同时经常违反基本力学。这些差距表明，当前的扩展和训练仍然不足以实现强大的物理理解，这凸显了PhysicsMind作为物理感知多模态模型的重点测试平台。我们的数据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Modern foundational Multimodal Large Language Models (MLLMs) and video world models have advanced significantly in mathematical, common-sense, and visual reasoning, but their grasp of the underlying physics remains underexplored. Existing benchmarks attempting to measure this matter rely on synthetic, Visual Question Answer templates or focus on perceptual video quality that is tangential to measuring how well the video abides by physical laws. To address this fragmentation, we introduce PhysicsMind, a unified benchmark with both real and simulation environments that evaluates law-consistent reasoning and generation over three canonical principles: Center of Mass, Lever Equilibrium, and Newton's First Law. PhysicsMind comprises two main tasks: i) VQA tasks, testing whether models can reason and determine physical quantities and values from images or short videos, and ii) Video Generation(VG) tasks, evaluating if predicted motion trajectories obey the same center-of-mass, torque, and inertial constraints as the ground truth. A broad range of recent models and video generation models is evaluated on PhysicsMind and found to rely on appearance heuristics while often violating basic mechanics. These gaps indicate that current scaling and training are still insufficient for robust physical understanding, underscoring PhysicsMind as a focused testbed for physics-aware multimodal models. Our data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基于关键帧的前馈视觉里程计</w:t>
      </w:r>
    </w:p>
    <w:p>
      <w:r>
        <w:rPr>
          <w:rFonts w:ascii="Times New Roman" w:hAnsi="Times New Roman" w:eastAsia="宋体"/>
          <w:b/>
          <w:color w:val="003264"/>
          <w:sz w:val="24"/>
        </w:rPr>
        <w:t>Keyframe-Based Feed-Forward Visual Odometry</w:t>
      </w:r>
    </w:p>
    <w:p>
      <w:r>
        <w:rPr>
          <w:rFonts w:ascii="Times New Roman" w:hAnsi="Times New Roman" w:eastAsia="宋体"/>
          <w:sz w:val="21"/>
        </w:rPr>
        <w:t>作者: Wanzeng Kong</w:t>
        <w:br/>
      </w:r>
      <w:r>
        <w:rPr>
          <w:rFonts w:ascii="Times New Roman" w:hAnsi="Times New Roman" w:eastAsia="宋体"/>
          <w:sz w:val="21"/>
        </w:rPr>
        <w:t xml:space="preserve">时间: 2026-01-22T14:45:42Z | </w:t>
      </w:r>
      <w:r>
        <w:t xml:space="preserve">链接: </w:t>
      </w:r>
      <w:hyperlink r:id="rId95">
        <w:r>
          <w:rPr>
            <w:rFonts w:ascii="Times New Roman" w:hAnsi="Times New Roman" w:eastAsia="宋体"/>
            <w:color w:val="0000FF"/>
            <w:sz w:val="21"/>
            <w:u w:val="single"/>
          </w:rPr>
          <w:t>https://arxiv.org/abs/2601.16020v1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视觉基础模型的出现彻底改变了视觉里程计（VO）和 SLAM，在单个前馈网络中实现姿态估计和密集重建。然而，与利用关键帧方法来提高效率和准确性的传统流程不同，当前基于基础模型的方法（例如 VGGT-Long）通常不加区别地处理原始图像序列。这会导致计算冗余和低帧间视差导致的性能下降，从而提供有限的上下文立体信息。将传统的几何启发式集成到这些方法中并非易事，因为它们的性能取决于高维潜在表示而不是显式几何度量。为了弥补这一差距，我们提出了一种新颖的基于关键帧的前馈 VO。我们的方法不依赖手工制定的规则，而是采用强化学习以数据驱动的方式导出自适应关键帧策略，使选择与底层基础模型的内在特征保持一致。我们在 TartanAir 数据集上训练我们的代理，并在几个现实世界的数据集上进行广泛的评估。实验结果表明，所提出的方法比最先进的前馈 VO 方法取得了一致且实质性的改进。</w:t>
      </w:r>
    </w:p>
    <w:p>
      <w:pPr>
        <w:spacing w:before="120"/>
      </w:pPr>
      <w:r>
        <w:rPr>
          <w:rFonts w:ascii="Times New Roman" w:hAnsi="Times New Roman" w:eastAsia="宋体"/>
          <w:b/>
          <w:sz w:val="21"/>
        </w:rPr>
        <w:t>English Abstract:</w:t>
      </w:r>
    </w:p>
    <w:p>
      <w:r>
        <w:rPr>
          <w:rFonts w:ascii="Times New Roman" w:hAnsi="Times New Roman" w:eastAsia="宋体"/>
          <w:sz w:val="21"/>
        </w:rPr>
        <w:t>The emergence of visual foundation models has revolutionized visual odometry~(VO) and SLAM, enabling pose estimation and dense reconstruction within a single feed-forward network. However, unlike traditional pipelines that leverage keyframe methods to enhance efficiency and accuracy, current foundation model based methods, such as VGGT-Long, typically process raw image sequences indiscriminately. This leads to computational redundancy and degraded performance caused by low inter-frame parallax, which provides limited contextual stereo information. Integrating traditional geometric heuristics into these methods is non-trivial, as their performance depends on high-dimensional latent representations rather than explicit geometric metrics. To bridge this gap, we propose a novel keyframe-based feed-forward VO. Instead of relying on hand-crafted rules, our approach employs reinforcement learning to derive an adaptive keyframe policy in a data-driven manner, aligning selection with the intrinsic characteristics of the underlying foundation model. We train our agent on TartanAir dataset and conduct extensive evaluations across several real-world datasets. Experimental results demonstrate that the proposed method achieves consistent and substantial improvements over state-of-the-art feed-forward VO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PAINT：虚拟免疫组织化学的病理学感知集成下一代转化</w:t>
      </w:r>
    </w:p>
    <w:p>
      <w:r>
        <w:rPr>
          <w:rFonts w:ascii="Times New Roman" w:hAnsi="Times New Roman" w:eastAsia="宋体"/>
          <w:b/>
          <w:color w:val="003264"/>
          <w:sz w:val="24"/>
        </w:rPr>
        <w:t>PAINT: Pathology-Aware Integrated Next-Scale Transformation for Virtual Immunohistochemistry</w:t>
      </w:r>
    </w:p>
    <w:p>
      <w:r>
        <w:rPr>
          <w:rFonts w:ascii="Times New Roman" w:hAnsi="Times New Roman" w:eastAsia="宋体"/>
          <w:sz w:val="21"/>
        </w:rPr>
        <w:t>作者: Yong Xia</w:t>
        <w:br/>
      </w:r>
      <w:r>
        <w:rPr>
          <w:rFonts w:ascii="Times New Roman" w:hAnsi="Times New Roman" w:eastAsia="宋体"/>
          <w:sz w:val="21"/>
        </w:rPr>
        <w:t xml:space="preserve">时间: 2026-01-22T14:49:30Z | </w:t>
      </w:r>
      <w:r>
        <w:t xml:space="preserve">链接: </w:t>
      </w:r>
      <w:hyperlink r:id="rId96">
        <w:r>
          <w:rPr>
            <w:rFonts w:ascii="Times New Roman" w:hAnsi="Times New Roman" w:eastAsia="宋体"/>
            <w:color w:val="0000FF"/>
            <w:sz w:val="21"/>
            <w:u w:val="single"/>
          </w:rPr>
          <w:t>https://arxiv.org/abs/2601.16024v1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虚拟免疫组织化学 (IHC) 旨在通过常规苏木精和曙红 (H\&amp;E) 图像通过计算合成分子染色模式，为传统物理染色提供一种经济有效且组织高效的替代方案。然而，这项任务特别具有挑战性：H\&amp;E 形态提供了有关蛋白质表达的模糊线索，而相似的组织结构可能对应于不同的分子状态。大多数现有方法侧重于直接外观合成以隐式实现跨模态生成，通常由于结构先验不足而导致语义不一致。在本文中，我们提出了病理学感知集成下一尺度转换（PAINT），这是一种视觉自回归框架，它将合成过程重新表述为结构优先的条件生成任务。与直接图像翻译不同，PAINT 通过解析以全局结构布局为条件的分子细节来强制执行因果顺序。该方法的核心是引入空间结构起始图（3S-Map），它将自回归初始化基于观察到的形态，确保确定性、空间对齐的合成。 IHC4BC 和 MIST 数据集上的实验表明，PAINT 在结构保真度和临床下游任务方面优于最先进的方法，验证了结构引导自回归建模的潜力。</w:t>
      </w:r>
    </w:p>
    <w:p>
      <w:pPr>
        <w:spacing w:before="120"/>
      </w:pPr>
      <w:r>
        <w:rPr>
          <w:rFonts w:ascii="Times New Roman" w:hAnsi="Times New Roman" w:eastAsia="宋体"/>
          <w:b/>
          <w:sz w:val="21"/>
        </w:rPr>
        <w:t>English Abstract:</w:t>
      </w:r>
    </w:p>
    <w:p>
      <w:r>
        <w:rPr>
          <w:rFonts w:ascii="Times New Roman" w:hAnsi="Times New Roman" w:eastAsia="宋体"/>
          <w:sz w:val="21"/>
        </w:rPr>
        <w:t>Virtual immunohistochemistry (IHC) aims to computationally synthesize molecular staining patterns from routine Hematoxylin and Eosin (H\&amp;E) images, offering a cost-effective and tissue-efficient alternative to traditional physical staining. However, this task is particularly challenging: H\&amp;E morphology provides ambiguous cues about protein expression, and similar tissue structures may correspond to distinct molecular states. Most existing methods focus on direct appearance synthesis to implicitly achieve cross-modal generation, often resulting in semantic inconsistencies due to insufficient structural priors. In this paper, we propose Pathology-Aware Integrated Next-Scale Transformation (PAINT), a visual autoregressive framework that reformulates the synthesis process as a structure-first conditional generation task. Unlike direct image translation, PAINT enforces a causal order by resolving molecular details conditioned on a global structural layout. Central to this approach is the introduction of a Spatial Structural Start Map (3S-Map), which grounds the autoregressive initialization in observed morphology, ensuring deterministic, spatially aligned synthesis. Experiments on the IHC4BC and MIST datasets demonstrate that PAINT outperforms state-of-the-art methods in structural fidelity and clinical downstream tasks, validating the potential of structure-guided autoregressive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ProGiDiff：基于即时引导扩散的医学图像分割</w:t>
      </w:r>
    </w:p>
    <w:p>
      <w:r>
        <w:rPr>
          <w:rFonts w:ascii="Times New Roman" w:hAnsi="Times New Roman" w:eastAsia="宋体"/>
          <w:b/>
          <w:color w:val="003264"/>
          <w:sz w:val="24"/>
        </w:rPr>
        <w:t>ProGiDiff: Prompt-Guided Diffusion-Based Medical Image Segmentation</w:t>
      </w:r>
    </w:p>
    <w:p>
      <w:r>
        <w:rPr>
          <w:rFonts w:ascii="Times New Roman" w:hAnsi="Times New Roman" w:eastAsia="宋体"/>
          <w:sz w:val="21"/>
        </w:rPr>
        <w:t>作者: Suprosanna Shit</w:t>
        <w:br/>
      </w:r>
      <w:r>
        <w:rPr>
          <w:rFonts w:ascii="Times New Roman" w:hAnsi="Times New Roman" w:eastAsia="宋体"/>
          <w:sz w:val="21"/>
        </w:rPr>
        <w:t xml:space="preserve">时间: 2026-01-22T15:56:21Z | </w:t>
      </w:r>
      <w:r>
        <w:t xml:space="preserve">链接: </w:t>
      </w:r>
      <w:hyperlink r:id="rId97">
        <w:r>
          <w:rPr>
            <w:rFonts w:ascii="Times New Roman" w:hAnsi="Times New Roman" w:eastAsia="宋体"/>
            <w:color w:val="0000FF"/>
            <w:sz w:val="21"/>
            <w:u w:val="single"/>
          </w:rPr>
          <w:t>https://arxiv.org/abs/2601.16060v1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泛采用的医学图像分割方法虽然有效，但主要是确定性的，并且仍然很难适应自然语言提示。因此，它们缺乏估计多个提议、人类交互和跨模态适应的能力。最近，文本到图像的扩散模型已显示出弥补这一差距的潜力。然而，从头开始训练它们需要一个大的数据集——这是医学图像分割的限制。此外，它们通常仅限于二进制分割，并且不能以自然语言提示为条件。为此，我们提出了一种名为 ProGiDiff 的新颖框架，该框架利用现有的图像生成模型进行医学图像分割。具体来说，我们提出了一种带有自定义编码器的 ControlNet 式调节机制，适用于图像调节，以引导预训练的扩散模型输出分割掩模。只需通过提示目标器官，它就可以自然地扩展到多类别设置。与以前的方法相比，我们对 CT 图像器官分割的实验展示了强大的性能，并且可以极大地受益于专家在环设置中利用多个建议。重要的是，我们证明了学习到的调节机制可以通过低秩、少样本适应轻松转移以分割 MR 图像。</w:t>
      </w:r>
    </w:p>
    <w:p>
      <w:pPr>
        <w:spacing w:before="120"/>
      </w:pPr>
      <w:r>
        <w:rPr>
          <w:rFonts w:ascii="Times New Roman" w:hAnsi="Times New Roman" w:eastAsia="宋体"/>
          <w:b/>
          <w:sz w:val="21"/>
        </w:rPr>
        <w:t>English Abstract:</w:t>
      </w:r>
    </w:p>
    <w:p>
      <w:r>
        <w:rPr>
          <w:rFonts w:ascii="Times New Roman" w:hAnsi="Times New Roman" w:eastAsia="宋体"/>
          <w:sz w:val="21"/>
        </w:rPr>
        <w:t>Widely adopted medical image segmentation methods, although efficient, are primarily deterministic and remain poorly amenable to natural language prompts. Thus, they lack the capability to estimate multiple proposals, human interaction, and cross-modality adaptation. Recently, text-to-image diffusion models have shown potential to bridge the gap. However, training them from scratch requires a large dataset-a limitation for medical image segmentation. Furthermore, they are often limited to binary segmentation and cannot be conditioned on a natural language prompt. To this end, we propose a novel framework called ProGiDiff that leverages existing image generation models for medical image segmentation purposes. Specifically, we propose a ControlNet-style conditioning mechanism with a custom encoder, suitable for image conditioning, to steer a pre-trained diffusion model to output segmentation masks. It naturally extends to a multi-class setting simply by prompting the target organ. Our experiment on organ segmentation from CT images demonstrates strong performance compared to previous methods and could greatly benefit from an expert-in-the-loop setting to leverage multiple proposals. Importantly, we demonstrate that the learned conditioning mechanism can be easily transferred through low-rank, few-shot adaptation to segment MR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DTP：一种简单而有效的视觉语言动作模型分散标记修剪框架</w:t>
      </w:r>
    </w:p>
    <w:p>
      <w:r>
        <w:rPr>
          <w:rFonts w:ascii="Times New Roman" w:hAnsi="Times New Roman" w:eastAsia="宋体"/>
          <w:b/>
          <w:color w:val="003264"/>
          <w:sz w:val="24"/>
        </w:rPr>
        <w:t>DTP: A Simple yet Effective Distracting Token Pruning Framework for Vision-Language Action Models</w:t>
      </w:r>
    </w:p>
    <w:p>
      <w:r>
        <w:rPr>
          <w:rFonts w:ascii="Times New Roman" w:hAnsi="Times New Roman" w:eastAsia="宋体"/>
          <w:sz w:val="21"/>
        </w:rPr>
        <w:t>作者: Jingqun Tang</w:t>
        <w:br/>
      </w:r>
      <w:r>
        <w:rPr>
          <w:rFonts w:ascii="Times New Roman" w:hAnsi="Times New Roman" w:eastAsia="宋体"/>
          <w:sz w:val="21"/>
        </w:rPr>
        <w:t xml:space="preserve">时间: 2026-01-22T16:02:56Z | </w:t>
      </w:r>
      <w:r>
        <w:t xml:space="preserve">链接: </w:t>
      </w:r>
      <w:hyperlink r:id="rId98">
        <w:r>
          <w:rPr>
            <w:rFonts w:ascii="Times New Roman" w:hAnsi="Times New Roman" w:eastAsia="宋体"/>
            <w:color w:val="0000FF"/>
            <w:sz w:val="21"/>
            <w:u w:val="single"/>
          </w:rPr>
          <w:t>https://arxiv.org/abs/2601.16065v1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视觉语言动作（VLA）模型利用视觉语言模型（VLM）强大的感知能力来理解环境并直接输出动作，在机器人操作方面取得了显着的进展。然而，默认情况下，VLA 模型可能会过度关注与任务无关区域中的图像标记，我们将其描述为“分散注意力的标记”。这种行为可能会干扰模型在每个步骤中生成所需操作标记，从而影响任务的成功率。在本文中，我们介绍了一种简单而有效的即插即用分散注意力标记修剪（DTP）框架，该框架可以动态检测和修剪这些分散注意力的图像标记。通过纠正模型的视觉注意模式，我们的目标是提高任务成功率，并在不改变其原始架构或添加额外输入的情况下探索模型的性能上限。 SIMPLER Benchmark（Li 等人，2024）上的实验表明，我们的方法在不同类型的新型 VLA 模型中始终实现了任务成功率的相对提高，证明了基于 Transformer 的 VLA 的通用性。进一步的分析揭示了所有测试模型的任务成功率与任务无关区域的关注量之间存在负相关，这凸显了 VLA 模型的普遍现象，可以指导未来的研究。我们还将我们的代码发布在：https://anonymous.4open.science/r/CBD3。</w:t>
      </w:r>
    </w:p>
    <w:p>
      <w:pPr>
        <w:spacing w:before="120"/>
      </w:pPr>
      <w:r>
        <w:rPr>
          <w:rFonts w:ascii="Times New Roman" w:hAnsi="Times New Roman" w:eastAsia="宋体"/>
          <w:b/>
          <w:sz w:val="21"/>
        </w:rPr>
        <w:t>English Abstract:</w:t>
      </w:r>
    </w:p>
    <w:p>
      <w:r>
        <w:rPr>
          <w:rFonts w:ascii="Times New Roman" w:hAnsi="Times New Roman" w:eastAsia="宋体"/>
          <w:sz w:val="21"/>
        </w:rPr>
        <w:t>Vision-Language Action (VLA) models have shown remarkable progress in robotic manipulation by leveraging the powerful perception abilities of Vision-Language Models (VLMs) to understand environments and directly output actions. However, by default, VLA models may overly attend to image tokens in the task-irrelevant region, which we describe as 'distracting tokens'. This behavior can disturb the model from the generation of the desired action tokens in each step, affecting the success rate of tasks. In this paper, we introduce a simple yet effective plug-and-play Distracting Token Pruning (DTP) framework, which dynamically detects and prunes these distracting image tokens. By correcting the model's visual attention patterns, we aim to improve the task success rate, as well as exploring the performance upper boundaries of the model without altering its original architecture or adding additional inputs. Experiments on the SIMPLER Benchmark (Li et al., 2024) show that our method consistently achieving relative improvements in task success rates across different types of novel VLA models, demonstrating generalizability to transformer-based VLAs. Further analysis reveals a negative correlation between the task success rate and the amount of attentions in the task-irrelevant region for all models tested, highlighting a common phenomenon of VLA models that could guide future research. We also publish our code at: https://anonymous.4open.science/r/CBD3.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DSFedMed：通过基础模型和轻量级模型之间的相互蒸馏进行双尺度联合医学图像分割</w:t>
      </w:r>
    </w:p>
    <w:p>
      <w:r>
        <w:rPr>
          <w:rFonts w:ascii="Times New Roman" w:hAnsi="Times New Roman" w:eastAsia="宋体"/>
          <w:b/>
          <w:color w:val="003264"/>
          <w:sz w:val="24"/>
        </w:rPr>
        <w:t>DSFedMed: Dual-Scale Federated Medical Image Segmentation via Mutual Distillation Between Foundation and Lightweight Models</w:t>
      </w:r>
    </w:p>
    <w:p>
      <w:r>
        <w:rPr>
          <w:rFonts w:ascii="Times New Roman" w:hAnsi="Times New Roman" w:eastAsia="宋体"/>
          <w:sz w:val="21"/>
        </w:rPr>
        <w:t>作者: Guibo Luo</w:t>
        <w:br/>
      </w:r>
      <w:r>
        <w:rPr>
          <w:rFonts w:ascii="Times New Roman" w:hAnsi="Times New Roman" w:eastAsia="宋体"/>
          <w:sz w:val="21"/>
        </w:rPr>
        <w:t xml:space="preserve">时间: 2026-01-22T16:18:02Z | </w:t>
      </w:r>
      <w:r>
        <w:t xml:space="preserve">链接: </w:t>
      </w:r>
      <w:hyperlink r:id="rId99">
        <w:r>
          <w:rPr>
            <w:rFonts w:ascii="Times New Roman" w:hAnsi="Times New Roman" w:eastAsia="宋体"/>
            <w:color w:val="0000FF"/>
            <w:sz w:val="21"/>
            <w:u w:val="single"/>
          </w:rPr>
          <w:t>https://arxiv.org/abs/2601.16073v1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基础模型（FM）在不同的视觉任务中表现出了很强的泛化能力。然而，它们在联合设置中的部署受到高计算需求、大量通信开销和巨大推理成本的阻碍。我们提出了 DSFedMed，这是一个双尺度联合框架，可以实现集中式基础模型和轻量级客户端模型之间的相互知识蒸馏，以进行医学图像分割。为了支持知识蒸馏，生成了一组高质量的医学图像来替换真实的公共数据集，并提出了一种可学习性引导的样本选择策略来提高双尺度蒸馏的效率和有效性。这种相互蒸馏使基础模型能够将一般知识传递给轻量级客户端，同时还结合特定于客户端的见解来完善基础模型。对五个医学成像分割数据集的评估表明，与现有的联合基础模型基线相比，DSFedMed 的 Dice 分数平均提高了 2%，同时将通信成本和推理时间减少了近 90%。这些结果证明了资源有限的联合部署的显着效率提升和可扩展性。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(FMs) have demonstrated strong generalization across diverse vision tasks. However, their deployment in federated settings is hindered by high computational demands, substantial communication overhead, and significant inference costs. We propose DSFedMed, a dual-scale federated framework that enables mutual knowledge distillation between a centralized foundation model and lightweight client models for medical image segmentation. To support knowledge distillation, a set of high-quality medical images is generated to replace real public datasets, and a learnability-guided sample selection strategy is proposed to enhance efficiency and effectiveness in dual-scale distillation. This mutual distillation enables the foundation model to transfer general knowledge to lightweight clients, while also incorporating client-specific insights to refine the foundation model. Evaluations on five medical imaging segmentation datasets show that DSFedMed achieves an average 2 percent improvement in Dice score while reducing communication costs and inference time by nearly 90 percent compared to existing federated foundation model baselines. These results demonstrate significant efficiency gains and scalability for resource-limited federated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遮挡下人体运动恢复的掩蔽建模</w:t>
      </w:r>
    </w:p>
    <w:p>
      <w:r>
        <w:rPr>
          <w:rFonts w:ascii="Times New Roman" w:hAnsi="Times New Roman" w:eastAsia="宋体"/>
          <w:b/>
          <w:color w:val="003264"/>
          <w:sz w:val="24"/>
        </w:rPr>
        <w:t>Masked Modeling for Human Motion Recovery Under Occlusions</w:t>
      </w:r>
    </w:p>
    <w:p>
      <w:r>
        <w:rPr>
          <w:rFonts w:ascii="Times New Roman" w:hAnsi="Times New Roman" w:eastAsia="宋体"/>
          <w:sz w:val="21"/>
        </w:rPr>
        <w:t>作者: Siyu Tang</w:t>
        <w:br/>
      </w:r>
      <w:r>
        <w:rPr>
          <w:rFonts w:ascii="Times New Roman" w:hAnsi="Times New Roman" w:eastAsia="宋体"/>
          <w:sz w:val="21"/>
        </w:rPr>
        <w:t xml:space="preserve">时间: 2026-01-22T16:22:20Z | </w:t>
      </w:r>
      <w:r>
        <w:t xml:space="preserve">链接: </w:t>
      </w:r>
      <w:hyperlink r:id="rId100">
        <w:r>
          <w:rPr>
            <w:rFonts w:ascii="Times New Roman" w:hAnsi="Times New Roman" w:eastAsia="宋体"/>
            <w:color w:val="0000FF"/>
            <w:sz w:val="21"/>
            <w:u w:val="single"/>
          </w:rPr>
          <w:t>https://arxiv.org/abs/2601.16079v1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单目视频的人体运动重建是计算机视觉领域的一项基本挑战，在 AR/VR、机器人技术和数字内容创建领域有着广泛的应用，但在现实环境中频繁遮挡的情况下仍然具有挑战性。现有的基于回归的方法虽然高效，但容易丢失观察结果，而基于优化和扩散的方法则以缓慢的推理速度和繁重的预处理步骤为代价提高了鲁棒性。为了解决这些限制，我们利用生成掩模建模的最新进展，并提出了 MoRo：遮挡下人体运动恢复的掩模建模。 MoRo 是一种遮挡稳健的端到端生成框架，它将运动重建制定为视频条件任务，并在一致的全局坐标系中从 RGB 视频中有效地恢复人体运动。通过屏蔽建模，MoRo 自然地处理遮挡，同时实现高效的端到端推理。为了克服成对视频运动数据的稀缺性，我们设计了一种跨模态学习方案，从一组异构数据集中学习多模态先验：（i）在MoCap数据集上训练的轨迹感知运动，（ii）在图像姿势数据集上训练的图像条件姿势，捕获不同的每帧姿势，以及（iii）融合运动和姿势先验的视频条件掩模变换器，在视频运动数据集上进行微调，以将视觉线索与运动动力学相结合为了稳健的推理。在 EgoBody 和 RICH 上进行的大量实验表明，MoRo 在遮挡情况下的准确性和运动真实感方面远远优于最先进的方法，而在非遮挡场景中的表现则相当。 MoRo 在单个 H200 GPU 上实现了 70 FPS 的实时推理。</w:t>
      </w:r>
    </w:p>
    <w:p>
      <w:pPr>
        <w:spacing w:before="120"/>
      </w:pPr>
      <w:r>
        <w:rPr>
          <w:rFonts w:ascii="Times New Roman" w:hAnsi="Times New Roman" w:eastAsia="宋体"/>
          <w:b/>
          <w:sz w:val="21"/>
        </w:rPr>
        <w:t>English Abstract:</w:t>
      </w:r>
    </w:p>
    <w:p>
      <w:r>
        <w:rPr>
          <w:rFonts w:ascii="Times New Roman" w:hAnsi="Times New Roman" w:eastAsia="宋体"/>
          <w:sz w:val="21"/>
        </w:rPr>
        <w:t>Human motion reconstruction from monocular videos is a fundamental challenge in computer vision, with broad applications in AR/VR, robotics, and digital content creation, but remains challenging under frequent occlusions in real-world settings.Existing regression-based methods are efficient but fragile to missing observations, while optimization- and diffusion-based approaches improve robustness at the cost of slow inference speed and heavy preprocessing steps. To address these limitations, we leverage recent advances in generative masked modeling and present MoRo: Masked Modeling for human motion Recovery under Occlusions. MoRo is an occlusion-robust, end-to-end generative framework that formulates motion reconstruction as a video-conditioned task, and efficiently recover human motion in a consistent global coordinate system from RGB videos. By masked modeling, MoRo naturally handles occlusions while enabling efficient, end-to-end inference. To overcome the scarcity of paired video-motion data, we design a cross-modality learning scheme that learns multi-modal priors from a set of heterogeneous datasets: (i) a trajectory-aware motion prior trained on MoCap datasets, (ii) an image-conditioned pose prior trained on image-pose datasets, capturing diverse per-frame poses, and (iii) a video-conditioned masked transformer that fuses motion and pose priors, finetuned on video-motion datasets to integrate visual cues with motion dynamics for robust inference. Extensive experiments on EgoBody and RICH demonstrate that MoRo substantially outperforms state-of-the-art methods in accuracy and motion realism under occlusions, while performing on-par in non-occluded scenarios. MoRo achieves real-time inference at 70 FPS on a single H200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用于高光谱图像分类的聚类引导空间光谱 Mamba</w:t>
      </w:r>
    </w:p>
    <w:p>
      <w:r>
        <w:rPr>
          <w:rFonts w:ascii="Times New Roman" w:hAnsi="Times New Roman" w:eastAsia="宋体"/>
          <w:b/>
          <w:color w:val="003264"/>
          <w:sz w:val="24"/>
        </w:rPr>
        <w:t>Clustering-Guided Spatial-Spectral Mamba for Hyperspectral Image Classification</w:t>
      </w:r>
    </w:p>
    <w:p>
      <w:r>
        <w:rPr>
          <w:rFonts w:ascii="Times New Roman" w:hAnsi="Times New Roman" w:eastAsia="宋体"/>
          <w:sz w:val="21"/>
        </w:rPr>
        <w:t>作者: Lincoln Linlin Xu</w:t>
        <w:br/>
      </w:r>
      <w:r>
        <w:rPr>
          <w:rFonts w:ascii="Times New Roman" w:hAnsi="Times New Roman" w:eastAsia="宋体"/>
          <w:sz w:val="21"/>
        </w:rPr>
        <w:t xml:space="preserve">时间: 2026-01-22T16:47:07Z | </w:t>
      </w:r>
      <w:r>
        <w:t xml:space="preserve">链接: </w:t>
      </w:r>
      <w:hyperlink r:id="rId101">
        <w:r>
          <w:rPr>
            <w:rFonts w:ascii="Times New Roman" w:hAnsi="Times New Roman" w:eastAsia="宋体"/>
            <w:color w:val="0000FF"/>
            <w:sz w:val="21"/>
            <w:u w:val="single"/>
          </w:rPr>
          <w:t>https://arxiv.org/abs/2601.16098v1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Mamba 模型极大地改进了高光谱图像 (HSI) 分类，但它们在定义高效和自适应标记序列以提高性能方面面临着严峻的挑战。因此，本文提出了CSSMamba（聚类引导的空间频谱Mamba）框架，以更好地应对这些挑战，并做出以下贡献。首先，为了实现高效和自适应的令牌序列以提高 Mamba 性能，我们将聚类机制集成到空间 Mamba 架构中，形成了聚类引导的空间 Mamba 模块（CSpaMamba），可以减少 Mamba 序列长度并提高 Mamba 特征学习能力。其次，为了提高空间和光谱信息的学习，我们将 CSpaMamba 模块与光谱曼巴模块 (SpeMamba) 集成，形成一个完整的聚类引导的空间光谱 Mamba 框架。第三，为了进一步提高特征学习能力，我们引入了注意力驱动的令牌选择机制来优化 Mamba 令牌排序。最后，为了以一致的方式将聚类无缝集成到 Mamba 模型中，我们设计了一个可学习聚类模块，以自适应方式学习聚类成员资格。在 Pavia University、Indian Pines 和 Liao-Ning 01 数据集上的实验表明，与最先进的 CNN、Transformer 和基于 Mamba 的方法相比，CSSMamba 实现了更高的精度和更好的边界保留。</w:t>
      </w:r>
    </w:p>
    <w:p>
      <w:pPr>
        <w:spacing w:before="120"/>
      </w:pPr>
      <w:r>
        <w:rPr>
          <w:rFonts w:ascii="Times New Roman" w:hAnsi="Times New Roman" w:eastAsia="宋体"/>
          <w:b/>
          <w:sz w:val="21"/>
        </w:rPr>
        <w:t>English Abstract:</w:t>
      </w:r>
    </w:p>
    <w:p>
      <w:r>
        <w:rPr>
          <w:rFonts w:ascii="Times New Roman" w:hAnsi="Times New Roman" w:eastAsia="宋体"/>
          <w:sz w:val="21"/>
        </w:rPr>
        <w:t>Although Mamba models greatly improve Hyperspectral Image (HSI) classification, they have critical challenges in terms defining efficient and adaptive token sequences for improve performance. This paper therefore presents CSSMamba (Clustering-guided Spatial-Spectral Mamba) framework to better address the challenges, with the following contributions. First, to achieve efficient and adaptive token sequences for improved Mamba performance, we integrate the clustering mechanism into a spatial Mamba architecture, leading to a cluster-guided spatial Mamba module (CSpaMamba) that reduces the Mamba sequence length and improves Mamba feature learning capability. Second, to improve the learning of both spatial and spectral information, we integrate the CSpaMamba module with a spectral mamba module (SpeMamba), leading to a complete clustering-guided spatial-spectral Mamba framework. Third, to further improve feature learning capability, we introduce an Attention-Driven Token Selection mechanism to optimize Mamba token sequencing. Last, to seamlessly integrate clustering into the Mamba model in a coherent manner, we design a Learnable Clustering Module that learns the cluster memberships in an adaptive manner. Experiments on the Pavia University, Indian Pines, and Liao-Ning 01 datasets demonstrate that CSSMamba achieves higher accuracy and better boundary preservation compared to state-of-the-art CNN, Transformer, and Mamba-based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Synthocr-gen：用于低资源语言的合成 OCR 数据集生成器 - 打破数据障碍</w:t>
      </w:r>
    </w:p>
    <w:p>
      <w:r>
        <w:rPr>
          <w:rFonts w:ascii="Times New Roman" w:hAnsi="Times New Roman" w:eastAsia="宋体"/>
          <w:b/>
          <w:color w:val="003264"/>
          <w:sz w:val="24"/>
        </w:rPr>
        <w:t>synthocr-gen: A synthetic ocr dataset generator for low-resource languages- breaking the data barrier</w:t>
      </w:r>
    </w:p>
    <w:p>
      <w:r>
        <w:rPr>
          <w:rFonts w:ascii="Times New Roman" w:hAnsi="Times New Roman" w:eastAsia="宋体"/>
          <w:sz w:val="21"/>
        </w:rPr>
        <w:t>作者: Tanveer Ahmad Reshi</w:t>
        <w:br/>
      </w:r>
      <w:r>
        <w:rPr>
          <w:rFonts w:ascii="Times New Roman" w:hAnsi="Times New Roman" w:eastAsia="宋体"/>
          <w:sz w:val="21"/>
        </w:rPr>
        <w:t xml:space="preserve">时间: 2026-01-22T17:01:33Z | </w:t>
      </w:r>
      <w:r>
        <w:t xml:space="preserve">链接: </w:t>
      </w:r>
      <w:hyperlink r:id="rId102">
        <w:r>
          <w:rPr>
            <w:rFonts w:ascii="Times New Roman" w:hAnsi="Times New Roman" w:eastAsia="宋体"/>
            <w:color w:val="0000FF"/>
            <w:sz w:val="21"/>
            <w:u w:val="single"/>
          </w:rPr>
          <w:t>https://arxiv.org/abs/2601.16113v1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由于缺乏大规模带注释的训练数据集，低资源语言的光学字符识别 (OCR) 仍然是一个重大挑战。克什米尔语等语言拥有大约 700 万使用者，其复杂的波斯阿拉伯语文字具有独特的变音符号，目前缺乏 Tesseract、TrOCR 和 PaddleOCR 等主要 OCR 系统的支持。为此类语言手动创建数据集非常昂贵、耗时且容易出错，通常需要逐字转录打印或手写文本。</w:t>
        <w:br/>
        <w:t xml:space="preserve">  我们推出 SynthOCR-Gen，这是一款专为低资源语言设计的开源合成 OCR 数据集生成器。我们的工具通过将数字 Unicode 文本语料库转换为即用型训练数据集，解决了 OCR 开发的根本瓶颈。该系统实现了一个全面的管道，包括文本分段（字符、单词、n-gram、句子和行级别）、具有脚本纯度强制的 Unicode 规范化、具有可配置分布的多字体渲染，以及模拟真实世界文档降级（包括旋转、模糊、噪声和扫描仪伪影）的 25 多种数据增强技术。</w:t>
        <w:br/>
        <w:t xml:space="preserve">  我们通过生成包含 600,000 个样本的分词克什米尔 OCR 数据集来展示我们方法的有效性，该数据集已在 HuggingFace 上公开发布。这项工作为将资源匮乏的语言带入视觉语言人工智能模型时代提供了一条实用途径，并且该工具可供全球使用服务不足的书写系统的研究人员和从业者公开使用。</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for low-resource languages remains a significant challenge due to the scarcity of large-scale annotated training datasets. Languages such as Kashmiri, with approximately 7 million speakers and a complex Perso-Arabic script featuring unique diacritical marks, currently lack support in major OCR systems including Tesseract, TrOCR, and PaddleOCR. Manual dataset creation for such languages is prohibitively expensive, time-consuming, and error-prone, often requiring word by word transcription of printed or handwritten text.</w:t>
        <w:br/>
        <w:t xml:space="preserve">  We present SynthOCR-Gen, an open-source synthetic OCR dataset generator specifically designed for low-resource languages. Our tool addresses the fundamental bottleneck in OCR development by transforming digital Unicode text corpora into ready-to-use training datasets. The system implements a comprehensive pipeline encompassing text segmentation (character, word, n-gram, sentence, and line levels), Unicode normalization with script purity enforcement, multi-font rendering with configurable distribution, and 25+ data augmentation techniques simulating real-world document degradations including rotation, blur, noise, and scanner artifacts.</w:t>
        <w:br/>
        <w:t xml:space="preserve">  We demonstrate the efficacy of our approach by generating a 600,000-sample word-segmented Kashmiri OCR dataset, which we release publicly on HuggingFace. This work provides a practical pathway for bringing low-resource languages into the era of vision-language AI models, and the tool is openly available for researchers and practitioners working with underserved writing systems worldwide.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重新思考组合图像检索评估：图像编辑的细粒度基准</w:t>
      </w:r>
    </w:p>
    <w:p>
      <w:r>
        <w:rPr>
          <w:rFonts w:ascii="Times New Roman" w:hAnsi="Times New Roman" w:eastAsia="宋体"/>
          <w:b/>
          <w:color w:val="003264"/>
          <w:sz w:val="24"/>
        </w:rPr>
        <w:t>Rethinking Composed Image Retrieval Evaluation: A Fine-Grained Benchmark from Image Editing</w:t>
      </w:r>
    </w:p>
    <w:p>
      <w:r>
        <w:rPr>
          <w:rFonts w:ascii="Times New Roman" w:hAnsi="Times New Roman" w:eastAsia="宋体"/>
          <w:sz w:val="21"/>
        </w:rPr>
        <w:t>作者: Shu Wu</w:t>
        <w:br/>
      </w:r>
      <w:r>
        <w:rPr>
          <w:rFonts w:ascii="Times New Roman" w:hAnsi="Times New Roman" w:eastAsia="宋体"/>
          <w:sz w:val="21"/>
        </w:rPr>
        <w:t xml:space="preserve">时间: 2026-01-22T17:26:52Z | </w:t>
      </w:r>
      <w:r>
        <w:t xml:space="preserve">链接: </w:t>
      </w:r>
      <w:hyperlink r:id="rId103">
        <w:r>
          <w:rPr>
            <w:rFonts w:ascii="Times New Roman" w:hAnsi="Times New Roman" w:eastAsia="宋体"/>
            <w:color w:val="0000FF"/>
            <w:sz w:val="21"/>
            <w:u w:val="single"/>
          </w:rPr>
          <w:t>https://arxiv.org/abs/2601.16125v1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组合图像检索（CIR）是多模态理解中的一项关键而复杂的任务。当前的 CIR 基准通常具有有限的查询类别，无法捕获现实场景的多样化需求。为了弥补这一评估差距，我们利用图像编辑来实现对修改类型和内容的精确控制，从而实现跨广泛类别综合查询的管道。使用此管道，我们构建了 EDIR，一种新颖的细粒度 CIR 基准。 EDIR 包含 5,000 个高质量查询，涵盖五个主要类别和十五个子类别。我们对 13 个多模态嵌入模型的综合评估揭示了显着的能力差距；即使是最先进的模型（例如 RzenEmbed 和 GME）也很难在所有子类别中保持一致的表现，这凸显了我们基准的严格性。通过比较分析，我们进一步揭示了现有基准的固有局限性，例如模态偏差和分类覆盖范围不足。此外，域内训练实验证明了我们基准的可行性。该实验通过区分可使用目标数据解决的类别和暴露当前模型架构内在局限性的类别，阐明了任务挑战。</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a pivotal and complex task in multimodal understanding. Current CIR benchmarks typically feature limited query categories and fail to capture the diverse requirements of real-world scenarios. To bridge this evaluation gap, we leverage image editing to achieve precise control over modification types and content, enabling a pipeline for synthesizing queries across a broad spectrum of categories. Using this pipeline, we construct EDIR, a novel fine-grained CIR benchmark. EDIR encompasses 5,000 high-quality queries structured across five main categories and fifteen subcategories. Our comprehensive evaluation of 13 multimodal embedding models reveals a significant capability gap; even state-of-the-art models (e.g., RzenEmbed and GME) struggle to perform consistently across all subcategories, highlighting the rigorous nature of our benchmark. Through comparative analysis, we further uncover inherent limitations in existing benchmarks, such as modality biases and insufficient categorical coverage. Furthermore, an in-domain training experiment demonstrates the feasibility of our benchmark. This experiment clarifies the task challenges by distinguishing between categories that are solvable with targeted data and those that expose intrinsic limitations of current model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学习在生成模型的潜在空间中添加水印</w:t>
      </w:r>
    </w:p>
    <w:p>
      <w:r>
        <w:rPr>
          <w:rFonts w:ascii="Times New Roman" w:hAnsi="Times New Roman" w:eastAsia="宋体"/>
          <w:b/>
          <w:color w:val="003264"/>
          <w:sz w:val="24"/>
        </w:rPr>
        <w:t>Learning to Watermark in the Latent Space of Generative Models</w:t>
      </w:r>
    </w:p>
    <w:p>
      <w:r>
        <w:rPr>
          <w:rFonts w:ascii="Times New Roman" w:hAnsi="Times New Roman" w:eastAsia="宋体"/>
          <w:sz w:val="21"/>
        </w:rPr>
        <w:t>作者: Alexandre Mourachko</w:t>
        <w:br/>
      </w:r>
      <w:r>
        <w:rPr>
          <w:rFonts w:ascii="Times New Roman" w:hAnsi="Times New Roman" w:eastAsia="宋体"/>
          <w:sz w:val="21"/>
        </w:rPr>
        <w:t xml:space="preserve">时间: 2026-01-22T17:34:30Z | </w:t>
      </w:r>
      <w:r>
        <w:t xml:space="preserve">链接: </w:t>
      </w:r>
      <w:hyperlink r:id="rId104">
        <w:r>
          <w:rPr>
            <w:rFonts w:ascii="Times New Roman" w:hAnsi="Times New Roman" w:eastAsia="宋体"/>
            <w:color w:val="0000FF"/>
            <w:sz w:val="21"/>
            <w:u w:val="single"/>
          </w:rPr>
          <w:t>https://arxiv.org/abs/2601.16140v1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现有的人工智能生成图像水印方法通常依赖于像素空间中应用的事后方法，从而引入计算开销和潜在的视觉伪影。在这项工作中，我们探索了潜在空间水印并引入了 DistSeal，这是一种适用于扩散模型和自回归模型的统一潜在水印方法。我们的方法通过在生成模型的潜在空间中训练事后水印模型来工作。我们证明这些潜在水印可以有效地提取到生成模型本身或潜在解码器中，从而实现模型内水印。由此产生的潜在水印实现了具有竞争力的鲁棒性，同时提供了类似的不易察觉性，并且与像素空间基线相比，速度提高了 20 倍。我们的实验进一步表明，提取潜在水印优于提取像素空间水印，提供了一种更高效、更稳健的解决方案。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Existing approaches for watermarking AI-generated images often rely on post-hoc methods applied in pixel space, introducing computational overhead and potential visual artifacts. In this work, we explore latent space watermarking and introduce DistSeal, a unified approach for latent watermarking that works across both diffusion and autoregressive models. Our approach works by training post-hoc watermarking models in the latent space of generative models. We demonstrate that these latent watermarkers can be effectively distilled either into the generative model itself or into the latent decoder, enabling in-model watermarking. The resulting latent watermarks achieve competitive robustness while offering similar imperceptibility and up to 20x speedup compared to pixel-space baselines. Our experiments further reveal that distilling latent watermarkers outperforms distilling pixel-space ones, providing a solution that is both more efficient and more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360Anything：无几何形状地将图像和视频提升至 360°</w:t>
      </w:r>
    </w:p>
    <w:p>
      <w:r>
        <w:rPr>
          <w:rFonts w:ascii="Times New Roman" w:hAnsi="Times New Roman" w:eastAsia="宋体"/>
          <w:b/>
          <w:color w:val="003264"/>
          <w:sz w:val="24"/>
        </w:rPr>
        <w:t>360Anything: Geometry-Free Lifting of Images and Videos to 360°</w:t>
      </w:r>
    </w:p>
    <w:p>
      <w:r>
        <w:rPr>
          <w:rFonts w:ascii="Times New Roman" w:hAnsi="Times New Roman" w:eastAsia="宋体"/>
          <w:sz w:val="21"/>
        </w:rPr>
        <w:t>作者: Saurabh Saxena</w:t>
        <w:br/>
      </w:r>
      <w:r>
        <w:rPr>
          <w:rFonts w:ascii="Times New Roman" w:hAnsi="Times New Roman" w:eastAsia="宋体"/>
          <w:sz w:val="21"/>
        </w:rPr>
        <w:t xml:space="preserve">时间: 2026-01-22T18:45:59Z | </w:t>
      </w:r>
      <w:r>
        <w:t xml:space="preserve">链接: </w:t>
      </w:r>
      <w:hyperlink r:id="rId105">
        <w:r>
          <w:rPr>
            <w:rFonts w:ascii="Times New Roman" w:hAnsi="Times New Roman" w:eastAsia="宋体"/>
            <w:color w:val="0000FF"/>
            <w:sz w:val="21"/>
            <w:u w:val="single"/>
          </w:rPr>
          <w:t>https://arxiv.org/abs/2601.16192v1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将透视图像和视频提升至 360° 全景，从而生成身临其境的 3D 世界。现有方法通常依赖于透视和等距柱状投影 (ERP) 空间之间的显式几何对齐。然而，这需要已知的相机元数据，从而模糊了对野外数据的应用，而这种校准通常不存在或有噪音。我们提出了 360Anything，这是一个基于预先训练的扩散变压器构建的无几何框架。通过将透视输入和全景目标简单地视为标记序列，360Anything 以纯粹数据驱动的方式学习透视到等距矩形的映射，从而无需相机信息。我们的方法在图像和视频 360° 透视生成方面均实现了最先进的性能，优于使用地面实况相机信息的先前作品。我们还将 ERP 边界处接缝伪影的根本原因追溯到 VAE 编码器中的零填充，并引入循环潜在编码以促进无缝生成。最后，我们在零镜头相机 FoV 和方向估计基准中展示了具有竞争力的结果，展示了 360Anything 深刻的几何理解和在计算机视觉任务中更广泛的实用性。其他结果可在 https://360anything.github.io/ 获取。</w:t>
      </w:r>
    </w:p>
    <w:p>
      <w:pPr>
        <w:spacing w:before="120"/>
      </w:pPr>
      <w:r>
        <w:rPr>
          <w:rFonts w:ascii="Times New Roman" w:hAnsi="Times New Roman" w:eastAsia="宋体"/>
          <w:b/>
          <w:sz w:val="21"/>
        </w:rPr>
        <w:t>English Abstract:</w:t>
      </w:r>
    </w:p>
    <w:p>
      <w:r>
        <w:rPr>
          <w:rFonts w:ascii="Times New Roman" w:hAnsi="Times New Roman" w:eastAsia="宋体"/>
          <w:sz w:val="21"/>
        </w:rPr>
        <w:t>Lifting perspective images and videos to 360° panoramas enables immersive 3D world generation. Existing approaches often rely on explicit geometric alignment between the perspective and the equirectangular projection (ERP) space. Yet, this requires known camera metadata, obscuring the application to in-the-wild data where such calibration is typically absent or noisy. We propose 360Anything, a geometry-free framework built upon pre-trained diffusion transformers. By treating the perspective input and the panorama target simply as token sequences, 360Anything learns the perspective-to-equirectangular mapping in a purely data-driven way, eliminating the need for camera information. Our approach achieves state-of-the-art performance on both image and video perspective-to-360° generation, outperforming prior works that use ground-truth camera information. We also trace the root cause of the seam artifacts at ERP boundaries to zero-padding in the VAE encoder, and introduce Circular Latent Encoding to facilitate seamless generation. Finally, we show competitive results in zero-shot camera FoV and orientation estimation benchmarks, demonstrating 360Anything's deep geometric understanding and broader utility in computer vision tasks. Additional results are available at https://360anything.github.io/.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使用表示自动编码器缩放文本到图像扩散变压器</w:t>
      </w:r>
    </w:p>
    <w:p>
      <w:r>
        <w:rPr>
          <w:rFonts w:ascii="Times New Roman" w:hAnsi="Times New Roman" w:eastAsia="宋体"/>
          <w:b/>
          <w:color w:val="003264"/>
          <w:sz w:val="24"/>
        </w:rPr>
        <w:t>Scaling Text-to-Image Diffusion Transformers with Representation Autoencoders</w:t>
      </w:r>
    </w:p>
    <w:p>
      <w:r>
        <w:rPr>
          <w:rFonts w:ascii="Times New Roman" w:hAnsi="Times New Roman" w:eastAsia="宋体"/>
          <w:sz w:val="21"/>
        </w:rPr>
        <w:t>作者: Saining Xie</w:t>
        <w:br/>
      </w:r>
      <w:r>
        <w:rPr>
          <w:rFonts w:ascii="Times New Roman" w:hAnsi="Times New Roman" w:eastAsia="宋体"/>
          <w:sz w:val="21"/>
        </w:rPr>
        <w:t xml:space="preserve">时间: 2026-01-22T18:58:16Z | </w:t>
      </w:r>
      <w:r>
        <w:t xml:space="preserve">链接: </w:t>
      </w:r>
      <w:hyperlink r:id="rId106">
        <w:r>
          <w:rPr>
            <w:rFonts w:ascii="Times New Roman" w:hAnsi="Times New Roman" w:eastAsia="宋体"/>
            <w:color w:val="0000FF"/>
            <w:sz w:val="21"/>
            <w:u w:val="single"/>
          </w:rPr>
          <w:t>https://arxiv.org/abs/2601.16208v1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通过在高维语义潜在空间中进行训练，表示自动编码器 (RAE) 在 ImageNet 上的扩散建模中显示出明显的优势。在这项工作中，我们研究了该框架是否可以扩展到大规模、自由格式的文本到图像（T2I）生成。我们首先通过对网络、合成和文本渲染数据进行训练，将冻结表示编码器 (SigLIP-2) 上的 RAE 解码器扩展到 ImageNet 之外，发现虽然规模提高了总体保真度，但有针对性的数据组合对于文本等特定领域至关重要。然后，我们对最初为 ImageNet 提出的 RAE 设计选择进行严格的压力测试。我们的分析表明，扩展简化了框架：虽然与维度相关的噪声调度仍然至关重要，但诸如宽扩散头和噪声增强解码之类的架构复杂性在规模上提供的优势可以忽略不计。在这个简化的框架上构建，我们对扩散变压器从 0.5B 到 9.8B 参数范围内的 RAE 与最先进的 FLUX VAE 进行了受控比较。在所有模型规模的预训练过程中，RAE 的表现始终优于 VAE。此外，在对高质量数据集进行微调期间，基于 VAE 的模型在 64 个 epoch 后出现灾难性的过拟合，而 RAE 模型在 256 个 epoch 中保持稳定，并始终获得更好的性能。在所有实验中，基于 RAE 的扩散模型表现出更快的收敛速度和更好的生成质量，使 RAE 成为比 VAE 更简单、更强大的基础，可用于大规模 T2I 生成。此外，由于视觉理解和生成都可以在共享表示空间中运行，因此多模态模型可以直接对生成的潜在变量进行推理，为统一模型开辟了新的可能性。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Representation Autoencoders (RAEs) have shown distinct advantages in diffusion modeling on ImageNet by training in high-dimensional semantic latent spaces. In this work, we investigate whether this framework can scale to large-scale, freeform text-to-image (T2I) generation. We first scale RAE decoders on the frozen representation encoder (SigLIP-2) beyond ImageNet by training on web, synthetic, and text-rendering data, finding that while scale improves general fidelity, targeted data composition is essential for specific domains like text. We then rigorously stress-test the RAE design choices originally proposed for ImageNet. Our analysis reveals that scaling simplifies the framework: while dimension-dependent noise scheduling remains critical, architectural complexities such as wide diffusion heads and noise-augmented decoding offer negligible benefits at scale Building on this simplified framework, we conduct a controlled comparison of RAE against the state-of-the-art FLUX VAE across diffusion transformer scales from 0.5B to 9.8B parameters. RAEs consistently outperform VAEs during pretraining across all model scales. Further, during finetuning on high-quality datasets, VAE-based models catastrophically overfit after 64 epochs, while RAE models remain stable through 256 epochs and achieve consistently better performance. Across all experiments, RAE-based diffusion models demonstrate faster convergence and better generation quality, establishing RAEs as a simpler and stronger foundation than VAEs for large-scale T2I generation. Additionally, because both visual understanding and generation can operate in a shared representation space, the multimodal model can directly reason over generated latents, opening new possibilities for unified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CamPilot：通过高效的相机奖励反馈改进视频扩散模型中的相机控制</w:t>
      </w:r>
    </w:p>
    <w:p>
      <w:r>
        <w:rPr>
          <w:rFonts w:ascii="Times New Roman" w:hAnsi="Times New Roman" w:eastAsia="宋体"/>
          <w:b/>
          <w:color w:val="003264"/>
          <w:sz w:val="24"/>
        </w:rPr>
        <w:t>CamPilot: Improving Camera Control in Video Diffusion Model with Efficient Camera Reward Feedback</w:t>
      </w:r>
    </w:p>
    <w:p>
      <w:r>
        <w:rPr>
          <w:rFonts w:ascii="Times New Roman" w:hAnsi="Times New Roman" w:eastAsia="宋体"/>
          <w:sz w:val="21"/>
        </w:rPr>
        <w:t>作者: Ying-Cong Chen</w:t>
        <w:br/>
      </w:r>
      <w:r>
        <w:rPr>
          <w:rFonts w:ascii="Times New Roman" w:hAnsi="Times New Roman" w:eastAsia="宋体"/>
          <w:sz w:val="21"/>
        </w:rPr>
        <w:t xml:space="preserve">时间: 2026-01-22T18:59:56Z | </w:t>
      </w:r>
      <w:r>
        <w:t xml:space="preserve">链接: </w:t>
      </w:r>
      <w:hyperlink r:id="rId107">
        <w:r>
          <w:rPr>
            <w:rFonts w:ascii="Times New Roman" w:hAnsi="Times New Roman" w:eastAsia="宋体"/>
            <w:color w:val="0000FF"/>
            <w:sz w:val="21"/>
            <w:u w:val="single"/>
          </w:rPr>
          <w:t>https://arxiv.org/abs/2601.16214v1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摄像机控制的视频扩散模型的最新进展显着改善了摄像机对准。然而，相机的可控性仍然有限。在这项工作中，我们以奖励反馈学习为基础，旨在进一步提高相机的可控性。然而，直接借用现有的 ReFL 方法面临着一些挑战。首先，当前的奖励模型缺乏评估摄像机对齐的能力。其次，将潜在视频解码为 RGB 视频以进行奖励计算会带来大量的计算开销。第三，3D 几何信息在视频解码过程中通常被忽略。为了解决这些限制，我们引入了一种高效的相机感知 3D 解码器，可将视频潜在解码为 3D 表示以进行奖励量化。具体来说，视频潜伏与相机姿势一起被解码为 3D 高斯。在这个过程中，相机位姿不仅作为输入，还作为投影参数。视频潜伏和相机姿势之间的不对准将导致 3D 结构中的几何扭曲，从而导致渲染模糊。基于这个属性，我们明确优化了渲染的新颖视图和真实视图之间的像素级一致性作为奖励。为了适应随机性，我们进一步引入了一个可见性项，它有选择地仅监督通过几何扭曲导出的确定性区域。在 RealEstate10K 和 WorldScore 基准上进行的大量实验证明了我们提出的方法的有效性。项目页面：\href{https://a-bigbao.github.io/CamPilot/}{CamPilot 页面}。</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camera-controlled video diffusion models have significantly improved video-camera alignment. However, the camera controllability still remains limited. In this work, we build upon Reward Feedback Learning and aim to further improve camera controllability. However, directly borrowing existing ReFL approaches faces several challenges. First, current reward models lack the capacity to assess video-camera alignment. Second, decoding latent into RGB videos for reward computation introduces substantial computational overhead. Third, 3D geometric information is typically neglected during video decoding. To address these limitations, we introduce an efficient camera-aware 3D decoder that decodes video latent into 3D representations for reward quantization. Specifically, video latent along with the camera pose are decoded into 3D Gaussians. In this process, the camera pose not only acts as input, but also serves as a projection parameter. Misalignment between the video latent and camera pose will cause geometric distortions in the 3D structure, resulting in blurry renderings. Based on this property, we explicitly optimize pixel-level consistency between the rendered novel views and ground-truth ones as reward. To accommodate the stochastic nature, we further introduce a visibility term that selectively supervises only deterministic regions derived via geometric warping. Extensive experiments conducted on RealEstate10K and WorldScore benchmarks demonstrate the effectiveness of our proposed method. Project page: \href{https://a-bigbao.github.io/CamPilot/}{CamPilot Page}.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03:51 ---</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108">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04:31 ---</w:t>
      </w:r>
    </w:p>
    <w:p>
      <w:pPr>
        <w:pStyle w:val="Heading2"/>
      </w:pPr>
      <w:r/>
      <w:r>
        <w:rPr>
          <w:rFonts w:ascii="Times New Roman" w:hAnsi="Times New Roman" w:eastAsia="宋体"/>
          <w:b/>
          <w:color w:val="000000"/>
          <w:sz w:val="24"/>
        </w:rPr>
        <w:t>基于柔性硫属化物聚合物的中红外微光学元件</w:t>
      </w:r>
    </w:p>
    <w:p>
      <w:r>
        <w:rPr>
          <w:rFonts w:ascii="Times New Roman" w:hAnsi="Times New Roman" w:eastAsia="宋体"/>
          <w:b/>
          <w:color w:val="003264"/>
          <w:sz w:val="24"/>
        </w:rPr>
        <w:t>Mid infrared micro-optics elements based on flexible chalcogenide polymer</w:t>
      </w:r>
    </w:p>
    <w:p>
      <w:r>
        <w:rPr>
          <w:rFonts w:ascii="Times New Roman" w:hAnsi="Times New Roman" w:eastAsia="宋体"/>
          <w:sz w:val="21"/>
        </w:rPr>
        <w:t>作者: Feng Liu, Zixuan Huang, Jiao Li, Liming Li, Sheng Liu, Peng Li, Xiaowei Lei, Jiwei Zhang, Biqiang Jiang, Xuetao Gan, Jianlin Zhao</w:t>
        <w:br/>
      </w:r>
      <w:r>
        <w:rPr>
          <w:rFonts w:ascii="Times New Roman" w:hAnsi="Times New Roman" w:eastAsia="宋体"/>
          <w:sz w:val="21"/>
        </w:rPr>
        <w:t xml:space="preserve">时间: 2026-01-22 | </w:t>
      </w:r>
      <w:r>
        <w:t xml:space="preserve">链接: </w:t>
      </w:r>
      <w:hyperlink r:id="rId117">
        <w:r>
          <w:rPr>
            <w:rFonts w:ascii="Times New Roman" w:hAnsi="Times New Roman" w:eastAsia="宋体"/>
            <w:color w:val="0000FF"/>
            <w:sz w:val="21"/>
            <w:u w:val="single"/>
          </w:rPr>
          <w:t>https://doi.org/10.1364/ol.578637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基于各向异性光子时间晶体的时间逻辑和编码功能</w:t>
      </w:r>
    </w:p>
    <w:p>
      <w:r>
        <w:rPr>
          <w:rFonts w:ascii="Times New Roman" w:hAnsi="Times New Roman" w:eastAsia="宋体"/>
          <w:b/>
          <w:color w:val="003264"/>
          <w:sz w:val="24"/>
        </w:rPr>
        <w:t>Temporal logic and encoding function based on anisotropic photonic time crystals</w:t>
      </w:r>
    </w:p>
    <w:p>
      <w:r>
        <w:rPr>
          <w:rFonts w:ascii="Times New Roman" w:hAnsi="Times New Roman" w:eastAsia="宋体"/>
          <w:sz w:val="21"/>
        </w:rPr>
        <w:t>作者: Shuo Xu, HaiFeng Zhang</w:t>
        <w:br/>
      </w:r>
      <w:r>
        <w:rPr>
          <w:rFonts w:ascii="Times New Roman" w:hAnsi="Times New Roman" w:eastAsia="宋体"/>
          <w:sz w:val="21"/>
        </w:rPr>
        <w:t xml:space="preserve">时间: 2026-01-22 | </w:t>
      </w:r>
      <w:r>
        <w:t xml:space="preserve">链接: </w:t>
      </w:r>
      <w:hyperlink r:id="rId119">
        <w:r>
          <w:rPr>
            <w:rFonts w:ascii="Times New Roman" w:hAnsi="Times New Roman" w:eastAsia="宋体"/>
            <w:color w:val="0000FF"/>
            <w:sz w:val="21"/>
            <w:u w:val="single"/>
          </w:rPr>
          <w:t>https://doi.org/10.1364/ol.587522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04:43 ---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Boon Ooi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https://www.nature.com/articles/s41377-025-02132-1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III 族氮化物级联光电二极管的小型化片上光谱成像仪可实现 0.62 nm 精度和亚 10 ns 响应，将光谱成像扩展到紫外区域。</w:t>
      </w:r>
    </w:p>
    <w:p>
      <w:pPr>
        <w:spacing w:before="120"/>
      </w:pPr>
      <w:r>
        <w:rPr>
          <w:rFonts w:ascii="Times New Roman" w:hAnsi="Times New Roman" w:eastAsia="宋体"/>
          <w:b/>
          <w:sz w:val="21"/>
        </w:rPr>
        <w:t>English Abstract:</w:t>
      </w:r>
    </w:p>
    <w:p>
      <w:r>
        <w:rPr>
          <w:rFonts w:ascii="Times New Roman" w:hAnsi="Times New Roman" w:eastAsia="宋体"/>
          <w:sz w:val="21"/>
        </w:rPr>
        <w:t>A miniaturized on-chip spectral imager based on III-nitride cascaded photodiodes achieves 0.62 nm accuracy and sub-10 ns response, extending spectral imaging into the ultraviolet regime.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 Id="rId29" Type="http://schemas.openxmlformats.org/officeDocument/2006/relationships/hyperlink" Target="https://arxiv.org/abs/2601.15456v1" TargetMode="External"/><Relationship Id="rId30" Type="http://schemas.openxmlformats.org/officeDocument/2006/relationships/hyperlink" Target="https://arxiv.org/abs/2601.15480v1" TargetMode="External"/><Relationship Id="rId31" Type="http://schemas.openxmlformats.org/officeDocument/2006/relationships/hyperlink" Target="https://arxiv.org/abs/2601.15502v1" TargetMode="External"/><Relationship Id="rId32" Type="http://schemas.openxmlformats.org/officeDocument/2006/relationships/hyperlink" Target="https://arxiv.org/abs/2601.15562v1" TargetMode="External"/><Relationship Id="rId33" Type="http://schemas.openxmlformats.org/officeDocument/2006/relationships/hyperlink" Target="https://arxiv.org/abs/2601.15565v1" TargetMode="External"/><Relationship Id="rId34" Type="http://schemas.openxmlformats.org/officeDocument/2006/relationships/hyperlink" Target="https://arxiv.org/abs/2601.15569v1" TargetMode="External"/><Relationship Id="rId35" Type="http://schemas.openxmlformats.org/officeDocument/2006/relationships/hyperlink" Target="https://arxiv.org/abs/2601.15581v1" TargetMode="External"/><Relationship Id="rId36" Type="http://schemas.openxmlformats.org/officeDocument/2006/relationships/hyperlink" Target="https://arxiv.org/abs/2601.15604v1" TargetMode="External"/><Relationship Id="rId37" Type="http://schemas.openxmlformats.org/officeDocument/2006/relationships/hyperlink" Target="https://arxiv.org/abs/2601.15629v1" TargetMode="External"/><Relationship Id="rId38" Type="http://schemas.openxmlformats.org/officeDocument/2006/relationships/hyperlink" Target="https://arxiv.org/abs/2601.15631v1" TargetMode="External"/><Relationship Id="rId39" Type="http://schemas.openxmlformats.org/officeDocument/2006/relationships/hyperlink" Target="https://arxiv.org/abs/2601.15638v1" TargetMode="External"/><Relationship Id="rId40" Type="http://schemas.openxmlformats.org/officeDocument/2006/relationships/hyperlink" Target="https://arxiv.org/abs/2601.15654v1" TargetMode="External"/><Relationship Id="rId41" Type="http://schemas.openxmlformats.org/officeDocument/2006/relationships/hyperlink" Target="https://arxiv.org/abs/2601.15695v1" TargetMode="External"/><Relationship Id="rId42" Type="http://schemas.openxmlformats.org/officeDocument/2006/relationships/hyperlink" Target="https://arxiv.org/abs/2601.15753v1" TargetMode="External"/><Relationship Id="rId43" Type="http://schemas.openxmlformats.org/officeDocument/2006/relationships/hyperlink" Target="https://arxiv.org/abs/2601.15769v1" TargetMode="External"/><Relationship Id="rId44" Type="http://schemas.openxmlformats.org/officeDocument/2006/relationships/hyperlink" Target="https://arxiv.org/abs/2601.15776v1" TargetMode="External"/><Relationship Id="rId45" Type="http://schemas.openxmlformats.org/officeDocument/2006/relationships/hyperlink" Target="https://arxiv.org/abs/2601.15805v1" TargetMode="External"/><Relationship Id="rId46" Type="http://schemas.openxmlformats.org/officeDocument/2006/relationships/hyperlink" Target="https://arxiv.org/abs/2601.15817v1" TargetMode="External"/><Relationship Id="rId47" Type="http://schemas.openxmlformats.org/officeDocument/2006/relationships/hyperlink" Target="https://arxiv.org/abs/2601.15898v1" TargetMode="External"/><Relationship Id="rId48" Type="http://schemas.openxmlformats.org/officeDocument/2006/relationships/hyperlink" Target="https://arxiv.org/abs/2601.15925v1" TargetMode="External"/><Relationship Id="rId49" Type="http://schemas.openxmlformats.org/officeDocument/2006/relationships/hyperlink" Target="https://arxiv.org/abs/2601.15947v1" TargetMode="External"/><Relationship Id="rId50" Type="http://schemas.openxmlformats.org/officeDocument/2006/relationships/hyperlink" Target="https://arxiv.org/abs/2601.15971v1" TargetMode="External"/><Relationship Id="rId51" Type="http://schemas.openxmlformats.org/officeDocument/2006/relationships/hyperlink" Target="https://arxiv.org/abs/2601.15981v1" TargetMode="External"/><Relationship Id="rId52" Type="http://schemas.openxmlformats.org/officeDocument/2006/relationships/hyperlink" Target="https://arxiv.org/abs/2601.15989v1" TargetMode="External"/><Relationship Id="rId53" Type="http://schemas.openxmlformats.org/officeDocument/2006/relationships/hyperlink" Target="https://arxiv.org/abs/2601.16005v1" TargetMode="External"/><Relationship Id="rId54" Type="http://schemas.openxmlformats.org/officeDocument/2006/relationships/hyperlink" Target="https://arxiv.org/abs/2601.15368v1" TargetMode="External"/><Relationship Id="rId55" Type="http://schemas.openxmlformats.org/officeDocument/2006/relationships/hyperlink" Target="https://arxiv.org/abs/2601.15369v1" TargetMode="External"/><Relationship Id="rId56" Type="http://schemas.openxmlformats.org/officeDocument/2006/relationships/hyperlink" Target="https://arxiv.org/abs/2601.15539v1" TargetMode="External"/><Relationship Id="rId57" Type="http://schemas.openxmlformats.org/officeDocument/2006/relationships/hyperlink" Target="https://arxiv.org/abs/2601.15572v1" TargetMode="External"/><Relationship Id="rId58" Type="http://schemas.openxmlformats.org/officeDocument/2006/relationships/hyperlink" Target="https://arxiv.org/abs/2601.16011v1" TargetMode="External"/><Relationship Id="rId59" Type="http://schemas.openxmlformats.org/officeDocument/2006/relationships/hyperlink" Target="https://arxiv.org/abs/2601.16064v1" TargetMode="External"/><Relationship Id="rId60" Type="http://schemas.openxmlformats.org/officeDocument/2006/relationships/hyperlink" Target="https://arxiv.org/abs/2601.15392v1" TargetMode="External"/><Relationship Id="rId61" Type="http://schemas.openxmlformats.org/officeDocument/2006/relationships/hyperlink" Target="https://arxiv.org/abs/2601.15406v1" TargetMode="External"/><Relationship Id="rId62" Type="http://schemas.openxmlformats.org/officeDocument/2006/relationships/hyperlink" Target="https://arxiv.org/abs/2601.15416v1" TargetMode="External"/><Relationship Id="rId63" Type="http://schemas.openxmlformats.org/officeDocument/2006/relationships/hyperlink" Target="https://arxiv.org/abs/2601.15441v1" TargetMode="External"/><Relationship Id="rId64" Type="http://schemas.openxmlformats.org/officeDocument/2006/relationships/hyperlink" Target="https://arxiv.org/abs/2601.15453v1" TargetMode="External"/><Relationship Id="rId65" Type="http://schemas.openxmlformats.org/officeDocument/2006/relationships/hyperlink" Target="https://arxiv.org/abs/2601.15475v1" TargetMode="External"/><Relationship Id="rId66" Type="http://schemas.openxmlformats.org/officeDocument/2006/relationships/hyperlink" Target="https://arxiv.org/abs/2601.15490v1" TargetMode="External"/><Relationship Id="rId67" Type="http://schemas.openxmlformats.org/officeDocument/2006/relationships/hyperlink" Target="https://arxiv.org/abs/2601.15507v1" TargetMode="External"/><Relationship Id="rId68" Type="http://schemas.openxmlformats.org/officeDocument/2006/relationships/hyperlink" Target="https://arxiv.org/abs/2601.15516v1" TargetMode="External"/><Relationship Id="rId69" Type="http://schemas.openxmlformats.org/officeDocument/2006/relationships/hyperlink" Target="https://arxiv.org/abs/2601.15560v1" TargetMode="External"/><Relationship Id="rId70" Type="http://schemas.openxmlformats.org/officeDocument/2006/relationships/hyperlink" Target="https://arxiv.org/abs/2601.15624v1" TargetMode="External"/><Relationship Id="rId71" Type="http://schemas.openxmlformats.org/officeDocument/2006/relationships/hyperlink" Target="https://arxiv.org/abs/2601.15643v1" TargetMode="External"/><Relationship Id="rId72" Type="http://schemas.openxmlformats.org/officeDocument/2006/relationships/hyperlink" Target="https://arxiv.org/abs/2601.15664v1" TargetMode="External"/><Relationship Id="rId73" Type="http://schemas.openxmlformats.org/officeDocument/2006/relationships/hyperlink" Target="https://arxiv.org/abs/2601.15698v1" TargetMode="External"/><Relationship Id="rId74" Type="http://schemas.openxmlformats.org/officeDocument/2006/relationships/hyperlink" Target="https://arxiv.org/abs/2601.15711v1" TargetMode="External"/><Relationship Id="rId75" Type="http://schemas.openxmlformats.org/officeDocument/2006/relationships/hyperlink" Target="https://arxiv.org/abs/2601.15731v1" TargetMode="External"/><Relationship Id="rId76" Type="http://schemas.openxmlformats.org/officeDocument/2006/relationships/hyperlink" Target="https://arxiv.org/abs/2601.15734v1" TargetMode="External"/><Relationship Id="rId77" Type="http://schemas.openxmlformats.org/officeDocument/2006/relationships/hyperlink" Target="https://arxiv.org/abs/2601.15739v1" TargetMode="External"/><Relationship Id="rId78" Type="http://schemas.openxmlformats.org/officeDocument/2006/relationships/hyperlink" Target="https://arxiv.org/abs/2601.15757v1" TargetMode="External"/><Relationship Id="rId79" Type="http://schemas.openxmlformats.org/officeDocument/2006/relationships/hyperlink" Target="https://arxiv.org/abs/2601.15759v1" TargetMode="External"/><Relationship Id="rId80" Type="http://schemas.openxmlformats.org/officeDocument/2006/relationships/hyperlink" Target="https://arxiv.org/abs/2601.15766v1" TargetMode="External"/><Relationship Id="rId81" Type="http://schemas.openxmlformats.org/officeDocument/2006/relationships/hyperlink" Target="https://arxiv.org/abs/2601.15772v1" TargetMode="External"/><Relationship Id="rId82" Type="http://schemas.openxmlformats.org/officeDocument/2006/relationships/hyperlink" Target="https://arxiv.org/abs/2601.15779v1" TargetMode="External"/><Relationship Id="rId83" Type="http://schemas.openxmlformats.org/officeDocument/2006/relationships/hyperlink" Target="https://arxiv.org/abs/2601.15813v1" TargetMode="External"/><Relationship Id="rId84" Type="http://schemas.openxmlformats.org/officeDocument/2006/relationships/hyperlink" Target="https://arxiv.org/abs/2601.15829v1" TargetMode="External"/><Relationship Id="rId85" Type="http://schemas.openxmlformats.org/officeDocument/2006/relationships/hyperlink" Target="https://arxiv.org/abs/2601.15859v1" TargetMode="External"/><Relationship Id="rId86" Type="http://schemas.openxmlformats.org/officeDocument/2006/relationships/hyperlink" Target="https://arxiv.org/abs/2601.15865v1" TargetMode="External"/><Relationship Id="rId87" Type="http://schemas.openxmlformats.org/officeDocument/2006/relationships/hyperlink" Target="https://arxiv.org/abs/2601.15867v1" TargetMode="External"/><Relationship Id="rId88" Type="http://schemas.openxmlformats.org/officeDocument/2006/relationships/hyperlink" Target="https://arxiv.org/abs/2601.15884v1" TargetMode="External"/><Relationship Id="rId89" Type="http://schemas.openxmlformats.org/officeDocument/2006/relationships/hyperlink" Target="https://arxiv.org/abs/2601.15888v1" TargetMode="External"/><Relationship Id="rId90" Type="http://schemas.openxmlformats.org/officeDocument/2006/relationships/hyperlink" Target="https://arxiv.org/abs/2601.15891v1" TargetMode="External"/><Relationship Id="rId91" Type="http://schemas.openxmlformats.org/officeDocument/2006/relationships/hyperlink" Target="https://arxiv.org/abs/2601.15909v1" TargetMode="External"/><Relationship Id="rId92" Type="http://schemas.openxmlformats.org/officeDocument/2006/relationships/hyperlink" Target="https://arxiv.org/abs/2601.15951v1" TargetMode="External"/><Relationship Id="rId93" Type="http://schemas.openxmlformats.org/officeDocument/2006/relationships/hyperlink" Target="https://arxiv.org/abs/2601.15968v1" TargetMode="External"/><Relationship Id="rId94" Type="http://schemas.openxmlformats.org/officeDocument/2006/relationships/hyperlink" Target="https://arxiv.org/abs/2601.16007v1" TargetMode="External"/><Relationship Id="rId95" Type="http://schemas.openxmlformats.org/officeDocument/2006/relationships/hyperlink" Target="https://arxiv.org/abs/2601.16020v1" TargetMode="External"/><Relationship Id="rId96" Type="http://schemas.openxmlformats.org/officeDocument/2006/relationships/hyperlink" Target="https://arxiv.org/abs/2601.16024v1" TargetMode="External"/><Relationship Id="rId97" Type="http://schemas.openxmlformats.org/officeDocument/2006/relationships/hyperlink" Target="https://arxiv.org/abs/2601.16060v1" TargetMode="External"/><Relationship Id="rId98" Type="http://schemas.openxmlformats.org/officeDocument/2006/relationships/hyperlink" Target="https://arxiv.org/abs/2601.16065v1" TargetMode="External"/><Relationship Id="rId99" Type="http://schemas.openxmlformats.org/officeDocument/2006/relationships/hyperlink" Target="https://arxiv.org/abs/2601.16073v1" TargetMode="External"/><Relationship Id="rId100" Type="http://schemas.openxmlformats.org/officeDocument/2006/relationships/hyperlink" Target="https://arxiv.org/abs/2601.16079v1" TargetMode="External"/><Relationship Id="rId101" Type="http://schemas.openxmlformats.org/officeDocument/2006/relationships/hyperlink" Target="https://arxiv.org/abs/2601.16098v1" TargetMode="External"/><Relationship Id="rId102" Type="http://schemas.openxmlformats.org/officeDocument/2006/relationships/hyperlink" Target="https://arxiv.org/abs/2601.16113v1" TargetMode="External"/><Relationship Id="rId103" Type="http://schemas.openxmlformats.org/officeDocument/2006/relationships/hyperlink" Target="https://arxiv.org/abs/2601.16125v1" TargetMode="External"/><Relationship Id="rId104" Type="http://schemas.openxmlformats.org/officeDocument/2006/relationships/hyperlink" Target="https://arxiv.org/abs/2601.16140v1" TargetMode="External"/><Relationship Id="rId105" Type="http://schemas.openxmlformats.org/officeDocument/2006/relationships/hyperlink" Target="https://arxiv.org/abs/2601.16192v1" TargetMode="External"/><Relationship Id="rId106" Type="http://schemas.openxmlformats.org/officeDocument/2006/relationships/hyperlink" Target="https://arxiv.org/abs/2601.16208v1" TargetMode="External"/><Relationship Id="rId107" Type="http://schemas.openxmlformats.org/officeDocument/2006/relationships/hyperlink" Target="https://arxiv.org/abs/2601.16214v1" TargetMode="External"/><Relationship Id="rId108" Type="http://schemas.openxmlformats.org/officeDocument/2006/relationships/hyperlink" Target="https://arxiv.org/abs/2601.15897v1" TargetMode="External"/><Relationship Id="rId109" Type="http://schemas.openxmlformats.org/officeDocument/2006/relationships/hyperlink" Target="https://www.nature.com/articles/s41566-025-01828-5" TargetMode="External"/><Relationship Id="rId110" Type="http://schemas.openxmlformats.org/officeDocument/2006/relationships/hyperlink" Target="https://www.nature.com/articles/s41566-025-01812-z" TargetMode="External"/><Relationship Id="rId111" Type="http://schemas.openxmlformats.org/officeDocument/2006/relationships/hyperlink" Target="https://www.nature.com/articles/s41566-025-01810-1" TargetMode="External"/><Relationship Id="rId112" Type="http://schemas.openxmlformats.org/officeDocument/2006/relationships/hyperlink" Target="https://www.nature.com/articles/s41566-025-01823-w" TargetMode="External"/><Relationship Id="rId113" Type="http://schemas.openxmlformats.org/officeDocument/2006/relationships/hyperlink" Target="https://www.nature.com/articles/s41566-025-01825-8" TargetMode="External"/><Relationship Id="rId114" Type="http://schemas.openxmlformats.org/officeDocument/2006/relationships/hyperlink" Target="https://www.nature.com/articles/s41566-025-01832-9" TargetMode="External"/><Relationship Id="rId115" Type="http://schemas.openxmlformats.org/officeDocument/2006/relationships/hyperlink" Target="https://www.nature.com/articles/s41566-025-01827-6" TargetMode="External"/><Relationship Id="rId116" Type="http://schemas.openxmlformats.org/officeDocument/2006/relationships/hyperlink" Target="https://www.nature.com/articles/s41566-025-01817-8" TargetMode="External"/><Relationship Id="rId117" Type="http://schemas.openxmlformats.org/officeDocument/2006/relationships/hyperlink" Target="https://doi.org/10.1364/ol.578637" TargetMode="External"/><Relationship Id="rId118" Type="http://schemas.openxmlformats.org/officeDocument/2006/relationships/hyperlink" Target="https://www.nature.com/articles/s41377-025-02132-1" TargetMode="External"/><Relationship Id="rId119" Type="http://schemas.openxmlformats.org/officeDocument/2006/relationships/hyperlink" Target="https://doi.org/10.1364/ol.587522" TargetMode="External"/><Relationship Id="rId120" Type="http://schemas.openxmlformats.org/officeDocument/2006/relationships/hyperlink" Target="https://doi.org/10.1364/oe.582700" TargetMode="External"/><Relationship Id="rId121" Type="http://schemas.openxmlformats.org/officeDocument/2006/relationships/hyperlink" Target="https://doi.org/10.1364/oe.5793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