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可调谐双环完美光学涡旋光束及其传播特性</w:t>
      </w:r>
    </w:p>
    <w:p>
      <w:r>
        <w:rPr>
          <w:rFonts w:ascii="Times New Roman" w:hAnsi="Times New Roman" w:eastAsia="宋体"/>
          <w:b/>
          <w:color w:val="003264"/>
          <w:sz w:val="24"/>
        </w:rPr>
        <w:t>Tunable twin-ring perfect optical vortex beams and their propagation characteristics</w:t>
      </w:r>
    </w:p>
    <w:p>
      <w:r>
        <w:rPr>
          <w:rFonts w:ascii="Times New Roman" w:hAnsi="Times New Roman" w:eastAsia="宋体"/>
          <w:sz w:val="21"/>
        </w:rPr>
        <w:t>作者: Aswathi K Sivarajan, Harsh Vardhan, Sakshi Choudhary, Salla Gangi Reddy, Ravi Kumar</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散射介质偏振分辨测量中分析仪角度和管几何形状对等路径长度点的影响</w:t>
      </w:r>
    </w:p>
    <w:p>
      <w:r>
        <w:rPr>
          <w:rFonts w:ascii="Times New Roman" w:hAnsi="Times New Roman" w:eastAsia="宋体"/>
          <w:b/>
          <w:color w:val="003264"/>
          <w:sz w:val="24"/>
        </w:rPr>
        <w:t>Impact of analyzer angle and tube geometry on the iso-pathlength point in polarization-resolved measurements of scattering media</w:t>
      </w:r>
    </w:p>
    <w:p>
      <w:r>
        <w:rPr>
          <w:rFonts w:ascii="Times New Roman" w:hAnsi="Times New Roman" w:eastAsia="宋体"/>
          <w:sz w:val="21"/>
        </w:rPr>
        <w:t>作者: Daniel Himelstein, Alon Tzroya, Hamootal Duadi, Dror Fixler</w:t>
        <w:br/>
      </w:r>
      <w:r>
        <w:rPr>
          <w:rFonts w:ascii="Times New Roman" w:hAnsi="Times New Roman" w:eastAsia="宋体"/>
          <w:sz w:val="21"/>
        </w:rPr>
        <w:t xml:space="preserve">时间: 2026-01-30 | </w:t>
      </w:r>
      <w:r>
        <w:t xml:space="preserve">链接: </w:t>
      </w:r>
      <w:hyperlink r:id="rId11">
        <w:r>
          <w:rPr>
            <w:rFonts w:ascii="Times New Roman" w:hAnsi="Times New Roman" w:eastAsia="宋体"/>
            <w:color w:val="0000FF"/>
            <w:sz w:val="21"/>
            <w:u w:val="single"/>
          </w:rPr>
          <w:t>https://doi.org/10.1364/oe.583206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光学偏振技术为浑浊生物介质的非侵入式传感提供了宝贵的工具，但多重散射会导致去偏振并使信号解释变得复杂。在这项工作中，我们研究了偏振对等光程 (IPL) 点的影响，这是一种几何特征，检测到的强度与散射系数无关。使用线性偏振照明并分析共偏振和交叉偏振检测到的光，我们观察到明显的偏振相关 IPL 偏移。对于 10 mm 管，对于交叉偏振、非偏振和共偏振检测，IPL 发生的方位角分别为 100.3 ∘ 、104.9 ∘ 和 111.7 ∘ 。 IPL 角度随管直径线性增加，基于斯托克斯矢量形式的偏振敏感蒙特卡罗模拟证实了这一趋势。</w:t>
      </w:r>
    </w:p>
    <w:p>
      <w:pPr>
        <w:spacing w:before="120"/>
      </w:pPr>
      <w:r>
        <w:rPr>
          <w:rFonts w:ascii="Times New Roman" w:hAnsi="Times New Roman" w:eastAsia="宋体"/>
          <w:b/>
          <w:sz w:val="21"/>
        </w:rPr>
        <w:t>English Abstract:</w:t>
      </w:r>
    </w:p>
    <w:p>
      <w:r>
        <w:rPr>
          <w:rFonts w:ascii="Times New Roman" w:hAnsi="Times New Roman" w:eastAsia="宋体"/>
          <w:sz w:val="21"/>
        </w:rPr>
        <w:t>Optical polarization techniques provide valuable tools for non-invasive sensing of turbid biological media, yet multiple scattering induces depolarization and complicates signal interpretation. In this work, we investigate the effect of polarization on the iso-pathlength (IPL) point - a geometrical feature where detected intensity becomes independent of the scattering coefficient. Using linearly polarized illumination and analyzing the co-polarized and cross-polarized detected light, we observe a distinct polarization-dependent IPL shift. For a 10 mm tube, the IPL occurs at an azimuthal angle of 100.3 ∘ ,104.9 ∘ , and 111.7 ∘ for cross-polarized, unpolarized, and co-polarized detection, respectively. The IPL angle increases linearly with tube diameter, a trend confirmed by polarization-sensitive Monte Carlo simulations based on Stokes vector formalism.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BDFA 应用的 O + E + S 波段双波长窄带波分复用器</w:t>
      </w:r>
    </w:p>
    <w:p>
      <w:r>
        <w:rPr>
          <w:rFonts w:ascii="Times New Roman" w:hAnsi="Times New Roman" w:eastAsia="宋体"/>
          <w:b/>
          <w:color w:val="003264"/>
          <w:sz w:val="24"/>
        </w:rPr>
        <w:t>Dual-wavelength narrowband wavelength division multiplexer operating in the O + E + S bands for BDFA applications</w:t>
      </w:r>
    </w:p>
    <w:p>
      <w:r>
        <w:rPr>
          <w:rFonts w:ascii="Times New Roman" w:hAnsi="Times New Roman" w:eastAsia="宋体"/>
          <w:sz w:val="21"/>
        </w:rPr>
        <w:t>作者: Shuyuan Zhang, Kai He, Jingjing Zheng, Li Pei, Tigang Ning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掺铋光纤放大器 (BDFA) 在整个 O + E + S 频段上表现出高效的增益覆盖，使其成为利用单模光纤中未充分利用的带宽窗口的核心技术选择。然而，现有的波分复用器（WDM）很难同时匹配超宽带信号光和与超宽带信号部分重叠的窄带泵浦。针对BDFA对超宽带信号波分复用和窄带泵浦的需求，提出一种基于硅带超表面的波分复用器，结合光栅设计理论。使用有限元法（FEM）模拟，可以调整嵌入熔融石英基板中的硅条的尺寸以及这些硅条之间的间距。通过这样的调整，实现了1200~1530 nm范围内超宽带信号的波分复用功能和两个波长的窄带泵浦功能。通过数学拟合，推导出窄带泵浦中心波长与模型参数的关系式，实现关键性能的简单快速设计。关键性能简单快速设计的平均误差为1.3375 nm。这项工作为BDFA设计的WDM器件提供了新的解决方案，并为超表面器件的设计提供了新的思路。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Bismuth-doped fiber amplifiers (BDFA) exhibit efficient gain coverage across the full O + E + S bands, making them a core technical choice for tapping into the underutilized bandwidth windows in single-mode fibers. However, existing wavelength division multiplexers (WDM) struggle to simultaneously match ultra-broadband signal light and narrowband pumping that partially overlaps with the ultra-broadband signal. Aiming at the demand of BDFA for wavelength division multiplexing of ultra-broadband signals and narrowband pumping, this paper proposes a WDM based on silicon strip metasurfaces, combined with grating design theory. Using finite element method (FEM) simulations, the dimensions of silicon strips embedded in a fused silica substrate and the spacing between these silicon strips are adjusted. Through this adjustment, wavelength-division multiplexing function of ultra-broadband signals in the 1200–1530 nm range and narrowband pumping at two wavelengths are achieved. By means of mathematical fitting, a relational formula between the central wavelength of the narrowband pump and the model parameters is derived, thereby realizing the simple and rapid design of key performances. The average error of the simple and rapid design of key performances is 1.3375 nm. This work provides a new solution for WDM devices designed for BDFA and offers new ideas for the design of metasurface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使用混合振镜-AOD 扫描系统对复杂轨迹进行频率分解，实现高速精密激光加工</w:t>
      </w:r>
    </w:p>
    <w:p>
      <w:r>
        <w:rPr>
          <w:rFonts w:ascii="Times New Roman" w:hAnsi="Times New Roman" w:eastAsia="宋体"/>
          <w:b/>
          <w:color w:val="003264"/>
          <w:sz w:val="24"/>
        </w:rPr>
        <w:t>Frequency-decomposition of complex trajectory for high-speed and precise laser processing using a hybrid galvo-AOD scanning system</w:t>
      </w:r>
    </w:p>
    <w:p>
      <w:r>
        <w:rPr>
          <w:rFonts w:ascii="Times New Roman" w:hAnsi="Times New Roman" w:eastAsia="宋体"/>
          <w:sz w:val="21"/>
        </w:rPr>
        <w:t>作者: Haoran Wang, Yihan Le, Shuqi Zhang, Chen Pu, Boyu Zhang, Hailin Wang, Guangzhi Zhu, Xiao Zhu</w:t>
        <w:br/>
      </w:r>
      <w:r>
        <w:rPr>
          <w:rFonts w:ascii="Times New Roman" w:hAnsi="Times New Roman" w:eastAsia="宋体"/>
          <w:sz w:val="21"/>
        </w:rPr>
        <w:t xml:space="preserve">时间: 2026-01-22 | </w:t>
      </w:r>
      <w:r>
        <w:t xml:space="preserve">链接: </w:t>
      </w:r>
      <w:hyperlink r:id="rId13">
        <w:r>
          <w:rPr>
            <w:rFonts w:ascii="Times New Roman" w:hAnsi="Times New Roman" w:eastAsia="宋体"/>
            <w:color w:val="0000FF"/>
            <w:sz w:val="21"/>
            <w:u w:val="single"/>
          </w:rPr>
          <w:t>https://doi.org/10.1364/oe.582128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频率分解的激光加工方法，用于由振镜扫描仪（galvos）和声光偏转器（AOD）组成的混合扫描系统，以提高激光微加工应用的精度和效率。设计数字椭圆低通滤波器对预离散轨迹进行分解，然后根据AOD的视场进行优化，产生优化的振镜轨迹和AOD偏转数据。通过考虑振镜的最大响应频率和最大加速度限制，确定允许的加工参数。实验结果表明，所提出的方法实现了 190 kHz 的处理频率，与仅使用检流计的处理系统相比，效率至少提高了 3.8 倍，同时保持了轮廓精度。频域分解方法为混合扫描系统中的复杂轨迹分解提供了实用的解决方案，为工业高端制造应用提供了有效的参数优化方法。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frequency-decomposition-based laser processing method for a hybrid scanning system comprising galvanometer scanners (galvos) and acousto-optical deflectors (AODs) to improve the precision and efficiency of laser micro-processing applications. A digital elliptic low-pass filter is designed to decompose the pre-discrete trajectory, which is then optimized according to the field of view of AODs, yielding an optimized galvanometer trajectory and AODs deflection data. By considering the maximum response frequency and maximum acceleration limit of the galvanometer, the allowable processing parameters are determined. Experimental results demonstrate that the proposed method achieves a processing frequency of 190 kHz, with at least a 3.8-fold efficiency improvement over a galvanometer-only processing system while maintaining contour accuracy. The frequency-domain decomposition method provides a practical solution to the complex trajectory decomposition in a hybrid scanning system, offering an effective parameter optimization methodology for industrial high-end manufacturing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衍射光学的蒙特卡罗光线追踪模拟</w:t>
      </w:r>
    </w:p>
    <w:p>
      <w:r>
        <w:rPr>
          <w:rFonts w:ascii="Times New Roman" w:hAnsi="Times New Roman" w:eastAsia="宋体"/>
          <w:b/>
          <w:color w:val="003264"/>
          <w:sz w:val="24"/>
        </w:rPr>
        <w:t>Monte Carlo ray-tracing simulations for diffractive optics</w:t>
      </w:r>
    </w:p>
    <w:p>
      <w:r>
        <w:rPr>
          <w:rFonts w:ascii="Times New Roman" w:hAnsi="Times New Roman" w:eastAsia="宋体"/>
          <w:sz w:val="21"/>
        </w:rPr>
        <w:t>作者: Kalani H. Ellepola, Tharindu D. Rajapaksha, Emma E. Remley, Minh L. P. Nguyen, Dave G. Macdonnell, John P. Leckey, Nguyen Q. Vinh</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https://doi.org/10.1364/oe.581470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光学元件在光学系统设计中具有显着的优势，与传统的折射和反射元件相比，可实现轻质且紧凑的架构。然而，在此类系统中准确建模波光效应仍然具有挑战性，因为光的特征波长比典型光学组件的整体尺寸小得多。传统的光线追踪方法通常会忽略这些影响，而全波模拟对于大型系统来说在计算上变得令人望而却步。为了克服这些限制，我们引入了基于惠更斯-菲涅耳原理的蒙特卡罗光线追踪方法的数值实现，以预测关键光学参数，包括聚焦效率、焦斑尺寸和高保真度的衍射图案。该方法通过专门的实验、理论和数值结果的系统比较得到验证，证明了在各种光学配置上的准确性能。我们进一步证明，包含分布在菲涅耳区的大量针孔的光子筛可以将光聚焦到小于最小针孔直径的光点，同时强烈抑制更高的衍射级和旁瓣。这些结果凸显了光线追踪方法作为下一代衍射光学元件设计和优化的实用工具的潜力。</w:t>
      </w:r>
    </w:p>
    <w:p>
      <w:pPr>
        <w:spacing w:before="120"/>
      </w:pPr>
      <w:r>
        <w:rPr>
          <w:rFonts w:ascii="Times New Roman" w:hAnsi="Times New Roman" w:eastAsia="宋体"/>
          <w:b/>
          <w:sz w:val="21"/>
        </w:rPr>
        <w:t>English Abstract:</w:t>
      </w:r>
    </w:p>
    <w:p>
      <w:r>
        <w:rPr>
          <w:rFonts w:ascii="Times New Roman" w:hAnsi="Times New Roman" w:eastAsia="宋体"/>
          <w:sz w:val="21"/>
        </w:rPr>
        <w:t>Diffractive optic elements offer significant advantages in optical system design, enabling lightweight and compact architectures compared with conventional refractive and reflective components. However, accurately modeling wave-optical effects in such systems remains challenging because characteristic wavelengths of light are much smaller than the overall dimensions of typical optical assemblies. Conventional ray-tracing methods generally neglect these effects, while full-wave simulations become computationally prohibitive for large-scale systems. To overcome these limitations, we introduce a numerical implementation of the Monte Carlo ray-tracing approach based on the Huygens–Fresnel principle to predict key optical parameters, including focusing efficiency, focal spot size, and diffraction patterns with high fidelity. This approach is validated through systematic comparisons of dedicated experimental, theoretical, and numerical results, demonstrating accurate performance over a broad range of optical configurations. We further demonstrate that photon sieves incorporating large numbers of pinholes distributed across Fresnel zones can focus light into spots smaller than the smallest pinhole diameter while strongly suppressing higher diffractive orders and sidelobes. These results highlight the potential of the ray-tracing approach as a practical tool for both the design and optimization of next-generation diffractive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使用拓扑结构光解析复杂的亚波长光栅结构</w:t>
      </w:r>
    </w:p>
    <w:p>
      <w:r>
        <w:rPr>
          <w:rFonts w:ascii="Times New Roman" w:hAnsi="Times New Roman" w:eastAsia="宋体"/>
          <w:b/>
          <w:color w:val="003264"/>
          <w:sz w:val="24"/>
        </w:rPr>
        <w:t>Resolving complex subwavelength grating structures using topologically structured light</w:t>
      </w:r>
    </w:p>
    <w:p>
      <w:r>
        <w:rPr>
          <w:rFonts w:ascii="Times New Roman" w:hAnsi="Times New Roman" w:eastAsia="宋体"/>
          <w:sz w:val="21"/>
        </w:rPr>
        <w:t>作者: Thomas A. Grant, Eric Plum, Nikolay I. Zheludev, Kevin F. MacDonald</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https://doi.org/10.1364/oe.580365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发现，当探测纳米级物体以确定例如通过光散射的尺寸或位置时，通过利用拓扑结构的入射光场中的相位奇点可以获得测量精度的显着优势。在这里，我们证明了这一优势，源于散射强度分布对入射场中强局部（亚波长尺度）强度和相位变化的依赖性，可以扩展到成像应用：在超振荡照明下对任意二元光栅的散射图案进行分析，成功地将单次测量中的特征尺寸解析为~λ/6.6（比平面波照明实现的尺寸小1.3倍），在位置位移少次测量中解析为~λ/10.5 （这对平面波情况没有任何改善）。有趣的是，在某些情况下，更复杂的物体比简单的结构能更好地解析，因为干涉效应增加了其散射图案的信息内容。</w:t>
      </w:r>
    </w:p>
    <w:p>
      <w:pPr>
        <w:spacing w:before="120"/>
      </w:pPr>
      <w:r>
        <w:rPr>
          <w:rFonts w:ascii="Times New Roman" w:hAnsi="Times New Roman" w:eastAsia="宋体"/>
          <w:b/>
          <w:sz w:val="21"/>
        </w:rPr>
        <w:t>English Abstract:</w:t>
      </w:r>
    </w:p>
    <w:p>
      <w:r>
        <w:rPr>
          <w:rFonts w:ascii="Times New Roman" w:hAnsi="Times New Roman" w:eastAsia="宋体"/>
          <w:sz w:val="21"/>
        </w:rPr>
        <w:t>It has been seen recently that when probing a nanoscale object to determine, for example, size or position via light scattering, a significant advantage in measurement precision can be gained from exploiting phase singularities in a topologically structured incident light field. Here, we demonstrate that this advantage, derived from the dependence of scattered intensity profiles on strong local (subwavelength-scale) intensity and phase variations in the incident field, can be extended towards imaging applications: analysis of scattering patterns from arbitrary binary gratings under superoscillatory illumination successfully resolves feature sizes down to ∼λ/6.6 in single-shot measurements (a factor of 1.3× smaller than is achieved with plane wave illumination), and ∼λ/10.5 in positionally-displaced few-shot measurements (which yields no improvement in the plane wave case). Interestingly, there are circumstances in which more complex objects are better resolved than simple structures, because interference effects increase the information content of their scattering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法诺共振不对称性可在较宽的厚度范围内可靠地表征介电薄膜</w:t>
      </w:r>
    </w:p>
    <w:p>
      <w:r>
        <w:rPr>
          <w:rFonts w:ascii="Times New Roman" w:hAnsi="Times New Roman" w:eastAsia="宋体"/>
          <w:b/>
          <w:color w:val="003264"/>
          <w:sz w:val="24"/>
        </w:rPr>
        <w:t>Fano resonance asymmetry for reliable characterization of dielectric film over a broad thickness range</w:t>
      </w:r>
    </w:p>
    <w:p>
      <w:r>
        <w:rPr>
          <w:rFonts w:ascii="Times New Roman" w:hAnsi="Times New Roman" w:eastAsia="宋体"/>
          <w:sz w:val="21"/>
        </w:rPr>
        <w:t>作者: Yi-Wen Lin, Hsin-Yu Yao, Tsun-Hsu Chang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https://doi.org/10.1364/oe.579191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使用高对比度光栅 (HCG) 激发 Fano 共振，开发了用于薄膜介电表征的亚太赫兹非接触平台。通过精确设计和调整光栅几何形状，离散谐振模式和连续背景之间的干扰得到有效控制，产生高Q、不对称的法诺光谱。这些光谱能够根据共振波长和有效品质因数从等高线图中定量检索薄膜的复杂介电常数。采用校准方法来减轻系统不确定性（包括气隙），从而减少检索错误。即使在极端条件下（气隙厚度t air / Λ = 10 −4 ，超过薄膜厚度t f / Λ = 10 −5 ），介电常数实部和虚部的反演误差仍分别低于4.5%和10%，表现出较高的可靠性。此外，使用 Fano 参数 q 进行光谱不对称分析定义了薄膜厚度的可靠工作范围 ( t f / Λ &lt; 3.5 × 10 -3 )，使其适用于纳米级到微米级薄膜。作为一种可靠的非接触表征技术，该平台可应用于薄膜材料研究、光电器件设计和高频元件开发，在6G等未来高频无线通信技术中具有广阔的应用前景。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sub-THz non-contact platform for thin-film dielectric characterization was developed using high-contrast gratings (HCGs) to excite Fano resonances. By precisely designing and tuning the grating geometry, the interference between discrete resonant modes and the continuum background was effectively controlled, producing high-Q, asymmetric Fano spectra. These spectra enable quantitative retrieval of the film's complex dielectric constants from contour maps based on the resonance wavelength and effective quality factor. Calibration methods were implemented to mitigate system uncertainties, including air gaps, thereby reducing retrieval errors. Even under extreme conditions (air gap thickness t air / Λ = 10 −4 , exceeding the film thickness t f / Λ = 10 −5 ), the retrieval errors for the real and imaginary parts of the dielectric constant remain below 4.5% and 10%, respectively, demonstrating high reliability. Furthermore, analysis of spectral asymmetry using the Fano parameter q defines a reliable operating range for thin-film thicknesses ( t f / Λ &lt; 3.5 × 10 −3 ), making it suitable for nanoscale to microscale films. As a reliable non-contact characterization technique, this platform can be applied to thin-film materials research, optoelectronic device design, and high-frequency component development, with promising potential for future high-frequency wireless communication technologies such as 6G.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超越临界耦合：微环谐振器中自发四波混频的优化设计考虑</w:t>
      </w:r>
    </w:p>
    <w:p>
      <w:r>
        <w:rPr>
          <w:rFonts w:ascii="Times New Roman" w:hAnsi="Times New Roman" w:eastAsia="宋体"/>
          <w:b/>
          <w:color w:val="003264"/>
          <w:sz w:val="24"/>
        </w:rPr>
        <w:t>Beyond critical coupling: optimal design considerations for spontaneous four-wave mixing in microring resonators</w:t>
      </w:r>
    </w:p>
    <w:p>
      <w:r>
        <w:rPr>
          <w:rFonts w:ascii="Times New Roman" w:hAnsi="Times New Roman" w:eastAsia="宋体"/>
          <w:sz w:val="21"/>
        </w:rPr>
        <w:t>作者: Joseph M. Lukens, Karthik V. Myilswamy, Alexander Miloshevsky, Hsuan-Hao Lu</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https://doi.org/10.1364/oe.585584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微环谐振器中双光子生成的独立分析模型。我们基于交互图像的方法涵盖全通和加分几何结构、相同和不同的泵浦和双光子耦合系数以及连续波和脉冲泵浦，揭示了时频双光子相关性，同时还预测了绝对生成率。在连续波激发下，我们发现泵浦和双光子的临界耦合可以最大化从微环提取的单光子速率，而泵浦的临界耦合但双光子的过耦合可以最大化双光子速率。在脉冲泵浦下，泵浦和双光子的过度耦合（不同程度）最大化了光子提取概率，尽管我们需要权衡光谱因子，我们通过对一系列耦合器配对进行参数扫描来量化光谱因子。总的来说，我们的形式主义对于集成光子源的实际设计应该是有价值的，它将灵活直观的以双光子为中心的描述与与实验参数密切相关的定量预测相结合。</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self-contained analytical model for biphoton generation in microring resonators. Encompassing both all-pass and add-drop geometries, identical and distinct pump and biphoton coupling coefficients, and continuous-wave and pulsed pumping, our interaction-picture-based approach reveals time-frequency biphoton correlations while also predicting absolute generation rates. Under continuous-wave excitation, we find critical coupling of both the pump and biphoton to maximize the rate of single photons extracted from the microring, whereas critical coupling of the pump but overcoupling of the biphoton maximizes the two-photon rate. Under pulsed pumping, overcoupling of both pump and biphoton (to different degrees) maximizes photon extraction probabilities, albeit under a tradeoff with spectral factorability that we quantify via parameter scans over a range of coupler pairings. As a whole, our formalism should prove valuable for the practical design of integrated photon sources, merging a flexible and intuitive biphoton-centric depiction with quantitative predictions closely tied to experimental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IACO ℝ -NM 混合全局算法自动构建无遮挡离轴四镜成像系统</w:t>
      </w:r>
    </w:p>
    <w:p>
      <w:r>
        <w:rPr>
          <w:rFonts w:ascii="Times New Roman" w:hAnsi="Times New Roman" w:eastAsia="宋体"/>
          <w:b/>
          <w:color w:val="003264"/>
          <w:sz w:val="24"/>
        </w:rPr>
        <w:t>Automated construction of unobscured off-axis four-mirror imaging systems with the IACO ℝ -NM hybrid global algorithm</w:t>
      </w:r>
    </w:p>
    <w:p>
      <w:r>
        <w:rPr>
          <w:rFonts w:ascii="Times New Roman" w:hAnsi="Times New Roman" w:eastAsia="宋体"/>
          <w:sz w:val="21"/>
        </w:rPr>
        <w:t>作者: Liwei Zhu, Junpeng Lin, Jie Chen, Tong Yang, Lei Yang, Hongbo Xie</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https://doi.org/10.1364/oe.584369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离轴四镜成像系统获得清晰的起点是一项艰巨的任务，传统上很大程度上依赖于设计师的专业知识和广泛的反复试验。为了应对这一挑战，我们提出了一种自动化框架，能够有效地构建具有不同几何形状的初始离轴四镜结构。通过结合一阶约束、使用节点像差理论（NAT）的三阶像差约束和“射线四边形”遮蔽误差函数来制定评估函数。通过将连续域改进蚁群优化（IACO R）与Nelder-Mead（NM）单纯形法相结合，提出了一种名为IACO R -NM的混合全局优化策略，能够实现独立于设计者的全局探索并快速获得清晰的系统。 IACO R 快速找到一个清晰的、粗略的全局最优值，NM 在此基础上执行精细的局部优化。该框架使设计人员能够有效评估不同初始结构的优化潜力，并快速选择合适的几何形状以进行进一步优化。利用该方法构建了紧凑的离轴四镜自由曲面成像系统，实现了衍射极限性能。此外，与其他全局优化器和基于梯度的局部方法的比较研究证明了所提出的混合算法的卓越优化能力。</w:t>
      </w:r>
    </w:p>
    <w:p>
      <w:pPr>
        <w:spacing w:before="120"/>
      </w:pPr>
      <w:r>
        <w:rPr>
          <w:rFonts w:ascii="Times New Roman" w:hAnsi="Times New Roman" w:eastAsia="宋体"/>
          <w:b/>
          <w:sz w:val="21"/>
        </w:rPr>
        <w:t>English Abstract:</w:t>
      </w:r>
    </w:p>
    <w:p>
      <w:r>
        <w:rPr>
          <w:rFonts w:ascii="Times New Roman" w:hAnsi="Times New Roman" w:eastAsia="宋体"/>
          <w:sz w:val="21"/>
        </w:rPr>
        <w:t>Obtaining an unobscured starting point for off-axis four-mirror imaging systems is a non-trivial task that traditionally relies heavily on designer expertise and extensive trial-and-error. To address this challenge, we propose an automated framework capable of efficiently constructing initial off-axis four-mirror structures with diverse geometries. An evaluation function is formulated by combining first-order constraints, third-order aberration constraints using nodal aberration theory (NAT), and a "ray-quadrangle" obscuration error function. A hybrid global optimization strategy, named IACO R -NM, is proposed by integrating the Improved ant colony optimization for continuous domains (IACO R ) with the Nelder–Mead (NM) simplex method, enabling designer-independent global exploration and rapid obtain unobscured systems. The IACO R quickly locates an unobscured, coarse global optimum, upon which NM performs refined local optimization. This framework allows designers to efficiently assess the optimization potential of different initial structures and rapidly select suitable geometries for further optimization. Using this method, a compact off-axis four-mirror freeform imaging system is constructed, achieving diffraction-limited performance. Moreover, comparative studies against other global optimizers and gradient-based local methods demonstrate the superior optimization capability of the proposed hybrid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二极管泵浦高功率 1.9 µm 和 2.3 µm 级联 Tm:CALGO 激光器</w:t>
      </w:r>
    </w:p>
    <w:p>
      <w:r>
        <w:rPr>
          <w:rFonts w:ascii="Times New Roman" w:hAnsi="Times New Roman" w:eastAsia="宋体"/>
          <w:b/>
          <w:color w:val="003264"/>
          <w:sz w:val="24"/>
        </w:rPr>
        <w:t>Diode-pumped high-power 1.9 µm and 2.3 µm cascade Tm:CALGO laser</w:t>
      </w:r>
    </w:p>
    <w:p>
      <w:r>
        <w:rPr>
          <w:rFonts w:ascii="Times New Roman" w:hAnsi="Times New Roman" w:eastAsia="宋体"/>
          <w:sz w:val="21"/>
        </w:rPr>
        <w:t>作者: Xiaoxu Yu, Zhongben Pan, Han Pan, Hongwei Chu, Dechun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我们报道了一种二极管泵浦高功率级联 Tm:CALGO 激光器，可同时在 3 F 4 → 3 H 6 (1.9 µm) 和 3 H 4 → 3 H 5 (2.3 µm) Tm 3+ 跃迁上运行（非竞争性）。对于 1.5 at.% Tm 3+ 掺杂水平，级联 Tm:CALGO 激光器产生的最大总连续波激光输出功率为 6.95 W，最大斜率效率为 40.3%。 3 F 4 → 3 H 6 和3 H 4 → 3 H 5 激光发射功率分别对应于4.89 W和2.07 W，最大斜率效率分别为28.7%和12.7%。据我们所知，2.07 W 的 2.3 µm 激光功率代表（无）级联 Tm:CALGO 激光器中最高的功率。此外，首次证明了当 Tm:CALGO 激光器在级联状态下工作时，3 F 4 状态的粒子群对 2.3 µm 激光性能的影响。</w:t>
      </w:r>
    </w:p>
    <w:p>
      <w:pPr>
        <w:spacing w:before="120"/>
      </w:pPr>
      <w:r>
        <w:rPr>
          <w:rFonts w:ascii="Times New Roman" w:hAnsi="Times New Roman" w:eastAsia="宋体"/>
          <w:b/>
          <w:sz w:val="21"/>
        </w:rPr>
        <w:t>English Abstract:</w:t>
      </w:r>
    </w:p>
    <w:p>
      <w:r>
        <w:rPr>
          <w:rFonts w:ascii="Times New Roman" w:hAnsi="Times New Roman" w:eastAsia="宋体"/>
          <w:sz w:val="21"/>
        </w:rPr>
        <w:t>We reported a diode-pumped high-power cascade Tm:CALGO laser simultaneously operating on the 3 F 4 → 3 H 6 (1.9 µm) and 3 H 4 → 3 H 5 (2.3 µm) Tm 3+ transitions (non-competitive). For 1.5 at.% Tm 3+ doping level, the cascade Tm:CALGO laser yielded a maximum total continuous wave laser output power of 6.95 W with a maximum slope efficiency of 40.3%. The 3 F 4 → 3 H 6 and 3 H 4 → 3 H 5 laser emissions corresponded to 4.89 W and 2.07 W with a maximum slope efficiency of 28.7% and 12.7%, respectively. To the best of our knowledge, the 2.3 µm laser power of 2.07 W represented the highest one amongst the (no) cascade Tm:CALGO lasers. Furthermore, the effect of the populations at the 3 F 4 state on the 2.3 µm laser performance when the Tm:CALGO laser operated at the cascade state was demonstrated for the first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熔融石英双壳谐振器的芯片级精密光学位移读数</w:t>
      </w:r>
    </w:p>
    <w:p>
      <w:r>
        <w:rPr>
          <w:rFonts w:ascii="Times New Roman" w:hAnsi="Times New Roman" w:eastAsia="宋体"/>
          <w:b/>
          <w:color w:val="003264"/>
          <w:sz w:val="24"/>
        </w:rPr>
        <w:t>Chip-scale precision optical displacement readout of fused silica dual-shell resonators</w:t>
      </w:r>
    </w:p>
    <w:p>
      <w:r>
        <w:rPr>
          <w:rFonts w:ascii="Times New Roman" w:hAnsi="Times New Roman" w:eastAsia="宋体"/>
          <w:sz w:val="21"/>
        </w:rPr>
        <w:t>作者: Ozan Berk Boyraz, Lois Meira Lopez, Austin R. Parrish, Md Shafiqul Islam, Ceren Babayigit, Ataberk Atalar, Xun Li, Andrei M. Shkel, Ozdal Boyraz</w:t>
        <w:br/>
      </w:r>
      <w:r>
        <w:rPr>
          <w:rFonts w:ascii="Times New Roman" w:hAnsi="Times New Roman" w:eastAsia="宋体"/>
          <w:sz w:val="21"/>
        </w:rPr>
        <w:t xml:space="preserve">时间: 2026-01-28 | </w:t>
      </w:r>
      <w:r>
        <w:t xml:space="preserve">链接: </w:t>
      </w:r>
      <w:hyperlink r:id="rId20">
        <w:r>
          <w:rPr>
            <w:rFonts w:ascii="Times New Roman" w:hAnsi="Times New Roman" w:eastAsia="宋体"/>
            <w:color w:val="0000FF"/>
            <w:sz w:val="21"/>
            <w:u w:val="single"/>
          </w:rPr>
          <w:t>https://doi.org/10.1364/oe.584123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我们提出并演示了一种基于光子集成电路（PIC）的光学位移检测读出器，用于表征熔融石英双壳半球形谐振器。该系统采用片上零差干涉测量法来测量在基本 n = 2 酒杯模式下工作的双壳熔融石英谐振器的皮米至纳米级位移。 PIC 实施利用硅光子组件，包括用于自由空间光学询问的定制设计的光栅耦合器、集成锗光电探测器和用于正交控制的热光移相器。真空封装双壳谐振器的实验表征显示，n = 2 模式谐振频率为 f 1 = 34664.8 Hz 和 f 2 = 34791.4 Hz，频率分割为 126.6 Hz，与参考激光多普勒振动计 (LDV) 测量结果非常吻合。该系统的双通道功能可以在多个边缘位置同时进行位移测量，并能够区分正交酒杯模式。这种集成光学方法为 MEMS 陀螺仪中的高精度位移传感提供了紧凑、可扩展的解决方案，在需要亚纳米位移分辨率的惯性导航系统中具有潜在应用。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photonic integrated circuit (PIC) based optical displacement detection readout for characterizing fused silica Dual-Shell hemispherical resonators. The system employs on-chip homodyne interferometry to measure picometer to nanometer-scale displacements of Dual-Shell fused silica resonators operating in their fundamental n = 2 wineglass mode. The PIC implementation leverages silicon photonic components, including custom-designed grating couplers for free-space optical interrogation, integrated germanium photodetectors, and thermo-optic phase shifters for quadrature control. Experimental characterization of a vacuum-packaged dual shell resonator revealed n = 2 mode resonance frequencies of f 1 = 34664.8 Hz and f 2 = 34791.4 Hz, with a frequency split of 126.6 Hz, showing excellent agreement with reference laser Doppler vibrometer (LDV) measurements. The system’s dual-channel capability enables simultaneous displacement measurements at multiple rim locations and the ability to distinguish between orthogonal wineglass modes. This integrated optical approach offers a compact, scalable solution for high-precision displacement sensing in MEMS gyroscopes, with potential applications in inertial navigation systems requiring sub-nanometer displacement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通过双层纳米结构的整体协同优化协同增强深紫外 LED 的光提取</w:t>
      </w:r>
    </w:p>
    <w:p>
      <w:r>
        <w:rPr>
          <w:rFonts w:ascii="Times New Roman" w:hAnsi="Times New Roman" w:eastAsia="宋体"/>
          <w:b/>
          <w:color w:val="003264"/>
          <w:sz w:val="24"/>
        </w:rPr>
        <w:t>Synergistic enhancement of light extraction in deep ultraviolet LEDs via holistic co-optimization of dual-layer nanostructures</w:t>
      </w:r>
    </w:p>
    <w:p>
      <w:r>
        <w:rPr>
          <w:rFonts w:ascii="Times New Roman" w:hAnsi="Times New Roman" w:eastAsia="宋体"/>
          <w:sz w:val="21"/>
        </w:rPr>
        <w:t>作者: ShiBo Shang, Wei Wan, Jiachen Lu, Zhenwei Zhang, Zhanxu Chen</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https://doi.org/10.1364/oe.586116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AlGaN 的深紫外发光二极管 (DUV-LED) 的光提取效率 (LEE) 较低，主要受到 p-GaN 层中强光吸收和全内反射 (TIR) 的限制，特别是对于占主导地位的横磁 (TM) 偏振。为了解决这个问题，我们引入了一种双层纳米结构设计，将表面抛物锥体与嵌入式 p-GaN 纳米柱相结合。我们证明了传统的逐层优化（策略 A）受到低效的层间模式耦合的限制，而我们提出的整体协同优化（策略 B）利用基于粒子群优化（PSO）的时域有限差分（FDTD）模拟有效地利用了层间协同效应。结果表明，策略 B 将 280 nm 处的总 LEE 提高到 12.98%。至关重要的是，TM 模式提取增强了约 36 倍（从 0.29% 到 10.70%），有效地将捕获的横向引导模式转换为向上提取的辐射。这项工作证明，整体协同优化是最大化耦合多参数光子器件性能的必要条件。</w:t>
      </w:r>
    </w:p>
    <w:p>
      <w:pPr>
        <w:spacing w:before="120"/>
      </w:pPr>
      <w:r>
        <w:rPr>
          <w:rFonts w:ascii="Times New Roman" w:hAnsi="Times New Roman" w:eastAsia="宋体"/>
          <w:b/>
          <w:sz w:val="21"/>
        </w:rPr>
        <w:t>English Abstract:</w:t>
      </w:r>
    </w:p>
    <w:p>
      <w:r>
        <w:rPr>
          <w:rFonts w:ascii="Times New Roman" w:hAnsi="Times New Roman" w:eastAsia="宋体"/>
          <w:sz w:val="21"/>
        </w:rPr>
        <w:t>AlGaN-based deep-ultraviolet light-emitting diodes (DUV-LEDs) suffer from low light extraction efficiency (LEE), primarily constrained by strong optical absorption in the p-GaN layer and total internal reflection (TIR), particularly for the dominant transverse-magnetic (TM) polarization. To address this, we introduce a dual-layer nanostructure design combining surface parabolic cones with embedded p-GaN nanopillars. We demonstrate that conventional layer-by-layer optimization (Strategy A) is limited by inefficient inter-layer mode coupling, whereas our proposed holistic co-optimization (Strategy B) utilizing particle swarm optimization (PSO)-based finite-difference time-domain (FDTD) simulations effectively harnesses the inter-layer synergistic effect. Results reveal that Strategy B boosts the total LEE to 12.98% at 280 nm. Crucially, the TM-mode extraction is enhanced by ∼36-fold (from 0.29% to 10.70%), effectively converting trapped lateral guided modes into upward extracted radiation. This work proves that holistic co-optimization is a necessity for maximizing the performance of coupled multi-parameter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混合锁模掺铒光纤激光器中孤子态的可逆成对切换</w:t>
      </w:r>
    </w:p>
    <w:p>
      <w:r>
        <w:rPr>
          <w:rFonts w:ascii="Times New Roman" w:hAnsi="Times New Roman" w:eastAsia="宋体"/>
          <w:b/>
          <w:color w:val="003264"/>
          <w:sz w:val="24"/>
        </w:rPr>
        <w:t>Reversible pairwise switching of soliton states in a hybrid mode-locked Erbium-doped fiber laser</w:t>
      </w:r>
    </w:p>
    <w:p>
      <w:r>
        <w:rPr>
          <w:rFonts w:ascii="Times New Roman" w:hAnsi="Times New Roman" w:eastAsia="宋体"/>
          <w:sz w:val="21"/>
        </w:rPr>
        <w:t>作者: Hongbo Jiang, Kun Zhou, Chengbo Mou, Lilong Dai, Xiaoyun Tang, Lei Jin</w:t>
        <w:br/>
      </w:r>
      <w:r>
        <w:rPr>
          <w:rFonts w:ascii="Times New Roman" w:hAnsi="Times New Roman" w:eastAsia="宋体"/>
          <w:sz w:val="21"/>
        </w:rPr>
        <w:t xml:space="preserve">时间: 2026-01-23 | </w:t>
      </w:r>
      <w:r>
        <w:t xml:space="preserve">链接: </w:t>
      </w:r>
      <w:hyperlink r:id="rId25">
        <w:r>
          <w:rPr>
            <w:rFonts w:ascii="Times New Roman" w:hAnsi="Times New Roman" w:eastAsia="宋体"/>
            <w:color w:val="0000FF"/>
            <w:sz w:val="21"/>
            <w:u w:val="single"/>
          </w:rPr>
          <w:t>https://doi.org/10.1364/oe.586863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且可控的状态切换能力对于开发可编程和可重构超快激光源至关重要。虽然已经报道了具有各种锁模机制的传统双态切换，但单腔内多状态切换的可访问性以及相应的瞬态动力学仍未得到探索。在这里，我们使用非线性偏振旋转（NPR）与碳纳米管可饱和吸收器（CNT-SA）相结合的混合方案研究掺铒光纤激光器的状态切换特性。我们证明了混合方案支持三次谐波锁模、基波孤子和束缚态之间的可逆切换，并且具有高再现性。实时光谱表征证实，CNT-SA 抑制了 NPR 对应物在状态转换期间的内在不稳定性，正如呼吸振荡的扩展所反映的那样。我们通过实验证明，混合方案有效支持多个孤子态的生成并减轻过渡过程中的不稳定性，为激光动力学研究和智能激光源应用建立了可逆成对状态切换平台。</w:t>
      </w:r>
    </w:p>
    <w:p>
      <w:pPr>
        <w:spacing w:before="120"/>
      </w:pPr>
      <w:r>
        <w:rPr>
          <w:rFonts w:ascii="Times New Roman" w:hAnsi="Times New Roman" w:eastAsia="宋体"/>
          <w:b/>
          <w:sz w:val="21"/>
        </w:rPr>
        <w:t>English Abstract:</w:t>
      </w:r>
    </w:p>
    <w:p>
      <w:r>
        <w:rPr>
          <w:rFonts w:ascii="Times New Roman" w:hAnsi="Times New Roman" w:eastAsia="宋体"/>
          <w:sz w:val="21"/>
        </w:rPr>
        <w:t>Reliable and controllable state-switching capabilities are essential for the development of programmable and reconfigurable ultrafast laser sources. While conventional dual-state switching with various mode-locking mechanisms has been reported, the accessibility of multiple state-switching within a single cavity and the corresponding transient dynamics remain unexplored. Here, we investigate the state-switching characteristics of an Erbium-doped fiber laser using a hybrid scheme combining nonlinear polarization rotation (NPR) with a carbon nanotube saturable absorber (CNT-SA). We show that the hybrid scheme supports reversible switching among the third harmonic mode-locking, fundamental soliton, and bound states with high reproducibility. Real-time spectral characterizations confirm that the CNT-SA suppresses the intrinsic instability of the NPR counterpart during state transitions, as reflected in the extension of breathing oscillations. We experimentally demonstrate that the hybrid scheme effectively supports generation of multiple soliton states and mitigates the instabilities during the transition process, establishing a reversible pairwise state-switching platform for laser dynamics studies and intelligent laser source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通过振动色散光谱探测气态光热效应</w:t>
      </w:r>
    </w:p>
    <w:p>
      <w:r>
        <w:rPr>
          <w:rFonts w:ascii="Times New Roman" w:hAnsi="Times New Roman" w:eastAsia="宋体"/>
          <w:b/>
          <w:color w:val="003264"/>
          <w:sz w:val="24"/>
        </w:rPr>
        <w:t>Probing gaseous photothermal effects via vibrational dispersion spectroscopy</w:t>
      </w:r>
    </w:p>
    <w:p>
      <w:r>
        <w:rPr>
          <w:rFonts w:ascii="Times New Roman" w:hAnsi="Times New Roman" w:eastAsia="宋体"/>
          <w:sz w:val="21"/>
        </w:rPr>
        <w:t>作者: Wenqing Song, Kokoro Fujiwara, Ikki Morichika, Satoshi Ashihara</w:t>
        <w:br/>
      </w:r>
      <w:r>
        <w:rPr>
          <w:rFonts w:ascii="Times New Roman" w:hAnsi="Times New Roman" w:eastAsia="宋体"/>
          <w:sz w:val="21"/>
        </w:rPr>
        <w:t xml:space="preserve">时间: 2026-01-23 | </w:t>
      </w:r>
      <w:r>
        <w:t xml:space="preserve">链接: </w:t>
      </w:r>
      <w:hyperlink r:id="rId34">
        <w:r>
          <w:rPr>
            <w:rFonts w:ascii="Times New Roman" w:hAnsi="Times New Roman" w:eastAsia="宋体"/>
            <w:color w:val="0000FF"/>
            <w:sz w:val="21"/>
            <w:u w:val="single"/>
          </w:rPr>
          <w:t>https://doi.org/10.1364/oe.584928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体中的光热光谱通过推断振动激发后激光引起的折射率变化的吸收，实现灵敏的分子检测。然而，在气体混合物中，光热响应随成分而变化，因为它受到碰撞能量转移以及耦合的热力学和传输过程的控制。当仅在非共振波长下探测折射率时，这些与物种相关的动力学很难解开。在这项工作中，我们采用无背景振动色散光谱来表征气体中的光热响应。该方法探测振动共振波长下的折射率，以检索与气体混合物中各个分子种类相关的稳态密度和差异密度变化。该功能为研究光热现象的热力学和传输提供了一个多功能平台，可应用于燃烧诊断和化学合成监测。</w:t>
      </w:r>
    </w:p>
    <w:p>
      <w:pPr>
        <w:spacing w:before="120"/>
      </w:pPr>
      <w:r>
        <w:rPr>
          <w:rFonts w:ascii="Times New Roman" w:hAnsi="Times New Roman" w:eastAsia="宋体"/>
          <w:b/>
          <w:sz w:val="21"/>
        </w:rPr>
        <w:t>English Abstract:</w:t>
      </w:r>
    </w:p>
    <w:p>
      <w:r>
        <w:rPr>
          <w:rFonts w:ascii="Times New Roman" w:hAnsi="Times New Roman" w:eastAsia="宋体"/>
          <w:sz w:val="21"/>
        </w:rPr>
        <w:t>Photothermal spectroscopy in gases enables sensitive molecular detection by inferring absorption from laser-induced refractive-index changes following rovibrational excitation. In gas mixtures, however, the photothermal response varies with composition because it is governed by collisional energy transfer and coupled thermodynamic and transport processes. These species-dependent dynamics are difficult to disentangle when the refractive index is probed only at an off-resonant wavelength. In this work, we employ background-free vibrational dispersion spectroscopy to characterize photothermal responses in gases. The method probes the refractive index at vibrationally resonant wavelengths to retrieve both steady-state density and differential density changes associated with individual molecular species in gas mixtures. This capability provides a versatile platform for studying the thermodynamics and transport underlying photothermal phenomena, with applications in combustion diagnostics and chemical-synthesis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基于耦合调制回音壁模式微腔的高灵敏度片上加速度计</w:t>
      </w:r>
    </w:p>
    <w:p>
      <w:r>
        <w:rPr>
          <w:rFonts w:ascii="Times New Roman" w:hAnsi="Times New Roman" w:eastAsia="宋体"/>
          <w:b/>
          <w:color w:val="003264"/>
          <w:sz w:val="24"/>
        </w:rPr>
        <w:t>High-sensitivity on-chip accelerometer based on a coupling-modulation whispering gallery mode microcavity</w:t>
      </w:r>
    </w:p>
    <w:p>
      <w:r>
        <w:rPr>
          <w:rFonts w:ascii="Times New Roman" w:hAnsi="Times New Roman" w:eastAsia="宋体"/>
          <w:sz w:val="21"/>
        </w:rPr>
        <w:t>作者: Yahua Zhang, Hang Yu, Ziyi Dong, Yifei Hu, Wei Lin, Zehao Guan, Xiaohe Tang, Yu Liu, Jing Zhang, Guangming Zhao, Ming Li</w:t>
        <w:br/>
      </w:r>
      <w:r>
        <w:rPr>
          <w:rFonts w:ascii="Times New Roman" w:hAnsi="Times New Roman" w:eastAsia="宋体"/>
          <w:sz w:val="21"/>
        </w:rPr>
        <w:t xml:space="preserve">时间: 2026-01-26 | </w:t>
      </w:r>
      <w:r>
        <w:t xml:space="preserve">链接: </w:t>
      </w:r>
      <w:hyperlink r:id="rId35">
        <w:r>
          <w:rPr>
            <w:rFonts w:ascii="Times New Roman" w:hAnsi="Times New Roman" w:eastAsia="宋体"/>
            <w:color w:val="0000FF"/>
            <w:sz w:val="21"/>
            <w:u w:val="single"/>
          </w:rPr>
          <w:t>https://doi.org/10.1364/oe.588352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高品质因数回音壁模式 (WGM) 光学微腔为高性能加速度计提供了一个有前景的平台。然而，大多数现有的 WGM 加速度计依赖于具有锥形光纤或棱镜耦合的片外微腔，这限制了它们的占地面积大、稳定性差和可扩展性有限。为了解决这些限制，我们提出了一种基于耦合调制 WGM 微环谐振器的新型片上加速度计，该加速度计在标准 SOI 平台上制造。外部加速度激发集成悬臂梁振动，引起马赫-曾德干涉仪 (MZI) 相移，从而调制耦合条件并直接转化为输出端口的强度变化。这种机制提供了对光谱响应的精确和稳定的控制，克服了传统物理间隙调制固有的不稳定性。该仿真优化器件在 10.5 mm × 1 mm 的封装内实现了 10 n g /Hz 的噪声等效加速度。其 CMOS 兼容的单片架构确保了鲁棒性、可扩展性以及大规模集成光学传感应用的强大潜力。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whispering-gallery-mode (WGM) optical microcavities offer a promising platform for high-performance accelerometers. However, most existing WGM accelerometers rely on off-chip microcavities with taper-fiber or prism coupling, which limit them with large footprints, poor stability, and limited scalability. To address these limitations, we propose a novel on-chip accelerometer based on a coupling-modulation WGM microring resonator, fabricated on the standard SOI platform. External acceleration excites integrated cantilever beam vibration, inducing a Mach–Zehnder interferometer (MZI) phase shift that modulates the coupling condition and translates directly into intensity variations at the output port. This mechanism provides precise and stable control of the spectral response, overcoming the inherent instability of conventional physical-gap modulation. The simulation-optimized device achieves a noise-equivalent acceleration of 10 n g /Hz within a 10.5 mm × 1 mm footprint. Its CMOS-compatible monolithic architecture ensures robustness, scalability, and strong potential for large-scale integrated optical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基于全保偏 SESAM 辅助的 9 字形 Er: 光纤激光器的紧凑型 GMN 放大系统</w:t>
      </w:r>
    </w:p>
    <w:p>
      <w:r>
        <w:rPr>
          <w:rFonts w:ascii="Times New Roman" w:hAnsi="Times New Roman" w:eastAsia="宋体"/>
          <w:b/>
          <w:color w:val="003264"/>
          <w:sz w:val="24"/>
        </w:rPr>
        <w:t>Compact GMN amplification system based on an all-PM SESAM-assisted figure-9 Er:fiber laser</w:t>
      </w:r>
    </w:p>
    <w:p>
      <w:r>
        <w:rPr>
          <w:rFonts w:ascii="Times New Roman" w:hAnsi="Times New Roman" w:eastAsia="宋体"/>
          <w:sz w:val="21"/>
        </w:rPr>
        <w:t>作者: Zhen Chen, Zhi Yang, Ze Li, Zhiguo Lv</w:t>
        <w:br/>
      </w:r>
      <w:r>
        <w:rPr>
          <w:rFonts w:ascii="Times New Roman" w:hAnsi="Times New Roman" w:eastAsia="宋体"/>
          <w:sz w:val="21"/>
        </w:rPr>
        <w:t xml:space="preserve">时间: 2026-01-23 | </w:t>
      </w:r>
      <w:r>
        <w:t xml:space="preserve">链接: </w:t>
      </w:r>
      <w:hyperlink r:id="rId36">
        <w:r>
          <w:rPr>
            <w:rFonts w:ascii="Times New Roman" w:hAnsi="Times New Roman" w:eastAsia="宋体"/>
            <w:color w:val="0000FF"/>
            <w:sz w:val="21"/>
            <w:u w:val="single"/>
          </w:rPr>
          <w:t>https://doi.org/10.1364/oe.585827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典型的全保偏（PM）9字光纤激光器由于其优异的长期稳定性而有望产生高重复率脉冲，但其发展受到腔长的限制。在此，我们提出了一种半导体可饱和吸收镜（SESAM）辅助的9字型Er：光纤激光器，该激光器在谐波锁模（HML）状态下工作以产生高重复率超短脉冲。通过利用 SESAM 固有的非线性反射率进行脉冲整形并优化泵浦功率，脉冲的重复率可以从 43.478 MHz 调整到 645.16 MHz（第 15 次谐波）。值得注意的是，泵浦引起的增益竞争使 13 次及更高阶谐波的中心波长稳定在 1532 nm 附近。此外，联合增益管理非线性（GMN）放大可提供能量为8.65 nJ、持续时间为102 fs的脉冲，实现超过100 nm的光谱覆盖范围，相当于67.54 nm的3 dB带宽。据我们所知，645.16 MHz 和 102 fs 分别代表 1.5 µm 区域内 GMN 放大的最高重复率和最短脉冲持续时间。我们的结果为研究 1.5 µm GMN 系统中的高能宽带脉冲奠定了基础。</w:t>
      </w:r>
    </w:p>
    <w:p>
      <w:pPr>
        <w:spacing w:before="120"/>
      </w:pPr>
      <w:r>
        <w:rPr>
          <w:rFonts w:ascii="Times New Roman" w:hAnsi="Times New Roman" w:eastAsia="宋体"/>
          <w:b/>
          <w:sz w:val="21"/>
        </w:rPr>
        <w:t>English Abstract:</w:t>
      </w:r>
    </w:p>
    <w:p>
      <w:r>
        <w:rPr>
          <w:rFonts w:ascii="Times New Roman" w:hAnsi="Times New Roman" w:eastAsia="宋体"/>
          <w:sz w:val="21"/>
        </w:rPr>
        <w:t>Typical all-polarization-maintaining (PM) figure-9 fiber lasers are promising for generating high-repetition-rate pulses due to their excellent long-term stability, but their development is limited by the cavity length. Herein, we propose a semiconductor saturable absorber mirror (SESAM)-assisted figure-9 Er:fiber laser that operates in the harmonic mode-locking (HML) regime to generate high-repetition-rate ultrashort pulses. By leveraging the intrinsic nonlinear reflectivity of the SESAM for pulse shaping and optimizing the pump power, the repetition rate of the pulses can be adjusted from 43.478 MHz to 645.16 MHz (15th harmonic). Notably, pump-induced gain competition stabilizes the central wavelength near 1532 nm for the 13th and higher-order harmonics. In addition, the joint gain-managed nonlinear (GMN) amplification delivers pulses with an energy of 8.65 nJ and a duration of 102 fs, achieving a spectral coverage exceeding 100 nm, which corresponds to a 3 dB bandwidth of 67.54 nm. To our knowledge, 645.16 MHz and 102 fs represent, respectively, the highest repetition rate and the shortest pulse duration in the GMN amplification within the 1.5 µm region. Our results establish a foundation for investigating high-energy, broadband pulses in 1.5 µm GMN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广泛可调的掺铥全光纤 MOPA 的高功率和高效率串联泵浦</w:t>
      </w:r>
    </w:p>
    <w:p>
      <w:r>
        <w:rPr>
          <w:rFonts w:ascii="Times New Roman" w:hAnsi="Times New Roman" w:eastAsia="宋体"/>
          <w:b/>
          <w:color w:val="003264"/>
          <w:sz w:val="24"/>
        </w:rPr>
        <w:t>High power and efficiency tandem-pumping of a widely tunable Tm-doped all-fiber MOPA</w:t>
      </w:r>
    </w:p>
    <w:p>
      <w:r>
        <w:rPr>
          <w:rFonts w:ascii="Times New Roman" w:hAnsi="Times New Roman" w:eastAsia="宋体"/>
          <w:sz w:val="21"/>
        </w:rPr>
        <w:t>作者: Chuanyong Ren, Yaocong Han, Yuhao Zheng, Yongxiang Hu, Yi Song, Haotian Wang, Jun Guo, Fei Wang, Deyuan Shen</w:t>
        <w:br/>
      </w:r>
      <w:r>
        <w:rPr>
          <w:rFonts w:ascii="Times New Roman" w:hAnsi="Times New Roman" w:eastAsia="宋体"/>
          <w:sz w:val="21"/>
        </w:rPr>
        <w:t xml:space="preserve">时间: 2026-01-27 | </w:t>
      </w:r>
      <w:r>
        <w:t xml:space="preserve">链接: </w:t>
      </w:r>
      <w:hyperlink r:id="rId37">
        <w:r>
          <w:rPr>
            <w:rFonts w:ascii="Times New Roman" w:hAnsi="Times New Roman" w:eastAsia="宋体"/>
            <w:color w:val="0000FF"/>
            <w:sz w:val="21"/>
            <w:u w:val="single"/>
          </w:rPr>
          <w:t>https://doi.org/10.1364/oe.583281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展示了一种采用纤芯泵浦和串联泵浦配置的高功率且广泛可调的掺铥全光纤主振荡器功率放大器（MOPA）。研究了1943nm串联泵浦的掺铥光纤的基态漂白效应。主振荡器是掺铥光纤环形激光器，结合了可调谐带通滤波器，以实现窄线宽和波长可调谐操作。 MOPA 在 1980nm 处提供 103W 的输出功率，在 1960 至 2020nm 的 60nm 调谐范围内保持 &gt;83W 的输出功率，实现约 80% 的高斜率效率。该激光器表现出~0.15 nm的光谱线宽和&gt;42 dB的高光信噪比（OSNR），这归因于串联泵浦对放大自发发射（ASE）的有效抑制。测得约 10 分钟范围内的功率稳定性 (RMS) 约为 0.75%。在最大激光输出时测得衍射极限光束品质因数M 2 为～1.18（水平）和1.16（垂直）。激光功率受到泵浦限制，即使在最大功率水平下，也不会出现寄生振荡或热致横模不稳定性 (TMI) 效应。据我们所知，这是首次演示全光纤集成、波长可调谐的掺铥光纤激光器在高效串联泵浦下达到 100 瓦的水平。</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high-power and widely-tunable Tm-doped all-fiber master oscillator power amplifier (MOPA) in a core- and tandem-pumping configuration. The ground-state bleaching effect of Tm-doped fiber tandem-pumped at 1943nm was investigated. The master oscillator is a Tm-doped fiber ring laser incorporating a tunable bandpass filter to realize a narrow linewidth and wavelength-tunable operation. The MOPA delivered 103 W of output power at 1980nm, with &gt;83 W maintained over a 60 nm tuning range from 1960 to 2020nm, achieving a high slope efficiency of ∼ 80%. The laser exhibited a spectral linewidth of ∼0.15 nm and a high optical signal-to-noise ratio (OSNR) of &gt;42 dB, attributed to the effective suppression of amplified spontaneous emission (ASE) by tandem pumping. The power stability (RMS) at a scale of ∼10 min was measured to be approximately 0.75%. A diffraction-limited beam quality factor M 2 of ∼1.18 (horizontal) and 1.16 (vertical) was measured at the maximum laser output. The laser power is pump-limited without the onset of parasitic oscillation or thermal-induced transverse mode instability (TMI) effect, even at the maximum power level. This represents the first demonstration, to the best of our knowledge, of an all-fiber-integrated, wavelength-tunable Tm-doped fiber laser reaching the 100-watt level under efficient tandem pumping.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用于准消色差、传播不变管状光束的衍射轴锥镜</w:t>
      </w:r>
    </w:p>
    <w:p>
      <w:r>
        <w:rPr>
          <w:rFonts w:ascii="Times New Roman" w:hAnsi="Times New Roman" w:eastAsia="宋体"/>
          <w:b/>
          <w:color w:val="003264"/>
          <w:sz w:val="24"/>
        </w:rPr>
        <w:t>Diffractive axicons for quasi-achromatic, propagation-invariant tubular beams</w:t>
      </w:r>
    </w:p>
    <w:p>
      <w:r>
        <w:rPr>
          <w:rFonts w:ascii="Times New Roman" w:hAnsi="Times New Roman" w:eastAsia="宋体"/>
          <w:sz w:val="21"/>
        </w:rPr>
        <w:t>作者: Niklas Sass, Christof Pruss, Oliver Krieglsteiner, Daniel Schachtler, Kevin Treptow, Stephan Reichelt</w:t>
        <w:br/>
      </w:r>
      <w:r>
        <w:rPr>
          <w:rFonts w:ascii="Times New Roman" w:hAnsi="Times New Roman" w:eastAsia="宋体"/>
          <w:sz w:val="21"/>
        </w:rPr>
        <w:t xml:space="preserve">时间: 2026-01-22 | </w:t>
      </w:r>
      <w:r>
        <w:t xml:space="preserve">链接: </w:t>
      </w:r>
      <w:hyperlink r:id="rId38">
        <w:r>
          <w:rPr>
            <w:rFonts w:ascii="Times New Roman" w:hAnsi="Times New Roman" w:eastAsia="宋体"/>
            <w:color w:val="0000FF"/>
            <w:sz w:val="21"/>
            <w:u w:val="single"/>
          </w:rPr>
          <w:t>https://doi.org/10.1364/oe.582786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光学系统，可生成准消色差、传播不变的管状光场，其直径在数米的传播范围内和所有研究的波长下保持恒定。该系统结合了两个具有相同光栅周期的衍射轴棱镜，其中二元轴棱镜（DOE1）的相位偏移通过控制+1级和-1级衍射级之间的干涉来决定傅里叶平面中出现单环还是双环结构。在傅立叶平面之外，我们分析了光束的全轴向演化。数值模拟和实验表明，横向环直径在传播过程中保持不变。结果表明，二维模拟和测量之间具有很强的一致性，证实了所生成的管状光场的准消色差和传播不变行为。</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optical system that generates a quasi-achromatic, propagation-invariant tubular light field whose diameter remains constant over meters of propagation and for all investigated wavelengths. The system combines two diffractive axicons of identical grating period, where the phase offset of the binary axicon (DOE1) determines whether a single-ring or double-ring structure appears in the Fourier plane by controlling the interference between the +1 st and −1 st diffraction orders. Beyond the Fourier plane, we analyze the full axial evolution of the beam. Numerical simulations and experiments show that the transverse ring diameter remains invariant during propagation. The results demonstrate strong agreement between two-dimensional simulations and measurements, confirming the quasi-achromatic and propagation-invariant behavior of the generated tubular light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超快光声计算机断层扫描用于小鼠呼吸和心脏动力学的体内可视化</w:t>
      </w:r>
    </w:p>
    <w:p>
      <w:r>
        <w:rPr>
          <w:rFonts w:ascii="Times New Roman" w:hAnsi="Times New Roman" w:eastAsia="宋体"/>
          <w:b/>
          <w:color w:val="003264"/>
          <w:sz w:val="24"/>
        </w:rPr>
        <w:t>Ultrafast photoacoustic computed tomography for in vivo visualization of respiratory and cardiac dynamics in mice</w:t>
      </w:r>
    </w:p>
    <w:p>
      <w:r>
        <w:rPr>
          <w:rFonts w:ascii="Times New Roman" w:hAnsi="Times New Roman" w:eastAsia="宋体"/>
          <w:sz w:val="21"/>
        </w:rPr>
        <w:t>作者: Simin Wang, Yang Liu, Yingjie Feng, Xianling Liu, Di Xu, Chao Tao, Xiaojun Liu</w:t>
        <w:br/>
      </w:r>
      <w:r>
        <w:rPr>
          <w:rFonts w:ascii="Times New Roman" w:hAnsi="Times New Roman" w:eastAsia="宋体"/>
          <w:sz w:val="21"/>
        </w:rPr>
        <w:t xml:space="preserve">时间: 2026-01-26 | </w:t>
      </w:r>
      <w:r>
        <w:t xml:space="preserve">链接: </w:t>
      </w:r>
      <w:hyperlink r:id="rId39">
        <w:r>
          <w:rPr>
            <w:rFonts w:ascii="Times New Roman" w:hAnsi="Times New Roman" w:eastAsia="宋体"/>
            <w:color w:val="0000FF"/>
            <w:sz w:val="21"/>
            <w:u w:val="single"/>
          </w:rPr>
          <w:t>https://doi.org/10.1364/oe.582616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我们提出了一种超快光声计算机断层扫描 (UPACT) 系统，该系统结合了 1 kHz 纳秒激光器、256 通道高速数据采集和频域 SNR 加权重建，可在超低表面注量 (∼0.226 mJ/cm 2 ) 下以每秒 1000 帧的速度进行单次全视图断层扫描，并具有 100 μm 面内分辨率。体模实验通过对快速移动的 100 μm 直径微球进行成像来验证运动冻结和定量跟踪。裸鼠体内成像捕捉心肺动态，膈肌厚度为0.6毫米，膈肌运动幅度为0.8毫米，呼吸频率为每分钟75次呼吸。 UPACT 进一步解析了心室特定的心脏力学，揭示了 4.55 Hz 的主导心脏频率和 0.093 s 的房室机械延迟。该系统在小鼠身体横截面的短轴和长轴上实现了高达14毫米和20毫米的有效穿透深度，实现了体内肾脏和脾脏等内脏器官的完整可视化。这些结果表明 UPACT 可能是快速生理动力学无创监测的强大平台，为心脏功能及相关领域的研究提供新的机会。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present an ultrafast photoacoustic computed tomography (UPACT) system that combines a 1 kHz nanosecond laser, 256-channel high-speed data acquisition, and frequency-domain SNR-weighted reconstruction to enable single-shot, full-view tomography at up to 1000 frames per second with 100 μm in-plane resolution under ultralow surface fluence (∼0.226 mJ/cm 2 ). Phantom experiments validate motion-freezing and quantitative tracking by imaging rapidly moving 100 μm-diameter microspheres. In vivo imaging of nude mice captures cardiopulmonary dynamics, yielding a diaphragm thickness of 0.6 mm, a diaphragm motion amplitude of 0.8 mm, and a respiratory rate of 75 breaths per minute. UPACT further resolves chamber-specific cardiac mechanics, revealing a dominant cardiac frequency of 4.55 Hz and an atrioventricular mechanical delay of 0.093 s. The system achieved an effective penetration depth of up to 14 mm along the short axis and 20 mm along the long axis of the mouse-body cross-section, enabling full visualization of internal organs such as the kidneys and spleen in vivo . These results suggest that UPACT might be a powerful platform for noninvasive monitoring of rapid physiological dynamics, offering new opportunities for research on cardiac function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使用非线性校正阵列光谱辐射计测量 0/45 反射系数</w:t>
      </w:r>
    </w:p>
    <w:p>
      <w:r>
        <w:rPr>
          <w:rFonts w:ascii="Times New Roman" w:hAnsi="Times New Roman" w:eastAsia="宋体"/>
          <w:b/>
          <w:color w:val="003264"/>
          <w:sz w:val="24"/>
        </w:rPr>
        <w:t>Measurement of 0/45 reflectance factor using nonlinearity corrected array spectroradiometer</w:t>
      </w:r>
    </w:p>
    <w:p>
      <w:r>
        <w:rPr>
          <w:rFonts w:ascii="Times New Roman" w:hAnsi="Times New Roman" w:eastAsia="宋体"/>
          <w:sz w:val="21"/>
        </w:rPr>
        <w:t>作者: Zhifeng Wu, Shize Wang, Xiaofeng Lu, Chao Liu, Jinzhao Lu, Caihong Dai, Ling Li, Ruoduan Sun, Yanfei Wang, Shufang He</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https://doi.org/10.1364/oe.582795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射系数的测量涉及跨越多个数量级的动态范围，确保测量系统的线性度对于获得准确的结果至关重要。该论文描述了一种能够测量反射率并通过适当修改来实现线性测量的光学配置。线性校准设施将高温黑体源、孔径和白色扩散器结合在一起，使得光谱辐射亮度测量范围和相对光谱分布与使用积分球光源的反射系数测量相同。这显着减少了非线性和光谱杂散光的影响，使基于阵列光谱辐射计的反射系数测量更加方便，同时尽可能减少测量不确定性。从380 nm到780 nm，白漫反射的0/45反射系数测量不确定度达到1.20%-0.54%（k=2）。</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reflectance factor involves a dynamic range spanning multiple orders of magnitude, and ensuring the linearity of the measurement system is essential for obtaining accurate results. The paper describes an optical configuration capable of reflectance factor measurement and enabling linearity measurement by appropriately modifying it. The linearity calibration facility incorporates a high-temperature blackbody source, an aperture, and a white diffuser together, making the spectral radiance measurement range and relative spectral distribution identical to that of reflectance factor measurements using an integrating sphere light source. This significantly reduces the impact of nonlinearity and spectral stray light, making reflectance factor measurements based on array spectroradiometers more convenient while minimizing measurement uncertainty as much as possible. The 0/45 reflectance factor measurement uncertainty of white diffuse reaches 1.20%-0.54% ( k = 2) from 380 nm to 780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双光谱透明随机编码超表面，用于减少散射和电磁屏蔽</w:t>
      </w:r>
    </w:p>
    <w:p>
      <w:r>
        <w:rPr>
          <w:rFonts w:ascii="Times New Roman" w:hAnsi="Times New Roman" w:eastAsia="宋体"/>
          <w:b/>
          <w:color w:val="003264"/>
          <w:sz w:val="24"/>
        </w:rPr>
        <w:t>Dual-spectrum transparent random encoding metasurface for scattering reduction and electromagnetic shielding</w:t>
      </w:r>
    </w:p>
    <w:p>
      <w:r>
        <w:rPr>
          <w:rFonts w:ascii="Times New Roman" w:hAnsi="Times New Roman" w:eastAsia="宋体"/>
          <w:sz w:val="21"/>
        </w:rPr>
        <w:t>作者: Tianhao Liu, Yelong Wang, Feng Qi, Nairui Hu, Bo Hu, Zhaoyang Liu, Pengxiang Liu, Weifan Li</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https://doi.org/10.1364/oe.584559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双光谱透明随机编码超表面（DTREM），以实现先进光学窗口的出色雷达截面（RCS）减小和增强电磁（EM）保护。为了同时确保高电磁屏蔽和可见光和红外光谱中优异的透过率，采用了易于制造的金属网技术，并从理论上分析了其物理参数约束。随后，基于实用的模拟退火算法，精心设计了优化的编码阵列。该算法可以显着增强DTREM的RCS降低性能。实验结果表明，所制作的DTREM样品在550 nm处实现了89.5%的高双光谱透过率，在3.0-5.0 μm范围内实现了90.8%的高双光谱透过率。此外，它在 13.6-17.2 GHz 频段上的 RCS 显着降低超过 10 dB，在 X-Ku 频段上的屏蔽效能达到 23.8 dB。这些结果表明，所提出的方法为集成光电检测平台提供了一种有前景的解决方案。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dual-spectrum transparent random encoding metasurface (DTREM) is proposed to achieve both excellent radar cross-section (RCS) reduction and enhanced electromagnetic (EM) protection for advanced optical windows. To simultaneously ensure high EM shielding and excellent transmittance in the visible and infrared spectra, an easy-to-fabricate metal mesh technology is employed, with its physical parameter constraints analyzed theoretically. Subsequently, based on a practical simulated annealing algorithm, the optimized coding array is elaborately designed. This algorithm can significantly enhance the RCS reduction performance of DTREM. Experimental results show that the fabricated DTREM sample achieves a high dual-spectrum transmittance of 89.5% at 550 nm and 90.8% in the 3.0-5.0 μm range. Additionally, it demonstrates notable RCS reduction exceeding 10 dB across 13.6-17.2 GHz and a shielding effectiveness of 23.8 dB over the X-Ku band. These results suggest that the proposed approach offers a promising solution for integrated optoelectronic detection platforms.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00:28 ---</w:t>
      </w:r>
    </w:p>
    <w:p>
      <w:pPr>
        <w:pStyle w:val="Heading2"/>
      </w:pPr>
      <w:r/>
      <w:r>
        <w:rPr>
          <w:rFonts w:ascii="Times New Roman" w:hAnsi="Times New Roman" w:eastAsia="宋体"/>
          <w:b/>
          <w:color w:val="000000"/>
          <w:sz w:val="24"/>
        </w:rPr>
        <w:t>胶质母细胞瘤球体对治疗反应的纵向、无标记、高分辨率成像：化疗、放疗和免疫治疗临床前评估的转化工具</w:t>
      </w:r>
    </w:p>
    <w:p>
      <w:r>
        <w:rPr>
          <w:rFonts w:ascii="Times New Roman" w:hAnsi="Times New Roman" w:eastAsia="宋体"/>
          <w:b/>
          <w:color w:val="003264"/>
          <w:sz w:val="24"/>
        </w:rPr>
        <w:t>Longitudinal, label-free, high-resolution imaging of glioblastoma spheroid response to therapy: a translational tool for preclinical evaluation of chemotherapy, radiation, and immunotherapy</w:t>
      </w:r>
    </w:p>
    <w:p>
      <w:r>
        <w:rPr>
          <w:rFonts w:ascii="Times New Roman" w:hAnsi="Times New Roman" w:eastAsia="宋体"/>
          <w:sz w:val="21"/>
        </w:rPr>
        <w:t>作者: Caroline E. Serafini, Amin Davarzani, Dan Cappabianca, Zhenmin Li, Daniela Baez Collazos, Deniz Mamaghani, Leidong Mao, Krishanu Saha, Lohitash Karumbaiah, Francisco E. Robles</w:t>
        <w:br/>
      </w:r>
      <w:r>
        <w:rPr>
          <w:rFonts w:ascii="Times New Roman" w:hAnsi="Times New Roman" w:eastAsia="宋体"/>
          <w:sz w:val="21"/>
        </w:rPr>
        <w:t xml:space="preserve">时间: 2026-01-27 | </w:t>
      </w:r>
      <w:r>
        <w:t xml:space="preserve">链接: </w:t>
      </w:r>
      <w:hyperlink r:id="rId22">
        <w:r>
          <w:rPr>
            <w:rFonts w:ascii="Times New Roman" w:hAnsi="Times New Roman" w:eastAsia="宋体"/>
            <w:color w:val="0000FF"/>
            <w:sz w:val="21"/>
            <w:u w:val="single"/>
          </w:rPr>
          <w:t>https://doi.org/10.1364/optica.574860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胶质母细胞瘤（GBM）是一种侵袭性脑肿瘤，治疗选择有限，患者生存率低，这凸显了对新的、据我们所知的治疗策略和改进的临床前模型的需求。患者来源的肿瘤球体 (PDTS) 提供了一个生理相关的体外平台，用于评估嵌合抗原受体 (CAR) T 细胞疗法、化疗和放疗等治疗方法。然而，监测 GBM PDTS 复杂的三维 (3D) 微环境仍然存在重大挑战。目前用于此目的的成像技术主要是终点分析，缺乏关键的实时、非侵入性功能，最终无法进行纵向和连续监测。在这项研究中，我们引入了定量倾斜背照显微镜（qOBM）作为一种无标记和非侵入性成像方法，用于在治疗过程中纵向、连续、高分辨率监测 GBM PDTS。 qOBM 通过利用基于断层折射率的定量成像，实现细胞过程的实时可视化，包括细胞凋亡、细胞迁移和 T 细胞介导的细胞毒性。我们构建了一个适合普通培养箱的紧凑型 qOBM 系统，并将其应用于研究放射、化疗和免疫疗法对三种患者来源的 GBM 细胞系的影响，提取 72 小时治疗期内的静态和动态图像特征。此外，我们开发了机器学习模型来预测球体活力和细胞毒性，证明了 qOBM 增强治疗评估的潜力。我们的研究结果确立了 qOBM 作为纵向和连续球体监测的强大工具，为传统终点检测提供了一种非破坏性、高分辨率的替代方案，并改进了 GBM 临床前治疗的评估。</w:t>
      </w:r>
    </w:p>
    <w:p>
      <w:pPr>
        <w:spacing w:before="120"/>
      </w:pPr>
      <w:r>
        <w:rPr>
          <w:rFonts w:ascii="Times New Roman" w:hAnsi="Times New Roman" w:eastAsia="宋体"/>
          <w:b/>
          <w:sz w:val="21"/>
        </w:rPr>
        <w:t>English Abstract:</w:t>
      </w:r>
    </w:p>
    <w:p>
      <w:r>
        <w:rPr>
          <w:rFonts w:ascii="Times New Roman" w:hAnsi="Times New Roman" w:eastAsia="宋体"/>
          <w:sz w:val="21"/>
        </w:rPr>
        <w:t>Glioblastoma (GBM) is an aggressive brain tumor with limited treatment options and poor patient survival, underscoring the need for novel, to our knowledge, therapeutic strategies and improved preclinical models. Patient-derived tumor spheroids (PDTSs) offer a physiologically relevant in vitro platform for evaluating treatments such as chimeric antigen receptor (CAR) T cell therapy, chemotherapy, and radiation. However, significant challenges remain in monitoring the complex three-dimensional (3D) microenvironment of the GBM PDTSs. Current imaging techniques used for this purpose are primarily endpoint analyses which lack critical real-time, non-invasive capabilities that ultimately preclude longitudinal and continuous monitoring. In this study, we introduce quantitative oblique back-illumination microscopy (qOBM) as a label-free and non-invasive imaging approach for longitudinal and continuous, high-resolution monitoring of GBM PDTSs during treatment. qOBM enables real-time visualization of cellular processes, including apoptosis, cell migration, and T cell-mediated cytotoxicity by leveraging tomographic refractive index-based quantitative imaging. We construct a compact qOBM system that fits within common incubators and apply it to study the effects of radiation, chemotherapy, and immunotherapy on three patient-derived GBM cell lines, extracting both static and dynamic image features over a 72 h treatment period. Additionally, we develop machine learning models to predict spheroid viability and cytotoxicity, demonstrating the potential of qOBM to enhance treatment evaluation. Our findings establish qOBM as a powerful tool for longitudinal and continuous spheroid monitoring, offering a non-destructive, high-resolution alternative to conventional endpoint assays and improving the evaluation of preclinical treatments for GBM.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片上输入隐藏层简并光学衍射非线性神经网络</w:t>
      </w:r>
    </w:p>
    <w:p>
      <w:r>
        <w:rPr>
          <w:rFonts w:ascii="Times New Roman" w:hAnsi="Times New Roman" w:eastAsia="宋体"/>
          <w:b/>
          <w:color w:val="003264"/>
          <w:sz w:val="24"/>
        </w:rPr>
        <w:t>On-chip input-hidden-layer-degenerate optical diffractive nonlinear neural network</w:t>
      </w:r>
    </w:p>
    <w:p>
      <w:r>
        <w:rPr>
          <w:rFonts w:ascii="Times New Roman" w:hAnsi="Times New Roman" w:eastAsia="宋体"/>
          <w:sz w:val="21"/>
        </w:rPr>
        <w:t>作者: Wenguang Xu, Bo Wu, Shiji Zhang, Hailong Zhou, Yilun Wang, Jianji Dong, Xinliang Zhang</w:t>
        <w:br/>
      </w:r>
      <w:r>
        <w:rPr>
          <w:rFonts w:ascii="Times New Roman" w:hAnsi="Times New Roman" w:eastAsia="宋体"/>
          <w:sz w:val="21"/>
        </w:rPr>
        <w:t xml:space="preserve">时间: 2026-01-20 | </w:t>
      </w:r>
      <w:r>
        <w:t xml:space="preserve">链接: </w:t>
      </w:r>
      <w:hyperlink r:id="rId23">
        <w:r>
          <w:rPr>
            <w:rFonts w:ascii="Times New Roman" w:hAnsi="Times New Roman" w:eastAsia="宋体"/>
            <w:color w:val="0000FF"/>
            <w:sz w:val="21"/>
            <w:u w:val="single"/>
          </w:rPr>
          <w:t>https://doi.org/10.1364/optica.578963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集成光子计算具有引人注目的优势，包括超高带宽、超低延迟和固有的低功耗，使其成为人工智能 (AI) 应用的一个有前景的平台。然而，当前光子计算芯片的输入规模从根本上仍然受到其一维接口的限制。在这里，我们提出并通过实验演示了一种输入隐藏层简并光学衍射非线性神经网络（IHD-ODN 3 ），它将片上光学网络的输入维度从 N 扩展至 N 2 在紧凑的占地面积内。通过在结构上将输入层与线性衍射隐藏层合并，输入数据被直接编码到光学神经元中。利用衍射的固有特性，这些神经元之间的多层衍射相互作用促进了充分的数据混合，从而执行等效的非线性函数并将数据映射到占地面积为0.5mm 2 的高维空间中。我们通过四级螺旋和手写数字分类任务验证了 IHD-ODN 3 的非线性计算能力，分别实现了 88% 和 98% 的准确率。此外，我们还展示了高性能图像压缩和重建，压缩比高达256:1。这种输入隐藏层简并架构不仅解锁了 N 二维输入编码，而且还通过线性光子硬件提供低功耗、高度集成和可编程的光学非线性计算。我们的方法与主流线性光学神经网络架构完全兼容，为下一代大规模、高度集成的非线性光学深度神经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computing offers compelling advantages, including ultrahigh bandwidth, ultralow latency, and inherently low power consumption, positioning it as a promising platform for artificial intelligence (AI) applications. However, the input scale of current photonic computing chips remains fundamentally constrained by their one-dimensional interface. Here, we propose and experimentally demonstrate an input-hidden-layer-degenerate optical diffractive nonlinear neural network (IHD-ODN 3 ), which expands the input dimension of on-chip optical networks from N to N 2 within a compact footprint. By structurally merging the input layer with linear diffractive hidden layers, input data are directly encoded into optical neurons. Leveraging the intrinsic properties of diffraction, multilayer diffraction interactions among these neurons promote sufficient data mixing, thereby executing an equivalent nonlinear function and mapping the data into a high-dimensional space with a footprint of 0.5mm 2 . We validate the nonlinear computational capability of IHD-ODN 3 through four-class spiral and handwritten digit classification tasks, achieving accuracies of 88% and 98%, respectively. Furthermore, we demonstrate high-performance image compression and reconstruction, with a compression ratio of up to 256:1. This input-hidden-layer-degenerate architecture not only unlocks N 2 dimensional input encoding, but also delivers low-power, highly integrated and programmable optical nonlinear computing with linear photonic hardware. Our approach is fully compatible with mainstream linear optical neural network architectures, paving the way for next generation of large-scale, highly integrated nonlinear optical deep neural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垂直入射时具有亚分贝插入损耗的三波相互作用光栅耦合器</w:t>
      </w:r>
    </w:p>
    <w:p>
      <w:r>
        <w:rPr>
          <w:rFonts w:ascii="Times New Roman" w:hAnsi="Times New Roman" w:eastAsia="宋体"/>
          <w:b/>
          <w:color w:val="003264"/>
          <w:sz w:val="24"/>
        </w:rPr>
        <w:t>Three-wave interaction grating coupler with the sub-decibel insertion loss at normal incidence</w:t>
      </w:r>
    </w:p>
    <w:p>
      <w:r>
        <w:rPr>
          <w:rFonts w:ascii="Times New Roman" w:hAnsi="Times New Roman" w:eastAsia="宋体"/>
          <w:sz w:val="21"/>
        </w:rPr>
        <w:t>作者: Carson G. Valdez, Simon A. Bongarz, Anne R. Kroo, Anna J. Miller, Michel J. F. Digonnet, David A. B. Miller, Olav Solgaard</w:t>
        <w:br/>
      </w:r>
      <w:r>
        <w:rPr>
          <w:rFonts w:ascii="Times New Roman" w:hAnsi="Times New Roman" w:eastAsia="宋体"/>
          <w:sz w:val="21"/>
        </w:rPr>
        <w:t xml:space="preserve">时间: 2026-01-21 | </w:t>
      </w:r>
      <w:r>
        <w:t xml:space="preserve">链接: </w:t>
      </w:r>
      <w:hyperlink r:id="rId215">
        <w:r>
          <w:rPr>
            <w:rFonts w:ascii="Times New Roman" w:hAnsi="Times New Roman" w:eastAsia="宋体"/>
            <w:color w:val="0000FF"/>
            <w:sz w:val="21"/>
            <w:u w:val="single"/>
          </w:rPr>
          <w:t>https://doi.org/10.1364/optica.571318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或自由空间光束与硅光子电路之间的高效光学耦合对于降低系统级损耗和实现可扩展封装至关重要。传统的光栅耦合器通常需要非垂直入射的照明，这限制了它们与垂直定向光源和光纤的兼容性。我们报告了用于硅光子学的高效正入射光栅耦合器的设计、商业铸造厂的制造以及实验结果。我们观察到中心波长为 1546 nm 时，1 dB 带宽为 20 nm，最大耦合效率为 85.4% (−0.69dB)。这些实验结果验证了早期的理论和仿真结果，并为在对输入耦合损耗敏感的硅光子应用中使用完全垂直的光栅耦合器作为边缘耦合的替代方案铺平了道路。此外，这些结果使得光栅耦合器能够用于垂直定向元件，例如多芯光纤和 VCSEL，并解决了与自由空间光束耦合相关的挑战。</w:t>
      </w:r>
    </w:p>
    <w:p>
      <w:pPr>
        <w:spacing w:before="120"/>
      </w:pPr>
      <w:r>
        <w:rPr>
          <w:rFonts w:ascii="Times New Roman" w:hAnsi="Times New Roman" w:eastAsia="宋体"/>
          <w:b/>
          <w:sz w:val="21"/>
        </w:rPr>
        <w:t>English Abstract:</w:t>
      </w:r>
    </w:p>
    <w:p>
      <w:r>
        <w:rPr>
          <w:rFonts w:ascii="Times New Roman" w:hAnsi="Times New Roman" w:eastAsia="宋体"/>
          <w:sz w:val="21"/>
        </w:rPr>
        <w:t>High-efficiency optical coupling between fibers or free-space beams and silicon photonic circuits is critical for reducing system-level losses and enabling scalable packaging. Conventional grating couplers typically require illumination off-normal incidence, limiting their compatibility with vertically oriented sources and fibers. We report the design, fabrication in a commercial foundry, and experimental results of high-efficiency, normal incidence grating couplers for silicon photonics. We observe a maximum coupling efficiency of 85.4% (−0.69dB) with a 1 dB bandwidth of 20 nm at a central wavelength of 1546 nm. These experimental results verify earlier theoretical and simulation results and pave the way for the use of perfectly vertical grating couplers, as an alternative to edge coupling, in silicon photonics applications that are sensitive to input coupling loss. Further, these results enable the use of grating couplers for vertically oriented elements, such as multicore fibers and VCSELs, and address challenges associated with coupling to free space beams.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Q开关锁模和连续波锁模之间的过渡动​​力学</w:t>
      </w:r>
    </w:p>
    <w:p>
      <w:r>
        <w:rPr>
          <w:rFonts w:ascii="Times New Roman" w:hAnsi="Times New Roman" w:eastAsia="宋体"/>
          <w:b/>
          <w:color w:val="003264"/>
          <w:sz w:val="24"/>
        </w:rPr>
        <w:t>Transition dynamics between Q-switched mode-locking and continuous wave mode-locking</w:t>
      </w:r>
    </w:p>
    <w:p>
      <w:r>
        <w:rPr>
          <w:rFonts w:ascii="Times New Roman" w:hAnsi="Times New Roman" w:eastAsia="宋体"/>
          <w:sz w:val="21"/>
        </w:rPr>
        <w:t>作者: Xiaotong Wu, Jiajing Lang, Chenyue Lv, Jintao Bai, Baole Lu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水射流引导激光系统能量传输与分布特性分析</w:t>
      </w:r>
    </w:p>
    <w:p>
      <w:r>
        <w:rPr>
          <w:rFonts w:ascii="Times New Roman" w:hAnsi="Times New Roman" w:eastAsia="宋体"/>
          <w:b/>
          <w:color w:val="003264"/>
          <w:sz w:val="24"/>
        </w:rPr>
        <w:t>Analysis of energy transmission and distribution characteristics in water jet guided laser systems</w:t>
      </w:r>
    </w:p>
    <w:p>
      <w:r>
        <w:rPr>
          <w:rFonts w:ascii="Times New Roman" w:hAnsi="Times New Roman" w:eastAsia="宋体"/>
          <w:sz w:val="21"/>
        </w:rPr>
        <w:t>作者: Zhouwei He, Xiaoyan Sun, Haikuan Chen, Haoning Zheng, Youwang Hu, Pingmei Ming</w:t>
        <w:br/>
      </w:r>
      <w:r>
        <w:rPr>
          <w:rFonts w:ascii="Times New Roman" w:hAnsi="Times New Roman" w:eastAsia="宋体"/>
          <w:sz w:val="21"/>
        </w:rPr>
        <w:t xml:space="preserve">时间: 2026-02-01 | </w:t>
      </w:r>
      <w:r>
        <w:t xml:space="preserve">链接: </w:t>
      </w:r>
      <w:hyperlink r:id="rId213">
        <w:r>
          <w:rPr>
            <w:rFonts w:ascii="Times New Roman" w:hAnsi="Times New Roman" w:eastAsia="宋体"/>
            <w:color w:val="0000FF"/>
            <w:sz w:val="21"/>
            <w:u w:val="single"/>
          </w:rPr>
          <w:t>https://doi.org/10.1016/j.optcom.2026.132992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06:27 ---</w:t>
      </w:r>
    </w:p>
    <w:p>
      <w:pPr>
        <w:pStyle w:val="Heading2"/>
      </w:pPr>
      <w:r/>
      <w:r>
        <w:rPr>
          <w:rFonts w:ascii="Times New Roman" w:hAnsi="Times New Roman" w:eastAsia="宋体"/>
          <w:b/>
          <w:color w:val="000000"/>
          <w:sz w:val="24"/>
        </w:rPr>
        <w:t>偏振分辨二次谐波发生显微镜表征内耳颗粒体</w:t>
      </w:r>
    </w:p>
    <w:p>
      <w:r>
        <w:rPr>
          <w:rFonts w:ascii="Times New Roman" w:hAnsi="Times New Roman" w:eastAsia="宋体"/>
          <w:b/>
          <w:color w:val="003264"/>
          <w:sz w:val="24"/>
        </w:rPr>
        <w:t>Characterization of inner ear granular bodies by polarization-resolved second harmonic generation microscopy</w:t>
      </w:r>
    </w:p>
    <w:p>
      <w:r>
        <w:rPr>
          <w:rFonts w:ascii="Times New Roman" w:hAnsi="Times New Roman" w:eastAsia="宋体"/>
          <w:sz w:val="21"/>
        </w:rPr>
        <w:t>作者: Katherine Zinck, MacAulay Harvey, Richard Cisek, Saranyan Pillai, Sean D. Christie, Danielle Tokarz</w:t>
        <w:br/>
      </w:r>
      <w:r>
        <w:rPr>
          <w:rFonts w:ascii="Times New Roman" w:hAnsi="Times New Roman" w:eastAsia="宋体"/>
          <w:sz w:val="21"/>
        </w:rPr>
        <w:t xml:space="preserve">时间: 2026-01-21 | </w:t>
      </w:r>
      <w:r>
        <w:t xml:space="preserve">链接: </w:t>
      </w:r>
      <w:hyperlink r:id="rId26">
        <w:r>
          <w:rPr>
            <w:rFonts w:ascii="Times New Roman" w:hAnsi="Times New Roman" w:eastAsia="宋体"/>
            <w:color w:val="0000FF"/>
            <w:sz w:val="21"/>
            <w:u w:val="single"/>
          </w:rPr>
          <w:t>https://doi.org/10.1364/boe.581202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使用偏振分辨二次谐波发生显微镜（PSHG）研究从小鼠内耳解剖的耳石和小体，以提取超微结构参数。针对每个图像像素计算 PSHG 参数 ρ（通常与胶原蛋白的螺旋倾斜相关），发现小体的平均 ρ 值为 4.6，耳石的平均 ρ 值为 -3.3。来自耳石的负 ρ 被明确测量，表明二次谐波发射体的对称性并非主要是单轴的，与典型的生物二次谐波发射体（例如胶原蛋白、肌球蛋白或淀粉）相反。粒细胞ρ值的内部分布呈放射状，类似于淀粉的平均ρ值。将耳石结构模拟为由具有两个相距 &gt; 90° 的相似发射器的双轴系统组成，预测无序会改变测量的 ρ 值，使它们变得越来越负。对降解过程中的耳石进行了 SHG 测量，结果表明耳石的 ρ 值随着降解而显着降低，与该模型一致。</w:t>
      </w:r>
    </w:p>
    <w:p>
      <w:pPr>
        <w:spacing w:before="120"/>
      </w:pPr>
      <w:r>
        <w:rPr>
          <w:rFonts w:ascii="Times New Roman" w:hAnsi="Times New Roman" w:eastAsia="宋体"/>
          <w:b/>
          <w:sz w:val="21"/>
        </w:rPr>
        <w:t>English Abstract:</w:t>
      </w:r>
    </w:p>
    <w:p>
      <w:r>
        <w:rPr>
          <w:rFonts w:ascii="Times New Roman" w:hAnsi="Times New Roman" w:eastAsia="宋体"/>
          <w:sz w:val="21"/>
        </w:rPr>
        <w:t>Otoconia and corpuscles dissected from the inner ear of mice were investigated using polarization-resolved second harmonic generation microscopy (PSHG) to extract ultrastructural parameters. The PSHG parameter, ρ , typically related to helical tilt in collagen, was calculated for each image pixel, and the average ρ values were found to be 4.6 for corpuscles and -3.3 for otoconia. The negative ρ from otoconia was measured unambiguously, indicating that the symmetry of SHG emitters is not predominantly uniaxial, in contrast to typical biological SHG emitters such as collagen, myosin, or starch. The internal distribution of ρ values of corpuscles was radial and resembled the average ρ values of starch. Simulating otoconia structure as consisting of a biaxial system with two similar emitters &gt; 90° apart predicts that disorder alters the measured ρ values, making them increasingly negative. An SHG measurement of otoconia during degradation was performed, revealing that the ρ values of otoconia significantly decrease with degradation in agreement with this model.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06:27 ---</w:t>
      </w:r>
    </w:p>
    <w:p>
      <w:pPr>
        <w:pStyle w:val="Heading2"/>
      </w:pPr>
      <w:r/>
      <w:r>
        <w:rPr>
          <w:rFonts w:ascii="Times New Roman" w:hAnsi="Times New Roman" w:eastAsia="宋体"/>
          <w:b/>
          <w:color w:val="000000"/>
          <w:sz w:val="24"/>
        </w:rPr>
        <w:t>硅芯片上的拓扑自旋动量流</w:t>
      </w:r>
    </w:p>
    <w:p>
      <w:r>
        <w:rPr>
          <w:rFonts w:ascii="Times New Roman" w:hAnsi="Times New Roman" w:eastAsia="宋体"/>
          <w:b/>
          <w:color w:val="003264"/>
          <w:sz w:val="24"/>
        </w:rPr>
        <w:t>Topological Spin‐Momentum Flows on a Silicon Chip</w:t>
      </w:r>
    </w:p>
    <w:p>
      <w:r>
        <w:rPr>
          <w:rFonts w:ascii="Times New Roman" w:hAnsi="Times New Roman" w:eastAsia="宋体"/>
          <w:sz w:val="21"/>
        </w:rPr>
        <w:t>作者: Peilin Liu, Jiayi Zhang, Jinman Chen, Qinjun Chen, Chujun Zhao, Liang Fang</w:t>
        <w:br/>
      </w:r>
      <w:r>
        <w:rPr>
          <w:rFonts w:ascii="Times New Roman" w:hAnsi="Times New Roman" w:eastAsia="宋体"/>
          <w:sz w:val="21"/>
        </w:rPr>
        <w:t xml:space="preserve">时间: 2026-02-02 | </w:t>
      </w:r>
      <w:r>
        <w:t xml:space="preserve">链接: </w:t>
      </w:r>
      <w:hyperlink r:id="rId27">
        <w:r>
          <w:rPr>
            <w:rFonts w:ascii="Times New Roman" w:hAnsi="Times New Roman" w:eastAsia="宋体"/>
            <w:color w:val="0000FF"/>
            <w:sz w:val="21"/>
            <w:u w:val="single"/>
          </w:rPr>
          <w:t>https://doi.org/10.1002/lpor.202501647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磁场中新兴的拓扑结构因其独特的性质和潜在的应用而引起了人们的极大兴趣。在这里，我们介绍了硅基波导上有趣的电磁自旋动量拓扑，其特征是自旋斯格明子（meron-antitimeron）阵列与动量涡旋重叠，产生局部横向轨道角动量。这些复合纹理源自坡印廷涡街，是由两种不同阶的反向传播模式的矢量叠加产生的。重要的是，这些拓扑结构可以通过分别调制反向传播模式之间的相对振幅和相位（或频率）来​​动态控制横向位移和纵向流动。这里发现的可控拓扑自旋动量流可能为片上光学操纵、排序、波导量子电动力学和光流控技术打开新的大门。</w:t>
      </w:r>
    </w:p>
    <w:p>
      <w:pPr>
        <w:spacing w:before="120"/>
      </w:pPr>
      <w:r>
        <w:rPr>
          <w:rFonts w:ascii="Times New Roman" w:hAnsi="Times New Roman" w:eastAsia="宋体"/>
          <w:b/>
          <w:sz w:val="21"/>
        </w:rPr>
        <w:t>English Abstract:</w:t>
      </w:r>
    </w:p>
    <w:p>
      <w:r>
        <w:rPr>
          <w:rFonts w:ascii="Times New Roman" w:hAnsi="Times New Roman" w:eastAsia="宋体"/>
          <w:sz w:val="21"/>
        </w:rPr>
        <w:t>ABSTRACT The emerging topological structures within electromagnetic fields have attracted great interest because of their unique properties and potential applications. Here, we introduce interesting electromagnetic spin‐momentum topologies on silicon‐based waveguides, characterized by spin skyrmion (meron‐antimeron) arrays overlapped with momentum vortices yielding local transverse orbital angular momentum. These composite textures, derived from Poynting vortex streets, are produced by vectorial superpositions of two counter‐propagating modes with different orders. Importantly, these topological structures can be dynamically controlled to transverse shift and longitudinal flow by modulating the relative amplitudes and phases (or frequencies) between the counter‐propagating modes, respectively. The controllable topological spin‐momentum flows uncovered here may open new doors to on‐chip optical manipulation, sorting, waveguide quantum electrodynamics, and optofluidic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06:28 ---</w:t>
      </w:r>
    </w:p>
    <w:p>
      <w:pPr>
        <w:pStyle w:val="Heading2"/>
      </w:pPr>
      <w:r/>
      <w:r>
        <w:rPr>
          <w:rFonts w:ascii="Times New Roman" w:hAnsi="Times New Roman" w:eastAsia="宋体"/>
          <w:b/>
          <w:color w:val="000000"/>
          <w:sz w:val="24"/>
        </w:rPr>
        <w:t>用于高通量生物颗粒操作的灵活、可拉伸的片上光镊</w:t>
      </w:r>
    </w:p>
    <w:p>
      <w:r>
        <w:rPr>
          <w:rFonts w:ascii="Times New Roman" w:hAnsi="Times New Roman" w:eastAsia="宋体"/>
          <w:b/>
          <w:color w:val="003264"/>
          <w:sz w:val="24"/>
        </w:rPr>
        <w:t>Flexible, stretchable, on-chip optical tweezers for high-throughput bioparticle manipulation</w:t>
      </w:r>
    </w:p>
    <w:p>
      <w:r>
        <w:rPr>
          <w:rFonts w:ascii="Times New Roman" w:hAnsi="Times New Roman" w:eastAsia="宋体"/>
          <w:sz w:val="21"/>
        </w:rPr>
        <w:t>作者: Ziyi He, Jianyun Xiong, Yang Shi, Ting Pan, Shaobiao Chen, Xin Zhang, Yizhen Chen, Xiangxian Wang, Baojun Li, Hongbao Xin</w:t>
        <w:br/>
      </w:r>
      <w:r>
        <w:rPr>
          <w:rFonts w:ascii="Times New Roman" w:hAnsi="Times New Roman" w:eastAsia="宋体"/>
          <w:sz w:val="21"/>
        </w:rPr>
        <w:t xml:space="preserve">时间: 2026-02-03 | </w:t>
      </w:r>
      <w:r>
        <w:t xml:space="preserve">链接: </w:t>
      </w:r>
      <w:hyperlink r:id="rId28">
        <w:r>
          <w:rPr>
            <w:rFonts w:ascii="Times New Roman" w:hAnsi="Times New Roman" w:eastAsia="宋体"/>
            <w:color w:val="0000FF"/>
            <w:sz w:val="21"/>
            <w:u w:val="single"/>
          </w:rPr>
          <w:t>https://doi.org/10.1038/s41377-026-02199-4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杂微环境中单个致病生物颗粒的高通量捕获和精确操作对于体外诊断和药物筛选具有重要意义。尽管光镊已广泛用于生物颗粒捕获和操纵，但其吞吐量、功能和适应性对于复杂和动态生物环境中的片上集成生物颗粒操纵仍然受到限制。在这里，我们报告了基于大规模有序组装的微透镜的柔性、可拉伸的片上光镊（FSOT），用于在复杂的生物环境和柔性基底（包括皮肤和肠道等软生物基底）上对生物颗粒进行高通量操纵。微透镜的大规模（高达 1000）光子纳米喷射效应能够对尺寸从亚 100 nm 到数十微米的单个生物颗粒（如外泌体、细菌和哺乳动物细胞）进行高通量捕获、分选和调制。我们的 FSOT 具有高度灵活性，可以在复杂且弯曲的生物微环境中捕获和分选生物颗粒。重要的是，我们的 FSOT 还表现出高可变形性和可拉伸性，这有助于控制被捕获的相邻细胞之间的细胞间距，从而能够实时调节和监测单个病原菌与巨噬细胞之间的相互作用。我们的 FSOT 代表了一种用于高通量生物颗粒捕获和操纵的新型片上光镊，具有高灵活性和可拉伸性，作为集成片上平台，用于生物颗粒的高通量动态分析、揭示致病性生物颗粒与宿主细胞之间的细胞间相互作用以及精确的药物筛选，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High-throughput trapping and precision manipulation of individual pathogenic bioparticles in complex microenvironments are of great importance for in-vitro diagnostics and drug screening. Although optical tweezers have been widely used for bioparticle trapping and manipulation, the throughput, functionality, and adaptability are still limited for on-chip integrated bioparticle manipulation in complex and dynamic bioenvironments. Here, we report flexible, stretchable, on-chip optical tweezers (FSOT) based on large-scale orderly assembled microlenses for high-throughput manipulation of bioparticles in complex bio-environments and on flexible substrates, including soft bio-substrates such as skin and intestines. Large-scale (up to 1000) photonic nanojet effect of the microlenses enables high-throughput trapping, sorting, and modulation of individual bioparticles with sizes ranging from sub-100 nm to tens of micrometers, such as exosomes, bacteria and mammalian cells. Our FSOT exhibits high flexibility, which enables bioparticle trapping and sorting in complex and curved biological microenvironments. Importantly, our FSOT also exhibits high deformability and stretchability, which facilitates the control of inter-cellular distance between trapped neighboring cells, enabling real-time modulating and monitoring the interaction between single pathogenic bacteria and macrophage. Our FSOT represents a new class of on-chip optical tweezers for high-throughput bioparticle trapping and manipulation with the features of high flexibility and stretchability, and holds great promises as an integrated on-chip platform for high-throughput dynamic analysis of bioparticles, for revealing inter-cellular interactions between pathogenic bioparticles and host cells, and for precise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用于多目标识别的抗干扰衍射深度神经网络</w:t>
      </w:r>
    </w:p>
    <w:p>
      <w:r>
        <w:rPr>
          <w:rFonts w:ascii="Times New Roman" w:hAnsi="Times New Roman" w:eastAsia="宋体"/>
          <w:b/>
          <w:color w:val="003264"/>
          <w:sz w:val="24"/>
        </w:rPr>
        <w:t>Anti-interference diffractive deep neural networks for multi-object recognition</w:t>
      </w:r>
    </w:p>
    <w:p>
      <w:r>
        <w:rPr>
          <w:rFonts w:ascii="Times New Roman" w:hAnsi="Times New Roman" w:eastAsia="宋体"/>
          <w:sz w:val="21"/>
        </w:rPr>
        <w:t>作者: Zhiqi Huang, Yufei Liu, Nan Zhang, Zian Zhang, Qiming Liao, Cong He, Shendong Liu, Youhai Liu, Hongtao Wang, Xingdu Qiao, Joel K. W. Yang, Yan Zhang, Lingling Huang, Yongtian Wang</w:t>
        <w:br/>
      </w:r>
      <w:r>
        <w:rPr>
          <w:rFonts w:ascii="Times New Roman" w:hAnsi="Times New Roman" w:eastAsia="宋体"/>
          <w:sz w:val="21"/>
        </w:rPr>
        <w:t xml:space="preserve">时间: 2026-02-03 | </w:t>
      </w:r>
      <w:r>
        <w:t xml:space="preserve">链接: </w:t>
      </w:r>
      <w:hyperlink r:id="rId31">
        <w:r>
          <w:rPr>
            <w:rFonts w:ascii="Times New Roman" w:hAnsi="Times New Roman" w:eastAsia="宋体"/>
            <w:color w:val="0000FF"/>
            <w:sz w:val="21"/>
            <w:u w:val="single"/>
          </w:rPr>
          <w:t>https://doi.org/10.1038/s41377-026-02188-7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摘要：光神经网络（ONN）正在成为一种有前景的物体识别神经形态计算范式，在光速计算、超低功耗和固有并行性方面提供了前所未有的优势。然而，大多数 ONN 只能执行简单的对象分类任务。这些任务通常仅限于单目标场景，这限制了它们在多目标识别任务中的实际应用。在这里，我们提出了一种抗干扰衍射深度神经网络（AI D 2 NN），它可以准确、鲁棒地识别多目标场景中的目标，包括类内、类间和动态干扰。通过对目标和干扰采用不同的基于深度学习的训练策略，两个透射衍射层形成一个物理网络，将目标的空间信息全光学地映射到输出光的功率谱中，同时将所有干扰分散为背景噪声。我们展示了该框架在涉及 40 类干扰的动态场景下对未知手写数字进行分类的有效性，使用太赫兹波实现了 87.4% 的模拟盲测准确率。通过简单地按感兴趣的波长范围的比例缩放衍射特征，所提出的框架可以在物理上缩放以在任何电磁波长下工作。这项工作可以极大地推进ONN在目标识别方面的实际应用，为开发实时、高通量、低功耗的全光计算系统铺平道路，有望应用于自动驾驶感知、精准医疗诊断、智能安防监控等领域。</w:t>
      </w:r>
    </w:p>
    <w:p>
      <w:pPr>
        <w:spacing w:before="120"/>
      </w:pPr>
      <w:r>
        <w:rPr>
          <w:rFonts w:ascii="Times New Roman" w:hAnsi="Times New Roman" w:eastAsia="宋体"/>
          <w:b/>
          <w:sz w:val="21"/>
        </w:rPr>
        <w:t>English Abstract:</w:t>
      </w:r>
    </w:p>
    <w:p>
      <w:r>
        <w:rPr>
          <w:rFonts w:ascii="Times New Roman" w:hAnsi="Times New Roman" w:eastAsia="宋体"/>
          <w:sz w:val="21"/>
        </w:rPr>
        <w:t>Abstract Optical neural networks (ONNs) are emerging as a promising neuromorphic computing paradigm for object recognition, offering unprecedented advantages in light-speed computation, ultra-low power consumption, and inherent parallelism. However, most of ONNs are only capable of performing simple object classification tasks. These tasks are typically constrained to single-object scenarios, which limits their practical applications in multi-object recognition tasks. Here, we propose an anti-interference diffractive deep neural network (AI D 2 NN) that can accurately and robustly recognize targets in multi-object scenarios, including intra-class, inter-class, and dynamic interference. By employing different deep-learning-based training strategies for targets and interference, two transmissive diffractive layers form a physical network that maps the spatial information of targets all-optically into the power spectrum of the output light, while dispersing all interference as background noise. We demonstrate the effectiveness of this framework in classifying unknown handwritten digits under dynamic scenarios involving 40 categories of interference, achieving a simulated blind testing accuracy of 87.4% using terahertz waves. The presented framework can be physically scaled to operate at any electromagnetic wavelength by simply scaling the diffractive features in proportion to the wavelength range of interest. This work can greatly advance the practical application of ONNs in target recognition and pave the way for the development of real-time, high-throughput, low-power all-optical computing systems, which are expected to be applied to autonomous driving perception, precision medical diagnosis, and intelligent security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光子集成电路内部的通用损耗和增益表征</w:t>
      </w:r>
    </w:p>
    <w:p>
      <w:r>
        <w:rPr>
          <w:rFonts w:ascii="Times New Roman" w:hAnsi="Times New Roman" w:eastAsia="宋体"/>
          <w:b/>
          <w:color w:val="003264"/>
          <w:sz w:val="24"/>
        </w:rPr>
        <w:t>Universal loss and gain characterization inside photonic integrated circuits</w:t>
      </w:r>
    </w:p>
    <w:p>
      <w:r>
        <w:rPr>
          <w:rFonts w:ascii="Times New Roman" w:hAnsi="Times New Roman" w:eastAsia="宋体"/>
          <w:sz w:val="21"/>
        </w:rPr>
        <w:t>作者: Haoran Chen, Ruxuan Liu, Gedalia Y. Koehler, Fatemehsadat Tabatabaei, Xiangwen Guo, Shuman Sun, Zijiao Yang, Beichen Wang, Andreas Beling, Xu Yi</w:t>
        <w:br/>
      </w:r>
      <w:r>
        <w:rPr>
          <w:rFonts w:ascii="Times New Roman" w:hAnsi="Times New Roman" w:eastAsia="宋体"/>
          <w:sz w:val="21"/>
        </w:rPr>
        <w:t xml:space="preserve">时间: 2026-02-03 | </w:t>
      </w:r>
      <w:r>
        <w:t xml:space="preserve">链接: </w:t>
      </w:r>
      <w:hyperlink r:id="rId29">
        <w:r>
          <w:rPr>
            <w:rFonts w:ascii="Times New Roman" w:hAnsi="Times New Roman" w:eastAsia="宋体"/>
            <w:color w:val="0000FF"/>
            <w:sz w:val="21"/>
            <w:u w:val="single"/>
          </w:rPr>
          <w:t>https://doi.org/10.1038/s41566-025-01837-4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讨论了一种通用、非破坏性和可扩展的方法来精确表征光子集成电路内光学元件的损耗和增益。</w:t>
      </w:r>
    </w:p>
    <w:p>
      <w:pPr>
        <w:spacing w:before="120"/>
      </w:pPr>
      <w:r>
        <w:rPr>
          <w:rFonts w:ascii="Times New Roman" w:hAnsi="Times New Roman" w:eastAsia="宋体"/>
          <w:b/>
          <w:sz w:val="21"/>
        </w:rPr>
        <w:t>English Abstract:</w:t>
      </w:r>
    </w:p>
    <w:p>
      <w:r>
        <w:rPr>
          <w:rFonts w:ascii="Times New Roman" w:hAnsi="Times New Roman" w:eastAsia="宋体"/>
          <w:sz w:val="21"/>
        </w:rPr>
        <w:t>A universal, non-destructive and scalable method to precisely characterize loss and gain of optical components inside photonic integrated circuits is discussed.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Ke Wang, Yantao Zhao, Yucun Zhang</w:t>
        <w:br/>
      </w:r>
      <w:r>
        <w:rPr>
          <w:rFonts w:ascii="Times New Roman" w:hAnsi="Times New Roman" w:eastAsia="宋体"/>
          <w:sz w:val="21"/>
        </w:rPr>
        <w:t xml:space="preserve">时间: 2026-01-29 | </w:t>
      </w:r>
      <w:r>
        <w:t xml:space="preserve">链接: </w:t>
      </w:r>
      <w:hyperlink r:id="rId30">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形锻件的精确尺寸测量对于保证产品质量和操作安全至关重要。然而，环境干扰和制造不确定性往往会导致点云分布不均匀以及结构特征和噪声之间的尺度重叠，从而导致全局和局部几何信息之间的冲突，从而影响测量精度。为了应对这些挑战，我们提出了一种我们认为新颖的点云去噪框架——双路径结构化去噪器（DSD）——它建立了一个协作的全局-局部建模框架。 DSD通过双路径特征学习架构同时提取局部拓扑结构并捕获全局几何图案，同时将先验几何约束与基于置信度的评估相结合以加强噪声抑制。多层细化结构可以逐步过滤异常值。环形锻件样本和斯坦福数据集的实验结果表明，DSD 在精度、召回率、F1 分数和形状保持方面超越了最先进的去噪方法，验证了其在高噪声工业环境中的有效性和实际适用性。</w:t>
      </w:r>
    </w:p>
    <w:p>
      <w:pPr>
        <w:spacing w:before="120"/>
      </w:pPr>
      <w:r>
        <w:rPr>
          <w:rFonts w:ascii="Times New Roman" w:hAnsi="Times New Roman" w:eastAsia="宋体"/>
          <w:b/>
          <w:sz w:val="21"/>
        </w:rPr>
        <w:t>English Abstract:</w:t>
      </w:r>
    </w:p>
    <w:p>
      <w:r>
        <w:rPr>
          <w:rFonts w:ascii="Times New Roman" w:hAnsi="Times New Roman" w:eastAsia="宋体"/>
          <w:sz w:val="21"/>
        </w:rPr>
        <w:t>Accurate dimensional measurement of annular forgings is crucial for ensuring product quality and operational safety. However, environmental interference and manufacturing uncertainties often result in non-uniform point cloud distributions and overlapping scales between structural features and noise, leading to conflicts between global and local geometric information that compromise measurement accuracy. To address these challenges, we propose what we believe to be a novel point cloud denoising framework—dual-path structured denoiser (DSD)—that establishes a collaborative global–local modeling framework. DSD simultaneously extracts local topological structures and captures global geometric patterns through a dual-path feature learning architecture while integrating a priori geometric constraints with confidence-based assessment to strengthen noise suppression. A multi-layer refinement structure enables progressive filtering of outliers. Experimental results on both annular forging samples and the Stanford dataset demonstrate that DSD surpasses state-of-the-art denoising methods in precision, recall, F1 score, and shape preservation, validating its effectiveness and practical applicability in high-noise industrial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08:27 ---</w:t>
      </w:r>
    </w:p>
    <w:p>
      <w:pPr>
        <w:pStyle w:val="Heading2"/>
      </w:pPr>
      <w:r/>
      <w:r>
        <w:rPr>
          <w:rFonts w:ascii="Times New Roman" w:hAnsi="Times New Roman" w:eastAsia="宋体"/>
          <w:b/>
          <w:color w:val="000000"/>
          <w:sz w:val="24"/>
        </w:rPr>
        <w:t>固态量子发射器的纳米级定位显微镜和确定性光刻</w:t>
      </w:r>
    </w:p>
    <w:p>
      <w:r>
        <w:rPr>
          <w:rFonts w:ascii="Times New Roman" w:hAnsi="Times New Roman" w:eastAsia="宋体"/>
          <w:b/>
          <w:color w:val="003264"/>
          <w:sz w:val="24"/>
        </w:rPr>
        <w:t>Nanoscale Localization Microscopy and Deterministic Lithography of Solid-State Quantum Emitters</w:t>
      </w:r>
    </w:p>
    <w:p>
      <w:r>
        <w:rPr>
          <w:rFonts w:ascii="Times New Roman" w:hAnsi="Times New Roman" w:eastAsia="宋体"/>
          <w:sz w:val="21"/>
        </w:rPr>
        <w:t>作者: Sam G. Bishop, Hüseyin B. Yağcı, Rachel N. Clark, John P. Hadden, Anthony J. Bennett</w:t>
        <w:br/>
      </w:r>
      <w:r>
        <w:rPr>
          <w:rFonts w:ascii="Times New Roman" w:hAnsi="Times New Roman" w:eastAsia="宋体"/>
          <w:sz w:val="21"/>
        </w:rPr>
        <w:t xml:space="preserve">时间: 2026-02-03 | </w:t>
      </w:r>
      <w:r>
        <w:t xml:space="preserve">链接: </w:t>
      </w:r>
      <w:hyperlink r:id="rId32">
        <w:r>
          <w:rPr>
            <w:rFonts w:ascii="Times New Roman" w:hAnsi="Times New Roman" w:eastAsia="宋体"/>
            <w:color w:val="0000FF"/>
            <w:sz w:val="21"/>
            <w:u w:val="single"/>
          </w:rPr>
          <w:t>https://doi.org/10.1021/acsphotonics.5c02864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11:27 ---</w:t>
      </w:r>
    </w:p>
    <w:p>
      <w:pPr>
        <w:pStyle w:val="Heading2"/>
      </w:pPr>
      <w:r/>
      <w:r>
        <w:rPr>
          <w:rFonts w:ascii="Times New Roman" w:hAnsi="Times New Roman" w:eastAsia="宋体"/>
          <w:b/>
          <w:color w:val="000000"/>
          <w:sz w:val="24"/>
        </w:rPr>
        <w:t>先进的激光差​​动扫描辅助电解质喷射加工方法提高了宏观表面平整度</w:t>
      </w:r>
    </w:p>
    <w:p>
      <w:r>
        <w:rPr>
          <w:rFonts w:ascii="Times New Roman" w:hAnsi="Times New Roman" w:eastAsia="宋体"/>
          <w:b/>
          <w:color w:val="003264"/>
          <w:sz w:val="24"/>
        </w:rPr>
        <w:t>Advanced laser differential scanning-assisted electrolyte jet machining method improves macroscopic surface flatness</w:t>
      </w:r>
    </w:p>
    <w:p>
      <w:r>
        <w:rPr>
          <w:rFonts w:ascii="Times New Roman" w:hAnsi="Times New Roman" w:eastAsia="宋体"/>
          <w:sz w:val="21"/>
        </w:rPr>
        <w:t>作者: Liqun Du, Dong Li, Ce Zhang, Mingxin Yu, Xiaolong Han, Jianfeng Cui</w:t>
        <w:br/>
      </w:r>
      <w:r>
        <w:rPr>
          <w:rFonts w:ascii="Times New Roman" w:hAnsi="Times New Roman" w:eastAsia="宋体"/>
          <w:sz w:val="21"/>
        </w:rPr>
        <w:t xml:space="preserve">时间: 2026-05-01 | </w:t>
      </w:r>
      <w:r>
        <w:t xml:space="preserve">链接: </w:t>
      </w:r>
      <w:hyperlink r:id="rId33">
        <w:r>
          <w:rPr>
            <w:rFonts w:ascii="Times New Roman" w:hAnsi="Times New Roman" w:eastAsia="宋体"/>
            <w:color w:val="0000FF"/>
            <w:sz w:val="21"/>
            <w:u w:val="single"/>
          </w:rPr>
          <w:t>https://doi.org/10.1016/j.optlastec.2026.114849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用于稳定荧光发射的 LED 光谱引导激发补偿</w:t>
      </w:r>
    </w:p>
    <w:p>
      <w:r>
        <w:rPr>
          <w:rFonts w:ascii="Times New Roman" w:hAnsi="Times New Roman" w:eastAsia="宋体"/>
          <w:b/>
          <w:color w:val="003264"/>
          <w:sz w:val="24"/>
        </w:rPr>
        <w:t>Spectrum-guided excitation compensation of LEDs for stabilizing fluorescence emission</w:t>
      </w:r>
    </w:p>
    <w:p>
      <w:r>
        <w:rPr>
          <w:rFonts w:ascii="Times New Roman" w:hAnsi="Times New Roman" w:eastAsia="宋体"/>
          <w:sz w:val="21"/>
        </w:rPr>
        <w:t>作者: Huan Zuo, Qian Zhao, Yong Liu, Beini Sun, Zhengfei Zhuang, Tongsheng Chen</w:t>
        <w:br/>
      </w:r>
      <w:r>
        <w:rPr>
          <w:rFonts w:ascii="Times New Roman" w:hAnsi="Times New Roman" w:eastAsia="宋体"/>
          <w:sz w:val="21"/>
        </w:rPr>
        <w:t xml:space="preserve">时间: 2026-05-01 | </w:t>
      </w:r>
      <w:r>
        <w:t xml:space="preserve">链接: </w:t>
      </w:r>
      <w:hyperlink r:id="rId333">
        <w:r>
          <w:rPr>
            <w:rFonts w:ascii="Times New Roman" w:hAnsi="Times New Roman" w:eastAsia="宋体"/>
            <w:color w:val="0000FF"/>
            <w:sz w:val="21"/>
            <w:u w:val="single"/>
          </w:rPr>
          <w:t>https://doi.org/10.1016/j.optlastec.2026.114848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具有聚焦拉盖尔高斯光束的旋转荧光纳米金刚石组件</w:t>
      </w:r>
    </w:p>
    <w:p>
      <w:r>
        <w:rPr>
          <w:rFonts w:ascii="Times New Roman" w:hAnsi="Times New Roman" w:eastAsia="宋体"/>
          <w:b/>
          <w:color w:val="003264"/>
          <w:sz w:val="24"/>
        </w:rPr>
        <w:t>Rotating fluorescent nanodiamond assemblies with focused Laguerre-Gaussian beams</w:t>
      </w:r>
    </w:p>
    <w:p>
      <w:r>
        <w:rPr>
          <w:rFonts w:ascii="Times New Roman" w:hAnsi="Times New Roman" w:eastAsia="宋体"/>
          <w:sz w:val="21"/>
        </w:rPr>
        <w:t>作者: Peter J. Reece</w:t>
        <w:br/>
      </w:r>
      <w:r>
        <w:rPr>
          <w:rFonts w:ascii="Times New Roman" w:hAnsi="Times New Roman" w:eastAsia="宋体"/>
          <w:sz w:val="21"/>
        </w:rPr>
        <w:t xml:space="preserve">时间: 2026-02-03T02:18:52Z | </w:t>
      </w:r>
      <w:r>
        <w:t xml:space="preserve">链接: </w:t>
      </w:r>
      <w:hyperlink r:id="rId42">
        <w:r>
          <w:rPr>
            <w:rFonts w:ascii="Times New Roman" w:hAnsi="Times New Roman" w:eastAsia="宋体"/>
            <w:color w:val="0000FF"/>
            <w:sz w:val="21"/>
            <w:u w:val="single"/>
          </w:rPr>
          <w:t>https://arxiv.org/abs/2602.03005v1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利用结构光场的光镊通过全息生成的拉盖尔高斯 (LG) 模式的轨道角动量 (OAM) 转移，实现捕获的纳米粒子的旋转。在这项研究中，我们使用 OAM 转移来演示在聚焦的高阶 LG 光束中组装的明亮荧光纳米金刚石簇的受控旋转。我们发现这些组件可以在轨道频率高达 5 Hz 的二维光阱中有效旋转。我们使用视频跟踪来探索这种捕获装置的布朗动力学，并研究方向稳定性对施加弱外部磁场的光学检测磁共振（ODMR）测量的影响。通过收集沿轨道多个点的 ODMR 谱，我们表明受限二维运动可以为矢量磁场重建提供额外的见解。</w:t>
      </w:r>
    </w:p>
    <w:p>
      <w:pPr>
        <w:spacing w:before="120"/>
      </w:pPr>
      <w:r>
        <w:rPr>
          <w:rFonts w:ascii="Times New Roman" w:hAnsi="Times New Roman" w:eastAsia="宋体"/>
          <w:b/>
          <w:sz w:val="21"/>
        </w:rPr>
        <w:t>English Abstract:</w:t>
      </w:r>
    </w:p>
    <w:p>
      <w:r>
        <w:rPr>
          <w:rFonts w:ascii="Times New Roman" w:hAnsi="Times New Roman" w:eastAsia="宋体"/>
          <w:sz w:val="21"/>
        </w:rPr>
        <w:t>Optical tweezers which utilize structured light fields enable the rotation of trapped nanoparticles through the transfer of orbital angular momentum (OAM) from holographically generated Laguerre-Gaussian (LG) modes. In this research we use OAM transfer to demonstrate controlled rotation of bright fluorescent nanodiamond clusters assembled in a focused higher-order LG beam. We find that the assemblies can be effectively rotated in a two-dimensional optical trap with orbital frequencies of up to 5 Hz. We use video tracking to explore the Brownian dynamics of such a trapping arrangement and look at the impact of orientation stability on measurements of optically detected magnetic resonance (ODMR) with an applied weak external magnetic field. By collecting ODMR spectra at multiple points along the orbit, we show that the constrained two-dimensional motion can provide additional insights for vector magnetic field reconstruction.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具有高度敏感拓扑演化的等离激元自旋Meron晶格</w:t>
      </w:r>
    </w:p>
    <w:p>
      <w:r>
        <w:rPr>
          <w:rFonts w:ascii="Times New Roman" w:hAnsi="Times New Roman" w:eastAsia="宋体"/>
          <w:b/>
          <w:color w:val="003264"/>
          <w:sz w:val="24"/>
        </w:rPr>
        <w:t>Plasmonic Spin Meron Lattices with Height-Sensitive Topology Evolution</w:t>
      </w:r>
    </w:p>
    <w:p>
      <w:r>
        <w:rPr>
          <w:rFonts w:ascii="Times New Roman" w:hAnsi="Times New Roman" w:eastAsia="宋体"/>
          <w:sz w:val="21"/>
        </w:rPr>
        <w:t>作者: Chen-Bin Huang</w:t>
        <w:br/>
      </w:r>
      <w:r>
        <w:rPr>
          <w:rFonts w:ascii="Times New Roman" w:hAnsi="Times New Roman" w:eastAsia="宋体"/>
          <w:sz w:val="21"/>
        </w:rPr>
        <w:t xml:space="preserve">时间: 2026-02-03T03:07:26Z | </w:t>
      </w:r>
      <w:r>
        <w:t xml:space="preserve">链接: </w:t>
      </w:r>
      <w:hyperlink r:id="rId43">
        <w:r>
          <w:rPr>
            <w:rFonts w:ascii="Times New Roman" w:hAnsi="Times New Roman" w:eastAsia="宋体"/>
            <w:color w:val="0000FF"/>
            <w:sz w:val="21"/>
            <w:u w:val="single"/>
          </w:rPr>
          <w:t>https://arxiv.org/abs/2602.03042v1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我们展示了圆偏振照明下金属方形耦合结构上方等离子体自旋子晶格的高度控制拓扑切换。在界面附近，倏逝的表面等离子体激元 (SPP) 通道产生具有 $\pm\frac{1}{2}$ 类似有效位点电荷的 Néel 型 meron 晶格。在较高高度处，来自方形边缘的衍射场占主导地位，并将晶格转变为布洛赫型结构。在一系列中间高度上，渐逝的 SPP 和边缘衍射之间的交叉产生了丰富的快速拓扑演化。这种转换伴随着面内自旋相中离界涡旋-反涡旋对的成核，产生高度依赖的分数位点电荷。我们的研究结果是通过等离子体区域中的 SPP 和衍射区域中的 Stratton-Chu 模型的线性叠加来分析表述的，并通过全波有限差分时域模拟得到证实。</w:t>
      </w:r>
    </w:p>
    <w:p>
      <w:pPr>
        <w:spacing w:before="120"/>
      </w:pPr>
      <w:r>
        <w:rPr>
          <w:rFonts w:ascii="Times New Roman" w:hAnsi="Times New Roman" w:eastAsia="宋体"/>
          <w:b/>
          <w:sz w:val="21"/>
        </w:rPr>
        <w:t>English Abstract:</w:t>
      </w:r>
    </w:p>
    <w:p>
      <w:r>
        <w:rPr>
          <w:rFonts w:ascii="Times New Roman" w:hAnsi="Times New Roman" w:eastAsia="宋体"/>
          <w:sz w:val="21"/>
        </w:rPr>
        <w:t>We demonstrate height-controlled topological switching of plasmonic spin meron lattices above a metallic square coupling structure under circularly polarized illumination. Near the interface, an evanescent surface plasmon polariton (SPP) channel yields a Néel-type meron lattice with $\pm\frac{1}{2}$ like effective site charges. At larger heights, diffracted fields from the square edges dominate and convert the lattice into a Bloch-type configuration. Over a range of intermediate heights, crossover between the evanescent SPP and edge diffraction gives rise to rich rapid topology evolutions. The switching is accompanied by nucleation of off-boundary vortex-anti vortex pairs in the in-plane spin phase, producing height-dependent fractional site charges. Our findings are analytically formulated by linear superposition of SPPs in the plasmonic regime and Stratton-Chu model in diffraction regime and confirmed via full-wave finite-difference time-domain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44">
        <w:r>
          <w:rPr>
            <w:rFonts w:ascii="Times New Roman" w:hAnsi="Times New Roman" w:eastAsia="宋体"/>
            <w:color w:val="0000FF"/>
            <w:sz w:val="21"/>
            <w:u w:val="single"/>
          </w:rPr>
          <w:t>https://arxiv.org/abs/2602.03281v1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通过基于物理的学习对 OCT 光学特性和散斑减少结构强度进行端到端重建</w:t>
      </w:r>
    </w:p>
    <w:p>
      <w:r>
        <w:rPr>
          <w:rFonts w:ascii="Times New Roman" w:hAnsi="Times New Roman" w:eastAsia="宋体"/>
          <w:b/>
          <w:color w:val="003264"/>
          <w:sz w:val="24"/>
        </w:rPr>
        <w:t>End-to-end reconstruction of OCT optical properties and speckle-reduced structural intensity via physics-based learning</w:t>
      </w:r>
    </w:p>
    <w:p>
      <w:r>
        <w:rPr>
          <w:rFonts w:ascii="Times New Roman" w:hAnsi="Times New Roman" w:eastAsia="宋体"/>
          <w:sz w:val="21"/>
        </w:rPr>
        <w:t>作者: Jin U. Kang</w:t>
        <w:br/>
      </w:r>
      <w:r>
        <w:rPr>
          <w:rFonts w:ascii="Times New Roman" w:hAnsi="Times New Roman" w:eastAsia="宋体"/>
          <w:sz w:val="21"/>
        </w:rPr>
        <w:t xml:space="preserve">时间: 2026-02-02T19:40:34Z | </w:t>
      </w:r>
      <w:r>
        <w:t xml:space="preserve">链接: </w:t>
      </w:r>
      <w:hyperlink r:id="rId45">
        <w:r>
          <w:rPr>
            <w:rFonts w:ascii="Times New Roman" w:hAnsi="Times New Roman" w:eastAsia="宋体"/>
            <w:color w:val="0000FF"/>
            <w:sz w:val="21"/>
            <w:u w:val="single"/>
          </w:rPr>
          <w:t>https://arxiv.org/abs/2602.02721v1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中的逆散射旨在恢复结构图像和固有组织光学特性，包括折射率、散射系数和各向异性。由于衰减、散斑噪声和参数之间的强耦合，这个逆问题具有挑战性。我们提出了一种正则化的端到端深度学习框架，该框架联合重建光学参数图和散斑减少的 OCT 结构强度以进行层可视化。我们的网络经过蒙特卡罗模拟地面实况训练，采用了基于物理的 OCT 前向模型，该模型根据估计参数生成预测信号，为参数恢复和伪影抑制提供物理一致的监督。合成角膜 OCT 数据集的实验证明了噪声下稳健的光学图恢复、改进的分辨率和增强的结构保真度。这种方法可以实现定量多参数组织表征，并突出了将物理信息建模与计算 OCT 深度学习相结合的好处。</w:t>
      </w:r>
    </w:p>
    <w:p>
      <w:pPr>
        <w:spacing w:before="120"/>
      </w:pPr>
      <w:r>
        <w:rPr>
          <w:rFonts w:ascii="Times New Roman" w:hAnsi="Times New Roman" w:eastAsia="宋体"/>
          <w:b/>
          <w:sz w:val="21"/>
        </w:rPr>
        <w:t>English Abstract:</w:t>
      </w:r>
    </w:p>
    <w:p>
      <w:r>
        <w:rPr>
          <w:rFonts w:ascii="Times New Roman" w:hAnsi="Times New Roman" w:eastAsia="宋体"/>
          <w:sz w:val="21"/>
        </w:rPr>
        <w:t>Inverse scattering in optical coherence tomography (OCT) seeks to recover both structural images and intrinsic tissue optical properties, including refractive index, scattering coefficient, and anisotropy. This inverse problem is challenging due to attenuation, speckle noise, and strong coupling among parameters. We propose a regularized end-to-end deep learning framework that jointly reconstructs optical parameter maps and speckle-reduced OCT structural intensity for layer visualization. Trained with Monte Carlo-simulated ground truth, our network incorporates a physics-based OCT forward model that generates predicted signals from the estimated parameters, providing physics-consistent supervision for parameter recovery and artifact suppression. Experiments on the synthetic corneal OCT dataset demonstrate robust optical map recovery under noise, improved resolution, and enhanced structural fidelity. This approach enables quantitative multi-parameter tissue characterization and highlights the benefit of combining physics-informed modeling with deep learning for computational 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通过高斯建模和 MCML 基于物理生成多层角膜 OCT 数据，用于 AI 驱动的诊断和手术指导应用</w:t>
      </w:r>
    </w:p>
    <w:p>
      <w:r>
        <w:rPr>
          <w:rFonts w:ascii="Times New Roman" w:hAnsi="Times New Roman" w:eastAsia="宋体"/>
          <w:b/>
          <w:color w:val="003264"/>
          <w:sz w:val="24"/>
        </w:rPr>
        <w:t>Physics-based generation of multilayer corneal OCT data via Gaussian modeling and MCML for AI-driven diagnostic and surgical guidance applications</w:t>
      </w:r>
    </w:p>
    <w:p>
      <w:r>
        <w:rPr>
          <w:rFonts w:ascii="Times New Roman" w:hAnsi="Times New Roman" w:eastAsia="宋体"/>
          <w:sz w:val="21"/>
        </w:rPr>
        <w:t>作者: Jin U. Kang</w:t>
        <w:br/>
      </w:r>
      <w:r>
        <w:rPr>
          <w:rFonts w:ascii="Times New Roman" w:hAnsi="Times New Roman" w:eastAsia="宋体"/>
          <w:sz w:val="21"/>
        </w:rPr>
        <w:t xml:space="preserve">时间: 2026-02-02T20:07:29Z | </w:t>
      </w:r>
      <w:r>
        <w:t xml:space="preserve">链接: </w:t>
      </w:r>
      <w:hyperlink r:id="rId46">
        <w:r>
          <w:rPr>
            <w:rFonts w:ascii="Times New Roman" w:hAnsi="Times New Roman" w:eastAsia="宋体"/>
            <w:color w:val="0000FF"/>
            <w:sz w:val="21"/>
            <w:u w:val="single"/>
          </w:rPr>
          <w:t>https://arxiv.org/abs/2602.02755v1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用于角膜光学相干断层扫描 (OCT) 成像的深度学习模型的训练受到大型且注释良好的数据集的可用性的限制。我们提出了一个可配置的蒙特卡罗模拟框架，该框架可生成合成角膜 B 扫描光学 OCT 图像，并具有直接从模拟几何形状导出的像素级五层分割标签。具有高斯表面的五层角膜模型可捕捉健康眼睛和圆锥角膜眼睛的曲率和厚度变化。每层都根据文献分配光学属性，并使用多层组织中光传输的蒙特卡罗模型 (MCML) 来模拟光传输，同时结合共焦 PSF 和灵敏度滚降等系统功能。该方法可生成超过 10,000 个高分辨率 (1024x1024) 图像标签对，并支持几何形状、光子计数、噪声和系统参数的定制。由此产生的数据集能够在受控的真实条件下对人工智能模型进行系统训练、验证和基准测试，提供可重复和可扩展的资源，以支持图像引导眼科诊断和手术指导应用的开发。</w:t>
      </w:r>
    </w:p>
    <w:p>
      <w:pPr>
        <w:spacing w:before="120"/>
      </w:pPr>
      <w:r>
        <w:rPr>
          <w:rFonts w:ascii="Times New Roman" w:hAnsi="Times New Roman" w:eastAsia="宋体"/>
          <w:b/>
          <w:sz w:val="21"/>
        </w:rPr>
        <w:t>English Abstract:</w:t>
      </w:r>
    </w:p>
    <w:p>
      <w:r>
        <w:rPr>
          <w:rFonts w:ascii="Times New Roman" w:hAnsi="Times New Roman" w:eastAsia="宋体"/>
          <w:sz w:val="21"/>
        </w:rPr>
        <w:t>Training deep learning models for corneal optical coherence tomography (OCT) imaging is limited by the availability of large, well-annotated datasets. We present a configurable Monte Carlo simulation framework that generates synthetic corneal B-scan optical OCT images with pixel-level five-layer segmentation labels derived directly from the simulation geometry. A five-layer corneal model with Gaussian surfaces captures curvature and thickness variability in healthy and keratoconic eyes. Each layer is assigned optical properties from the literature and light transport is simulated using Monte Carlo modeling of light transport in multi-layered tissues (MCML), while incorporating system features such as the confocal PSF and sensitivity roll-off. This approach produces over 10,000 high-resolution (1024x1024) image-label pairs and supports customization of geometry, photon count, noise, and system parameters. The resulting dataset enables systematic training, validation, and benchmarking of AI models under controlled, ground-truth conditions, providing a reproducible and scalable resource to support the development of diagnostic and surgical guidance applications in image-guided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使用扩散模型即插即用先验的角膜 B 扫描 OCT 成像的超分辨率和去噪</w:t>
      </w:r>
    </w:p>
    <w:p>
      <w:r>
        <w:rPr>
          <w:rFonts w:ascii="Times New Roman" w:hAnsi="Times New Roman" w:eastAsia="宋体"/>
          <w:b/>
          <w:color w:val="003264"/>
          <w:sz w:val="24"/>
        </w:rPr>
        <w:t>Super-Resolution and Denoising of Corneal B-Scan OCT Imaging Using Diffusion Model Plug-and-Play Priors</w:t>
      </w:r>
    </w:p>
    <w:p>
      <w:r>
        <w:rPr>
          <w:rFonts w:ascii="Times New Roman" w:hAnsi="Times New Roman" w:eastAsia="宋体"/>
          <w:sz w:val="21"/>
        </w:rPr>
        <w:t>作者: Jin U. Kang</w:t>
        <w:br/>
      </w:r>
      <w:r>
        <w:rPr>
          <w:rFonts w:ascii="Times New Roman" w:hAnsi="Times New Roman" w:eastAsia="宋体"/>
          <w:sz w:val="21"/>
        </w:rPr>
        <w:t xml:space="preserve">时间: 2026-02-02T20:56:10Z | </w:t>
      </w:r>
      <w:r>
        <w:t xml:space="preserve">链接: </w:t>
      </w:r>
      <w:hyperlink r:id="rId47">
        <w:r>
          <w:rPr>
            <w:rFonts w:ascii="Times New Roman" w:hAnsi="Times New Roman" w:eastAsia="宋体"/>
            <w:color w:val="0000FF"/>
            <w:sz w:val="21"/>
            <w:u w:val="single"/>
          </w:rPr>
          <w:t>https://arxiv.org/abs/2602.02795v1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光学相干断层扫描（OCT）对于手术计划和诊断的角膜成像至关重要。然而，高速采集通常会降低空间分辨率并增加散斑噪声，给准确解释带来挑战。我们提出了一种先进的超分辨率框架，利用扩散模型即插即用 (PnP) 先验来实现 4 倍空间分辨率增强，同时对 OCT Bscan 图像进行有效去噪。我们的方法将重建制定为有原则的贝叶斯逆问题，将马尔可夫链蒙特卡罗采样与预训练的生成先验相结合以增强解剖学一致性。我们使用 \emph{in vivo} 鱼眼角膜数据集全面验证该框架，以评估不同临床环境下的稳健性和可扩展性。与双三次插值、传统监督 U-Net 基线和替代扩散先验的比较实验表明，我们的方法始终能够产生更精确的解剖结构、改进的角膜层轮廓和出色的噪声抑制。定量结果显示了峰值信噪比、结构相似性指数和感知指标方面最先进的性能。这项工作凸显了扩散驱动的即插即用重建在提供高保真、高分辨率 OCT 成像、支持更可靠的临床评估和实现先进的图像引导干预方面的潜力。我们的研究结果表明，该方法可以扩展到需要强大的超分辨率和去噪的其他生物医学成像模式。</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pivotal in corneal imaging for both surgical planning and diagnosis. However, high-speed acquisitions often degrade spatial resolution and increase speckle noise, posing challenges for accurate interpretation. We propose an advanced super-resolution framework leveraging diffusion model plug-and-play (PnP) priors to achieve 4x spatial resolution enhancement alongside effective denoising of OCT Bscan images. Our approach formulates reconstruction as a principled Bayesian inverse problem, combining Markov chain Monte Carlo sampling with pretrained generative priors to enforce anatomical consistency. We comprehensively validate the framework using \emph{in vivo} fisheye corneal datasets, to assess robustness and scalability under diverse clinical settings. Comparative experiments against bicubic interpolation, conventional supervised U-Net baselines, and alternative diffusion priors demonstrate that our method consistently yields more precise anatomical structures, improved delineation of corneal layers, and superior noise suppression. Quantitative results show state-of-the-art performance in peak signal-to-noise ratio, structural similarity index, and perceptual metrics. This work highlights the potential of diffusion-driven plug-and-play reconstruction to deliver high-fidelity, high-resolution OCT imaging, supporting more reliable clinical assessments and enabling advanced image-guided interventions. Our findings suggest the approach can be extended to other biomedical imaging modalities requiring robust super-resolution and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用于机器人深前板层角膜移植术 (DALK) 指导的实时拓扑感知 M 模式 OCT 分割</w:t>
      </w:r>
    </w:p>
    <w:p>
      <w:r>
        <w:rPr>
          <w:rFonts w:ascii="Times New Roman" w:hAnsi="Times New Roman" w:eastAsia="宋体"/>
          <w:b/>
          <w:color w:val="003264"/>
          <w:sz w:val="24"/>
        </w:rPr>
        <w:t>Real-time topology-aware M-mode OCT segmentation for robotic deep anterior lamellar keratoplasty (DALK) guidance</w:t>
      </w:r>
    </w:p>
    <w:p>
      <w:r>
        <w:rPr>
          <w:rFonts w:ascii="Times New Roman" w:hAnsi="Times New Roman" w:eastAsia="宋体"/>
          <w:sz w:val="21"/>
        </w:rPr>
        <w:t>作者: Jin U. Kang</w:t>
        <w:br/>
      </w:r>
      <w:r>
        <w:rPr>
          <w:rFonts w:ascii="Times New Roman" w:hAnsi="Times New Roman" w:eastAsia="宋体"/>
          <w:sz w:val="21"/>
        </w:rPr>
        <w:t xml:space="preserve">时间: 2026-02-02T20:58:04Z | </w:t>
      </w:r>
      <w:r>
        <w:t xml:space="preserve">链接: </w:t>
      </w:r>
      <w:hyperlink r:id="rId48">
        <w:r>
          <w:rPr>
            <w:rFonts w:ascii="Times New Roman" w:hAnsi="Times New Roman" w:eastAsia="宋体"/>
            <w:color w:val="0000FF"/>
            <w:sz w:val="21"/>
            <w:u w:val="single"/>
          </w:rPr>
          <w:t>https://arxiv.org/abs/2602.02798v1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机器人深前板层角膜移植术 (DALK) 需要准确的实时深度反馈，以接近后弹力层 (DM) 而不会穿孔。 M 模式术中光学相干断层扫描 (OCT) 提供高时间分辨率深度轨迹，但散斑噪声、衰减和仪器引起的阴影通常会导致不连续或模糊的层界面，从而在部署帧速率下挑战解剖学上一致的分割。我们提出了一种基于 UNeXt 的轻量级拓扑感知 M 模式分割管道，它结合了解剖拓扑正则化，以在低信噪比条件下稳定边界连续性和层排序。所提出的系统在单个 GPU 上的完整预处理推理叠加管道上测得的端到端吞吐量超过 80 Hz，展示了超越仅模型计时的实用实时指导。此操作余量提供了时间余量来拒绝低质量或丢失帧，同时保持稳定的有效深度更新率。使用已建立的基线协议​​对标准兔眼 M 模式数据集进行的评估表明，与拓扑无关的控制相比，定性边界稳定性得到了改善，同时保留了可部署的实时性能。</w:t>
      </w:r>
    </w:p>
    <w:p>
      <w:pPr>
        <w:spacing w:before="120"/>
      </w:pPr>
      <w:r>
        <w:rPr>
          <w:rFonts w:ascii="Times New Roman" w:hAnsi="Times New Roman" w:eastAsia="宋体"/>
          <w:b/>
          <w:sz w:val="21"/>
        </w:rPr>
        <w:t>English Abstract:</w:t>
      </w:r>
    </w:p>
    <w:p>
      <w:r>
        <w:rPr>
          <w:rFonts w:ascii="Times New Roman" w:hAnsi="Times New Roman" w:eastAsia="宋体"/>
          <w:sz w:val="21"/>
        </w:rPr>
        <w:t>Robotic deep anterior lamellar keratoplasty (DALK) requires accurate real time depth feedback to approach Descemet's membrane (DM) without perforation. M-mode intraoperative optical coherence tomography (OCT) provides high temporal resolution depth traces, but speckle noise, attenuation, and instrument induced shadowing often result in discontinuous or ambiguous layer interfaces that challenge anatomically consistent segmentation at deployment frame rates. We present a lightweight, topology aware M-mode segmentation pipeline based on UNeXt that incorporates anatomical topology regularization to stabilize boundary continuity and layer ordering under low signal to noise ratio conditions. The proposed system achieves end to end throughput exceeding 80 Hz measured over the complete preprocessing inference overlay pipeline on a single GPU, demonstrating practical real time guidance beyond model only timing. This operating margin provides temporal headroom to reject low quality or dropout frames while maintaining a stable effective depth update rate. Evaluation on a standard rabbit eye M-mode dataset using an established baseline protocol shows improved qualitative boundary stability compared with topology agnostic controls, while preserving deployable real time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通过基础模型驱动的人工智能，实现视网膜疾病 3D OCT 的完整端到端诊断工作流程自动化</w:t>
      </w:r>
    </w:p>
    <w:p>
      <w:r>
        <w:rPr>
          <w:rFonts w:ascii="Times New Roman" w:hAnsi="Times New Roman" w:eastAsia="宋体"/>
          <w:b/>
          <w:color w:val="003264"/>
          <w:sz w:val="24"/>
        </w:rPr>
        <w:t>Full end-to-end diagnostic workflow automation of 3D OCT via foundation model-driven AI for retinal diseases</w:t>
      </w:r>
    </w:p>
    <w:p>
      <w:r>
        <w:rPr>
          <w:rFonts w:ascii="Times New Roman" w:hAnsi="Times New Roman" w:eastAsia="宋体"/>
          <w:sz w:val="21"/>
        </w:rPr>
        <w:t>作者: Peng Xiao</w:t>
        <w:br/>
      </w:r>
      <w:r>
        <w:rPr>
          <w:rFonts w:ascii="Times New Roman" w:hAnsi="Times New Roman" w:eastAsia="宋体"/>
          <w:sz w:val="21"/>
        </w:rPr>
        <w:t xml:space="preserve">时间: 2026-02-03T09:28:51Z | </w:t>
      </w:r>
      <w:r>
        <w:t xml:space="preserve">链接: </w:t>
      </w:r>
      <w:hyperlink r:id="rId49">
        <w:r>
          <w:rPr>
            <w:rFonts w:ascii="Times New Roman" w:hAnsi="Times New Roman" w:eastAsia="宋体"/>
            <w:color w:val="0000FF"/>
            <w:sz w:val="21"/>
            <w:u w:val="single"/>
          </w:rPr>
          <w:t>https://arxiv.org/abs/2602.03302v1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光学相干断层扫描（OCT）以其高分辨率和三维成像特性彻底改变了视网膜疾病的诊断，但其在临床实践中的全面诊断自动化仍然受到多阶段工作流程和传统单切片单任务人工智能模型的限制。我们推出基于 OCT 的全流程临床实用系统 (FOCUS)，这是一个基础模型驱动框架，可实现 3D OCT 视网膜疾病诊断的端到端自动化。 FOCUS 使用 EfficientNetV2-S 依次执行图像质量评估，然后使用微调的视觉基础模型进行异常检测和多疾病分类。至关重要的是，FOCUS 利用统一的自适应聚合方法将 2D 切片级预测智能地集成到全面的 3D 患者级诊断中。 FOCUS 在 3,300 名患者（40,672 个切片）上进行了培训和测试，并在四个不同级别中心和不同 OCT 设备上对 1,345 名患者（18,498 个切片）进行了外部验证，在质量评估 (99.01%)、异常检测 (97.46%) 和患者级诊断 (94.39%) 方面取得了较高的 F1 分数。跨中心的真实世界验证也显示出稳定的性能（F1：90.22%-95.24%）。在人机对比中，FOCUS在异常检测（F1：95.47% vs 90.91%）和多疾病诊断（F1：93.49% vs 91.35%）方面与专家表现相当，同时表现出更好的效率。 FOCUS 实现了图像到诊断流程的自动化，代表了无人眼科的重大进步，为自主筛查提供了经过验证的蓝图，以提高人口规模视网膜护理的可及性和效率。</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has revolutionized retinal disease diagnosis with its high-resolution and three-dimensional imaging nature, yet its full diagnostic automation in clinical practices remains constrained by multi-stage workflows and conventional single-slice single-task AI models. We present Full-process OCT-based Clinical Utility System (FOCUS), a foundation model-driven framework enabling end-to-end automation of 3D OCT retinal disease diagnosis. FOCUS sequentially performs image quality assessment with EfficientNetV2-S, followed by abnormality detection and multi-disease classification using a fine-tuned Vision Foundation Model. Crucially, FOCUS leverages a unified adaptive aggregation method to intelligently integrate 2D slices-level predictions into comprehensive 3D patient-level diagnosis. Trained and tested on 3,300 patients (40,672 slices), and externally validated on 1,345 patients (18,498 slices) across four different-tier centers and diverse OCT devices, FOCUS achieved high F1 scores for quality assessment (99.01%), abnormally detection (97.46%), and patient-level diagnosis (94.39%). Real-world validation across centers also showed stable performance (F1: 90.22%-95.24%). In human-machine comparisons, FOCUS matched expert performance in abnormality detection (F1: 95.47% vs 90.91%) and multi-disease diagnosis (F1: 93.49% vs 91.35%), while demonstrating better efficiency. FOCUS automates the image-to-diagnosis pipeline, representing a critical advance towards unmanned ophthalmology with a validated blueprint for autonomous screening to enhance population scale retinal care accessibility and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使用石墨烯金属红外光电探测器进行通用重建偏振测量</w:t>
      </w:r>
    </w:p>
    <w:p>
      <w:r>
        <w:rPr>
          <w:rFonts w:ascii="Times New Roman" w:hAnsi="Times New Roman" w:eastAsia="宋体"/>
          <w:b/>
          <w:color w:val="003264"/>
          <w:sz w:val="24"/>
        </w:rPr>
        <w:t>Universal reconstructive polarimetry with graphene-metal infrared photodetectors</w:t>
      </w:r>
    </w:p>
    <w:p>
      <w:r>
        <w:rPr>
          <w:rFonts w:ascii="Times New Roman" w:hAnsi="Times New Roman" w:eastAsia="宋体"/>
          <w:sz w:val="21"/>
        </w:rPr>
        <w:t>作者: Dmitry Svintsov</w:t>
        <w:br/>
      </w:r>
      <w:r>
        <w:rPr>
          <w:rFonts w:ascii="Times New Roman" w:hAnsi="Times New Roman" w:eastAsia="宋体"/>
          <w:sz w:val="21"/>
        </w:rPr>
        <w:t xml:space="preserve">时间: 2026-02-02T19:53:06Z | </w:t>
      </w:r>
      <w:r>
        <w:t xml:space="preserve">链接: </w:t>
      </w:r>
      <w:hyperlink r:id="rId50">
        <w:r>
          <w:rPr>
            <w:rFonts w:ascii="Times New Roman" w:hAnsi="Times New Roman" w:eastAsia="宋体"/>
            <w:color w:val="0000FF"/>
            <w:sz w:val="21"/>
            <w:u w:val="single"/>
          </w:rPr>
          <w:t>https://arxiv.org/abs/2602.02737v1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光偏振的测量都是基于复杂、庞大且缓慢的光学仪器。具有原位可变偏振光响应的材料的出现引发了重构偏振测量的概念，其中探测器本身扮演可调谐偏振器的角色。实现这种功能的材料仅限于复杂的范德华异质结构。在这里，我们演示了基于简单门控石墨烯-金属结的红外（IR）探测器的重建偏振测量。重建利用了偏振对比度的栅极调谐，这使得能够根据两个连续栅极电压下的光电压测量来评估红外功率和偏振角。实现偏振测定的物理原理在于接触附近电子热点的偏振相关移动以及光敏势垒宽度的栅极调谐。我们进一步展示了偏振重建的普遍性，即它对于不同几何形状的结以及不同质量的石墨烯（从六方氮化硼封装到可扩展的气相沉积湿转移样品）的可行性。</w:t>
      </w:r>
    </w:p>
    <w:p>
      <w:pPr>
        <w:spacing w:before="120"/>
      </w:pPr>
      <w:r>
        <w:rPr>
          <w:rFonts w:ascii="Times New Roman" w:hAnsi="Times New Roman" w:eastAsia="宋体"/>
          <w:b/>
          <w:sz w:val="21"/>
        </w:rPr>
        <w:t>English Abstract:</w:t>
      </w:r>
    </w:p>
    <w:p>
      <w:r>
        <w:rPr>
          <w:rFonts w:ascii="Times New Roman" w:hAnsi="Times New Roman" w:eastAsia="宋体"/>
          <w:sz w:val="21"/>
        </w:rPr>
        <w:t>Measurement of light polarization has long been based on complex, bulk, and slow optical instruments. The advent of materials with in-situ variable polarization photoresponse has led to the concept of reconstructive polarimetry, where the detector itself plays the role of tunable polarizer. Materials enabling such functionality have been limited to complex van der Waals heterostructures. Here, we demonstrate the reconstructive polarimetry with infrared (IR) detectors based on simple gated graphene-metal junctions. The reconstruction exploits the gate tuning of polarization contrast, which enables the evaluation of both infrared power and polarization angle from photovoltage measurements at two sequential gate voltages. The physics enabling the polarimetry lies in polarization-dependent shift of the electron hot spot near the contact, and the gate tuning of the of light-sensitive barrier width. We further show the universality of polarization reconstruction, i.e. its feasibility with different geometries of the junction, and with graphene of different quality, from hBN-encapsulated to the scalable vapor-deposited wet-transferred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由光镊驱动的基于齿轮的 3D 打印微型机器</w:t>
      </w:r>
    </w:p>
    <w:p>
      <w:r>
        <w:rPr>
          <w:rFonts w:ascii="Times New Roman" w:hAnsi="Times New Roman" w:eastAsia="宋体"/>
          <w:b/>
          <w:color w:val="003264"/>
          <w:sz w:val="24"/>
        </w:rPr>
        <w:t>Gear-based 3D-printed Micromachines Actuated by Optical Tweezers</w:t>
      </w:r>
    </w:p>
    <w:p>
      <w:r>
        <w:rPr>
          <w:rFonts w:ascii="Times New Roman" w:hAnsi="Times New Roman" w:eastAsia="宋体"/>
          <w:sz w:val="21"/>
        </w:rPr>
        <w:t>作者: Muamer Kadic</w:t>
        <w:br/>
      </w:r>
      <w:r>
        <w:rPr>
          <w:rFonts w:ascii="Times New Roman" w:hAnsi="Times New Roman" w:eastAsia="宋体"/>
          <w:sz w:val="21"/>
        </w:rPr>
        <w:t xml:space="preserve">时间: 2026-02-02T20:07:49Z | </w:t>
      </w:r>
      <w:r>
        <w:t xml:space="preserve">链接: </w:t>
      </w:r>
      <w:hyperlink r:id="rId51">
        <w:r>
          <w:rPr>
            <w:rFonts w:ascii="Times New Roman" w:hAnsi="Times New Roman" w:eastAsia="宋体"/>
            <w:color w:val="0000FF"/>
            <w:sz w:val="21"/>
            <w:u w:val="single"/>
          </w:rPr>
          <w:t>https://arxiv.org/abs/2602.02756v1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机械机构的小型化对于开发紧凑、高性能的微型机械至关重要。然而，传统齿轮和微型电机的小型化驱动仍然受到实现机械/电力驱动的固有挑战的限制。在这里，我们展示了通过双光子聚合 3D 打印实现的光机械、齿轮驱动微型机器的设计、制造和表征。使用光镊实现驱动。该设备将微型齿轮传输系统与光学驱动部件集成在一起，从而实现光控微型机器。当受到高度聚焦的激光源照射时，第一个齿轮在齿轮组件内产生旋转扭矩，将光能转换成可传输到耦合齿轮的定向机械功。我们演示了使用双光子聚合（2PP）激光写入的微机械制造，能够制造能够产生平面外旋转的正齿轮系和锥齿轮，这是传统微机械制造技术无法实现的。微型机器由单个齿轮或两个或三个齿轮组成，部件之间没有任何不必要的粘附，从而形成正常运行的系统。实验上，使用光镊驱动所制造的微型机器，展示了连续的齿轮旋转、齿轮系中的有效运动传输、平面外旋转以及放大速度或扭矩的能力。光镊驱动拓宽了这些微型机器的潜在应用，特别是在生物医学和芯片实验室系统中，在这些系统中，微尺度的精确、微创控制至关重要。</w:t>
      </w:r>
    </w:p>
    <w:p>
      <w:pPr>
        <w:spacing w:before="120"/>
      </w:pPr>
      <w:r>
        <w:rPr>
          <w:rFonts w:ascii="Times New Roman" w:hAnsi="Times New Roman" w:eastAsia="宋体"/>
          <w:b/>
          <w:sz w:val="21"/>
        </w:rPr>
        <w:t>English Abstract:</w:t>
      </w:r>
    </w:p>
    <w:p>
      <w:r>
        <w:rPr>
          <w:rFonts w:ascii="Times New Roman" w:hAnsi="Times New Roman" w:eastAsia="宋体"/>
          <w:sz w:val="21"/>
        </w:rPr>
        <w:t>The miniaturization of mechanical mechanisms is crucial to enable the development of compact, high-performance micromachines. However, the downscaling actuation of conventional gears and micromotors has remained limited by the inherent challenges of implementing mechanical/electrical powering. Here, we present the design, fabrication, and characterization of an optomechanical, gear-driven micromachine realized through two-photon polymerization 3D printing. The actuation is achieved using optical tweezers. The device integrates a microgear transmission system with an optically actuated part, enabling light-controlled micromachines. When illuminated by a highly focused laser source, the first gear generates rotational torque within the gear assembly, converting optical energy into directional mechanical work that can be transmitted to the coupled gear. We demonstrate the fabrication of micromachines using two-photon polymerization (2PP) laser writing, enabling the fabrication of spur gear trains and bevel gears that can produce out-of-plane rotations, which is not achievable with traditional micromachining fabrication techniques. The micromachines are composed of a single gear or a train of two or three gears without any unwanted adhesion between the components, leading to functioning systems. Experimentally, the fabricated micromachines were actuated using optical tweezers, demonstrating continuous gear rotation, effective motion transmission in gear trains, out-of-plane rotations, and the ability to amplify velocity or torque. Optical-tweezer actuation broadens the potential applications of these micromachines, particularly in biomedical and lab-on-a-chip systems, where precise, minimally invasive control at the microscale is essential.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来自系综的单发射器光谱</w:t>
      </w:r>
    </w:p>
    <w:p>
      <w:r>
        <w:rPr>
          <w:rFonts w:ascii="Times New Roman" w:hAnsi="Times New Roman" w:eastAsia="宋体"/>
          <w:b/>
          <w:color w:val="003264"/>
          <w:sz w:val="24"/>
        </w:rPr>
        <w:t>Single-Emitter Spectra from an Ensemble</w:t>
      </w:r>
    </w:p>
    <w:p>
      <w:r>
        <w:rPr>
          <w:rFonts w:ascii="Times New Roman" w:hAnsi="Times New Roman" w:eastAsia="宋体"/>
          <w:sz w:val="21"/>
        </w:rPr>
        <w:t>作者: Moungi G. Bawendi</w:t>
        <w:br/>
      </w:r>
      <w:r>
        <w:rPr>
          <w:rFonts w:ascii="Times New Roman" w:hAnsi="Times New Roman" w:eastAsia="宋体"/>
          <w:sz w:val="21"/>
        </w:rPr>
        <w:t xml:space="preserve">时间: 2026-02-02T20:08:27Z | </w:t>
      </w:r>
      <w:r>
        <w:t xml:space="preserve">链接: </w:t>
      </w:r>
      <w:hyperlink r:id="rId52">
        <w:r>
          <w:rPr>
            <w:rFonts w:ascii="Times New Roman" w:hAnsi="Times New Roman" w:eastAsia="宋体"/>
            <w:color w:val="0000FF"/>
            <w:sz w:val="21"/>
            <w:u w:val="single"/>
          </w:rPr>
          <w:t>https://arxiv.org/abs/2602.02757v1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纳米级发射器的异质性阻碍了理解其基本光物理学的努力，并限制了它们在实际应用中的使用。现有方法难以在统计尺度上准确表征单发射器光谱和光学异质性。在这里，我们介绍 SPICEE（系综发射的光谱不平衡相关性），这是一种光谱过滤光子相关技术，可从系综样本中恢复单粒子发射线形。分析推导、数值建模和发射器解决方案集合的实验验证了该技术。我们将 SPICEE 应用于与显示应用相关的蓝光发射 ZnSeTe 半导体纳米晶体，发现整体光谱中的低色纯度主要是由具有独特发射机制的一小部分纳米晶体引起的。这项工作表明 SPICEE 是一种强大的高通量工具，可准确表征纳米级系统的单发射器特性。</w:t>
      </w:r>
    </w:p>
    <w:p>
      <w:pPr>
        <w:spacing w:before="120"/>
      </w:pPr>
      <w:r>
        <w:rPr>
          <w:rFonts w:ascii="Times New Roman" w:hAnsi="Times New Roman" w:eastAsia="宋体"/>
          <w:b/>
          <w:sz w:val="21"/>
        </w:rPr>
        <w:t>English Abstract:</w:t>
      </w:r>
    </w:p>
    <w:p>
      <w:r>
        <w:rPr>
          <w:rFonts w:ascii="Times New Roman" w:hAnsi="Times New Roman" w:eastAsia="宋体"/>
          <w:sz w:val="21"/>
        </w:rPr>
        <w:t>The heterogeneity in nanoscale emitters hinders efforts to understand their basic photophysics and limits their use in practical applications. Existing methods have difficulty accurately characterizing single-emitter spectra and optical heterogeneity on a statistical scale. Here, we introduce SPICEE (SPectrally Imbalanced Correlations from Ensemble Emission), a spectrally filtered photon-correlation technique that recovers single-particle emission lineshapes from an ensemble sample. Analytical derivations, numerical modeling, and experiments on a solution ensemble of emitters validate the technique. We apply SPICEE to blue-emitting ZnSeTe semiconductor nanocrystals relevant to display applications and find that the low color purity in the ensemble spectrum is primarily caused by a small subpopulation of nanocrystals with a distinct emission mechanism. This work demonstrates that SPICEE is a powerful high-throughput tool for accurately characterizing the single-emitter properties of nanoscale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通过四波混合门控的半导体纳米激光器的时间分辨动力学</w:t>
      </w:r>
    </w:p>
    <w:p>
      <w:r>
        <w:rPr>
          <w:rFonts w:ascii="Times New Roman" w:hAnsi="Times New Roman" w:eastAsia="宋体"/>
          <w:b/>
          <w:color w:val="003264"/>
          <w:sz w:val="24"/>
        </w:rPr>
        <w:t>Time-Resolved dynamics of semiconductor nanolaser via four-wave mixing gating</w:t>
      </w:r>
    </w:p>
    <w:p>
      <w:r>
        <w:rPr>
          <w:rFonts w:ascii="Times New Roman" w:hAnsi="Times New Roman" w:eastAsia="宋体"/>
          <w:sz w:val="21"/>
        </w:rPr>
        <w:t>作者: Fabrice Raineri</w:t>
        <w:br/>
      </w:r>
      <w:r>
        <w:rPr>
          <w:rFonts w:ascii="Times New Roman" w:hAnsi="Times New Roman" w:eastAsia="宋体"/>
          <w:sz w:val="21"/>
        </w:rPr>
        <w:t xml:space="preserve">时间: 2026-02-02T23:16:31Z | </w:t>
      </w:r>
      <w:r>
        <w:t xml:space="preserve">链接: </w:t>
      </w:r>
      <w:hyperlink r:id="rId53">
        <w:r>
          <w:rPr>
            <w:rFonts w:ascii="Times New Roman" w:hAnsi="Times New Roman" w:eastAsia="宋体"/>
            <w:color w:val="0000FF"/>
            <w:sz w:val="21"/>
            <w:u w:val="single"/>
          </w:rPr>
          <w:t>https://arxiv.org/abs/2602.02901v1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基于四波混频的非线性光选通技术通过实验证明了电信波长光子晶体纳米激光器的直接时域表征。这种方法能够以皮秒时间分辨率对短脉冲激励下的超快发射动力学进行时间表征。当将弱连续波分量添加到脉冲泵时，发射变得确定并且建立时间显着缩短。纯脉冲激励方式和混合激励方式之间的差异表明了脉冲间定时波动的影响。为了阐明这种效应，我们进行了基于朗之万的模拟，再现了实验观察到的展宽，并确认源自阈值附近自发发射噪声的时间抖动主导了时间色散。这些结果确立了四波混合门控作为以皮秒精度探测纳米激光动力学的强大方法。</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the direct time-domain characterization of photonic-crystal nanolasers at telecom wavelengths using a nonlinear optical gating technique based on four-wave mixing. This approach enables the temporal characterization of the ultrafast emission dynamics under short-pulse excitation with picosecond time resolution. When a weak continuous-wave component is added to the pulsed pump, the emission becomes deterministic and the build-up time is considerably reduced. The difference between purely pulsed and hybrid excitation regimes points to the influence of pulse-to-pulse timing fluctuations. To elucidate this effect, we perform Langevin-based simulations that reproduce the experimentally observed broadening and confirm that time jitter, originating from spontaneous-emission noise near threshold, dominates the temporal dispersion. These results establish four-wave-mixing gating as a powerful method to probe nanolaser dynamics with picosecond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具有均匀空气限制模式的平面尺度不变波导和谐振器</w:t>
      </w:r>
    </w:p>
    <w:p>
      <w:r>
        <w:rPr>
          <w:rFonts w:ascii="Times New Roman" w:hAnsi="Times New Roman" w:eastAsia="宋体"/>
          <w:b/>
          <w:color w:val="003264"/>
          <w:sz w:val="24"/>
        </w:rPr>
        <w:t>Planar Scale Invariant Waveguides and Resonators with Uniform Air Confined Modes</w:t>
      </w:r>
    </w:p>
    <w:p>
      <w:r>
        <w:rPr>
          <w:rFonts w:ascii="Times New Roman" w:hAnsi="Times New Roman" w:eastAsia="宋体"/>
          <w:sz w:val="21"/>
        </w:rPr>
        <w:t>作者: Ali Adibi</w:t>
        <w:br/>
      </w:r>
      <w:r>
        <w:rPr>
          <w:rFonts w:ascii="Times New Roman" w:hAnsi="Times New Roman" w:eastAsia="宋体"/>
          <w:sz w:val="21"/>
        </w:rPr>
        <w:t xml:space="preserve">时间: 2026-02-02T23:23:58Z | </w:t>
      </w:r>
      <w:r>
        <w:t xml:space="preserve">链接: </w:t>
      </w:r>
      <w:hyperlink r:id="rId54">
        <w:r>
          <w:rPr>
            <w:rFonts w:ascii="Times New Roman" w:hAnsi="Times New Roman" w:eastAsia="宋体"/>
            <w:color w:val="0000FF"/>
            <w:sz w:val="21"/>
            <w:u w:val="single"/>
          </w:rPr>
          <w:t>https://arxiv.org/abs/2602.02906v1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我们展示了一种基于平面超材料的谐振器和波导，在空气中具有强光限制，基于绝缘体上硅 (SOI) 平台，该平台在横向上表现出尺度不变性。通过在两个硅脊之间嵌入亚波长光栅（SWG）区域，波导在不同的宽度上保持几乎恒定的有效折射率，同时维持均匀的场分布。使用马赫曾德尔干涉仪进行的模拟和实验测量证实了尺度不变性，并且由相同结构制造的跑道谐振器表现出 40000 的内在品质因数。基于谐振的结构能够将光限制在空气中，提供具有高质量因数的大相互作用区域，以及与 CMOS 制造工艺的兼容性和针对制造缺陷的鲁棒性，使其成为增强光物质相互作用应用的绝佳候选者，并提高了功率处理能力，为集成光子学提供了一个有前途的平台。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a planar metamaterial based resonator and waveguide with strong light confinement in air based on a silicon-on-insulator (SOI) platform that exhibits scale invariance in the lateral direction. By embedding a sub wavelength grating (SWG) region between two silicon ridges, the waveguide maintains a nearly constant effective index across varying widths while sustaining a uniform field distribution. Simulations and experimental measurements using Mach Zehnder interferometers confirm scale invariance, and racetrack resonators fabricated from the same structure exhibit an intrinsic quality factor of 40000. The ability of the resonance based structures for confining light in air, providing large interaction regions with high quality factors along with compatibility with CMOS fabrication processes and robustness against fabrication imperfections make them excellent candidates for enhanced light matter interaction applications with improved power handling, offering a promising platform for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通过偏振工程光反馈对半导体 VCSEL 中的极端事件进行确定性控制</w:t>
      </w:r>
    </w:p>
    <w:p>
      <w:r>
        <w:rPr>
          <w:rFonts w:ascii="Times New Roman" w:hAnsi="Times New Roman" w:eastAsia="宋体"/>
          <w:b/>
          <w:color w:val="003264"/>
          <w:sz w:val="24"/>
        </w:rPr>
        <w:t>Deterministic Control of Extreme Events in a semiconductor VCSEL via Polarization-Engineered Optical Feedback</w:t>
      </w:r>
    </w:p>
    <w:p>
      <w:r>
        <w:rPr>
          <w:rFonts w:ascii="Times New Roman" w:hAnsi="Times New Roman" w:eastAsia="宋体"/>
          <w:sz w:val="21"/>
        </w:rPr>
        <w:t>作者: Y. Hao</w:t>
        <w:br/>
      </w:r>
      <w:r>
        <w:rPr>
          <w:rFonts w:ascii="Times New Roman" w:hAnsi="Times New Roman" w:eastAsia="宋体"/>
          <w:sz w:val="21"/>
        </w:rPr>
        <w:t xml:space="preserve">时间: 2026-02-03T01:07:08Z | </w:t>
      </w:r>
      <w:r>
        <w:t xml:space="preserve">链接: </w:t>
      </w:r>
      <w:hyperlink r:id="rId55">
        <w:r>
          <w:rPr>
            <w:rFonts w:ascii="Times New Roman" w:hAnsi="Times New Roman" w:eastAsia="宋体"/>
            <w:color w:val="0000FF"/>
            <w:sz w:val="21"/>
            <w:u w:val="single"/>
          </w:rPr>
          <w:t>https://arxiv.org/abs/2602.02968v1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端事件或异常波是在不同的物理系统中出现的高强度、罕见的事件，并且常常违背传统的统计预测。虽然光学系统为研究这些现象提供了受控设置，但对其生成实现确定性控制仍然具有挑战性。在这里，我们展示了一种使用偏振控制光学反馈在半导体 VCSEL 中诱发和精确调制极端事件的新颖方法。通过将 $λ$/2 波片集成到偏振选择性外腔中，我们调节 TE 和 TM 模式之间的非线性相互作用。这种设置会触发 TM 模式的高强度、重尾波动，表现出极端事件的清晰特征。我们证明，这些事件是由模式之间确定性的能量交换引起的，正如强双极相关性和长程时间记忆所证明的那样。波片角度作为有效的外部参数，可以对事件速率、强度和时间聚类进行非单调调整。我们的研究建立了一个探索耗散系统中极端事件的平台，对非线性光子学和光学技术具有影响。</w:t>
      </w:r>
    </w:p>
    <w:p>
      <w:pPr>
        <w:spacing w:before="120"/>
      </w:pPr>
      <w:r>
        <w:rPr>
          <w:rFonts w:ascii="Times New Roman" w:hAnsi="Times New Roman" w:eastAsia="宋体"/>
          <w:b/>
          <w:sz w:val="21"/>
        </w:rPr>
        <w:t>English Abstract:</w:t>
      </w:r>
    </w:p>
    <w:p>
      <w:r>
        <w:rPr>
          <w:rFonts w:ascii="Times New Roman" w:hAnsi="Times New Roman" w:eastAsia="宋体"/>
          <w:sz w:val="21"/>
        </w:rPr>
        <w:t>Extreme events, or rogue waves, are high-amplitude, rare occurrences that emerge across diverse physical systems and often defy conventional statistical predictions. While optical systems provide a controlled setting for studying these phenomena, achieving deterministic control over their generation remains challenging. Here, we demonstrate a novel approach to induce and precisely modulate extreme events in a semiconductor VCSEL using polarization-controlled optical feedback. By integrating a $λ$/2-waveplate into a polarization-selective external cavity, we regulate the nonlinear interaction between TE and TM modes. This setup triggers high-intensity, heavy-tailed fluctuations in the TM mode, exhibiting clear signatures of extreme events. We show that these events arise from deterministic energy exchange between modes, as evidenced by strong bipolar correlations and long-range temporal memory. The waveplate angle serves as an effective external parameter, enabling non-monotonic tuning of the event rate, intensity, and temporal clustering. Our study establish a platform for exploring extreme events in dissipative systems, with implications for nonlinear photonics and optical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准周期等离子体链中安德森定位的超低辐射热通量</w:t>
      </w:r>
    </w:p>
    <w:p>
      <w:r>
        <w:rPr>
          <w:rFonts w:ascii="Times New Roman" w:hAnsi="Times New Roman" w:eastAsia="宋体"/>
          <w:b/>
          <w:color w:val="003264"/>
          <w:sz w:val="24"/>
        </w:rPr>
        <w:t>Ultralow radiative heat flux by Anderson localization in quasiperiodic plasmonic chains</w:t>
      </w:r>
    </w:p>
    <w:p>
      <w:r>
        <w:rPr>
          <w:rFonts w:ascii="Times New Roman" w:hAnsi="Times New Roman" w:eastAsia="宋体"/>
          <w:sz w:val="21"/>
        </w:rPr>
        <w:t>作者: Xiaobin Chen</w:t>
        <w:br/>
      </w:r>
      <w:r>
        <w:rPr>
          <w:rFonts w:ascii="Times New Roman" w:hAnsi="Times New Roman" w:eastAsia="宋体"/>
          <w:sz w:val="21"/>
        </w:rPr>
        <w:t xml:space="preserve">时间: 2026-02-03T02:19:58Z | </w:t>
      </w:r>
      <w:r>
        <w:t xml:space="preserve">链接: </w:t>
      </w:r>
      <w:hyperlink r:id="rId56">
        <w:r>
          <w:rPr>
            <w:rFonts w:ascii="Times New Roman" w:hAnsi="Times New Roman" w:eastAsia="宋体"/>
            <w:color w:val="0000FF"/>
            <w:sz w:val="21"/>
            <w:u w:val="single"/>
          </w:rPr>
          <w:t>https://arxiv.org/abs/2602.03008v1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德森局域化是由无序系统中的波干扰引起的，极大地阻碍了能量传输，但其对多体热光子系统中辐射热通量的影响仍不清楚。在这里，我们展示了在一维准周期等离子体纳米颗粒链中对辐射传热的三级抑制，从而产生超低辐射传热。辐射传热的这种抑制与模态局域化直接相关，正如传输系数的模态分解所揭示的那样，它是安德森局域化的证据。此外，我们阐明了辐射热导降低对粒子间间距和材料阻尼率的依赖性，揭示了固有欧姆损耗、模式局域化和长程多体相互作用之间的相互作用。我们的研究结果增进了对无序光子结构中波介导热传输的理解，并提出了通过工程无序定制纳米级热管理的策略。</w:t>
      </w:r>
    </w:p>
    <w:p>
      <w:pPr>
        <w:spacing w:before="120"/>
      </w:pPr>
      <w:r>
        <w:rPr>
          <w:rFonts w:ascii="Times New Roman" w:hAnsi="Times New Roman" w:eastAsia="宋体"/>
          <w:b/>
          <w:sz w:val="21"/>
        </w:rPr>
        <w:t>English Abstract:</w:t>
      </w:r>
    </w:p>
    <w:p>
      <w:r>
        <w:rPr>
          <w:rFonts w:ascii="Times New Roman" w:hAnsi="Times New Roman" w:eastAsia="宋体"/>
          <w:sz w:val="21"/>
        </w:rPr>
        <w:t>Anderson localization, arising from wave interference in disordered systems, profoundly hinders energy transport, yet its impact on radiative heat flux in many-body thermophotonic systems remains unclear. Here, we demonstrate a three-order-of-magnitude suppression of radiative heat transfer, resulting in ultralow radiative heat transfer, in a one-dimensional quasiperiodic chain of plasmonic nanoparticles. This suppression in radiative heat transfer is directly correlated with mode localization, as revealed by the mode decomposition of the transmission coefficient, which serves as evidence of Anderson localization. Furthermore, we elucidate the dependence of radiative thermal conductance reduction on interparticle spacing and material damping rates, uncovering the interplay between intrinsic Ohmic losses, mode localization, and long-range many-body interactions. Our findings advance the understanding of wave-mediated thermal transport in disordered photonic structures and suggest strategies for tailoring nanoscale heat management via engineered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 Wasserstein 生成对抗网络进行可调谐红外超表面吸收器的逆向设计</w:t>
      </w:r>
    </w:p>
    <w:p>
      <w:r>
        <w:rPr>
          <w:rFonts w:ascii="Times New Roman" w:hAnsi="Times New Roman" w:eastAsia="宋体"/>
          <w:b/>
          <w:color w:val="003264"/>
          <w:sz w:val="24"/>
        </w:rPr>
        <w:t>Inverse Design of Tunable Infrared Metasurface Absorbers via a Conditional Wasserstein Generative Adversarial Network</w:t>
      </w:r>
    </w:p>
    <w:p>
      <w:r>
        <w:rPr>
          <w:rFonts w:ascii="Times New Roman" w:hAnsi="Times New Roman" w:eastAsia="宋体"/>
          <w:sz w:val="21"/>
        </w:rPr>
        <w:t>作者: T. Wang</w:t>
        <w:br/>
      </w:r>
      <w:r>
        <w:rPr>
          <w:rFonts w:ascii="Times New Roman" w:hAnsi="Times New Roman" w:eastAsia="宋体"/>
          <w:sz w:val="21"/>
        </w:rPr>
        <w:t xml:space="preserve">时间: 2026-02-03T03:43:40Z | </w:t>
      </w:r>
      <w:r>
        <w:t xml:space="preserve">链接: </w:t>
      </w:r>
      <w:hyperlink r:id="rId57">
        <w:r>
          <w:rPr>
            <w:rFonts w:ascii="Times New Roman" w:hAnsi="Times New Roman" w:eastAsia="宋体"/>
            <w:color w:val="0000FF"/>
            <w:sz w:val="21"/>
            <w:u w:val="single"/>
          </w:rPr>
          <w:t>https://arxiv.org/abs/2602.03062v1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窄带完美吸收体对于光谱传感、分子检测和红外成像很有趣。然而，他们的设计仍然受到直观、迭代方法的限制，缺乏灵活性，同时还面临多目标优化的挑战。在这里，我们介绍了一种支持深度学习的逆向设计框架，该框架通过条件 Wasserstein 生成对抗网络（WGAN）克服了这些限制。这项工作的主要贡献是双通道图像编码方案，该方案共同表示 Si$_3$N$_4$ 元层的几何形状和厚度，促进网络学习目标光学响应的​​可行结构的分布。这种方法自然地解决了固有的“一对多”设计问题，从单一输入范围中提供了多样化的功能候选组合。设计的吸收体实现了卓越的光谱保真度，共振峰值误差低于 5 nm，均方误差 (MSE) 约为 10^{-3}$，并且能够为每个目标生成 10 多个不同的高性能设计。此外，我们证明了该模型在倾斜照明下的鲁棒性，表明可以通过迁移学习对其进行有效微调，以在从 $10^\circ$ 到 $40^\circ$ 的入射角范围内保持光谱精度，从而将其实用性扩展到非正常操作条件。全波模拟证实，生成的几何形状支持混合等离子体介电共振，从而实现近乎完美的吸收和强大的近场增强。我们的研究提供了一种强大的、物理感知的设计范式，超越了传统的参数优化。引入的框架为传感、光谱学和光信号处理的先进光子器件的按需逆向设计建立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Narrowband perfect absorbers are interesting for spectrum sensing, molecular detection, and infrared imaging. However, their design remains constrained by intuitive, iterative methods that lack flexibility, while also facing challenges in multi-objective optimization. Here, we introduce a deep learning-enabled inverse-design framework that overcomes these limitations through a conditional Wasserstein Generative Adversarial Network (WGAN). The main contribution of this work is a dual-channel image encoding scheme that jointly represents the geometry and thickness of a Si$_3$N$_4$ meta-layer, facilitating the network to learn the distribution of viable structures for a target optical response. This approach naturally solves the inherent ``one-to-many'' design issue, giving a diverse portfolio of functional candidates from a single input spectrum. The designed absorbers achieve exceptional spectral fidelity, with resonance peak errors below 5 nm, a mean squared error (MSE) on the order of $10^{-3}$, and the capacity to produce over 10 distinct, high-performance designs per target. Furthermore, we demonstrate the model's robustness under oblique illumination, showing that it can be efficiently fine-tuned to maintain spectral accuracy across incidence angles from $10^\circ$ to $40^\circ$ by transfer learning, thus extending its practical utility to non-normal operating conditions. Full-wave simulations confirm that the generated geometries support a hybrid plasmonic-dielectric resonance, leading to near-perfect absorption and strong near-field enhancement. Our study provides a robust, physics-aware design paradigm that moves beyond conventional parametric optimization. The introduced framework establishes a versatile platform for the on-demand inverse design of advanced photonic devices for sensing, spectroscopy, and optical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非埃尔米特避免交叉处的相反振幅相位熵响应</w:t>
      </w:r>
    </w:p>
    <w:p>
      <w:r>
        <w:rPr>
          <w:rFonts w:ascii="Times New Roman" w:hAnsi="Times New Roman" w:eastAsia="宋体"/>
          <w:b/>
          <w:color w:val="003264"/>
          <w:sz w:val="24"/>
        </w:rPr>
        <w:t>Opposite amplitude phase entropy responses at a non Hermitian avoided crossing</w:t>
      </w:r>
    </w:p>
    <w:p>
      <w:r>
        <w:rPr>
          <w:rFonts w:ascii="Times New Roman" w:hAnsi="Times New Roman" w:eastAsia="宋体"/>
          <w:sz w:val="21"/>
        </w:rPr>
        <w:t>作者: Kabgyun Jeong</w:t>
        <w:br/>
      </w:r>
      <w:r>
        <w:rPr>
          <w:rFonts w:ascii="Times New Roman" w:hAnsi="Times New Roman" w:eastAsia="宋体"/>
          <w:sz w:val="21"/>
        </w:rPr>
        <w:t xml:space="preserve">时间: 2026-02-03T05:17:54Z | </w:t>
      </w:r>
      <w:r>
        <w:t xml:space="preserve">链接: </w:t>
      </w:r>
      <w:hyperlink r:id="rId58">
        <w:r>
          <w:rPr>
            <w:rFonts w:ascii="Times New Roman" w:hAnsi="Times New Roman" w:eastAsia="宋体"/>
            <w:color w:val="0000FF"/>
            <w:sz w:val="21"/>
            <w:u w:val="single"/>
          </w:rPr>
          <w:t>https://arxiv.org/abs/2602.03116v1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开式谐振器中避免的交叉 (A.C.) 是由非厄米模式相互作用引起的，其中泄漏会产生复杂的光谱和双正交本征模式。基于强度的熵是模式混合的稳健标记，但丢弃了复杂场的相位结构。在这里，我们介绍了一种基于腔网格玻恩加权采样下局部幅度和相位联合统计的场级信息论分析。对于强相互作用交流体系中的开放椭圆形微腔，我们发现了独特的扇区解析响应：振幅统计收紧，而相位统计在混合点处最大程度地变宽，并且调节显示出强烈的振幅-相位依赖性。通过引入粗略位置标签和相关的协同信息，我们进一步表明，全局幅度-相位耦合的增强受到腔内空间异质性的强烈影响。</w:t>
      </w:r>
    </w:p>
    <w:p>
      <w:pPr>
        <w:spacing w:before="120"/>
      </w:pPr>
      <w:r>
        <w:rPr>
          <w:rFonts w:ascii="Times New Roman" w:hAnsi="Times New Roman" w:eastAsia="宋体"/>
          <w:b/>
          <w:sz w:val="21"/>
        </w:rPr>
        <w:t>English Abstract:</w:t>
      </w:r>
    </w:p>
    <w:p>
      <w:r>
        <w:rPr>
          <w:rFonts w:ascii="Times New Roman" w:hAnsi="Times New Roman" w:eastAsia="宋体"/>
          <w:sz w:val="21"/>
        </w:rPr>
        <w:t>Avoided crossings (A.C.) in open resonators arise from non-Hermitian mode interaction, where leakage produces complex spectra and biorthogonal eigenmodes. Intensity-based entropies are robust markers of mode mixing but discard the phase structure of the complex field. Here we introduce a field-level information-theoretic analysis based on the joint statistics of local amplitude and phase under Born-weighted sampling on the cavity grid. For an open elliptical microcavity in the strong-interaction A.C. regime, we find a distinctive sector-resolved response: amplitude statistics tighten while phase statistics broaden maximally at the mixing point, and conditioning reveals strong amplitude-phase dependence. By introducing a coarse position label and the associated co-information, we further show that the enhancement of global amplitude-phase coupling is strongly shaped by spatial heterogeneity across the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通过学习生成流形实现本质上符合 DRC 的纳米光子设计</w:t>
      </w:r>
    </w:p>
    <w:p>
      <w:r>
        <w:rPr>
          <w:rFonts w:ascii="Times New Roman" w:hAnsi="Times New Roman" w:eastAsia="宋体"/>
          <w:b/>
          <w:color w:val="003264"/>
          <w:sz w:val="24"/>
        </w:rPr>
        <w:t>Intrinsically DRC-Compliant Nanophotonic Design via Learned Generative Manifolds</w:t>
      </w:r>
    </w:p>
    <w:p>
      <w:r>
        <w:rPr>
          <w:rFonts w:ascii="Times New Roman" w:hAnsi="Times New Roman" w:eastAsia="宋体"/>
          <w:sz w:val="21"/>
        </w:rPr>
        <w:t>作者: Emir Salih Magden</w:t>
        <w:br/>
      </w:r>
      <w:r>
        <w:rPr>
          <w:rFonts w:ascii="Times New Roman" w:hAnsi="Times New Roman" w:eastAsia="宋体"/>
          <w:sz w:val="21"/>
        </w:rPr>
        <w:t xml:space="preserve">时间: 2026-02-03T05:54:51Z | </w:t>
      </w:r>
      <w:r>
        <w:t xml:space="preserve">链接: </w:t>
      </w:r>
      <w:hyperlink r:id="rId59">
        <w:r>
          <w:rPr>
            <w:rFonts w:ascii="Times New Roman" w:hAnsi="Times New Roman" w:eastAsia="宋体"/>
            <w:color w:val="0000FF"/>
            <w:sz w:val="21"/>
            <w:u w:val="single"/>
          </w:rPr>
          <w:t>https://arxiv.org/abs/2602.03142v1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使得超紧凑和高性能纳米光子元件的系统设计成为可能。然而，在逆向设计过程中执行代工设计规则仍然是一个重大挑战，因为优化的器件经常违反最小特征尺寸和间距的限制。现有的制造受限方法通常依赖于惩罚项、投影滤波器或启发式二值化计划，这限制了可访问的设计空间，需要大量的超参数调整，并且通常无法保证整个优化轨迹的合规性。在这里，我们引入了一个纳米光子逆向设计框架，通过设计空间的生成性重新参数化来内在执行设计规则，将优化限制在符合 DRC 的几何形状的学习流形上。我们通过为电子束光刻和光刻平台设计代表性硅光子组件来验证这一范例，包括宽带功率分配器、光谱双工器和在 1,500-1,600 nm 波段运行的模式转换器。在所有设备中，基于流形的公式达到了最先进的性能指标，与基于像素的表示相比，计算成本降低了 5 倍以上，同时确保整个设计过程中的制造兼容的几何形状。通过将制造约束视为设计表示的基本属性而不是外部惩罚，这项工作为广泛适用、与平台无关且本质上符合 DRC 的纳米光子学建立了一条直接途径。</w:t>
      </w:r>
    </w:p>
    <w:p>
      <w:pPr>
        <w:spacing w:before="120"/>
      </w:pPr>
      <w:r>
        <w:rPr>
          <w:rFonts w:ascii="Times New Roman" w:hAnsi="Times New Roman" w:eastAsia="宋体"/>
          <w:b/>
          <w:sz w:val="21"/>
        </w:rPr>
        <w:t>English Abstract:</w:t>
      </w:r>
    </w:p>
    <w:p>
      <w:r>
        <w:rPr>
          <w:rFonts w:ascii="Times New Roman" w:hAnsi="Times New Roman" w:eastAsia="宋体"/>
          <w:sz w:val="21"/>
        </w:rPr>
        <w:t>Inverse design has enabled the systematic design of ultra-compact and high-performance nanophotonic components. Yet enforcing foundry design rules during inverse design remains a major challenge, as optimized devices frequently violate constraints on minimum feature size and spacing. Existing fabrication-constrained approaches typically rely on penalty terms, projection filters, or heuristic binarization schedules, which restrict the accessible design space, require extensive hyperparameter tuning, and often fail to guarantee compliance throughout the optimization trajectory. Here, we introduce a framework for nanophotonic inverse design with intrinsic enforcement of design rules through a generative reparameterization of the design space, restricting optimization to a learned manifold of DRC-compliant geometries. We validate this paradigm by designing representative silicon photonic components including broadband power splitters, spectral duplexers, and mode converters operating across the 1,500-1,600 nm band for both electron-beam lithography and photolithography platforms. Across all devices, the manifold-based formulation reaches state-of-the-art performance metrics with over a 5-fold reduction in computational cost compared to pixel-based representations, while ensuring fabrication-compatible geometries throughout the entire design process. By treating fabrication constraints as a fundamental property of the design representation rather than an external penalty, this work establishes a direct pathway toward broadly applicable, platform-agnostic, and intrinsically DRC-compliant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同时测量拉曼和非线性光学张量</w:t>
      </w:r>
    </w:p>
    <w:p>
      <w:r>
        <w:rPr>
          <w:rFonts w:ascii="Times New Roman" w:hAnsi="Times New Roman" w:eastAsia="宋体"/>
          <w:b/>
          <w:color w:val="003264"/>
          <w:sz w:val="24"/>
        </w:rPr>
        <w:t>Simultaneous measurement of Raman and nonlinear optical tensors</w:t>
      </w:r>
    </w:p>
    <w:p>
      <w:r>
        <w:rPr>
          <w:rFonts w:ascii="Times New Roman" w:hAnsi="Times New Roman" w:eastAsia="宋体"/>
          <w:sz w:val="21"/>
        </w:rPr>
        <w:t>作者: Jérémie Teyssier</w:t>
        <w:br/>
      </w:r>
      <w:r>
        <w:rPr>
          <w:rFonts w:ascii="Times New Roman" w:hAnsi="Times New Roman" w:eastAsia="宋体"/>
          <w:sz w:val="21"/>
        </w:rPr>
        <w:t xml:space="preserve">时间: 2026-02-03T07:09:43Z | </w:t>
      </w:r>
      <w:r>
        <w:t xml:space="preserve">链接: </w:t>
      </w:r>
      <w:hyperlink r:id="rId60">
        <w:r>
          <w:rPr>
            <w:rFonts w:ascii="Times New Roman" w:hAnsi="Times New Roman" w:eastAsia="宋体"/>
            <w:color w:val="0000FF"/>
            <w:sz w:val="21"/>
            <w:u w:val="single"/>
          </w:rPr>
          <w:t>https://arxiv.org/abs/2602.03196v1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拉曼光谱和二次谐波产生 (SHG) 是互补的非破坏性技术，可为材料的结构和电子特性提供丰富而独特的见解。拉曼光谱提供有关振动模式、相变、温度和局部应力的详细信息，而二次谐波发生器对对称性和方向高度敏感，特别是在非中心对称结构中。在这项工作中，除了结合这两种技术之外，我们还提出了一种确定非线性光学张量的新方法，利用显微镜焦点处贝塞尔高斯激光束的空间和超快时间偏移。</w:t>
      </w:r>
    </w:p>
    <w:p>
      <w:pPr>
        <w:spacing w:before="120"/>
      </w:pPr>
      <w:r>
        <w:rPr>
          <w:rFonts w:ascii="Times New Roman" w:hAnsi="Times New Roman" w:eastAsia="宋体"/>
          <w:b/>
          <w:sz w:val="21"/>
        </w:rPr>
        <w:t>English Abstract:</w:t>
      </w:r>
    </w:p>
    <w:p>
      <w:r>
        <w:rPr>
          <w:rFonts w:ascii="Times New Roman" w:hAnsi="Times New Roman" w:eastAsia="宋体"/>
          <w:sz w:val="21"/>
        </w:rPr>
        <w:t>Raman spectroscopy and Second Harmonic Generation (SHG) are complementary, non-destructive techniques that provide rich and distinct insights into the structural and electronic properties of materials. Raman spectroscopy offers detailed information on vibrational modes, phase transitions, temperature, and local stress, while SHG is highly sensitive to symmetry and orientation, particularly in non-centrosymmetric structures. In this work, in addition to combining both techniques, we propose a novel approach to determine the nonlinear optical tensor, leveraging the spatial and ultra-fast temporal offset of a Bessel-Gaussian laser beam at the microscope's focal point.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液体高次谐波产生中的量子轨迹分离和阿秒映射</w:t>
      </w:r>
    </w:p>
    <w:p>
      <w:r>
        <w:rPr>
          <w:rFonts w:ascii="Times New Roman" w:hAnsi="Times New Roman" w:eastAsia="宋体"/>
          <w:b/>
          <w:color w:val="003264"/>
          <w:sz w:val="24"/>
        </w:rPr>
        <w:t>Quantum Trajectory Separation and Attosecond Mapping in Liquid High-Harmonic Generation</w:t>
      </w:r>
    </w:p>
    <w:p>
      <w:r>
        <w:rPr>
          <w:rFonts w:ascii="Times New Roman" w:hAnsi="Times New Roman" w:eastAsia="宋体"/>
          <w:sz w:val="21"/>
        </w:rPr>
        <w:t>作者: Peixiang Lu</w:t>
        <w:br/>
      </w:r>
      <w:r>
        <w:rPr>
          <w:rFonts w:ascii="Times New Roman" w:hAnsi="Times New Roman" w:eastAsia="宋体"/>
          <w:sz w:val="21"/>
        </w:rPr>
        <w:t xml:space="preserve">时间: 2026-02-03T07:11:48Z | </w:t>
      </w:r>
      <w:r>
        <w:t xml:space="preserve">链接: </w:t>
      </w:r>
      <w:hyperlink r:id="rId61">
        <w:r>
          <w:rPr>
            <w:rFonts w:ascii="Times New Roman" w:hAnsi="Times New Roman" w:eastAsia="宋体"/>
            <w:color w:val="0000FF"/>
            <w:sz w:val="21"/>
            <w:u w:val="single"/>
          </w:rPr>
          <w:t>https://arxiv.org/abs/2602.03199v1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体的高次谐波产生（HHG）为化学复杂和无序环境中的阿秒光谱提供了一条潜在的途径，但基本问题仍然悬而未决：液体谐波发射是否保持明确的阿秒同步，以及谐波发射是否可以涉及来自多个量子轨迹的同时贡献，尽管有很强的无序和散射，但具有不同的偏移时间。在这里，我们通过解决液体 HHG 的轨迹依赖时间结构来通过实验解决这些问题。通过优化激光聚焦几何结构，我们实现了短轨迹和长轨迹贡献的清晰空间区分，为液体中存在多个量子轨迹提供了直接证据。使用相控双色驱动场，我们独立检索与每个轨迹相关的 attochirp，并证明短轨迹和长轨迹相反的能量-时间相关性，在液体 HHG 中建立轨迹解析的能量-时间映射。所有观察结果都可以通过半经典重碰撞模拟很好地再现。这些结果将液态 HHG 置于与气相和固相 HHG 相同的概念基础上，并为液体环境中超快电子和化学动力学的阿秒分辨光谱奠定了坚实的基础。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High-harmonic generation (HHG) from liquids offers a potential pathway to attosecond spectroscopy in chemically complex and disordered environments, yet fundamental questions remain open: whether liquid harmonic emission preserves well-defined attosecond synchronization, and whether harmonic emission can involve simultaneous contributions from multiple quantum trajectories with distinct excursion times despite strong disorder and scattering. Here, we address these issues experimentally by resolving the trajectory-dependent temporal structure of liquid HHG. By optimizing the laser focusing geometry, we achieve clear spatial discrimination of short- and long-trajectory contributions, providing direct evidence for the existence of multiple quantum trajectories in liquids. Using a phase-controlled two-color driving field, we independently retrieve the attochirp associated with each trajectory and demonstrate opposite energy-time correlations for short and long trajectories, establishing a trajectory-resolved energy-time mapping in liquid HHG. All observations are well reproduced by semiclassical recollision simulations. These results place liquid HHG on the same conceptual footing as gas- and solid-phase HHG and establish a robust foundation for attosecond-resolved spectroscopy of ultrafast electronic and chemical dynamics in liquid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用于色散和有损调制的广义时变 Drude 模型</w:t>
      </w:r>
    </w:p>
    <w:p>
      <w:r>
        <w:rPr>
          <w:rFonts w:ascii="Times New Roman" w:hAnsi="Times New Roman" w:eastAsia="宋体"/>
          <w:b/>
          <w:color w:val="003264"/>
          <w:sz w:val="24"/>
        </w:rPr>
        <w:t>Generalized Time-Varying Drude Model for Dispersive and Lossy Modulations</w:t>
      </w:r>
    </w:p>
    <w:p>
      <w:r>
        <w:rPr>
          <w:rFonts w:ascii="Times New Roman" w:hAnsi="Times New Roman" w:eastAsia="宋体"/>
          <w:sz w:val="21"/>
        </w:rPr>
        <w:t>作者: S. A. R. Horsley</w:t>
        <w:br/>
      </w:r>
      <w:r>
        <w:rPr>
          <w:rFonts w:ascii="Times New Roman" w:hAnsi="Times New Roman" w:eastAsia="宋体"/>
          <w:sz w:val="21"/>
        </w:rPr>
        <w:t xml:space="preserve">时间: 2026-02-03T08:22:26Z | </w:t>
      </w:r>
      <w:r>
        <w:t xml:space="preserve">链接: </w:t>
      </w:r>
      <w:hyperlink r:id="rId62">
        <w:r>
          <w:rPr>
            <w:rFonts w:ascii="Times New Roman" w:hAnsi="Times New Roman" w:eastAsia="宋体"/>
            <w:color w:val="0000FF"/>
            <w:sz w:val="21"/>
            <w:u w:val="single"/>
          </w:rPr>
          <w:t>https://arxiv.org/abs/2602.03243v1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我们开发了时变 Drude 模型的推广，将载流子密度、有效质量和碰撞率视为时间的显式函数。我们推导出不同域中的极化、磁化率、位移和介电常数的表达式。我们的分析表明，非绝热调制和时间相关损耗会引发丰富且独特的行为，从而导致时间模糊、选择性选通和抑制以及低频频谱重塑。除了支撑和升级当前时变介质光子学框架之外，该模型还可用于设计以及将理论模型与实验实现相拟合。</w:t>
      </w:r>
    </w:p>
    <w:p>
      <w:pPr>
        <w:spacing w:before="120"/>
      </w:pPr>
      <w:r>
        <w:rPr>
          <w:rFonts w:ascii="Times New Roman" w:hAnsi="Times New Roman" w:eastAsia="宋体"/>
          <w:b/>
          <w:sz w:val="21"/>
        </w:rPr>
        <w:t>English Abstract:</w:t>
      </w:r>
    </w:p>
    <w:p>
      <w:r>
        <w:rPr>
          <w:rFonts w:ascii="Times New Roman" w:hAnsi="Times New Roman" w:eastAsia="宋体"/>
          <w:sz w:val="21"/>
        </w:rPr>
        <w:t>We develop a generalization of the time-varying Drude model, treating carrier density, effective mass, and collision rate as explicit functions of time. We derive expressions for polarization, susceptibility, displacement, and permittivity in different domains. Our analysis reveals that non-adiabatic modulations and time-dependent losses induce rich and distinct behaviors, leading to temporal blurring, selective gating and suppression, and low-frequency spectral reshaping. Besides underpinning and upgrading the current framework on photonics of time-varying media, this model may be useful in the design and fitting theoretical models with experimental realizations.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薄而柔软的光学触觉传感器，可实现高度灵敏的物体感知</w:t>
      </w:r>
    </w:p>
    <w:p>
      <w:r>
        <w:rPr>
          <w:rFonts w:ascii="Times New Roman" w:hAnsi="Times New Roman" w:eastAsia="宋体"/>
          <w:b/>
          <w:color w:val="003264"/>
          <w:sz w:val="24"/>
        </w:rPr>
        <w:t>A thin and soft optical tactile sensor for highly sensitive object perception</w:t>
      </w:r>
    </w:p>
    <w:p>
      <w:r>
        <w:rPr>
          <w:rFonts w:ascii="Times New Roman" w:hAnsi="Times New Roman" w:eastAsia="宋体"/>
          <w:sz w:val="21"/>
        </w:rPr>
        <w:t>作者: Satoshi Sunada</w:t>
        <w:br/>
      </w:r>
      <w:r>
        <w:rPr>
          <w:rFonts w:ascii="Times New Roman" w:hAnsi="Times New Roman" w:eastAsia="宋体"/>
          <w:sz w:val="21"/>
        </w:rPr>
        <w:t xml:space="preserve">时间: 2026-02-03T08:28:14Z | </w:t>
      </w:r>
      <w:r>
        <w:t xml:space="preserve">链接: </w:t>
      </w:r>
      <w:hyperlink r:id="rId63">
        <w:r>
          <w:rPr>
            <w:rFonts w:ascii="Times New Roman" w:hAnsi="Times New Roman" w:eastAsia="宋体"/>
            <w:color w:val="0000FF"/>
            <w:sz w:val="21"/>
            <w:u w:val="single"/>
          </w:rPr>
          <w:t>https://arxiv.org/abs/2602.03248v1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传感对于机器人和可穿戴设备的安全感知和与环境的交互至关重要。光学触觉传感器已成为有前途的解决方案，因为它们不受电磁干扰并且具有高空间分辨率。然而，现有的光学方法，特别是基于视觉的触觉传感器，依赖于涉及镜头和相机的复杂光学组件，导致笨重、刚性和对准敏感的设计。在这项研究中，我们提出了一种薄型、紧凑型、柔软的光学触觉传感器，具有免对准配置。软光学传感器的工作原理是捕获软硅胶材料内产生的变形引起的散斑图案变化，从而通过机器学习实现精确的力测量和纹理识别。实验结果显示，力测量均方根误差为40 mN，对包括麻将牌在内的九类纹理表面的分类精度为93.33%。所提出的基于散斑的方法提供了一个紧凑、易于制造且机械兼容的平台，将光学传感与灵活的形状自适应架构连接起来，从而展示了其作为软机器人和可穿戴触觉界面的新型触觉传感范例的潜力。</w:t>
      </w:r>
    </w:p>
    <w:p>
      <w:pPr>
        <w:spacing w:before="120"/>
      </w:pPr>
      <w:r>
        <w:rPr>
          <w:rFonts w:ascii="Times New Roman" w:hAnsi="Times New Roman" w:eastAsia="宋体"/>
          <w:b/>
          <w:sz w:val="21"/>
        </w:rPr>
        <w:t>English Abstract:</w:t>
      </w:r>
    </w:p>
    <w:p>
      <w:r>
        <w:rPr>
          <w:rFonts w:ascii="Times New Roman" w:hAnsi="Times New Roman" w:eastAsia="宋体"/>
          <w:sz w:val="21"/>
        </w:rPr>
        <w:t>Tactile sensing is crucial in robotics and wearable devices for safe perception and interaction with the environment. Optical tactile sensors have emerged as promising solutions, as they are immune to electromagnetic interference and have high spatial resolution. However, existing optical approaches, particularly vision-based tactile sensors, rely on complex optical assemblies that involve lenses and cameras, resulting in bulky, rigid, and alignment-sensitive designs. In this study, we present a thin, compact, and soft optical tactile sensor featuring an alignment-free configuration. The soft optical sensor operates by capturing deformation-induced changes in speckle patterns generated within a soft silicone material, thereby enabling precise force measurements and texture recognition via machine learning. The experimental results show a root-mean-square error of 40 mN in the force measurement and a classification accuracy of 93.33% over nine classes of textured surfaces, including Mahjong tiles. The proposed speckle-based approach provides a compact, easily fabricated, and mechanically compliant platform that bridges optical sensing with flexible shape-adaptive architectures, thereby demonstrating its potential as a novel tactile-sensing paradigm for soft robotics and wearable haptic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波包和拍波中的推拉有质动力</w:t>
      </w:r>
    </w:p>
    <w:p>
      <w:r>
        <w:rPr>
          <w:rFonts w:ascii="Times New Roman" w:hAnsi="Times New Roman" w:eastAsia="宋体"/>
          <w:b/>
          <w:color w:val="003264"/>
          <w:sz w:val="24"/>
        </w:rPr>
        <w:t>Pushing and Pulling Ponderomotive Forces in Wavepackets and Beat Waves</w:t>
      </w:r>
    </w:p>
    <w:p>
      <w:r>
        <w:rPr>
          <w:rFonts w:ascii="Times New Roman" w:hAnsi="Times New Roman" w:eastAsia="宋体"/>
          <w:sz w:val="21"/>
        </w:rPr>
        <w:t>作者: Yury Bliokh</w:t>
        <w:br/>
      </w:r>
      <w:r>
        <w:rPr>
          <w:rFonts w:ascii="Times New Roman" w:hAnsi="Times New Roman" w:eastAsia="宋体"/>
          <w:sz w:val="21"/>
        </w:rPr>
        <w:t xml:space="preserve">时间: 2026-02-03T08:36:54Z | </w:t>
      </w:r>
      <w:r>
        <w:t xml:space="preserve">链接: </w:t>
      </w:r>
      <w:hyperlink r:id="rId64">
        <w:r>
          <w:rPr>
            <w:rFonts w:ascii="Times New Roman" w:hAnsi="Times New Roman" w:eastAsia="宋体"/>
            <w:color w:val="0000FF"/>
            <w:sz w:val="21"/>
            <w:u w:val="single"/>
          </w:rPr>
          <w:t>https://arxiv.org/abs/2602.03252v1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作用在传播波包（脉冲）中的小粒子上的有质动力。具体来说，我们分析了前向传播（平行相和群速度）和后向传播（反平行相和群速度）波包领域中的简单点粒子以及复合偶极子和哑铃粒子。根据波包的特性，粒子可能被推离波源或被拉向波源。我们还研究了由两个频率略有不同的前向传播波产生的拍波场中的粒子动力学。这种差拍波可以模拟向前或向后传播脉冲的周期序列。特别地，这提供了一种用于实现光学和声学“牵引梁”中所采用的拉力的简单机制。</w:t>
      </w:r>
    </w:p>
    <w:p>
      <w:pPr>
        <w:spacing w:before="120"/>
      </w:pPr>
      <w:r>
        <w:rPr>
          <w:rFonts w:ascii="Times New Roman" w:hAnsi="Times New Roman" w:eastAsia="宋体"/>
          <w:b/>
          <w:sz w:val="21"/>
        </w:rPr>
        <w:t>English Abstract:</w:t>
      </w:r>
    </w:p>
    <w:p>
      <w:r>
        <w:rPr>
          <w:rFonts w:ascii="Times New Roman" w:hAnsi="Times New Roman" w:eastAsia="宋体"/>
          <w:sz w:val="21"/>
        </w:rPr>
        <w:t>We consider ponderomotive forces acting on small particles in propagating wave packets (pulses). Specifically, we analyze simple point particles as well as composite dipole and dumbbell particles in the fields of forward-propagating (parallel phase and group velocities) and backward-propagating (antiparallel phase and group velocities) wave packets. Depending on the characteristics of the wave packet, particles may be pushed away from the wave source or pulled toward it. We also examine particle dynamics in the field of a beat wave generated by two forward-propagating waves with slightly different frequencies. Such a beat wave can emulate a periodic sequence of either forward- or backward-propagating pulses. In particular, this provides a simple mechanism for realizing pulling forces as employed in optical and acoustic `tractor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用于推进弹性能量收集的合成拓扑装置</w:t>
      </w:r>
    </w:p>
    <w:p>
      <w:r>
        <w:rPr>
          <w:rFonts w:ascii="Times New Roman" w:hAnsi="Times New Roman" w:eastAsia="宋体"/>
          <w:b/>
          <w:color w:val="003264"/>
          <w:sz w:val="24"/>
        </w:rPr>
        <w:t>Synthetic topological device for advancing elastic energy harvesting</w:t>
      </w:r>
    </w:p>
    <w:p>
      <w:r>
        <w:rPr>
          <w:rFonts w:ascii="Times New Roman" w:hAnsi="Times New Roman" w:eastAsia="宋体"/>
          <w:sz w:val="21"/>
        </w:rPr>
        <w:t>作者: Jie Zhu</w:t>
        <w:br/>
      </w:r>
      <w:r>
        <w:rPr>
          <w:rFonts w:ascii="Times New Roman" w:hAnsi="Times New Roman" w:eastAsia="宋体"/>
          <w:sz w:val="21"/>
        </w:rPr>
        <w:t xml:space="preserve">时间: 2026-02-03T10:00:38Z | </w:t>
      </w:r>
      <w:r>
        <w:t xml:space="preserve">链接: </w:t>
      </w:r>
      <w:hyperlink r:id="rId65">
        <w:r>
          <w:rPr>
            <w:rFonts w:ascii="Times New Roman" w:hAnsi="Times New Roman" w:eastAsia="宋体"/>
            <w:color w:val="0000FF"/>
            <w:sz w:val="21"/>
            <w:u w:val="single"/>
          </w:rPr>
          <w:t>https://arxiv.org/abs/2602.03335v1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弹性波的高效能量收集对于为可穿戴设备、无线传感和生物医学植入等许多新兴技术中的电子设备供电至关重要。尽管拓扑声子超材料最近已被证明是通过强大的束缚态限制和引导弹性波的有前途的范例，但实现超高Q拓扑谐振和增强的能量转换效率仍然是一个挑战。在这项工作中，我们通过设计弹性超材料的弯曲带，提出了一种合成维度的高阶拓扑绝缘体，其特征是体带中具有高度局域化的拓扑铰链状态。这种拓扑铰链模式源于合成维能带结构中体极化和陈数的非零组合，从而在声子板的拐角处产生强烈的弹性到电能的转换。通过数值模拟和实验验证，已经证明了局域模式具有强大的保护能力以及随后激活发光二极管（LED）阵列的能力的直接证据。我们的研究结果为拓扑物理超声设备开辟了一条新途径，并为弱信号检测和自供电传感器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High-efficiency energy harvesting of ultrasonic elastic waves are crucial for powering electric gadgets in many emerging technologies such as wearable devices, wireless sensing, and biomedical implants. Although topological phononic metamaterials have recently been demonstrated as a promising paradigm for confining and guiding elastic waves through robust bound states, achieving ultrahigh-Q topological resonance with enhanced energy conversion efficiency remains a challenge. In this work, we propose a synthetic-dimensional higher-order topological insulator by engineering the flexural bands of elastic metamaterials, featuring highly localized topological hinge states in the bulk bands. This topological hinge mode stems from the nonzero combination of the bulk polarization and the Chern number in the synthetic-dimensional band structure, thus giving rise to a strong elastic-to-electric energy conversion at the corner of the phononic plate. Through numerical simulations and experimental validations, straightforward evidence of the localized modes with robust protection and consequent abilities in activating the light-emitting diodes (LEDs) array have been demonstrated. Our findings open a new avenue for topological-physics-enabled ultrasonic devices and present promising prospects for applications in weak-signal detection and self-powered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光子时间晶体中的能量传输速度</w:t>
      </w:r>
    </w:p>
    <w:p>
      <w:r>
        <w:rPr>
          <w:rFonts w:ascii="Times New Roman" w:hAnsi="Times New Roman" w:eastAsia="宋体"/>
          <w:b/>
          <w:color w:val="003264"/>
          <w:sz w:val="24"/>
        </w:rPr>
        <w:t>Energy Transport Velocity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2026-02-03T12:19:54Z | </w:t>
      </w:r>
      <w:r>
        <w:t xml:space="preserve">链接: </w:t>
      </w:r>
      <w:hyperlink r:id="rId66">
        <w:r>
          <w:rPr>
            <w:rFonts w:ascii="Times New Roman" w:hAnsi="Times New Roman" w:eastAsia="宋体"/>
            <w:color w:val="0000FF"/>
            <w:sz w:val="21"/>
            <w:u w:val="single"/>
          </w:rPr>
          <w:t>https://arxiv.org/abs/2602.03453v1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 (PTC) 中陡峭或接近垂直的 Floquet 色散通常被解读为快速甚至明显超光速的传输。在这里，我们证明这种异常现象是由调制驱动的几何漂移引起的，而不是能量流。通过推导麦克斯韦通量赫尔曼-费曼关系，我们证明循环平均能量速度仍然严格有界。我们进一步建立了在整个通带中守恒的通用速度乘积定律 $ v_E v_g=\langle v_{\rm ph}^2\rangle_T $，仅通过逆介电常数的时间平均值来固定传输。然后，发散的群速度被追溯到电和磁几何相位连接之间的不匹配，揭示了作为时间调制的几何效应的表观超光度。</w:t>
      </w:r>
    </w:p>
    <w:p>
      <w:pPr>
        <w:spacing w:before="120"/>
      </w:pPr>
      <w:r>
        <w:rPr>
          <w:rFonts w:ascii="Times New Roman" w:hAnsi="Times New Roman" w:eastAsia="宋体"/>
          <w:b/>
          <w:sz w:val="21"/>
        </w:rPr>
        <w:t>English Abstract:</w:t>
      </w:r>
    </w:p>
    <w:p>
      <w:r>
        <w:rPr>
          <w:rFonts w:ascii="Times New Roman" w:hAnsi="Times New Roman" w:eastAsia="宋体"/>
          <w:sz w:val="21"/>
        </w:rPr>
        <w:t>Steep or near-vertical Floquet dispersion in photonic time crystals (PTCs) is often read as fast, even apparently superluminal, transport. Here, we demonstrate that this anomaly arises from modulation-driven geometric drift, not energy flow. By deriving a Maxwell-flux Hellmann-Feynman relation, we prove that the cycle-averaged energy velocity remains strictly bounded. We further establish a universal velocity-product law conserved throughout the passband, $ v_E v_g=\langle v_{\rm ph}^2\rangle_T $, fixing transport solely by the temporal average of the inverse permittivity. The divergent group velocity is then traced to a mismatch between electric and magnetic geometric phase connections, revealing apparent superluminality as a geometric effect of temporal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用于量子应用的时空约瑟夫森超表面的频率转换特性</w:t>
      </w:r>
    </w:p>
    <w:p>
      <w:r>
        <w:rPr>
          <w:rFonts w:ascii="Times New Roman" w:hAnsi="Times New Roman" w:eastAsia="宋体"/>
          <w:b/>
          <w:color w:val="003264"/>
          <w:sz w:val="24"/>
        </w:rPr>
        <w:t>Frequency Conversion Characteristics of Spatiotemporal Josephson Metasurfaces for Quantum Applications</w:t>
      </w:r>
    </w:p>
    <w:p>
      <w:r>
        <w:rPr>
          <w:rFonts w:ascii="Times New Roman" w:hAnsi="Times New Roman" w:eastAsia="宋体"/>
          <w:sz w:val="21"/>
        </w:rPr>
        <w:t>作者: Sajjad Taravati</w:t>
        <w:br/>
      </w:r>
      <w:r>
        <w:rPr>
          <w:rFonts w:ascii="Times New Roman" w:hAnsi="Times New Roman" w:eastAsia="宋体"/>
          <w:sz w:val="21"/>
        </w:rPr>
        <w:t xml:space="preserve">时间: 2026-02-03T12:53:06Z | </w:t>
      </w:r>
      <w:r>
        <w:t xml:space="preserve">链接: </w:t>
      </w:r>
      <w:hyperlink r:id="rId67">
        <w:r>
          <w:rPr>
            <w:rFonts w:ascii="Times New Roman" w:hAnsi="Times New Roman" w:eastAsia="宋体"/>
            <w:color w:val="0000FF"/>
            <w:sz w:val="21"/>
            <w:u w:val="single"/>
          </w:rPr>
          <w:t>https://arxiv.org/abs/2602.03479v1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本演示探讨了在毫开尔文温度下工作的不可逆变频约瑟夫森超表面的各种特性。利用约瑟夫森结的独特特性（无阻力地支持超电流），该超表面能够有效操纵非线性波相互作用，促进入射光子的频率转换和放大。</w:t>
      </w:r>
    </w:p>
    <w:p>
      <w:pPr>
        <w:spacing w:before="120"/>
      </w:pPr>
      <w:r>
        <w:rPr>
          <w:rFonts w:ascii="Times New Roman" w:hAnsi="Times New Roman" w:eastAsia="宋体"/>
          <w:b/>
          <w:sz w:val="21"/>
        </w:rPr>
        <w:t>English Abstract:</w:t>
      </w:r>
    </w:p>
    <w:p>
      <w:r>
        <w:rPr>
          <w:rFonts w:ascii="Times New Roman" w:hAnsi="Times New Roman" w:eastAsia="宋体"/>
          <w:sz w:val="21"/>
        </w:rPr>
        <w:t>This presentation explores the various characteristics of a nonreciprocal, frequency-converting Josephson metasurface operating at millikelvin temperatures. Leveraging the unique properties of Josephson junctions, which support supercurrent flow without resistance, this metasurface enables efficient manipulation of nonlinear wave interactions, facilitating both frequency conversion and amplification of incident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减少采集时间和辐射损伤：用于光谱显微镜的数据驱动二次采样</w:t>
      </w:r>
    </w:p>
    <w:p>
      <w:r>
        <w:rPr>
          <w:rFonts w:ascii="Times New Roman" w:hAnsi="Times New Roman" w:eastAsia="宋体"/>
          <w:b/>
          <w:color w:val="003264"/>
          <w:sz w:val="24"/>
        </w:rPr>
        <w:t>Reducing acquisition time and radiation damage: data-driven subsampling for spectro-microscopy</w:t>
      </w:r>
    </w:p>
    <w:p>
      <w:r>
        <w:rPr>
          <w:rFonts w:ascii="Times New Roman" w:hAnsi="Times New Roman" w:eastAsia="宋体"/>
          <w:sz w:val="21"/>
        </w:rPr>
        <w:t>作者: Paul Quinn</w:t>
        <w:br/>
      </w:r>
      <w:r>
        <w:rPr>
          <w:rFonts w:ascii="Times New Roman" w:hAnsi="Times New Roman" w:eastAsia="宋体"/>
          <w:sz w:val="21"/>
        </w:rPr>
        <w:t xml:space="preserve">时间: 2026-02-03T17:05:27Z | </w:t>
      </w:r>
      <w:r>
        <w:t xml:space="preserve">链接: </w:t>
      </w:r>
      <w:hyperlink r:id="rId68">
        <w:r>
          <w:rPr>
            <w:rFonts w:ascii="Times New Roman" w:hAnsi="Times New Roman" w:eastAsia="宋体"/>
            <w:color w:val="0000FF"/>
            <w:sz w:val="21"/>
            <w:u w:val="single"/>
          </w:rPr>
          <w:t>https://arxiv.org/abs/2602.03744v1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显微镜是一种实验技术，可用于观察化学状态的空间变化以及化学状态随时间或在实验条件下的变化。因此，它在能源材料、催化、环境科学和生物样品等领域具有广泛的应用。然而，该技术常常受到采集时间长和辐射损伤等因素的限制。我们提出了两种测量策略，可以显着缩短实验时间和应用的总剂量。这些策略基于仅获取所有测量值的一小部分（例如稀疏采集或子采样），然后使用数学技术通过计算重建所有未观察到的测量值。这些方法是数据驱动的，使用光谱和空间重要性二次采样分布来识别重要的测量结果。因此，只需 4-6% 的测量就足以捕获与传统扫描相同的信息。</w:t>
      </w:r>
    </w:p>
    <w:p>
      <w:pPr>
        <w:spacing w:before="120"/>
      </w:pPr>
      <w:r>
        <w:rPr>
          <w:rFonts w:ascii="Times New Roman" w:hAnsi="Times New Roman" w:eastAsia="宋体"/>
          <w:b/>
          <w:sz w:val="21"/>
        </w:rPr>
        <w:t>English Abstract:</w:t>
      </w:r>
    </w:p>
    <w:p>
      <w:r>
        <w:rPr>
          <w:rFonts w:ascii="Times New Roman" w:hAnsi="Times New Roman" w:eastAsia="宋体"/>
          <w:sz w:val="21"/>
        </w:rPr>
        <w:t>Spectro-microscopy is an experimental technique which can be used to observe spatial variations in chemical state and changes in chemical state over time or under experimental conditions. As a result it has broad applications across areas such as energy materials, catalysis, environmental science and biological samples. However, the technique is often limited by factors such as long acquisition times and radiation damage. We present two measurement strategies that allow for significantly shorter experiment times and total doses applied. The strategies are based on taking only a small subset of all the measurements (e.g. sparse acquisition or subsampling), and then computationally reconstructing all unobserved measurements using mathematical techniques. The methods are data-driven, using spectral and spatial importance subsampling distributions to identify important measurements. As a result, taking as little as 4-6\% of the measurements is sufficient to capture the same information as in a conventional scan.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氧化铝草的恒星掠过：在类草氧化铝辅助下的 IPX-Clear 微透镜上的可见光和近红外区域的减反射涂层</w:t>
      </w:r>
    </w:p>
    <w:p>
      <w:r>
        <w:rPr>
          <w:rFonts w:ascii="Times New Roman" w:hAnsi="Times New Roman" w:eastAsia="宋体"/>
          <w:b/>
          <w:color w:val="003264"/>
          <w:sz w:val="24"/>
        </w:rPr>
        <w:t>Star Grazing with Alumina Grass: Antireflection coatings in the visible and near-infrared on IPX-Clear Microlenses assisted by Grass-like Alumina</w:t>
      </w:r>
    </w:p>
    <w:p>
      <w:r>
        <w:rPr>
          <w:rFonts w:ascii="Times New Roman" w:hAnsi="Times New Roman" w:eastAsia="宋体"/>
          <w:sz w:val="21"/>
        </w:rPr>
        <w:t>作者: Ceiwynn Longworth</w:t>
        <w:br/>
      </w:r>
      <w:r>
        <w:rPr>
          <w:rFonts w:ascii="Times New Roman" w:hAnsi="Times New Roman" w:eastAsia="宋体"/>
          <w:sz w:val="21"/>
        </w:rPr>
        <w:t xml:space="preserve">时间: 2026-02-03T17:14:41Z | </w:t>
      </w:r>
      <w:r>
        <w:t xml:space="preserve">链接: </w:t>
      </w:r>
      <w:hyperlink r:id="rId69">
        <w:r>
          <w:rPr>
            <w:rFonts w:ascii="Times New Roman" w:hAnsi="Times New Roman" w:eastAsia="宋体"/>
            <w:color w:val="0000FF"/>
            <w:sz w:val="21"/>
            <w:u w:val="single"/>
          </w:rPr>
          <w:t>https://arxiv.org/abs/2602.03752v1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双光子聚合 (2PP) 能够制造具有复杂自由形状几何形状的高精度微光学器件，为定制天文光学器件开辟了新的参数空间。在现有树脂中，新开发的 IPX Clear 特别适合可见光应用，可在可见光-近红外范围内提供高透射率、低表面粗糙度和出色的形状保真度。然而，空气-聚合物界面处的菲涅耳反射会引入显着的光学损耗，这在低信号天文学中是有害的。先前的研究表明，玻璃和熔融石英上的草状氧化铝涂层可以将 400-900 nm 范围内的平均透射率从 91.9% 提高到约 99%。在这里，我们探讨了原子层沉积 (ALD) 将此类涂层应用于 400-1700 nm 范围内的 IPX-Clear 微光学器件的可行性。草状氧化铝抗反射 (AR) 涂层可以通过创建从空气到块状 IPX Clear 的逐渐折射率过渡来近似理想的折射率条件，从而抑制表面反射。虽然在体光学器件上建立了类草涂层，并且保形 ALD 薄膜已应用于 2PP 微光学器件，但我们首次展示了用新型 IPX-Clear 树脂制成的 2PP 微透镜上的氧化铝草。我们讨论了关键挑战和工艺步骤，并观察到氧化铝草涂层微透镜在 400-850 nm 范围内的反射仅损失约 0.3% 的光子。未来的工作将测试整个 400-1700 nm 波段的性能，并探索改进的环境适应能力，例如 SiO2 外套。这些涂层与 IPX Clear 的高光学透明度相结合，可为天文应用提供定制设计的高效微透镜。</w:t>
      </w:r>
    </w:p>
    <w:p>
      <w:pPr>
        <w:spacing w:before="120"/>
      </w:pPr>
      <w:r>
        <w:rPr>
          <w:rFonts w:ascii="Times New Roman" w:hAnsi="Times New Roman" w:eastAsia="宋体"/>
          <w:b/>
          <w:sz w:val="21"/>
        </w:rPr>
        <w:t>English Abstract:</w:t>
      </w:r>
    </w:p>
    <w:p>
      <w:r>
        <w:rPr>
          <w:rFonts w:ascii="Times New Roman" w:hAnsi="Times New Roman" w:eastAsia="宋体"/>
          <w:sz w:val="21"/>
        </w:rPr>
        <w:t>Two-photon polymerization (2PP) enables fabrication of high-precision micro-optics with complex freeform geometries, opening a new parameter space for custom astronomical optics. Among available resins, the newly developed IPX Clear is particularly well suited for visible applications, offering high transmission across the visible-near-IR, low surface roughness, and excellent shape fidelity. However, Fresnel reflections at the air-polymer interface introduce significant optical losses, which are detrimental in low-signal astronomy. Previous studies show grass-like alumina coatings on glass and fused silica can raise average transmission from 91.9% to approximately 99% over 400-900 nm. Here we explore the feasibility of Atomic Layer Deposition (ALD) to apply such coatings to IPX-Clear micro-optics over 400-1700 nm. Grass-like alumina anti-reflective (AR) coatings can approximate the ideal index condition by creating a gradual refractive-index transition from air to bulk IPX Clear, suppressing surface reflections. While grass-like coatings are established on bulk optics and conformal ALD films have been applied to 2PP micro-optics, we demonstrate - for the first time - alumina grass on 2PP microlenses made with the new IPX-Clear resin. We discuss key challenges and process steps, and observe that alumina-grass-coated microlenses lose only approximately 0.3% of photons to reflection in the 400-850 nm range. Future work will test performance across the full 400-1700 nm band and explore improved environmental resilience, e.g., a SiO2 overcoat. Combined with the high optical transparency of IPX Clear, these coatings enable custom-designed, highly efficient microlenses for astronomical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多色光子计数CT中的灌注成像和单一材料重建</w:t>
      </w:r>
    </w:p>
    <w:p>
      <w:r>
        <w:rPr>
          <w:rFonts w:ascii="Times New Roman" w:hAnsi="Times New Roman" w:eastAsia="宋体"/>
          <w:b/>
          <w:color w:val="003264"/>
          <w:sz w:val="24"/>
        </w:rPr>
        <w:t>Perfusion Imaging and Single Material Reconstruction in Polychromatic Photon Counting CT</w:t>
      </w:r>
    </w:p>
    <w:p>
      <w:r>
        <w:rPr>
          <w:rFonts w:ascii="Times New Roman" w:hAnsi="Times New Roman" w:eastAsia="宋体"/>
          <w:sz w:val="21"/>
        </w:rPr>
        <w:t>作者: Sara Fridovich-Keil</w:t>
        <w:br/>
      </w:r>
      <w:r>
        <w:rPr>
          <w:rFonts w:ascii="Times New Roman" w:hAnsi="Times New Roman" w:eastAsia="宋体"/>
          <w:sz w:val="21"/>
        </w:rPr>
        <w:t xml:space="preserve">时间: 2026-02-02T19:27:55Z | </w:t>
      </w:r>
      <w:r>
        <w:t xml:space="preserve">链接: </w:t>
      </w:r>
      <w:hyperlink r:id="rId70">
        <w:r>
          <w:rPr>
            <w:rFonts w:ascii="Times New Roman" w:hAnsi="Times New Roman" w:eastAsia="宋体"/>
            <w:color w:val="0000FF"/>
            <w:sz w:val="21"/>
            <w:u w:val="single"/>
          </w:rPr>
          <w:t>https://arxiv.org/abs/2602.02713v1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背景：灌注计算机断层扫描 (CT) 对造影剂随时间推移在体内的动态进行成像，是医学成像中最高 X 射线剂量扫描之一。最近，针对单材料多色光子计数 CT 提出了一种基于单调变分不等式 (VI) 的理论上合理的重建算法，并在低剂量成像中显示出有希望的早期结果。目的：我们将这种重建算法应用于灌注CT，在假设静态背景组织已知的情况下重建造影剂的浓度图；我们将我们的方法称为 VI-PRISM（基于 VI 的灌注成像和单一材料重建）。我们使用带有不同浓度的水和碘的数字体模来评估其减少剂量灌注 CT 的潜力。方法：模拟碘浓度范围为 0.05 至 2.5 mg/ml。模拟 X 射线源发射高达 100 keV 的光子，每个探测器元件的平均强度范围从 $10^5$ 到 $10^2$ 光子。断层扫描投影的数量从 984 个减少到 8 个，以表征视图和强度之间光子分配的权衡。结果：我们将 VI-PRISM 与滤波反投影 (FBP) 进行比较，发现 VI-PRISM 在所有测试的源强度水平下恢复碘浓度，误差低于 0.4 mg/ml。即使与 FBP 相比，剂量减少了 10 倍到 100 倍，VI-PRISM 仍表现出与 FBP 相当的重建质量。结论：在所有测试的光子预算和角度采样密度中，与滤波反投影相比，VI-PRISM 始终实现较低的 RMSE、较低的噪声和较高的 SNR。即使在光子极其有限和稀疏采样的情况下，VI-PRISM 也能以低于 0.4 mg/ml 的误差恢复碘浓度，这表明 VI-PRISM 可以支持光子计数 CT 中准确且剂量高效的灌注成像。</w:t>
      </w:r>
    </w:p>
    <w:p>
      <w:pPr>
        <w:spacing w:before="120"/>
      </w:pPr>
      <w:r>
        <w:rPr>
          <w:rFonts w:ascii="Times New Roman" w:hAnsi="Times New Roman" w:eastAsia="宋体"/>
          <w:b/>
          <w:sz w:val="21"/>
        </w:rPr>
        <w:t>English Abstract:</w:t>
      </w:r>
    </w:p>
    <w:p>
      <w:r>
        <w:rPr>
          <w:rFonts w:ascii="Times New Roman" w:hAnsi="Times New Roman" w:eastAsia="宋体"/>
          <w:sz w:val="21"/>
        </w:rPr>
        <w:t>Background: Perfusion computed tomography (CT) images the dynamics of a contrast agent through the body over time, and is one of the highest X-ray dose scans in medical imaging. Recently, a theoretically justified reconstruction algorithm based on a monotone variational inequality (VI) was proposed for single material polychromatic photon-counting CT, and showed promising early results at low-dose imaging. Purpose: We adapt this reconstruction algorithm for perfusion CT, to reconstruct the concentration map of the contrast agent while the static background tissue is assumed known; we call our method VI-PRISM (VI-based PeRfusion Imaging and Single Material reconstruction). We evaluate its potential for dose-reduced perfusion CT, using a digital phantom with water and iodine of varying concentration. Methods: Simulated iodine concentrations range from 0.05 to 2.5 mg/ml. The simulated X-ray source emits photons up to 100 keV, with average intensity ranging from $10^5$ down to $10^2$ photons per detector element. The number of tomographic projections was varied from 984 down to 8 to characterize the tradeoff in photon allocation between views and intensity. Results: We compare VI-PRISM against filtered back-projection (FBP), and find that VI-PRISM recovers iodine concentration with error below 0.4 mg/ml at all source intensity levels tested. Even with a dose reduction between 10x and 100x compared to FBP, VI-PRISM exhibits reconstruction quality on par with FBP. Conclusion: Across all photon budgets and angular sampling densities tested, VI-PRISM achieved consistently lower RMSE, reduced noise, and higher SNR compared to filtered back-projection. Even in extremely photon-limited and sparsely sampled regimes, VI-PRISM recovered iodine concentrations with errors below 0.4 mg/ml, showing that VI-PRISM can support accurate and dose-efficient perfusion imaging in photon-counting 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通过高速振镜扫描和实时镶嵌的宽视场高分辨率显微镜</w:t>
      </w:r>
    </w:p>
    <w:p>
      <w:r>
        <w:rPr>
          <w:rFonts w:ascii="Times New Roman" w:hAnsi="Times New Roman" w:eastAsia="宋体"/>
          <w:b/>
          <w:color w:val="003264"/>
          <w:sz w:val="24"/>
        </w:rPr>
        <w:t>Wide-field high-resolution microscopy via high-speed galvo scanning and real-time mosaicking</w:t>
      </w:r>
    </w:p>
    <w:p>
      <w:r>
        <w:rPr>
          <w:rFonts w:ascii="Times New Roman" w:hAnsi="Times New Roman" w:eastAsia="宋体"/>
          <w:sz w:val="21"/>
        </w:rPr>
        <w:t>作者: Jin U. Kang</w:t>
        <w:br/>
      </w:r>
      <w:r>
        <w:rPr>
          <w:rFonts w:ascii="Times New Roman" w:hAnsi="Times New Roman" w:eastAsia="宋体"/>
          <w:sz w:val="21"/>
        </w:rPr>
        <w:t xml:space="preserve">时间: 2026-02-02T20:09:23Z | </w:t>
      </w:r>
      <w:r>
        <w:t xml:space="preserve">链接: </w:t>
      </w:r>
      <w:hyperlink r:id="rId71">
        <w:r>
          <w:rPr>
            <w:rFonts w:ascii="Times New Roman" w:hAnsi="Times New Roman" w:eastAsia="宋体"/>
            <w:color w:val="0000FF"/>
            <w:sz w:val="21"/>
            <w:u w:val="single"/>
          </w:rPr>
          <w:t>https://arxiv.org/abs/2602.02758v1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视场高分辨率显微镜需要快速扫描和精确的图像镶嵌，以覆盖大视场而不影响图像质量。然而，传统的振镜扫描，特别是在正弦驱动下，可能会引入不均匀的空间采样，导致整个扫描场的几何不一致和亮度变化。为了应对这些挑战，我们提出了一种用于宽视场显微成像的图像镶嵌框架，该框架适用于线性和正弦振镜扫描策略。所提出的方法将基于平移的几何镶嵌模型与基于感兴趣区域（ROI）的亮度校正和接缝感知羽化相结合，以提高大视场的辐射一致性。该方法依赖于校准的扫描参数和同步扫描相机控制，不需要基于图像内容的配准。使用所提出的框架，在线性和正弦扫描策略下成功重建了宽视场镶嵌图像，实现了高达 $2.5 \times 2.5~\mathrm{cm}^2$ 的视场，每个数据集的总采集时间约为 $6~\mathrm{s}$。定量评估表明，两种扫描策略都显示出图像质量的提高，包括增强的亮度均匀性、增加的对比度噪声比（CNR）以及减少图像处理后与接缝相关的伪影，同时保持$7.81~μ\mathrm{m}$的横向分辨率。总体而言，所提出的框架为基于扫描的宽视场微观镶嵌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Wide-field high-resolution microscopy requires fast scanning and accurate image mosaicking to cover large fields of view without compromising image quality. However, conventional galvanometric scanning, particularly under sinusoidal driving, can introduce nonuniform spatial sampling, leading to geometric inconsistencies and brightness variations across the scanned field. To address these challenges, we present an image mosaicking framework for wide-field microscopic imaging that is applicable to both linear and sinusoidal galvanometric scanning strategies. The proposed approach combines a translation-based geometric mosaicking model with region-of-interest (ROI) based brightness correction and seam-aware feathering to improve radiometric consistency across large fields of view. The method relies on calibrated scan parameters and synchronized scan--camera control, without requiring image-content-based registration. Using the proposed framework, wide-field mosaicked images were successfully reconstructed under both linear and sinusoidal scanning strategies, achieving a field of view of up to $2.5 \times 2.5~\mathrm{cm}^2$ with a total acquisition time of approximately $6~\mathrm{s}$ per dataset. Quantitative evaluation shows that both scanning strategies demonstrate improved image quality, including enhanced brightness uniformity, increased contrast-to-noise ratio (CNR), and reduced seam-related artifacts after image processing, while preserving a lateral resolution of $7.81~μ\mathrm{m}$. Overall, the presented framework provides a practical and efficient solution for scan-based wide-field microscopic mosaicking.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HypCBC：用于广义医学图像分析的域不变双曲跨分支一致性</w:t>
      </w:r>
    </w:p>
    <w:p>
      <w:r>
        <w:rPr>
          <w:rFonts w:ascii="Times New Roman" w:hAnsi="Times New Roman" w:eastAsia="宋体"/>
          <w:b/>
          <w:color w:val="003264"/>
          <w:sz w:val="24"/>
        </w:rPr>
        <w:t>HypCBC: Domain-Invariant Hyperbolic Cross-Branch Consistency for Generalizable Medical Image Analysis</w:t>
      </w:r>
    </w:p>
    <w:p>
      <w:r>
        <w:rPr>
          <w:rFonts w:ascii="Times New Roman" w:hAnsi="Times New Roman" w:eastAsia="宋体"/>
          <w:sz w:val="21"/>
        </w:rPr>
        <w:t>作者: Christian Ledig</w:t>
        <w:br/>
      </w:r>
      <w:r>
        <w:rPr>
          <w:rFonts w:ascii="Times New Roman" w:hAnsi="Times New Roman" w:eastAsia="宋体"/>
          <w:sz w:val="21"/>
        </w:rPr>
        <w:t xml:space="preserve">时间: 2026-02-03T08:50:24Z | </w:t>
      </w:r>
      <w:r>
        <w:t xml:space="preserve">链接: </w:t>
      </w:r>
      <w:hyperlink r:id="rId72">
        <w:r>
          <w:rPr>
            <w:rFonts w:ascii="Times New Roman" w:hAnsi="Times New Roman" w:eastAsia="宋体"/>
            <w:color w:val="0000FF"/>
            <w:sz w:val="21"/>
            <w:u w:val="single"/>
          </w:rPr>
          <w:t>https://arxiv.org/abs/2602.03264v1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分布之外的鲁棒泛化仍然是深度神经网络的一个关键挑战。这在医学图像分析中尤其明显，其中数据通常稀缺，并且不同的硬件设备、成像协议和异质患者群体会产生协变量变化。这些因素共同阻碍了性能的可靠性并减慢了临床采用的速度。尽管最近取得了进展，现有的学习范式主要依赖于欧几里得流形，其平面几何形状无法捕获临床数据中存在的复杂的分层结构。在这项工作中，我们利用双曲流形的优势来建模复杂的数据特征。我们首次对用于医学图像分析的双曲表示学习进行了全面验证，并在 11 个分布数据集和 3 个 ViT 模型中展示了统计上显着的增益。我们进一步提出了一种无监督的、域不变的双曲跨分支一致性约束。大量实验证实，我们提出的方法促进了域不变特征，并且在三个域泛化基准（Fitzpatrick17k、Camelyon17-WILDS 和视网膜成像的跨数据集设置）上平均 AUC $+2.1\%$ AUC 优于最先进的欧几里德方法。这些数据集涵盖不同的成像模式、数据大小和标签粒度，证实了在截然不同的条件下的泛化能力。该代码可在 https://github.com/francescodisalvo05/hyperbolic-cross-branch-consistency 获取。</w:t>
      </w:r>
    </w:p>
    <w:p>
      <w:pPr>
        <w:spacing w:before="120"/>
      </w:pPr>
      <w:r>
        <w:rPr>
          <w:rFonts w:ascii="Times New Roman" w:hAnsi="Times New Roman" w:eastAsia="宋体"/>
          <w:b/>
          <w:sz w:val="21"/>
        </w:rPr>
        <w:t>English Abstract:</w:t>
      </w:r>
    </w:p>
    <w:p>
      <w:r>
        <w:rPr>
          <w:rFonts w:ascii="Times New Roman" w:hAnsi="Times New Roman" w:eastAsia="宋体"/>
          <w:sz w:val="21"/>
        </w:rPr>
        <w:t>Robust generalization beyond training distributions remains a critical challenge for deep neural networks. This is especially pronounced in medical image analysis, where data is often scarce and covariate shifts arise from different hardware devices, imaging protocols, and heterogeneous patient populations. These factors collectively hinder reliable performance and slow down clinical adoption. Despite recent progress, existing learning paradigms primarily rely on the Euclidean manifold, whose flat geometry fails to capture the complex, hierarchical structures present in clinical data. In this work, we exploit the advantages of hyperbolic manifolds to model complex data characteristics. We present the first comprehensive validation of hyperbolic representation learning for medical image analysis and demonstrate statistically significant gains across eleven in-distribution datasets and three ViT models. We further propose an unsupervised, domain-invariant hyperbolic cross-branch consistency constraint. Extensive experiments confirm that our proposed method promotes domain-invariant features and outperforms state-of-the-art Euclidean methods by an average of $+2.1\%$ AUC on three domain generalization benchmarks: Fitzpatrick17k, Camelyon17-WILDS, and a cross-dataset setup for retinal imaging. These datasets span different imaging modalities, data sizes, and label granularities, confirming generalization capabilities across substantially different conditions. The code is available at https://github.com/francescodisalvo05/hyperbolic-cross-branch-consistency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LEVIO：适用于资源受限设备的轻量级嵌入式视觉惯性里程计</w:t>
      </w:r>
    </w:p>
    <w:p>
      <w:r>
        <w:rPr>
          <w:rFonts w:ascii="Times New Roman" w:hAnsi="Times New Roman" w:eastAsia="宋体"/>
          <w:b/>
          <w:color w:val="003264"/>
          <w:sz w:val="24"/>
        </w:rPr>
        <w:t>LEVIO: Lightweight Embedded Visual Inertial Odometry for Resource-Constrained Devices</w:t>
      </w:r>
    </w:p>
    <w:p>
      <w:r>
        <w:rPr>
          <w:rFonts w:ascii="Times New Roman" w:hAnsi="Times New Roman" w:eastAsia="宋体"/>
          <w:sz w:val="21"/>
        </w:rPr>
        <w:t>作者: Luca Benini</w:t>
        <w:br/>
      </w:r>
      <w:r>
        <w:rPr>
          <w:rFonts w:ascii="Times New Roman" w:hAnsi="Times New Roman" w:eastAsia="宋体"/>
          <w:sz w:val="21"/>
        </w:rPr>
        <w:t xml:space="preserve">时间: 2026-02-03T09:20:57Z | </w:t>
      </w:r>
      <w:r>
        <w:t xml:space="preserve">链接: </w:t>
      </w:r>
      <w:hyperlink r:id="rId73">
        <w:r>
          <w:rPr>
            <w:rFonts w:ascii="Times New Roman" w:hAnsi="Times New Roman" w:eastAsia="宋体"/>
            <w:color w:val="0000FF"/>
            <w:sz w:val="21"/>
            <w:u w:val="single"/>
          </w:rPr>
          <w:t>https://arxiv.org/abs/2602.03294v1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用于运动跟踪的精确、无基础设施的传感器系统对于移动机器人和增强现实 (AR) 应用至关重要。然而，最流行的最先进的视觉惯性里程计（VIO）系统对于资源受限的硬件（例如微型无人机和智能眼镜）的计算要求过高。这项工作提出了 LEVIO，这是一种针对超低功耗计算平台进行优化的全功能 VIO 管道，可实现六自由度 (DoF) 实时传感。 LEVIO 整合了现有的 VIO 组件，例如定向 FAST 和旋转 Brief (ORB) 功能跟踪和捆绑调整，同时强调具有并行化和低内存使用率的计算高效架构，以适应嵌入式微控制器和低功耗片上系统 (SoC)。本文提出并详细介绍了算法设计选择和硬件-软件协同优化方法，并介绍了资源受限硬件上的实时性能。 LEVIO 在并行处理超低功耗 RISC-V SoC 上进行了验证，实现了 20 FPS，同时功耗低于 100 mW，并针对公共 VIO 数据集进行了基准测试，在效率和准确性之间提供了令人信服的平衡。为了促进可重复性和采用，完整的实现以开源方式发布。</w:t>
      </w:r>
    </w:p>
    <w:p>
      <w:pPr>
        <w:spacing w:before="120"/>
      </w:pPr>
      <w:r>
        <w:rPr>
          <w:rFonts w:ascii="Times New Roman" w:hAnsi="Times New Roman" w:eastAsia="宋体"/>
          <w:b/>
          <w:sz w:val="21"/>
        </w:rPr>
        <w:t>English Abstract:</w:t>
      </w:r>
    </w:p>
    <w:p>
      <w:r>
        <w:rPr>
          <w:rFonts w:ascii="Times New Roman" w:hAnsi="Times New Roman" w:eastAsia="宋体"/>
          <w:sz w:val="21"/>
        </w:rPr>
        <w:t>Accurate, infrastructure-less sensor systems for motion tracking are essential for mobile robotics and augmented reality (AR) applications. The most popular state-of-the-art visual-inertial odometry (VIO) systems, however, are too computationally demanding for resource-constrained hardware, such as micro-drones and smart glasses. This work presents LEVIO, a fully featured VIO pipeline optimized for ultra-low-power compute platforms, allowing six-degrees-of-freedom (DoF) real-time sensing. LEVIO incorporates established VIO components such as Oriented FAST and Rotated BRIEF (ORB) feature tracking and bundle adjustment, while emphasizing a computationally efficient architecture with parallelization and low memory usage to suit embedded microcontrollers and low-power systems-on-chip (SoCs). The paper proposes and details the algorithmic design choices and the hardware-software co-optimization approach, and presents real-time performance on resource-constrained hardware. LEVIO is validated on a parallel-processing ultra-low-power RISC-V SoC, achieving 20 FPS while consuming less than 100 mW, and benchmarked against public VIO datasets, offering a compelling balance between efficiency and accuracy. To facilitate reproducibility and adoption, the complete implementation is released as open-source.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具有时空注意力和线性 LSTM 的高效序列神经网络，用于使用多帧图像进行鲁棒车道检测</w:t>
      </w:r>
    </w:p>
    <w:p>
      <w:r>
        <w:rPr>
          <w:rFonts w:ascii="Times New Roman" w:hAnsi="Times New Roman" w:eastAsia="宋体"/>
          <w:b/>
          <w:color w:val="003264"/>
          <w:sz w:val="24"/>
        </w:rPr>
        <w:t>Efficient Sequential Neural Network with Spatial-Temporal Attention and Linear LSTM for Robust Lane Detection Using Multi-Frame Images</w:t>
      </w:r>
    </w:p>
    <w:p>
      <w:r>
        <w:rPr>
          <w:rFonts w:ascii="Times New Roman" w:hAnsi="Times New Roman" w:eastAsia="宋体"/>
          <w:sz w:val="21"/>
        </w:rPr>
        <w:t>作者: Hans Hellendoorn</w:t>
        <w:br/>
      </w:r>
      <w:r>
        <w:rPr>
          <w:rFonts w:ascii="Times New Roman" w:hAnsi="Times New Roman" w:eastAsia="宋体"/>
          <w:sz w:val="21"/>
        </w:rPr>
        <w:t xml:space="preserve">时间: 2026-02-03T15:51:29Z | </w:t>
      </w:r>
      <w:r>
        <w:t xml:space="preserve">链接: </w:t>
      </w:r>
      <w:hyperlink r:id="rId74">
        <w:r>
          <w:rPr>
            <w:rFonts w:ascii="Times New Roman" w:hAnsi="Times New Roman" w:eastAsia="宋体"/>
            <w:color w:val="0000FF"/>
            <w:sz w:val="21"/>
            <w:u w:val="single"/>
          </w:rPr>
          <w:t>https://arxiv.org/abs/2602.03669v1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车道检测对于所有级别的自动驾驶车辆 (AV) 和高级驾驶辅助系统来说都是一项至关重要的感知任务，特别是在自动驾驶车辆必须与人类驾驶车辆 (HDV) 交互的混合交通环境和具有挑战性的交通场景中。当前的方法在提供准确、鲁棒和实时兼容的车道检测方面缺乏通用性，特别是基于视觉的方法经常忽略图像的关键区域及其时空（ST）显着性，导致在严重遮挡和眩光照明等困难情况下性能不佳。本研究引入了一种具有时空注意力机制的新型顺序神经网络模型，以关注车道线的关键特征并利用连续图像帧之间的显着 ST 相关性。所提出的模型建立在标准编码器-解码器结构和通用神经网络主干之上，在三个大型开源数据集上进行训练和评估。大量的实验证明了所提出的模型的强度和鲁棒性，在各种测试场景中都优于最先进的方法。此外，利用ST注意力机制，与基线序列模型相比，开发的序列神经网络模型表现出更少的参数和减少的乘法累加操作（MAC），突出了它们的计算效率。相关数据、代码和模型发布于https://doi.org/10.4121/4619cab6-ae4a-40d5-af77-582a77f3d821。</w:t>
      </w:r>
    </w:p>
    <w:p>
      <w:pPr>
        <w:spacing w:before="120"/>
      </w:pPr>
      <w:r>
        <w:rPr>
          <w:rFonts w:ascii="Times New Roman" w:hAnsi="Times New Roman" w:eastAsia="宋体"/>
          <w:b/>
          <w:sz w:val="21"/>
        </w:rPr>
        <w:t>English Abstract:</w:t>
      </w:r>
    </w:p>
    <w:p>
      <w:r>
        <w:rPr>
          <w:rFonts w:ascii="Times New Roman" w:hAnsi="Times New Roman" w:eastAsia="宋体"/>
          <w:sz w:val="21"/>
        </w:rPr>
        <w:t>Lane detection is a crucial perception task for all levels of automated vehicles (AVs) and Advanced Driver Assistance Systems, particularly in mixed-traffic environments where AVs must interact with human-driven vehicles (HDVs) and challenging traffic scenarios. Current methods lack versatility in delivering accurate, robust, and real-time compatible lane detection, especially vision-based methods often neglect critical regions of the image and their spatial-temporal (ST) salience, leading to poor performance in difficult circumstances such as serious occlusion and dazzle lighting. This study introduces a novel sequential neural network model with a spatial-temporal attention mechanism to focus on key features of lane lines and exploit salient ST correlations among continuous image frames. The proposed model, built on a standard encoder-decoder structure and common neural network backbones, is trained and evaluated on three large-scale open-source datasets. Extensive experiments demonstrate the strength and robustness of the proposed model, outperforming state-of-the-art methods in various testing scenarios. Furthermore, with the ST attention mechanism, the developed sequential neural network models exhibit fewer parameters and reduced Multiply-Accumulate Operations (MACs) compared to baseline sequential models, highlighting their computational efficiency. Relevant data, code, and models are released at https://doi.org/10.4121/4619cab6-ae4a-40d5-af77-582a77f3d821.</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具有因子子目标扩散的分层实体中心强化学习</w:t>
      </w:r>
    </w:p>
    <w:p>
      <w:r>
        <w:rPr>
          <w:rFonts w:ascii="Times New Roman" w:hAnsi="Times New Roman" w:eastAsia="宋体"/>
          <w:b/>
          <w:color w:val="003264"/>
          <w:sz w:val="24"/>
        </w:rPr>
        <w:t>Hierarchical Entity-centric Reinforcement Learning with Factored Subgoal Diffusion</w:t>
      </w:r>
    </w:p>
    <w:p>
      <w:r>
        <w:rPr>
          <w:rFonts w:ascii="Times New Roman" w:hAnsi="Times New Roman" w:eastAsia="宋体"/>
          <w:sz w:val="21"/>
        </w:rPr>
        <w:t>作者: George Konidaris</w:t>
        <w:br/>
      </w:r>
      <w:r>
        <w:rPr>
          <w:rFonts w:ascii="Times New Roman" w:hAnsi="Times New Roman" w:eastAsia="宋体"/>
          <w:sz w:val="21"/>
        </w:rPr>
        <w:t xml:space="preserve">时间: 2026-02-02T19:40:54Z | </w:t>
      </w:r>
      <w:r>
        <w:t xml:space="preserve">链接: </w:t>
      </w:r>
      <w:hyperlink r:id="rId75">
        <w:r>
          <w:rPr>
            <w:rFonts w:ascii="Times New Roman" w:hAnsi="Times New Roman" w:eastAsia="宋体"/>
            <w:color w:val="0000FF"/>
            <w:sz w:val="21"/>
            <w:u w:val="single"/>
          </w:rPr>
          <w:t>https://arxiv.org/abs/2602.02722v1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以实体为中心的分层框架，用于离线目标条件强化学习（GCRL），它将子目标分解与分解结构相结合，以解决具有多个实体的领域中的长期任务。在复杂环境中实现长期目标仍然是强化学习（RL）的核心挑战。具有多个实体的域由于其组合复杂性而特别困难。 GCRL 促进了跨目标的泛化和子目标结构的使用，但在高维观察和组合状态空间方面存在困难，尤其是在奖励稀疏的情况下。我们采用由基于价值的 GCRL 代理和因子子目标生成条件扩散模型组成的两级层次结构。 RL 代理和子目标生成器独立训练，并通过基于价值函数的选择性子目标生成事后组合，使该方法模块化并与现有 GCRL 算法兼容。我们为基准任务引入了新的变体，突出了多实体领域的挑战，并表明我们的方法持续提高了底层 RL 代理在基于图像的长视野任务上的性能，奖励稀疏，在我们套件中最困难的任务上实现了超过 150% 的成功率，并推广到不断增加的视野和实体数量。推出视频位于：https://sites.google.com/view/hecrl</w:t>
      </w:r>
    </w:p>
    <w:p>
      <w:pPr>
        <w:spacing w:before="120"/>
      </w:pPr>
      <w:r>
        <w:rPr>
          <w:rFonts w:ascii="Times New Roman" w:hAnsi="Times New Roman" w:eastAsia="宋体"/>
          <w:b/>
          <w:sz w:val="21"/>
        </w:rPr>
        <w:t>English Abstract:</w:t>
      </w:r>
    </w:p>
    <w:p>
      <w:r>
        <w:rPr>
          <w:rFonts w:ascii="Times New Roman" w:hAnsi="Times New Roman" w:eastAsia="宋体"/>
          <w:sz w:val="21"/>
        </w:rPr>
        <w:t>We propose a hierarchical entity-centric framework for offline Goal-Conditioned Reinforcement Learning (GCRL) that combines subgoal decomposition with factored structure to solve long-horizon tasks in domains with multiple entities. Achieving long-horizon goals in complex environments remains a core challenge in Reinforcement Learning (RL). Domains with multiple entities are particularly difficult due to their combinatorial complexity. GCRL facilitates generalization across goals and the use of subgoal structure, but struggles with high-dimensional observations and combinatorial state-spaces, especially under sparse reward. We employ a two-level hierarchy composed of a value-based GCRL agent and a factored subgoal-generating conditional diffusion model. The RL agent and subgoal generator are trained independently and composed post hoc through selective subgoal generation based on the value function, making the approach modular and compatible with existing GCRL algorithms. We introduce new variations to benchmark tasks that highlight the challenges of multi-entity domains, and show that our method consistently boosts performance of the underlying RL agent on image-based long-horizon tasks with sparse rewards, achieving over 150% higher success rates on the hardest task in our suite and generalizing to increasing horizons and numbers of entities. Rollout videos are provided at: https://sites.google.com/view/hecrl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从标记到数字：SVG 生成的连续数字建模</w:t>
      </w:r>
    </w:p>
    <w:p>
      <w:r>
        <w:rPr>
          <w:rFonts w:ascii="Times New Roman" w:hAnsi="Times New Roman" w:eastAsia="宋体"/>
          <w:b/>
          <w:color w:val="003264"/>
          <w:sz w:val="24"/>
        </w:rPr>
        <w:t>From Tokens to Numbers: Continuous Number Modeling for SVG Generation</w:t>
      </w:r>
    </w:p>
    <w:p>
      <w:r>
        <w:rPr>
          <w:rFonts w:ascii="Times New Roman" w:hAnsi="Times New Roman" w:eastAsia="宋体"/>
          <w:sz w:val="21"/>
        </w:rPr>
        <w:t>作者: Ethan Smith</w:t>
        <w:br/>
      </w:r>
      <w:r>
        <w:rPr>
          <w:rFonts w:ascii="Times New Roman" w:hAnsi="Times New Roman" w:eastAsia="宋体"/>
          <w:sz w:val="21"/>
        </w:rPr>
        <w:t xml:space="preserve">时间: 2026-02-02T21:20:38Z | </w:t>
      </w:r>
      <w:r>
        <w:t xml:space="preserve">链接: </w:t>
      </w:r>
      <w:hyperlink r:id="rId76">
        <w:r>
          <w:rPr>
            <w:rFonts w:ascii="Times New Roman" w:hAnsi="Times New Roman" w:eastAsia="宋体"/>
            <w:color w:val="0000FF"/>
            <w:sz w:val="21"/>
            <w:u w:val="single"/>
          </w:rPr>
          <w:t>https://arxiv.org/abs/2602.02820v1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对于某些图像生成任务，可缩放矢量图形 (SVG) 等矢量图形具有明显的优势，例如提高灵活性、尺寸效率和编辑简便性，但与基于光栅的方法相比，其探索较少。一个核心挑战是，构成 SVG 很大一部分的数字、几何参数被低效地编码为长令牌序列。这会减慢训练速度、降低准确性并损害泛化能力。为了解决这些问题，我们提出了连续数字建模（CNM），这是一种直接将数字建模为一流的连续值而不是离散标记的方法。该公式通过将模型的输入与数据的连续性质对齐，消除基于标记的编码引入的离散化伪影，恢复了表示的数学优雅性。然后，我们在 200 万个光栅到 SVG 样本上训练多模态转换器，然后使用感知反馈通过强化学习进行微调，以进一步提高视觉质量。与其他方法相比，我们的方法将训练速度提高了 30% 以上，同时保持了更高的感知保真度。这项工作使 CNM 成为一种实用且高效的高质量矢量生成方法，具有更广泛的应用潜力。我们将代码提供给 http://github.com/mikeogezi/CNM。</w:t>
      </w:r>
    </w:p>
    <w:p>
      <w:pPr>
        <w:spacing w:before="120"/>
      </w:pPr>
      <w:r>
        <w:rPr>
          <w:rFonts w:ascii="Times New Roman" w:hAnsi="Times New Roman" w:eastAsia="宋体"/>
          <w:b/>
          <w:sz w:val="21"/>
        </w:rPr>
        <w:t>English Abstract:</w:t>
      </w:r>
    </w:p>
    <w:p>
      <w:r>
        <w:rPr>
          <w:rFonts w:ascii="Times New Roman" w:hAnsi="Times New Roman" w:eastAsia="宋体"/>
          <w:sz w:val="21"/>
        </w:rPr>
        <w:t>For certain image generation tasks, vector graphics such as Scalable Vector Graphics (SVGs) offer clear benefits such as increased flexibility, size efficiency, and editing ease, but remain less explored than raster-based approaches. A core challenge is that the numerical, geometric parameters, which make up a large proportion of SVGs, are inefficiently encoded as long sequences of tokens. This slows training, reduces accuracy, and hurts generalization. To address these problems, we propose Continuous Number Modeling (CNM), an approach that directly models numbers as first-class, continuous values rather than discrete tokens. This formulation restores the mathematical elegance of the representation by aligning the model's inputs with the data's continuous nature, removing discretization artifacts introduced by token-based encoding. We then train a multimodal transformer on 2 million raster-to-SVG samples, followed by fine-tuning via reinforcement learning using perceptual feedback to further improve visual quality. Our approach improves training speed by over 30% while maintaining higher perceptual fidelity compared to alternative approaches. This work establishes CNM as a practical and efficient approach for high-quality vector generation, with potential for broader applications. We make our code available http://github.com/mikeogezi/CNM.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手术室中自我监督的未校准多视图视频匿名化</w:t>
      </w:r>
    </w:p>
    <w:p>
      <w:r>
        <w:rPr>
          <w:rFonts w:ascii="Times New Roman" w:hAnsi="Times New Roman" w:eastAsia="宋体"/>
          <w:b/>
          <w:color w:val="003264"/>
          <w:sz w:val="24"/>
        </w:rPr>
        <w:t>Self-Supervised Uncalibrated Multi-View Video Anonymization in the Operating Room</w:t>
      </w:r>
    </w:p>
    <w:p>
      <w:r>
        <w:rPr>
          <w:rFonts w:ascii="Times New Roman" w:hAnsi="Times New Roman" w:eastAsia="宋体"/>
          <w:sz w:val="21"/>
        </w:rPr>
        <w:t>作者: Nicolas Padoy</w:t>
        <w:br/>
      </w:r>
      <w:r>
        <w:rPr>
          <w:rFonts w:ascii="Times New Roman" w:hAnsi="Times New Roman" w:eastAsia="宋体"/>
          <w:sz w:val="21"/>
        </w:rPr>
        <w:t xml:space="preserve">时间: 2026-02-02T21:54:57Z | </w:t>
      </w:r>
      <w:r>
        <w:t xml:space="preserve">链接: </w:t>
      </w:r>
      <w:hyperlink r:id="rId77">
        <w:r>
          <w:rPr>
            <w:rFonts w:ascii="Times New Roman" w:hAnsi="Times New Roman" w:eastAsia="宋体"/>
            <w:color w:val="0000FF"/>
            <w:sz w:val="21"/>
            <w:u w:val="single"/>
          </w:rPr>
          <w:t>https://arxiv.org/abs/2602.02850v1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隐私保护是在手术室 (OR) 研究中使用视频数据的先决条件。有效的匿名化依赖于每个人的彻底本地化；即使是一次漏检也需要大量的手动纠正。然而，现有方法面临两个关键的可扩展性瓶颈：（1）它们通常需要对每个新的临床站点进行手动注释以实现高精度； (2) 虽然多摄像头设置已被广泛采用来解决单视图模糊性，但每当重新定位摄像头时通常都需要进行摄像头校准。为了解决这些问题，我们提出了一种新颖的自监督多视图视频匿名化框架，包括全身人员检测和全身姿势估计，无需注释或相机校准。我们的核心策略是通过使用时间和多视图上下文“检索”假阴性并进行自监督域适应来增强单视图检测器。我们首先在每个视图中运行一个现成的全身人体检测器，具有低分阈值来收集候选检测。然后，我们通过跟踪和自我监督的未校准多视图关联来检索与高分检测保持一致的低分假阴性。这些恢复的检测作为伪标签来迭代微调全身检测器。最后，我们对每个检测到的人应用全身姿势估计，并使用其自己的高分预测来微调姿势模型。在模拟手术的 4D-OR 数据集和真实手术数据集上进行的实验表明，我们的方法的有效性达到了 97% 以上的召回率。此外，我们使用伪标签训练实时全身检测器，实现了可比较的性能并突出了我们方法的实际适用性。代码可在 https://github.com/CAMMA-public/OR_anonymization 获取。</w:t>
      </w:r>
    </w:p>
    <w:p>
      <w:pPr>
        <w:spacing w:before="120"/>
      </w:pPr>
      <w:r>
        <w:rPr>
          <w:rFonts w:ascii="Times New Roman" w:hAnsi="Times New Roman" w:eastAsia="宋体"/>
          <w:b/>
          <w:sz w:val="21"/>
        </w:rPr>
        <w:t>English Abstract:</w:t>
      </w:r>
    </w:p>
    <w:p>
      <w:r>
        <w:rPr>
          <w:rFonts w:ascii="Times New Roman" w:hAnsi="Times New Roman" w:eastAsia="宋体"/>
          <w:sz w:val="21"/>
        </w:rPr>
        <w:t>Privacy preservation is a prerequisite for using video data in Operating Room (OR) research. Effective anonymization relies on the exhaustive localization of every individual; even a single missed detection necessitates extensive manual correction. However, existing approaches face two critical scalability bottlenecks: (1) they usually require manual annotations of each new clinical site for high accuracy; (2) while multi-camera setups have been widely adopted to address single-view ambiguity, camera calibration is typically required whenever cameras are repositioned. To address these problems, we propose a novel self-supervised multi-view video anonymization framework consisting of whole-body person detection and whole-body pose estimation, without annotation or camera calibration. Our core strategy is to enhance the single-view detector by "retrieving" false negatives using temporal and multi-view context, and conducting self-supervised domain adaptation. We first run an off-the-shelf whole-body person detector in each view with a low-score threshold to gather candidate detections. Then, we retrieve the low-score false negatives that exhibit consistency with the high-score detections via tracking and self-supervised uncalibrated multi-view association. These recovered detections serve as pseudo labels to iteratively fine-tune the whole-body detector. Finally, we apply whole-body pose estimation on each detected person, and fine-tune the pose model using its own high-score predictions. Experiments on the 4D-OR dataset of simulated surgeries and our dataset of real surgeries show the effectiveness of our approach achieving over 97% recall. Moreover, we train a real-time whole-body detector using our pseudo labels, achieving comparable performance and highlighting our method's practical applicability. Code is available at https://github.com/CAMMA-public/OR_anonymization.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DoubleTake：医学成像中忠实决策的对比推理</w:t>
      </w:r>
    </w:p>
    <w:p>
      <w:r>
        <w:rPr>
          <w:rFonts w:ascii="Times New Roman" w:hAnsi="Times New Roman" w:eastAsia="宋体"/>
          <w:b/>
          <w:color w:val="003264"/>
          <w:sz w:val="24"/>
        </w:rPr>
        <w:t>DoubleTake: Contrastive Reasoning for Faithful Decision-Making in Medical Imaging</w:t>
      </w:r>
    </w:p>
    <w:p>
      <w:r>
        <w:rPr>
          <w:rFonts w:ascii="Times New Roman" w:hAnsi="Times New Roman" w:eastAsia="宋体"/>
          <w:sz w:val="21"/>
        </w:rPr>
        <w:t>作者: Shrenik Patel</w:t>
        <w:br/>
      </w:r>
      <w:r>
        <w:rPr>
          <w:rFonts w:ascii="Times New Roman" w:hAnsi="Times New Roman" w:eastAsia="宋体"/>
          <w:sz w:val="21"/>
        </w:rPr>
        <w:t xml:space="preserve">时间: 2026-02-02T23:00:39Z | </w:t>
      </w:r>
      <w:r>
        <w:t xml:space="preserve">链接: </w:t>
      </w:r>
      <w:hyperlink r:id="rId78">
        <w:r>
          <w:rPr>
            <w:rFonts w:ascii="Times New Roman" w:hAnsi="Times New Roman" w:eastAsia="宋体"/>
            <w:color w:val="0000FF"/>
            <w:sz w:val="21"/>
            <w:u w:val="single"/>
          </w:rPr>
          <w:t>https://arxiv.org/abs/2602.02894v1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成像中的准确决策需要对易混淆条件之间的细微视觉差异进行推理，但大多数现有方法依赖于最近邻检索，该检索返回冗余证据并强化单一假设。我们引入了一种对比性的、文档感知的参考选择框架，该框架通过使用 ROCO 嵌入和元数据明确平衡视觉相关性、嵌入多样性和源级出处，构建针对区分而不是相似性进行优化的紧凑证据集。虽然 ROCO 提供了大规模的图像标题对，但它没有指定如何选择参考文献进行对比推理，并且简单的检索经常会从同一文档中产生近乎重复的图形。为了解决这一差距，我们发布了可重复的参考选择协议和精选的参考库，可以对医学图像推理中的对比检索进行系统研究。基于这些对比证据集，我们提出了反事实对比推理，这是一种置信感知推理框架，它执行结构化的成对视觉比较，并使用基于边际的决策规则和忠实弃权来聚合证据。在 MediConfusion 基准测试中，我们的方法实现了最先进的性能，相对于之前的方法将集合级准确度提高了近 15%，同时减少了混乱并提高了个体准确度。</w:t>
      </w:r>
    </w:p>
    <w:p>
      <w:pPr>
        <w:spacing w:before="120"/>
      </w:pPr>
      <w:r>
        <w:rPr>
          <w:rFonts w:ascii="Times New Roman" w:hAnsi="Times New Roman" w:eastAsia="宋体"/>
          <w:b/>
          <w:sz w:val="21"/>
        </w:rPr>
        <w:t>English Abstract:</w:t>
      </w:r>
    </w:p>
    <w:p>
      <w:r>
        <w:rPr>
          <w:rFonts w:ascii="Times New Roman" w:hAnsi="Times New Roman" w:eastAsia="宋体"/>
          <w:sz w:val="21"/>
        </w:rPr>
        <w:t>Accurate decision making in medical imaging requires reasoning over subtle visual differences between confusable conditions, yet most existing approaches rely on nearest neighbor retrieval that returns redundant evidence and reinforces a single hypothesis. We introduce a contrastive, document-aware reference selection framework that constructs compact evidence sets optimized for discrimination rather than similarity by explicitly balancing visual relevance, embedding diversity, and source-level provenance using ROCO embeddings and metadata. While ROCO provides large-scale image-caption pairs, it does not specify how references should be selected for contrastive reasoning, and naive retrieval frequently yields near-duplicate figures from the same document. To address this gap, we release a reproducible reference selection protocol and curated reference bank that enable a systematic study of contrastive retrieval in medical image reasoning. Building on these contrastive evidence sets, we propose Counterfactual-Contrastive Inference, a confidence-aware reasoning framework that performs structured pairwise visual comparisons and aggregates evidence using margin-based decision rules with faithful abstention. On the MediConfusion benchmark, our approach achieves state-of-the-art performance, improving set-level accuracy by nearly 15% relative to prior methods while reducing confusion and improving individual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随机矩阵理论视角下的扩散模型一致性</w:t>
      </w:r>
    </w:p>
    <w:p>
      <w:r>
        <w:rPr>
          <w:rFonts w:ascii="Times New Roman" w:hAnsi="Times New Roman" w:eastAsia="宋体"/>
          <w:b/>
          <w:color w:val="003264"/>
          <w:sz w:val="24"/>
        </w:rPr>
        <w:t>A Random Matrix Theory Perspective on the Consistency of Diffusion Models</w:t>
      </w:r>
    </w:p>
    <w:p>
      <w:r>
        <w:rPr>
          <w:rFonts w:ascii="Times New Roman" w:hAnsi="Times New Roman" w:eastAsia="宋体"/>
          <w:sz w:val="21"/>
        </w:rPr>
        <w:t>作者: Cengiz Pehlevan</w:t>
        <w:br/>
      </w:r>
      <w:r>
        <w:rPr>
          <w:rFonts w:ascii="Times New Roman" w:hAnsi="Times New Roman" w:eastAsia="宋体"/>
          <w:sz w:val="21"/>
        </w:rPr>
        <w:t xml:space="preserve">时间: 2026-02-02T23:30:28Z | </w:t>
      </w:r>
      <w:r>
        <w:t xml:space="preserve">链接: </w:t>
      </w:r>
      <w:hyperlink r:id="rId79">
        <w:r>
          <w:rPr>
            <w:rFonts w:ascii="Times New Roman" w:hAnsi="Times New Roman" w:eastAsia="宋体"/>
            <w:color w:val="0000FF"/>
            <w:sz w:val="21"/>
            <w:u w:val="single"/>
          </w:rPr>
          <w:t>https://arxiv.org/abs/2602.02908v1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给定相同的噪声种子时，在数据集的不同、不重叠子集上训练的扩散模型通常会产生惊人相似的输出。我们将这种一致性追溯到一个简单的线性效应：跨分割的共享高斯统计数据已经预测了大部分生成的图像。为了形式化这一点，我们开发了一个随机矩阵理论（RMT）框架，该框架量化有限数据集如何在线性设置中塑造学习降噪器和采样图的期望和方差。对于期望，采样变异性通过自洽关系 $σ^2 \mapsto κ(σ^2)$ 充当噪声水平的重整化，解释了为什么有限的数据会过度收缩低方差方向并将样本拉向数据集均值。对于波动，我们的方差公式揭示了交叉分割分歧背后的三个关键因素：本征模之间的 \textit{各向异性}、输入之间的 \textit{不均匀性} 以及数据集大小的整体缩放。将确定性等价工具扩展到分数矩阵幂进一步使我们能够分析整个采样轨迹。该理论敏锐地预测了线性扩散模型的行为，并且我们在 UNet 和 DiT 架构的非记忆机制中验证了其预测，识别了样本在训练数据分割中的偏差位置和方式。这为扩散训练的可重复性提供了原则性基线，将数据的光谱特性与生成输出的稳定性联系起来。</w:t>
      </w:r>
    </w:p>
    <w:p>
      <w:pPr>
        <w:spacing w:before="120"/>
      </w:pPr>
      <w:r>
        <w:rPr>
          <w:rFonts w:ascii="Times New Roman" w:hAnsi="Times New Roman" w:eastAsia="宋体"/>
          <w:b/>
          <w:sz w:val="21"/>
        </w:rPr>
        <w:t>English Abstract:</w:t>
      </w:r>
    </w:p>
    <w:p>
      <w:r>
        <w:rPr>
          <w:rFonts w:ascii="Times New Roman" w:hAnsi="Times New Roman" w:eastAsia="宋体"/>
          <w:sz w:val="21"/>
        </w:rPr>
        <w:t>Diffusion models trained on different, non-overlapping subsets of a dataset often produce strikingly similar outputs when given the same noise seed. We trace this consistency to a simple linear effect: the shared Gaussian statistics across splits already predict much of the generated images. To formalize this, we develop a random matrix theory (RMT) framework that quantifies how finite datasets shape the expectation and variance of the learned denoiser and sampling map in the linear setting. For expectations, sampling variability acts as a renormalization of the noise level through a self-consistent relation $σ^2 \mapsto κ(σ^2)$, explaining why limited data overshrink low-variance directions and pull samples toward the dataset mean. For fluctuations, our variance formulas reveal three key factors behind cross-split disagreement: \textit{anisotropy} across eigenmodes, \textit{inhomogeneity} across inputs, and overall scaling with dataset size. Extending deterministic-equivalence tools to fractional matrix powers further allows us to analyze entire sampling trajectories. The theory sharply predicts the behavior of linear diffusion models, and we validate its predictions on UNet and DiT architectures in their non-memorization regime, identifying where and how samples deviates across training data split. This provides a principled baseline for reproducibility in diffusion training, linking spectral properties of data to the stability of generative outputs.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用于全幻灯片图像分析的多尺度线性时间编码器</w:t>
      </w:r>
    </w:p>
    <w:p>
      <w:r>
        <w:rPr>
          <w:rFonts w:ascii="Times New Roman" w:hAnsi="Times New Roman" w:eastAsia="宋体"/>
          <w:b/>
          <w:color w:val="003264"/>
          <w:sz w:val="24"/>
        </w:rPr>
        <w:t>A Multi-scale Linear-time Encoder for Whole-Slide Image Analysis</w:t>
      </w:r>
    </w:p>
    <w:p>
      <w:r>
        <w:rPr>
          <w:rFonts w:ascii="Times New Roman" w:hAnsi="Times New Roman" w:eastAsia="宋体"/>
          <w:sz w:val="21"/>
        </w:rPr>
        <w:t>作者: Tania Banerjee</w:t>
        <w:br/>
      </w:r>
      <w:r>
        <w:rPr>
          <w:rFonts w:ascii="Times New Roman" w:hAnsi="Times New Roman" w:eastAsia="宋体"/>
          <w:sz w:val="21"/>
        </w:rPr>
        <w:t xml:space="preserve">时间: 2026-02-02T23:47:07Z | </w:t>
      </w:r>
      <w:r>
        <w:t xml:space="preserve">链接: </w:t>
      </w:r>
      <w:hyperlink r:id="rId80">
        <w:r>
          <w:rPr>
            <w:rFonts w:ascii="Times New Roman" w:hAnsi="Times New Roman" w:eastAsia="宋体"/>
            <w:color w:val="0000FF"/>
            <w:sz w:val="21"/>
            <w:u w:val="single"/>
          </w:rPr>
          <w:t>https://arxiv.org/abs/2602.02918v1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我们引入了多尺度自适应循环生物医学线性时间编码器（MARBLE），这是第一个用于全幻灯片图像（WSI）分析的 \textit{纯基于 Mamba 的}多状态多实例学习（MIL）框架。 MARBLE 并行处理多个放大级别，并将从粗到细的推理集成到线性时间状态空间模型中，以最小的参数开销有效捕获跨尺度依赖性。由于十亿像素分辨率和分层放大倍率，WSI 分析仍然具有挑战性，而现有的 MIL 方法通常在单一尺度上运行，而基于变压器的方法则面临二次注意力成本。通过将并行多尺度处理与线性时间序列建模相结合，MARBLE 为基于注意力的架构提供了可扩展和模块化的替代方案。对五个公共数据集的实验表明，AUC 提高了 \textbf{6.9\%}，准确度提高了 \textbf{20.3\%}，C 指数提高了 \textbf{2.3\%}，从而将 MARBLE 确立为多尺度 WSI 分析的高效且可泛化的框架。</w:t>
      </w:r>
    </w:p>
    <w:p>
      <w:pPr>
        <w:spacing w:before="120"/>
      </w:pPr>
      <w:r>
        <w:rPr>
          <w:rFonts w:ascii="Times New Roman" w:hAnsi="Times New Roman" w:eastAsia="宋体"/>
          <w:b/>
          <w:sz w:val="21"/>
        </w:rPr>
        <w:t>English Abstract:</w:t>
      </w:r>
    </w:p>
    <w:p>
      <w:r>
        <w:rPr>
          <w:rFonts w:ascii="Times New Roman" w:hAnsi="Times New Roman" w:eastAsia="宋体"/>
          <w:sz w:val="21"/>
        </w:rPr>
        <w:t>We introduce Multi-scale Adaptive Recurrent Biomedical Linear-time Encoder (MARBLE), the first \textit{purely Mamba-based} multi-state multiple instance learning (MIL) framework for whole-slide image (WSI) analysis. MARBLE processes multiple magnification levels in parallel and integrates coarse-to-fine reasoning within a linear-time state-space model, efficiently capturing cross-scale dependencies with minimal parameter overhead. WSI analysis remains challenging due to gigapixel resolutions and hierarchical magnifications, while existing MIL methods typically operate at a single scale and transformer-based approaches suffer from quadratic attention costs. By coupling parallel multi-scale processing with linear-time sequence modeling, MARBLE provides a scalable and modular alternative to attention-based architectures. Experiments on five public datasets show improvements of up to \textbf{6.9\%} in AUC, \textbf{20.3\%} in accuracy, and \textbf{2.3\%} in C-index, establishing MARBLE as an efficient and generalizable framework for multi-scale WSI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SRA-Seg：半监督医学图像分割的合成与真实对齐</w:t>
      </w:r>
    </w:p>
    <w:p>
      <w:r>
        <w:rPr>
          <w:rFonts w:ascii="Times New Roman" w:hAnsi="Times New Roman" w:eastAsia="宋体"/>
          <w:b/>
          <w:color w:val="003264"/>
          <w:sz w:val="24"/>
        </w:rPr>
        <w:t>SRA-Seg: Synthetic to Real Alignment for Semi-Supervised Medical Image Segmentation</w:t>
      </w:r>
    </w:p>
    <w:p>
      <w:r>
        <w:rPr>
          <w:rFonts w:ascii="Times New Roman" w:hAnsi="Times New Roman" w:eastAsia="宋体"/>
          <w:sz w:val="21"/>
        </w:rPr>
        <w:t>作者: Kevin Desai</w:t>
        <w:br/>
      </w:r>
      <w:r>
        <w:rPr>
          <w:rFonts w:ascii="Times New Roman" w:hAnsi="Times New Roman" w:eastAsia="宋体"/>
          <w:sz w:val="21"/>
        </w:rPr>
        <w:t xml:space="preserve">时间: 2026-02-03T00:38:51Z | </w:t>
      </w:r>
      <w:r>
        <w:t xml:space="preserve">链接: </w:t>
      </w:r>
      <w:hyperlink r:id="rId81">
        <w:r>
          <w:rPr>
            <w:rFonts w:ascii="Times New Roman" w:hAnsi="Times New Roman" w:eastAsia="宋体"/>
            <w:color w:val="0000FF"/>
            <w:sz w:val="21"/>
            <w:u w:val="single"/>
          </w:rPr>
          <w:t>https://arxiv.org/abs/2602.02944v1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是用于医学图像分割的大量专家注释数据的有吸引力的替代方案，尽管其视觉真实感始终无法提高分割性能。原因是合成的医学图像和真实的医学图像存在于不同的语义特征空间中，造成了当前半监督学习方法无法弥合的领域差距。我们提出了 SRA-Seg，这是一个明确设计用于对齐医学图像分割的合成特征分布和真实特征分布的框架。 SRA-Seg 引入了相似性对齐 (SA) 损失，使用冻结的 DINOv2 嵌入将合成表示拉向语义空间中最接近的真实对应物。我们采用软边缘混合来创建平滑的解剖过渡和连续标签，消除传统复制粘贴增强的硬边界。该框架通过 EMA 教师模型为合成图像生成伪标签，并应用尊重混合区域不确定性的软分割损失。我们的实验证明了强有力的结果：仅使用 10% 标记的真实数据和 90% 合成的未标记数据，SRA-Seg 在 ACDC 上实现了 89.34% Dice，在 FIVES 上实现了 84.42%，显着优于现有的半监督方法，并与使用真实未标记数据的方法的性能相匹配。</w:t>
      </w:r>
    </w:p>
    <w:p>
      <w:pPr>
        <w:spacing w:before="120"/>
      </w:pPr>
      <w:r>
        <w:rPr>
          <w:rFonts w:ascii="Times New Roman" w:hAnsi="Times New Roman" w:eastAsia="宋体"/>
          <w:b/>
          <w:sz w:val="21"/>
        </w:rPr>
        <w:t>English Abstract:</w:t>
      </w:r>
    </w:p>
    <w:p>
      <w:r>
        <w:rPr>
          <w:rFonts w:ascii="Times New Roman" w:hAnsi="Times New Roman" w:eastAsia="宋体"/>
          <w:sz w:val="21"/>
        </w:rPr>
        <w:t>Synthetic data, an appealing alternative to extensive expert-annotated data for medical image segmentation, consistently fails to improve segmentation performance despite its visual realism. The reason being that synthetic and real medical images exist in different semantic feature spaces, creating a domain gap that current semi-supervised learning methods cannot bridge. We propose SRA-Seg, a framework explicitly designed to align synthetic and real feature distributions for medical image segmentation. SRA-Seg introduces a similarity-alignment (SA) loss using frozen DINOv2 embeddings to pull synthetic representations toward their nearest real counterparts in semantic space. We employ soft edge blending to create smooth anatomical transitions and continuous labels, eliminating the hard boundaries from traditional copy-paste augmentation. The framework generates pseudo-labels for synthetic images via an EMA teacher model and applies soft-segmentation losses that respect uncertainty in mixed regions. Our experiments demonstrate strong results: using only 10% labeled real data and 90% synthetic unlabeled data, SRA-Seg achieves 89.34% Dice on ACDC and 84.42% on FIVES, significantly outperforming existing semi-supervised methods and matching the performance of methods using real unlabeled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TRACE：时间放射学与接地 X 射线报告生成的解剖变化解释</w:t>
      </w:r>
    </w:p>
    <w:p>
      <w:r>
        <w:rPr>
          <w:rFonts w:ascii="Times New Roman" w:hAnsi="Times New Roman" w:eastAsia="宋体"/>
          <w:b/>
          <w:color w:val="003264"/>
          <w:sz w:val="24"/>
        </w:rPr>
        <w:t>TRACE: Temporal Radiology with Anatomical Change Explanation for Grounded X-ray Report Generation</w:t>
      </w:r>
    </w:p>
    <w:p>
      <w:r>
        <w:rPr>
          <w:rFonts w:ascii="Times New Roman" w:hAnsi="Times New Roman" w:eastAsia="宋体"/>
          <w:sz w:val="21"/>
        </w:rPr>
        <w:t>作者: Kevin Desai</w:t>
        <w:br/>
      </w:r>
      <w:r>
        <w:rPr>
          <w:rFonts w:ascii="Times New Roman" w:hAnsi="Times New Roman" w:eastAsia="宋体"/>
          <w:sz w:val="21"/>
        </w:rPr>
        <w:t xml:space="preserve">时间: 2026-02-03T01:03:41Z | </w:t>
      </w:r>
      <w:r>
        <w:t xml:space="preserve">链接: </w:t>
      </w:r>
      <w:hyperlink r:id="rId82">
        <w:r>
          <w:rPr>
            <w:rFonts w:ascii="Times New Roman" w:hAnsi="Times New Roman" w:eastAsia="宋体"/>
            <w:color w:val="0000FF"/>
            <w:sz w:val="21"/>
            <w:u w:val="single"/>
          </w:rPr>
          <w:t>https://arxiv.org/abs/2602.02963v1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片的时间比较是临床放射学的基础，可以检测疾病进展、治疗反应和新发现。虽然视觉语言模型具有先进的单图像报告生成和视觉基础，但现有的方法还没有将这些功能结合起来进行时间变化检测。我们引入具有解剖变化解释的时间放射学（TRACE），这是第一个联合执行时间比较、变化分类和空间定位的模型。给定之前和当前的胸部 X 光检查结果，TRACE 会生成间隔变化的自然语言描述（恶化、改善、稳定），同时以边界框坐标为每个发现奠定基础。 TRACE 展示了有效的空间定位，接地精度超过 90%，为这项具有挑战性的新任务奠定了基础。我们的消融研究揭示了一种新兴能力：仅当时间比较和空间基础共同学习时才会出现变化检测，因为单独学习两者都无法实现有意义的变化检测。这一发现表明，接地提供了一种对于时间推理至关重要的空间注意力机制。</w:t>
      </w:r>
    </w:p>
    <w:p>
      <w:pPr>
        <w:spacing w:before="120"/>
      </w:pPr>
      <w:r>
        <w:rPr>
          <w:rFonts w:ascii="Times New Roman" w:hAnsi="Times New Roman" w:eastAsia="宋体"/>
          <w:b/>
          <w:sz w:val="21"/>
        </w:rPr>
        <w:t>English Abstract:</w:t>
      </w:r>
    </w:p>
    <w:p>
      <w:r>
        <w:rPr>
          <w:rFonts w:ascii="Times New Roman" w:hAnsi="Times New Roman" w:eastAsia="宋体"/>
          <w:sz w:val="21"/>
        </w:rPr>
        <w:t>Temporal comparison of chest X-rays is fundamental to clinical radiology, enabling detection of disease progression, treatment response, and new findings. While vision-language models have advanced single-image report generation and visual grounding, no existing method combines these capabilities for temporal change detection. We introduce Temporal Radiology with Anatomical Change Explanation (TRACE), the first model that jointly performs temporal comparison, change classification, and spatial localization. Given a prior and current chest X-ray, TRACE generates natural language descriptions of interval changes (worsened, improved, stable) while grounding each finding with bounding box coordinates. TRACE demonstrates effective spatial localization with over 90% grounding accuracy, establishing a foundation for this challenging new task. Our ablation study uncovers an emergent capability: change detection arises only when temporal comparison and spatial grounding are jointly learned, as neither alone enables meaningful change detection. This finding suggests that grounding provides a spatial attention mechanism essential for temporal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用于红外小目标检测的动态高频卷积</w:t>
      </w:r>
    </w:p>
    <w:p>
      <w:r>
        <w:rPr>
          <w:rFonts w:ascii="Times New Roman" w:hAnsi="Times New Roman" w:eastAsia="宋体"/>
          <w:b/>
          <w:color w:val="003264"/>
          <w:sz w:val="24"/>
        </w:rPr>
        <w:t>Dynamic High-frequency Convolution for Infrared Small Target Detection</w:t>
      </w:r>
    </w:p>
    <w:p>
      <w:r>
        <w:rPr>
          <w:rFonts w:ascii="Times New Roman" w:hAnsi="Times New Roman" w:eastAsia="宋体"/>
          <w:sz w:val="21"/>
        </w:rPr>
        <w:t>作者: Yingqian Wang</w:t>
        <w:br/>
      </w:r>
      <w:r>
        <w:rPr>
          <w:rFonts w:ascii="Times New Roman" w:hAnsi="Times New Roman" w:eastAsia="宋体"/>
          <w:sz w:val="21"/>
        </w:rPr>
        <w:t xml:space="preserve">时间: 2026-02-03T01:07:55Z | </w:t>
      </w:r>
      <w:r>
        <w:t xml:space="preserve">链接: </w:t>
      </w:r>
      <w:hyperlink r:id="rId83">
        <w:r>
          <w:rPr>
            <w:rFonts w:ascii="Times New Roman" w:hAnsi="Times New Roman" w:eastAsia="宋体"/>
            <w:color w:val="0000FF"/>
            <w:sz w:val="21"/>
            <w:u w:val="single"/>
          </w:rPr>
          <w:t>https://arxiv.org/abs/2602.02969v1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红外小目标通常微小且局部显着，属于图像中的高频成分（HFC）。单帧红外小目标 (SIRST) 检测具有挑战性，因为目标中存在许多 HFC，例如明亮的角落、破碎的云层和其他杂波。当前基于学习的方法依赖于深度网络的强大能力，但忽略了各种 HFC 的显式建模和判别表示学习，这对于区分目标与其他 HFC 很重要。为了解决上述问题，我们提出了动态高频卷积（DHiF），将判别建模过程转化为动态局部滤波器组的生成。特别是，DHiF 对 HFC 很敏感，因为其生成的滤波器的动态参数根据傅立叶变换特性在零中心范围内对称调整。结合标准卷积运算，DHiF 可以自适应地动态处理不同的 HFC 区域，并捕获其独特的灰度变化特征，用于判别表示学习。 DHiF 可以作为标准卷积的直接替代品，并且可以在任意 SIRST 检测网络中使用，而不会显着降低计算效率。为了验证 DHiF 的有效性，我们在不同的 SIRST 检测网络上对真实场景数据集进行了广泛的实验。与其他最先进的卷积运算相比，DHiF 表现出卓越的检测性能，并且有望取得显着的改进。代码可在 https://github.com/TinaLRJ/DHiF 获取。</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targets are typically tiny and locally salient, which belong to high-frequency components (HFCs) in images. Single-frame infrared small target (SIRST) detection is challenging, since there are many HFCs along with targets, such as bright corners, broken clouds, and other clutters. Current learning-based methods rely on the powerful capabilities of deep networks, but neglect explicit modeling and discriminative representation learning of various HFCs, which is important to distinguish targets from other HFCs. To address the aforementioned issues, we propose a dynamic high-frequency convolution (DHiF) to translate the discriminative modeling process into the generation of a dynamic local filter bank. Especially, DHiF is sensitive to HFCs, owing to the dynamic parameters of its generated filters being symmetrically adjusted within a zero-centered range according to Fourier transformation properties. Combining with standard convolution operations, DHiF can adaptively and dynamically process different HFC regions and capture their distinctive grayscale variation characteristics for discriminative representation learning. DHiF functions as a drop-in replacement for standard convolution and can be used in arbitrary SIRST detection networks without significant decrease in computational efficiency. To validate the effectiveness of our DHiF, we conducted extensive experiments across different SIRST detection networks on real-scene datasets. Compared to other state-of-the-art convolution operations, DHiF exhibits superior detection performance with promising improvement. Codes are available at https://github.com/TinaLRJ/DHiF.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对齐图像和长标题中的森林和树木，以实现基于视觉的理解</w:t>
      </w:r>
    </w:p>
    <w:p>
      <w:r>
        <w:rPr>
          <w:rFonts w:ascii="Times New Roman" w:hAnsi="Times New Roman" w:eastAsia="宋体"/>
          <w:b/>
          <w:color w:val="003264"/>
          <w:sz w:val="24"/>
        </w:rPr>
        <w:t>Aligning Forest and Trees in Images and Long Captions for Visually Grounded Understanding</w:t>
      </w:r>
    </w:p>
    <w:p>
      <w:r>
        <w:rPr>
          <w:rFonts w:ascii="Times New Roman" w:hAnsi="Times New Roman" w:eastAsia="宋体"/>
          <w:sz w:val="21"/>
        </w:rPr>
        <w:t>作者: Stella X. Yu</w:t>
        <w:br/>
      </w:r>
      <w:r>
        <w:rPr>
          <w:rFonts w:ascii="Times New Roman" w:hAnsi="Times New Roman" w:eastAsia="宋体"/>
          <w:sz w:val="21"/>
        </w:rPr>
        <w:t xml:space="preserve">时间: 2026-02-03T01:31:55Z | </w:t>
      </w:r>
      <w:r>
        <w:t xml:space="preserve">链接: </w:t>
      </w:r>
      <w:hyperlink r:id="rId84">
        <w:r>
          <w:rPr>
            <w:rFonts w:ascii="Times New Roman" w:hAnsi="Times New Roman" w:eastAsia="宋体"/>
            <w:color w:val="0000FF"/>
            <w:sz w:val="21"/>
            <w:u w:val="single"/>
          </w:rPr>
          <w:t>https://arxiv.org/abs/2602.02977v1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大型视觉语言模型很难处理长标题，因为它们将图像和文本对齐为无差别的整体。细粒度的视觉语言理解需要分层语义来捕获视觉和文本领域的全局上下文和本地化细节。然而，来自语法或语义的语言层次结构很少与视觉组织相匹配，并且纯粹的视觉层次结构倾向于将场景分割成外观驱动的部分，而没有语义焦点。我们提出了 CAFT（森林和树木的跨域对齐），这是一种分层图像文本表示学习框架，可以在没有像素级监督的情况下跨图像和长标题对齐全局和局部语义。将精细到粗略的视觉编码器与分层文本转换器耦合起来，它使用分层对齐损失将整个图像与整个标题进行匹配，同时偏置区域-句子对应关系，以便粗略的语义是从细粒度的证据构建的，而不是从不受束缚的部分级基础的聚合构建的。 CAFT 经过 3000 万个图像文本对的训练，在六个长文本检索基准上实现了最先进的性能，并表现出强大的扩展行为。实验表明，分层跨域对齐可以在没有明确的区域级监督的情况下出现细粒度的、基于视觉的图像文本表示。</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such as CLIP struggle with long captions because they align images and texts as undifferentiated wholes. Fine-grained vision-language understanding requires hierarchical semantics capturing both global context and localized details across visual and textual domains. Yet linguistic hierarchies from syntax or semantics rarely match visual organization, and purely visual hierarchies tend to fragment scenes into appearance-driven parts without semantic focus. We propose CAFT (Cross-domain Alignment of Forests and Trees), a hierarchical image-text representation learning framework that aligns global and local semantics across images and long captions without pixel-level supervision. Coupling a fine-to-coarse visual encoder with a hierarchical text transformer, it uses a hierarchical alignment loss that matches whole images with whole captions while biasing region-sentence correspondences, so that coarse semantics are built from fine-grained evidence rather than from aggregation untethered to part-level grounding. Trained on 30M image-text pairs, CAFT achieves state-of-the-art performance on six long-text retrieval benchmarks and exhibits strong scaling behavior. Experiments show that hierarchical cross-domain alignment enables fine-grained, visually grounded image-text representations to emerge without explicit region-level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图像修复的卷积内部思考：全局和局部下通过结构重建纹理</w:t>
      </w:r>
    </w:p>
    <w:p>
      <w:r>
        <w:rPr>
          <w:rFonts w:ascii="Times New Roman" w:hAnsi="Times New Roman" w:eastAsia="宋体"/>
          <w:b/>
          <w:color w:val="003264"/>
          <w:sz w:val="24"/>
        </w:rPr>
        <w:t>Thinking inside the Convolution for Image Inpainting: Reconstructing Texture via Structure under Global and Local Side</w:t>
      </w:r>
    </w:p>
    <w:p>
      <w:r>
        <w:rPr>
          <w:rFonts w:ascii="Times New Roman" w:hAnsi="Times New Roman" w:eastAsia="宋体"/>
          <w:sz w:val="21"/>
        </w:rPr>
        <w:t>作者: Meng Wang</w:t>
        <w:br/>
      </w:r>
      <w:r>
        <w:rPr>
          <w:rFonts w:ascii="Times New Roman" w:hAnsi="Times New Roman" w:eastAsia="宋体"/>
          <w:sz w:val="21"/>
        </w:rPr>
        <w:t xml:space="preserve">时间: 2026-02-03T02:30:07Z | </w:t>
      </w:r>
      <w:r>
        <w:t xml:space="preserve">链接: </w:t>
      </w:r>
      <w:hyperlink r:id="rId85">
        <w:r>
          <w:rPr>
            <w:rFonts w:ascii="Times New Roman" w:hAnsi="Times New Roman" w:eastAsia="宋体"/>
            <w:color w:val="0000FF"/>
            <w:sz w:val="21"/>
            <w:u w:val="single"/>
          </w:rPr>
          <w:t>https://arxiv.org/abs/2602.03013v1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得益于编码器和解码器管道，图像修复取得了实质性进展，该管道受益于卷积神经网络（CNN），具有卷积下采样功能，可以从编码器内的已知区域语义上修复屏蔽区域，再加上解码器的上采样过程以实现最终修复输出。最近的研究直观地识别了 CNN 从编码器中提取的高频结构和低频纹理，然后进行理想的上采样恢复。然而，现有技术不可避免地忽视了在卷积下采样过程中结构和纹理特征图的信息损失，因此遭受不理想的上采样输出。在本文中，我们系统地回答了结构和纹理特征图是否以及如何能够相互帮助减轻卷积下采样过程中的信息损失。给定结构和纹理特征图，我们在卷积下采样过程中采用统计归一化和反归一化策略来进行重建指导。大量的实验结果验证了其相对于从低到高分辨率（包括 256*256 和 512*512）的图像的最新技术的优势，特别是通过用我们的编码器替换所有编码器来保持这一优势。我们的代码位于 https://github.com/htyjers/ConvInpaint-TSGL</w:t>
      </w:r>
    </w:p>
    <w:p>
      <w:pPr>
        <w:spacing w:before="120"/>
      </w:pPr>
      <w:r>
        <w:rPr>
          <w:rFonts w:ascii="Times New Roman" w:hAnsi="Times New Roman" w:eastAsia="宋体"/>
          <w:b/>
          <w:sz w:val="21"/>
        </w:rPr>
        <w:t>English Abstract:</w:t>
      </w:r>
    </w:p>
    <w:p>
      <w:r>
        <w:rPr>
          <w:rFonts w:ascii="Times New Roman" w:hAnsi="Times New Roman" w:eastAsia="宋体"/>
          <w:sz w:val="21"/>
        </w:rPr>
        <w:t>Image inpainting has earned substantial progress, owing to the encoder-and-decoder pipeline, which is benefited from the Convolutional Neural Networks (CNNs) with convolutional downsampling to inpaint the masked regions semantically from the known regions within the encoder, coupled with an upsampling process from the decoder for final inpainting output. Recent studies intuitively identify the high-frequency structure and low-frequency texture to be extracted by CNNs from the encoder, and subsequently for a desirable upsampling recovery. However, the existing arts inevitably overlook the information loss for both structure and texture feature maps during the convolutional downsampling process, hence suffer from a non-ideal upsampling output. In this paper, we systematically answer whether and how the structure and texture feature map can mutually help to alleviate the information loss during the convolutional downsampling. Given the structure and texture feature maps, we adopt the statistical normalization and denormalization strategy for the reconstruction guidance during the convolutional downsampling process. The extensive experimental results validate its advantages to the state-of-the-arts over the images from low-to-high resolutions including 256*256 and 512*512, especially holds by substituting all the encoders by ours. Our code is available at https://github.com/htyjers/ConvInpaint-TSGL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基于愿景的纽约市拥堵收费分析</w:t>
      </w:r>
    </w:p>
    <w:p>
      <w:r>
        <w:rPr>
          <w:rFonts w:ascii="Times New Roman" w:hAnsi="Times New Roman" w:eastAsia="宋体"/>
          <w:b/>
          <w:color w:val="003264"/>
          <w:sz w:val="24"/>
        </w:rPr>
        <w:t>A Vision-Based Analysis of Congestion Pricing in New York City</w:t>
      </w:r>
    </w:p>
    <w:p>
      <w:r>
        <w:rPr>
          <w:rFonts w:ascii="Times New Roman" w:hAnsi="Times New Roman" w:eastAsia="宋体"/>
          <w:sz w:val="21"/>
        </w:rPr>
        <w:t>作者: Andrew Smyth</w:t>
        <w:br/>
      </w:r>
      <w:r>
        <w:rPr>
          <w:rFonts w:ascii="Times New Roman" w:hAnsi="Times New Roman" w:eastAsia="宋体"/>
          <w:sz w:val="21"/>
        </w:rPr>
        <w:t xml:space="preserve">时间: 2026-02-03T02:35:56Z | </w:t>
      </w:r>
      <w:r>
        <w:t xml:space="preserve">链接: </w:t>
      </w:r>
      <w:hyperlink r:id="rId86">
        <w:r>
          <w:rPr>
            <w:rFonts w:ascii="Times New Roman" w:hAnsi="Times New Roman" w:eastAsia="宋体"/>
            <w:color w:val="0000FF"/>
            <w:sz w:val="21"/>
            <w:u w:val="single"/>
          </w:rPr>
          <w:t>https://arxiv.org/abs/2602.03015v1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我们通过对交通摄像头数据的自动分析来研究纽约市拥堵收费计划的影响。我们的计算机视觉管道处理分布在曼哈顿和纽约的 900 多个摄像机的镜头，比较从 2024 年 11 月到 2025 年 1 月计划实施到 2026 年 1 月的交通模式。我们建立基线交通模式并识别整个监控区域车辆密度的系统变化。</w:t>
      </w:r>
    </w:p>
    <w:p>
      <w:pPr>
        <w:spacing w:before="120"/>
      </w:pPr>
      <w:r>
        <w:rPr>
          <w:rFonts w:ascii="Times New Roman" w:hAnsi="Times New Roman" w:eastAsia="宋体"/>
          <w:b/>
          <w:sz w:val="21"/>
        </w:rPr>
        <w:t>English Abstract:</w:t>
      </w:r>
    </w:p>
    <w:p>
      <w:r>
        <w:rPr>
          <w:rFonts w:ascii="Times New Roman" w:hAnsi="Times New Roman" w:eastAsia="宋体"/>
          <w:sz w:val="21"/>
        </w:rPr>
        <w:t>We examine the impact of New York City's congestion pricing program through automated analysis of traffic camera data. Our computer vision pipeline processes footage from over 900 cameras distributed throughout Manhattan and New York, comparing traffic patterns from November 2024 through the program's implementation in January 2025 until January 2026. We establish baseline traffic patterns and identify systematic changes in vehicle density across the monitored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邦加德在感知和推理的边界：程序还是语言？</w:t>
      </w:r>
    </w:p>
    <w:p>
      <w:r>
        <w:rPr>
          <w:rFonts w:ascii="Times New Roman" w:hAnsi="Times New Roman" w:eastAsia="宋体"/>
          <w:b/>
          <w:color w:val="003264"/>
          <w:sz w:val="24"/>
        </w:rPr>
        <w:t>Bongards at the Boundary of Perception and Reasoning: Programs or Language?</w:t>
      </w:r>
    </w:p>
    <w:p>
      <w:r>
        <w:rPr>
          <w:rFonts w:ascii="Times New Roman" w:hAnsi="Times New Roman" w:eastAsia="宋体"/>
          <w:sz w:val="21"/>
        </w:rPr>
        <w:t>作者: Kevin Ellis</w:t>
        <w:br/>
      </w:r>
      <w:r>
        <w:rPr>
          <w:rFonts w:ascii="Times New Roman" w:hAnsi="Times New Roman" w:eastAsia="宋体"/>
          <w:sz w:val="21"/>
        </w:rPr>
        <w:t xml:space="preserve">时间: 2026-02-03T03:04:27Z | </w:t>
      </w:r>
      <w:r>
        <w:t xml:space="preserve">链接: </w:t>
      </w:r>
      <w:hyperlink r:id="rId87">
        <w:r>
          <w:rPr>
            <w:rFonts w:ascii="Times New Roman" w:hAnsi="Times New Roman" w:eastAsia="宋体"/>
            <w:color w:val="0000FF"/>
            <w:sz w:val="21"/>
            <w:u w:val="single"/>
          </w:rPr>
          <w:t>https://arxiv.org/abs/2602.03038v1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日常视觉任务中取得了巨大进步，例如为自然图像添加字幕，或回答有关此类图像的常识性问题。但人类拥有令人费解的能力，可以在全新的情况下部署视觉推理能力，这一技能经过了一系列经典的视觉推理挑战（称为邦加德问题）的严格测试。我们提出了一种神经符号方法来解决这些问题：给定 Bongard 问题的假设解决规则，我们利用 LLM 生成规则的参数化程序表示，并使用贝叶斯优化执行参数拟合。我们评估了我们在给定真实规则的情况下对 Bongard 问题图像进行分类以及从头开始解决问题的方法。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made great strides in everyday visual tasks, such as captioning a natural image, or answering commonsense questions about such images. But humans possess the puzzling ability to deploy their visual reasoning abilities in radically new situations, a skill rigorously tested by the classic set of visual reasoning challenges known as the Bongard problems. We present a neurosymbolic approach to solving these problems: given a hypothesized solution rule for a Bongard problem, we leverage LLMs to generate parameterized programmatic representations for the rule and perform parameter fitting using Bayesian optimization. We evaluate our method on classifying Bongard problem images given the ground truth rule, as well as on solving the problems from scratch.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HP-GAN：利用预训练网络通过 FakeTwins 和判别器一致性来改进 GAN</w:t>
      </w:r>
    </w:p>
    <w:p>
      <w:r>
        <w:rPr>
          <w:rFonts w:ascii="Times New Roman" w:hAnsi="Times New Roman" w:eastAsia="宋体"/>
          <w:b/>
          <w:color w:val="003264"/>
          <w:sz w:val="24"/>
        </w:rPr>
        <w:t>HP-GAN: Harnessing pretrained networks for GAN improvement with FakeTwins and discriminator consistency</w:t>
      </w:r>
    </w:p>
    <w:p>
      <w:r>
        <w:rPr>
          <w:rFonts w:ascii="Times New Roman" w:hAnsi="Times New Roman" w:eastAsia="宋体"/>
          <w:sz w:val="21"/>
        </w:rPr>
        <w:t>作者: Dosik Hwang</w:t>
        <w:br/>
      </w:r>
      <w:r>
        <w:rPr>
          <w:rFonts w:ascii="Times New Roman" w:hAnsi="Times New Roman" w:eastAsia="宋体"/>
          <w:sz w:val="21"/>
        </w:rPr>
        <w:t xml:space="preserve">时间: 2026-02-03T03:05:45Z | </w:t>
      </w:r>
      <w:r>
        <w:t xml:space="preserve">链接: </w:t>
      </w:r>
      <w:hyperlink r:id="rId88">
        <w:r>
          <w:rPr>
            <w:rFonts w:ascii="Times New Roman" w:hAnsi="Times New Roman" w:eastAsia="宋体"/>
            <w:color w:val="0000FF"/>
            <w:sz w:val="21"/>
            <w:u w:val="single"/>
          </w:rPr>
          <w:t>https://arxiv.org/abs/2602.03039v1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生成对抗网络（GAN）在提高图像合成质量方面取得了重大进展。最近的方法经常利用预训练的网络来计算感知损失或利用预训练的特征空间。在本文中，我们通过结合创新的自监督学习技术并在 GAN 训练期间强制判别器之间的一致性来扩展预训练网络的功能。我们提出的方法名为 HP-GAN，通过两种主要策略有效地利用神经网络先验：FakeTwins 和判别器一致性。 FakeTwins 利用预训练网络作为编码器来计算自监督损失，并将其应用到生成的图像中来训练生成器，从而能够生成更加多样化和高质量的图像。此外，我们在鉴别器之间引入了一种一致性机制，用于评估从卷积神经网络（CNN）和视觉变换器（ViT）特征网络中提取的特征图。鉴别器一致性促进鉴别器之间的连贯学习，并通过调整图像质量的评估来增强训练的稳健性。我们对 17 个数据集（包括大数据、小数据和有限数据的场景，并涵盖各种图像域）进行了广泛的评估，表明 HP-GAN 在 Fréchet 起始距离 (FID) 方面始终优于当前最先进的方法，在图像多样性和质量方面实现了显着改进。代码位于：https://github.com/higun2/HP-GAN。</w:t>
      </w:r>
    </w:p>
    <w:p>
      <w:pPr>
        <w:spacing w:before="120"/>
      </w:pPr>
      <w:r>
        <w:rPr>
          <w:rFonts w:ascii="Times New Roman" w:hAnsi="Times New Roman" w:eastAsia="宋体"/>
          <w:b/>
          <w:sz w:val="21"/>
        </w:rPr>
        <w:t>English Abstract:</w:t>
      </w:r>
    </w:p>
    <w:p>
      <w:r>
        <w:rPr>
          <w:rFonts w:ascii="Times New Roman" w:hAnsi="Times New Roman" w:eastAsia="宋体"/>
          <w:sz w:val="21"/>
        </w:rPr>
        <w:t>Generative Adversarial Networks (GANs) have made significant progress in enhancing the quality of image synthesis. Recent methods frequently leverage pretrained networks to calculate perceptual losses or utilize pretrained feature spaces. In this paper, we extend the capabilities of pretrained networks by incorporating innovative self-supervised learning techniques and enforcing consistency between discriminators during GAN training. Our proposed method, named HP-GAN, effectively exploits neural network priors through two primary strategies: FakeTwins and discriminator consistency. FakeTwins leverages pretrained networks as encoders to compute a self-supervised loss and applies this through the generated images to train the generator, thereby enabling the generation of more diverse and high quality images. Additionally, we introduce a consistency mechanism between discriminators that evaluate feature maps extracted from Convolutional Neural Network (CNN) and Vision Transformer (ViT) feature networks. Discriminator consistency promotes coherent learning among discriminators and enhances training robustness by aligning their assessments of image quality. Our extensive evaluation across seventeen datasets-including scenarios with large, small, and limited data, and covering a variety of image domains-demonstrates that HP-GAN consistently outperforms current state-of-the-art methods in terms of Fréchet Inception Distance (FID), achieving significant improvements in image diversity and quality. Code is available at: https://github.com/higun2/HP-GAN.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肌肉骨骼放射线照片的通用大型基础模型</w:t>
      </w:r>
    </w:p>
    <w:p>
      <w:r>
        <w:rPr>
          <w:rFonts w:ascii="Times New Roman" w:hAnsi="Times New Roman" w:eastAsia="宋体"/>
          <w:b/>
          <w:color w:val="003264"/>
          <w:sz w:val="24"/>
        </w:rPr>
        <w:t>A generalizable large-scale foundation model for musculoskeletal radiographs</w:t>
      </w:r>
    </w:p>
    <w:p>
      <w:r>
        <w:rPr>
          <w:rFonts w:ascii="Times New Roman" w:hAnsi="Times New Roman" w:eastAsia="宋体"/>
          <w:sz w:val="21"/>
        </w:rPr>
        <w:t>作者: Sunghoon Kwon</w:t>
        <w:br/>
      </w:r>
      <w:r>
        <w:rPr>
          <w:rFonts w:ascii="Times New Roman" w:hAnsi="Times New Roman" w:eastAsia="宋体"/>
          <w:sz w:val="21"/>
        </w:rPr>
        <w:t xml:space="preserve">时间: 2026-02-03T04:04:45Z | </w:t>
      </w:r>
      <w:r>
        <w:t xml:space="preserve">链接: </w:t>
      </w:r>
      <w:hyperlink r:id="rId89">
        <w:r>
          <w:rPr>
            <w:rFonts w:ascii="Times New Roman" w:hAnsi="Times New Roman" w:eastAsia="宋体"/>
            <w:color w:val="0000FF"/>
            <w:sz w:val="21"/>
            <w:u w:val="single"/>
          </w:rPr>
          <w:t>https://arxiv.org/abs/2602.03076v1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 (AI) 在通过放射线照片检测和表征肌肉骨骼疾病方面显示出了良好的前景。然而，大多数现有模型仍然是特定于任务的、依赖于注释的，并且在跨疾病和解剖区域的通用性方面受到限制。尽管临床上需要在大规模肌肉骨骼放射照片上训练的通用基础模型，但公开可用的数据集的大小仍然有限，并且缺乏足够的多样性来支持广泛的肌肉骨骼条件和解剖部位的训练。在这里，我们展示了 SKELEX，这是一种用于肌肉骨骼放射线照片的大型基础模型，使用自我监督学习对 120 万张不同的、条件丰富的图像进行训练。该模型在 12 项下游诊断任务上进行了评估，在骨折检测、骨关节炎分级和骨肿瘤分类方面总体优于基线。此外，SKELEX 展示了零样本异常定位，生成错误图，无需特定任务训练即可识别病理区域。在此功能的基础上，我们开发了一种可解释的、区域引导的模型来预测骨肿瘤，该模型在独立的外部数据集上保持了稳健的性能，并部署为可公开访问的 Web 应用程序。总体而言，SKELEX 为肌肉骨骼成像提供了一个可扩展、标签高效且可泛化的人工智能框架，为肌肉骨骼放射学的临床转化和数据高效研究奠定了基础。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 has shown promise in detecting and characterizing musculoskeletal diseases from radiographs. However, most existing models remain task-specific, annotation-dependent, and limited in generalizability across diseases and anatomical regions. Although a generalizable foundation model trained on large-scale musculoskeletal radiographs is clinically needed, publicly available datasets remain limited in size and lack sufficient diversity to enable training across a wide range of musculoskeletal conditions and anatomical sites. Here, we present SKELEX, a large-scale foundation model for musculoskeletal radiographs, trained using self-supervised learning on 1.2 million diverse, condition-rich images. The model was evaluated on 12 downstream diagnostic tasks and generally outperformed baselines in fracture detection, osteoarthritis grading, and bone tumor classification. Furthermore, SKELEX demonstrated zero-shot abnormality localization, producing error maps that identified pathologic regions without task-specific training. Building on this capability, we developed an interpretable, region-guided model for predicting bone tumors, which maintained robust performance on independent external datasets and was deployed as a publicly accessible web application. Overall, SKELEX provides a scalable, label-efficient, and generalizable AI framework for musculoskeletal imaging, establishing a foundation for both clinical translation and data-efficient research in musculoskeletal radiology.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Gromov Wasserstein 语义对应的最优传输</w:t>
      </w:r>
    </w:p>
    <w:p>
      <w:r>
        <w:rPr>
          <w:rFonts w:ascii="Times New Roman" w:hAnsi="Times New Roman" w:eastAsia="宋体"/>
          <w:b/>
          <w:color w:val="003264"/>
          <w:sz w:val="24"/>
        </w:rPr>
        <w:t>Gromov Wasserstein Optimal Transport for Semantic Correspondences</w:t>
      </w:r>
    </w:p>
    <w:p>
      <w:r>
        <w:rPr>
          <w:rFonts w:ascii="Times New Roman" w:hAnsi="Times New Roman" w:eastAsia="宋体"/>
          <w:sz w:val="21"/>
        </w:rPr>
        <w:t>作者: Akshay Asthana</w:t>
        <w:br/>
      </w:r>
      <w:r>
        <w:rPr>
          <w:rFonts w:ascii="Times New Roman" w:hAnsi="Times New Roman" w:eastAsia="宋体"/>
          <w:sz w:val="21"/>
        </w:rPr>
        <w:t xml:space="preserve">时间: 2026-02-03T04:59:28Z | </w:t>
      </w:r>
      <w:r>
        <w:t xml:space="preserve">链接: </w:t>
      </w:r>
      <w:hyperlink r:id="rId90">
        <w:r>
          <w:rPr>
            <w:rFonts w:ascii="Times New Roman" w:hAnsi="Times New Roman" w:eastAsia="宋体"/>
            <w:color w:val="0000FF"/>
            <w:sz w:val="21"/>
            <w:u w:val="single"/>
          </w:rPr>
          <w:t>https://arxiv.org/abs/2602.03105v1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图像对之间的对应关系是计算机视觉中长期研究的问题。随着最近的大规模基础模型在分类和分割等下游任务上显示出强大的零样本性能，人们对使用这些模型的内部特征图进行语义对应任务产生了兴趣。最近的工作观察到 DINOv2 和稳定扩散 (SD) 的特征是互补的，前者产生准确但稀疏的对应，而后者产生空间一致的对应。因此，当前最先进的语义对应方法涉及将两个模型的特征组合到一个集合中。虽然这些方法的性能令人印象深刻，但它们的计算成本很高，需要评估大规模基础模型的特征图。在这项工作中，我们采用了不同的方法，用一种具有理想的空间一致性特性的高级匹配算法代替 SD 特征。具体来说，我们用包含 Gromov Wasserstein 空间平滑先验的最佳传输算法替换标准最近邻匹配。我们证明，我们可以显着提高 DINOv2 基线的性能，并且具有竞争力，有时甚至超越使用稳定扩散功能的最先进方法，同时效率提高 5--10 倍。我们在 https://github.com/fsnelgar/semantic_matching_gwot 提供代码。</w:t>
      </w:r>
    </w:p>
    <w:p>
      <w:pPr>
        <w:spacing w:before="120"/>
      </w:pPr>
      <w:r>
        <w:rPr>
          <w:rFonts w:ascii="Times New Roman" w:hAnsi="Times New Roman" w:eastAsia="宋体"/>
          <w:b/>
          <w:sz w:val="21"/>
        </w:rPr>
        <w:t>English Abstract:</w:t>
      </w:r>
    </w:p>
    <w:p>
      <w:r>
        <w:rPr>
          <w:rFonts w:ascii="Times New Roman" w:hAnsi="Times New Roman" w:eastAsia="宋体"/>
          <w:sz w:val="21"/>
        </w:rPr>
        <w:t>Establishing correspondences between image pairs is a long studied problem in computer vision. With recent large-scale foundation models showing strong zero-shot performance on downstream tasks including classification and segmentation, there has been interest in using the internal feature maps of these models for the semantic correspondence task. Recent works observe that features from DINOv2 and Stable Diffusion (SD) are complementary, the former producing accurate but sparse correspondences, while the latter produces spatially consistent correspondences. As a result, current state-of-the-art methods for semantic correspondence involve combining features from both models in an ensemble. While the performance of these methods is impressive, they are computationally expensive, requiring evaluating feature maps from large-scale foundation models. In this work we take a different approach, instead replacing SD features with a superior matching algorithm which is imbued with the desirable spatial consistency property. Specifically, we replace the standard nearest neighbours matching with an optimal transport algorithm that includes a Gromov Wasserstein spatial smoothness prior. We show that we can significantly boost the performance of the DINOv2 baseline, and be competitive and sometimes surpassing state-of-the-art methods using Stable Diffusion features, while being 5--10x more efficient. We make code available at https://github.com/fsnelgar/semantic_matching_gwot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超越裁剪和旋转：使用生成模型自动进化强大的特定任务增强功能</w:t>
      </w:r>
    </w:p>
    <w:p>
      <w:r>
        <w:rPr>
          <w:rFonts w:ascii="Times New Roman" w:hAnsi="Times New Roman" w:eastAsia="宋体"/>
          <w:b/>
          <w:color w:val="003264"/>
          <w:sz w:val="24"/>
        </w:rPr>
        <w:t>Beyond Cropping and Rotation: Automated Evolution of Powerful Task-Specific Augmentations with Generative Models</w:t>
      </w:r>
    </w:p>
    <w:p>
      <w:r>
        <w:rPr>
          <w:rFonts w:ascii="Times New Roman" w:hAnsi="Times New Roman" w:eastAsia="宋体"/>
          <w:sz w:val="21"/>
        </w:rPr>
        <w:t>作者: Hod Lipson</w:t>
        <w:br/>
      </w:r>
      <w:r>
        <w:rPr>
          <w:rFonts w:ascii="Times New Roman" w:hAnsi="Times New Roman" w:eastAsia="宋体"/>
          <w:sz w:val="21"/>
        </w:rPr>
        <w:t xml:space="preserve">时间: 2026-02-03T05:29:26Z | </w:t>
      </w:r>
      <w:r>
        <w:t xml:space="preserve">链接: </w:t>
      </w:r>
      <w:hyperlink r:id="rId91">
        <w:r>
          <w:rPr>
            <w:rFonts w:ascii="Times New Roman" w:hAnsi="Times New Roman" w:eastAsia="宋体"/>
            <w:color w:val="0000FF"/>
            <w:sz w:val="21"/>
            <w:u w:val="single"/>
          </w:rPr>
          <w:t>https://arxiv.org/abs/2602.03123v1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长期以来，数据增强一直是减少视觉模型过度拟合的基石，AutoAugment 等方法可以自动设计特定于任务的增强。生成模型的最新进展，例如条件扩散和少样本 NeRF，通过合成具有显着更大多样性和真实性的数据，为数据增强提供了新的范例。然而，与裁剪或旋转等传统增强不同，这些方法引入了实质性的变化，增强了鲁棒性，但如果增强与任务不匹配，也可能导致性能下降。在这项工作中，我们提出了 EvoAug，一种自动增强学习管道，它利用这些生成模型以及高效的进化算法来学习最佳的特定于任务的增强。我们的管道引入了一种新颖的图像增强方法，该方法可以学习分层组成增强的随机增强树，从而实现更加结构化和自适应的转换。我们在细粒度分类和小样本学习任务中展示了强大的性能。值得注意的是，我们的管道发现了与领域知识相一致的增强，即使在低数据环境中也是如此。这些结果凸显了学习生成增强的潜力，为稳健的模型训练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has long been a cornerstone for reducing overfitting in vision models, with methods like AutoAugment automating the design of task-specific augmentations. Recent advances in generative models, such as conditional diffusion and few-shot NeRFs, offer a new paradigm for data augmentation by synthesizing data with significantly greater diversity and realism. However, unlike traditional augmentations like cropping or rotation, these methods introduce substantial changes that enhance robustness but also risk degrading performance if the augmentations are poorly matched to the task. In this work, we present EvoAug, an automated augmentation learning pipeline, which leverages these generative models alongside an efficient evolutionary algorithm to learn optimal task-specific augmentations. Our pipeline introduces a novel approach to image augmentation that learns stochastic augmentation trees that hierarchically compose augmentations, enabling more structured and adaptive transformations. We demonstrate strong performance across fine-grained classification and few-shot learning tasks. Notably, our pipeline discovers augmentations that align with domain knowledge, even in low-data settings. These results highlight the potential of learned generative augmentations, unlocking new possibilities for robust model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使用扩散模型进行概率人体姿势估计的灵活几何指导</w:t>
      </w:r>
    </w:p>
    <w:p>
      <w:r>
        <w:rPr>
          <w:rFonts w:ascii="Times New Roman" w:hAnsi="Times New Roman" w:eastAsia="宋体"/>
          <w:b/>
          <w:color w:val="003264"/>
          <w:sz w:val="24"/>
        </w:rPr>
        <w:t>Flexible Geometric Guidance for Probabilistic Human Pose Estimation with Diffusion Models</w:t>
      </w:r>
    </w:p>
    <w:p>
      <w:r>
        <w:rPr>
          <w:rFonts w:ascii="Times New Roman" w:hAnsi="Times New Roman" w:eastAsia="宋体"/>
          <w:sz w:val="21"/>
        </w:rPr>
        <w:t>作者: Akshay Asthana</w:t>
        <w:br/>
      </w:r>
      <w:r>
        <w:rPr>
          <w:rFonts w:ascii="Times New Roman" w:hAnsi="Times New Roman" w:eastAsia="宋体"/>
          <w:sz w:val="21"/>
        </w:rPr>
        <w:t xml:space="preserve">时间: 2026-02-03T05:35:37Z | </w:t>
      </w:r>
      <w:r>
        <w:t xml:space="preserve">链接: </w:t>
      </w:r>
      <w:hyperlink r:id="rId92">
        <w:r>
          <w:rPr>
            <w:rFonts w:ascii="Times New Roman" w:hAnsi="Times New Roman" w:eastAsia="宋体"/>
            <w:color w:val="0000FF"/>
            <w:sz w:val="21"/>
            <w:u w:val="single"/>
          </w:rPr>
          <w:t>https://arxiv.org/abs/2602.03126v1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由于深度模糊和遮挡，从 2D 图像进行 3D 人体姿态估计是一个具有挑战性的问题。由于这些挑战，任务是不确定的，在给定图像的情况下，存在多个（可能是无限的）看似合理的姿势。尽管如此，许多先前的工作都假设存在确定性映射并估计给定图像的单个姿势。此外，基于机器学习的方法需要大量配对的 2D-3D 数据进行训练，并且存在对未见过的场景的泛化问题。为了解决这两个问题，我们提出了一个使用扩散模型进行姿势估计的框架，该框架可以从与 2D 图像一致的合理姿势的概率分布中进行采样。我们的方法属于条件生成的指导框架，并使用 2D 关键点检测器的热图梯度引导来自无条件扩散模型的样本，仅在 3D 数据上进行训练。我们在 best-of-$m$ 多重假设评估下在人类 3.6M 数据集上评估我们的方法，显示了不需要配对 2D-3D 数据进行训练的方法中最先进的性能。我们还使用 MPI-INF-3DHP 和 3DPW 数据集评估泛化能力，并展示竞争性能。最后，我们通过将框架用于姿势生成和姿势完成等新任务来展示框架的灵活性，而无需训练定制的条件模型。我们在 https://github.com/fsnelgar/diffusion_pose 提供代码。</w:t>
      </w:r>
    </w:p>
    <w:p>
      <w:pPr>
        <w:spacing w:before="120"/>
      </w:pPr>
      <w:r>
        <w:rPr>
          <w:rFonts w:ascii="Times New Roman" w:hAnsi="Times New Roman" w:eastAsia="宋体"/>
          <w:b/>
          <w:sz w:val="21"/>
        </w:rPr>
        <w:t>English Abstract:</w:t>
      </w:r>
    </w:p>
    <w:p>
      <w:r>
        <w:rPr>
          <w:rFonts w:ascii="Times New Roman" w:hAnsi="Times New Roman" w:eastAsia="宋体"/>
          <w:sz w:val="21"/>
        </w:rPr>
        <w:t>3D human pose estimation from 2D images is a challenging problem due to depth ambiguity and occlusion. Because of these challenges the task is underdetermined, where there exists multiple -- possibly infinite -- poses that are plausible given the image. Despite this, many prior works assume the existence of a deterministic mapping and estimate a single pose given an image. Furthermore, methods based on machine learning require a large amount of paired 2D-3D data to train and suffer from generalization issues to unseen scenarios. To address both of these issues, we propose a framework for pose estimation using diffusion models, which enables sampling from a probability distribution over plausible poses which are consistent with a 2D image. Our approach falls under the guidance framework for conditional generation, and guides samples from an unconditional diffusion model, trained only on 3D data, using the gradients of the heatmaps from a 2D keypoint detector. We evaluate our method on the Human 3.6M dataset under best-of-$m$ multiple hypothesis evaluation, showing state-of-the-art performance among methods which do not require paired 2D-3D data for training. We additionally evaluate the generalization ability using the MPI-INF-3DHP and 3DPW datasets and demonstrate competitive performance. Finally, we demonstrate the flexibility of our framework by using it for novel tasks including pose generation and pose completion, without the need to train bespoke conditional models. We make code available at https://github.com/fsnelgar/diffusion_pose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FinMTM：财务推理和代理评估的多轮多模式基准</w:t>
      </w:r>
    </w:p>
    <w:p>
      <w:r>
        <w:rPr>
          <w:rFonts w:ascii="Times New Roman" w:hAnsi="Times New Roman" w:eastAsia="宋体"/>
          <w:b/>
          <w:color w:val="003264"/>
          <w:sz w:val="24"/>
        </w:rPr>
        <w:t>FinMTM: A Multi-Turn Multimodal Benchmark for Financial Reasoning and Agent Evaluation</w:t>
      </w:r>
    </w:p>
    <w:p>
      <w:r>
        <w:rPr>
          <w:rFonts w:ascii="Times New Roman" w:hAnsi="Times New Roman" w:eastAsia="宋体"/>
          <w:sz w:val="21"/>
        </w:rPr>
        <w:t>作者: Rongjunchen Zhang</w:t>
        <w:br/>
      </w:r>
      <w:r>
        <w:rPr>
          <w:rFonts w:ascii="Times New Roman" w:hAnsi="Times New Roman" w:eastAsia="宋体"/>
          <w:sz w:val="21"/>
        </w:rPr>
        <w:t xml:space="preserve">时间: 2026-02-03T05:38:24Z | </w:t>
      </w:r>
      <w:r>
        <w:t xml:space="preserve">链接: </w:t>
      </w:r>
      <w:hyperlink r:id="rId93">
        <w:r>
          <w:rPr>
            <w:rFonts w:ascii="Times New Roman" w:hAnsi="Times New Roman" w:eastAsia="宋体"/>
            <w:color w:val="0000FF"/>
            <w:sz w:val="21"/>
            <w:u w:val="single"/>
          </w:rPr>
          <w:t>https://arxiv.org/abs/2602.03130v1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由于专门的图表格式和知识密集型推理要求，金融领域对视觉语言模型 (VLM) 提出了巨大的挑战。然而，现有的金融基准大多是单轮的，并且依赖于狭窄的问题格式，限制了在实际应用场景中的综合评估。为了解决这一差距，我们提出了 FinMTM，这是一种多轮多模态基准，可以沿数据和任务维度扩展多样性。在数据方面，我们根据金融视觉效果整理和注释了 11{,}133 个双语（中文和英文）金融 QA 对，包括烛台图、统计图和报告数据。在任务方面，FinMTM 涵盖单选题和多项选择题、多轮开放式对话以及基于代理的任务。我们进一步设计了特定于任务的评估协议，包括多项选择问题的集合重叠评分规则、多轮对话的回合级和会话级分数的加权组合，以及将规划质量与代理任务的最终结果相结合的综合指标。对 22 个 VLM 的广泛实验评估揭示了它们在细粒度视觉感知、长上下文推理和复杂代理工作流程方面的局限性。</w:t>
      </w:r>
    </w:p>
    <w:p>
      <w:pPr>
        <w:spacing w:before="120"/>
      </w:pPr>
      <w:r>
        <w:rPr>
          <w:rFonts w:ascii="Times New Roman" w:hAnsi="Times New Roman" w:eastAsia="宋体"/>
          <w:b/>
          <w:sz w:val="21"/>
        </w:rPr>
        <w:t>English Abstract:</w:t>
      </w:r>
    </w:p>
    <w:p>
      <w:r>
        <w:rPr>
          <w:rFonts w:ascii="Times New Roman" w:hAnsi="Times New Roman" w:eastAsia="宋体"/>
          <w:sz w:val="21"/>
        </w:rPr>
        <w:t>The financial domain poses substantial challenges for vision-language models (VLMs) due to specialized chart formats and knowledge-intensive reasoning requirements. However, existing financial benchmarks are largely single-turn and rely on a narrow set of question formats, limiting comprehensive evaluation in realistic application scenarios. To address this gap, we propose FinMTM, a multi-turn multimodal benchmark that expands diversity along both data and task dimensions. On the data side, we curate and annotate 11{,}133 bilingual (Chinese and English) financial QA pairs grounded in financial visuals, including candlestick charts, statistical plots, and report figures. On the task side, FinMTM covers single- and multiple-choice questions, multi-turn open-ended dialogues, and agent-based tasks. We further design task-specific evaluation protocols, including a set-overlap scoring rule for multiple-choice questions, a weighted combination of turn-level and session-level scores for multi-turn dialogues, and a composite metric that integrates planning quality with final outcomes for agent tasks. Extensive experimental evaluation of 22 VLMs reveal their limitations in fine-grained visual perception, long-context reasoning, and complex agent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用于快速视觉合成的多样性保留分布匹配蒸馏</w:t>
      </w:r>
    </w:p>
    <w:p>
      <w:r>
        <w:rPr>
          <w:rFonts w:ascii="Times New Roman" w:hAnsi="Times New Roman" w:eastAsia="宋体"/>
          <w:b/>
          <w:color w:val="003264"/>
          <w:sz w:val="24"/>
        </w:rPr>
        <w:t>Diversity-Preserved Distribution Matching Distillation for Fast Visual Synthesis</w:t>
      </w:r>
    </w:p>
    <w:p>
      <w:r>
        <w:rPr>
          <w:rFonts w:ascii="Times New Roman" w:hAnsi="Times New Roman" w:eastAsia="宋体"/>
          <w:sz w:val="21"/>
        </w:rPr>
        <w:t>作者: Kede Ma</w:t>
        <w:br/>
      </w:r>
      <w:r>
        <w:rPr>
          <w:rFonts w:ascii="Times New Roman" w:hAnsi="Times New Roman" w:eastAsia="宋体"/>
          <w:sz w:val="21"/>
        </w:rPr>
        <w:t xml:space="preserve">时间: 2026-02-03T05:45:25Z | </w:t>
      </w:r>
      <w:r>
        <w:t xml:space="preserve">链接: </w:t>
      </w:r>
      <w:hyperlink r:id="rId94">
        <w:r>
          <w:rPr>
            <w:rFonts w:ascii="Times New Roman" w:hAnsi="Times New Roman" w:eastAsia="宋体"/>
            <w:color w:val="0000FF"/>
            <w:sz w:val="21"/>
            <w:u w:val="single"/>
          </w:rPr>
          <w:t>https://arxiv.org/abs/2602.03139v1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分布匹配蒸馏 (DMD) 将多步生成器与其对应的少步生成器对齐，以在低推理成本下实现高质量生成。然而，DMD 往往会遭受模式崩溃的困扰，因为其反向 KL 公式本质上会鼓励模式搜索行为，而现有的补救措施通常依赖于感知或对抗性正则化，从而产生大量的计算开销和训练不稳定。在这项工作中，我们提出了一个角色分离的蒸馏框架，明确地分解了蒸馏步骤的作用：第一步致力于通过目标预测（例如，v-预测）目标来保留样本多样性，而后续步骤则专注于标准 DMD 损失下的质量细化，其中来自第一步的 DMD 目标的梯度被阻止。我们将这种方法称为多样性保留 DMD (DP-DMD)，尽管它很简单——没有感知主干，没有鉴别器，没有辅助网络，也没有额外的真实图像——但在广泛的文本到图像实验中保持了与最先进的方法相同的视觉质量，同时保留了样本多样性。</w:t>
      </w:r>
    </w:p>
    <w:p>
      <w:pPr>
        <w:spacing w:before="120"/>
      </w:pPr>
      <w:r>
        <w:rPr>
          <w:rFonts w:ascii="Times New Roman" w:hAnsi="Times New Roman" w:eastAsia="宋体"/>
          <w:b/>
          <w:sz w:val="21"/>
        </w:rPr>
        <w:t>English Abstract:</w:t>
      </w:r>
    </w:p>
    <w:p>
      <w:r>
        <w:rPr>
          <w:rFonts w:ascii="Times New Roman" w:hAnsi="Times New Roman" w:eastAsia="宋体"/>
          <w:sz w:val="21"/>
        </w:rPr>
        <w:t>Distribution matching distillation (DMD) aligns a multi-step generator with its few-step counterpart to enable high-quality generation under low inference cost. However, DMD tends to suffer from mode collapse, as its reverse-KL formulation inherently encourages mode-seeking behavior, for which existing remedies typically rely on perceptual or adversarial regularization, thereby incurring substantial computational overhead and training instability. In this work, we propose a role-separated distillation framework that explicitly disentangles the roles of distilled steps: the first step is dedicated to preserving sample diversity via a target-prediction (e.g., v-prediction) objective, while subsequent steps focus on quality refinement under the standard DMD loss, with gradients from the DMD objective blocked at the first step. We term this approach Diversity-Preserved DMD (DP-DMD), which, despite its simplicity -- no perceptual backbone, no discriminator, no auxiliary networks, and no additional ground-truth images -- preserves sample diversity while maintaining visual quality on par with state-of-the-art methods in extensive text-to-image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医学图像分割中的完全柯尔莫哥洛夫-阿诺德深度模型</w:t>
      </w:r>
    </w:p>
    <w:p>
      <w:r>
        <w:rPr>
          <w:rFonts w:ascii="Times New Roman" w:hAnsi="Times New Roman" w:eastAsia="宋体"/>
          <w:b/>
          <w:color w:val="003264"/>
          <w:sz w:val="24"/>
        </w:rPr>
        <w:t>Fully Kolmogorov-Arnold Deep Model in Medical Image Segmentation</w:t>
      </w:r>
    </w:p>
    <w:p>
      <w:r>
        <w:rPr>
          <w:rFonts w:ascii="Times New Roman" w:hAnsi="Times New Roman" w:eastAsia="宋体"/>
          <w:sz w:val="21"/>
        </w:rPr>
        <w:t>作者: Shuo Li</w:t>
        <w:br/>
      </w:r>
      <w:r>
        <w:rPr>
          <w:rFonts w:ascii="Times New Roman" w:hAnsi="Times New Roman" w:eastAsia="宋体"/>
          <w:sz w:val="21"/>
        </w:rPr>
        <w:t xml:space="preserve">时间: 2026-02-03T06:14:04Z | </w:t>
      </w:r>
      <w:r>
        <w:t xml:space="preserve">链接: </w:t>
      </w:r>
      <w:hyperlink r:id="rId95">
        <w:r>
          <w:rPr>
            <w:rFonts w:ascii="Times New Roman" w:hAnsi="Times New Roman" w:eastAsia="宋体"/>
            <w:color w:val="0000FF"/>
            <w:sz w:val="21"/>
            <w:u w:val="single"/>
          </w:rPr>
          <w:t>https://arxiv.org/abs/2602.03156v1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由于高训练难度和大量内存需求，深度堆叠的 KAN 实际上是不可能的。因此，现有的研究只能包含很少的 KAN 层，阻碍了对 KAN 的全面探索。这项研究克服了这些限制，并引入了第一个完全基于 KA 的深度模型，证明基于 KA 的层可以完全取代深度学习中的传统架构并实现卓越的学习能力。具体来说，（1）所提出的共享激活KAN（SaKAN）重新表述了Kolmogorov-Arnold表示定理的Sprecher变体，由于其简化的参数化和更密集的训练样本而实现了更好的优化，以减轻训练难度，（2）本文指出样条梯度对训练的贡献可以忽略不计，同时消耗大量的GPU内存，因此提出了Grad-Free Spline以显着减少内存使用和计算开销。 (3) 基于这两项创新，我们的 ALL U-KAN 是第一个完全基于 KA 的深度模型的代表性实现，其中提出的 KA 和 KAonv 层完全取代了 FC 和 Conv 层。对三个医学图像分割任务的广泛评估证实了完全基于 KA 的架构相对于部分基于 KA 的架构和传统架构的优越性，实现了更高的分割精度。与直接深度堆叠的KAN相比，ALL U-KAN实现了参数数量减少10倍，内存消耗减少20倍以上，开启了对深度KAN架构的新探索。</w:t>
      </w:r>
    </w:p>
    <w:p>
      <w:pPr>
        <w:spacing w:before="120"/>
      </w:pPr>
      <w:r>
        <w:rPr>
          <w:rFonts w:ascii="Times New Roman" w:hAnsi="Times New Roman" w:eastAsia="宋体"/>
          <w:b/>
          <w:sz w:val="21"/>
        </w:rPr>
        <w:t>English Abstract:</w:t>
      </w:r>
    </w:p>
    <w:p>
      <w:r>
        <w:rPr>
          <w:rFonts w:ascii="Times New Roman" w:hAnsi="Times New Roman" w:eastAsia="宋体"/>
          <w:sz w:val="21"/>
        </w:rPr>
        <w:t>Deeply stacked KANs are practically impossible due to high training difficulties and substantial memory requirements. Consequently, existing studies can only incorporate few KAN layers, hindering the comprehensive exploration of KANs. This study overcomes these limitations and introduces the first fully KA-based deep model, demonstrating that KA-based layers can entirely replace traditional architectures in deep learning and achieve superior learning capacity. Specifically, (1) the proposed Share-activation KAN (SaKAN) reformulates Sprecher's variant of Kolmogorov-Arnold representation theorem, which achieves better optimization due to its simplified parameterization and denser training samples, to ease training difficulty, (2) this paper indicates that spline gradients contribute negligibly to training while consuming huge GPU memory, thus proposes the Grad-Free Spline to significantly reduce memory usage and computational overhead. (3) Building on these two innovations, our ALL U-KAN is the first representative implementation of fully KA-based deep model, where the proposed KA and KAonv layers completely replace FC and Conv layers. Extensive evaluations on three medical image segmentation tasks confirm the superiority of the full KA-based architecture compared to partial KA-based and traditional architectures, achieving all higher segmentation accuracy. Compared to directly deeply stacked KAN, ALL U-KAN achieves 10 times reduction in parameter count and reduces memory consumption by more than 20 times, unlocking the new explorations into deep KAN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BinaryDemoire：用于图像 Demoiréing 的莫尔条纹感知二值化</w:t>
      </w:r>
    </w:p>
    <w:p>
      <w:r>
        <w:rPr>
          <w:rFonts w:ascii="Times New Roman" w:hAnsi="Times New Roman" w:eastAsia="宋体"/>
          <w:b/>
          <w:color w:val="003264"/>
          <w:sz w:val="24"/>
        </w:rPr>
        <w:t>BinaryDemoire: Moiré-Aware Binarization for Image Demoiréing</w:t>
      </w:r>
    </w:p>
    <w:p>
      <w:r>
        <w:rPr>
          <w:rFonts w:ascii="Times New Roman" w:hAnsi="Times New Roman" w:eastAsia="宋体"/>
          <w:sz w:val="21"/>
        </w:rPr>
        <w:t>作者: Yulun Zhang</w:t>
        <w:br/>
      </w:r>
      <w:r>
        <w:rPr>
          <w:rFonts w:ascii="Times New Roman" w:hAnsi="Times New Roman" w:eastAsia="宋体"/>
          <w:sz w:val="21"/>
        </w:rPr>
        <w:t xml:space="preserve">时间: 2026-02-03T06:45:10Z | </w:t>
      </w:r>
      <w:r>
        <w:t xml:space="preserve">链接: </w:t>
      </w:r>
      <w:hyperlink r:id="rId96">
        <w:r>
          <w:rPr>
            <w:rFonts w:ascii="Times New Roman" w:hAnsi="Times New Roman" w:eastAsia="宋体"/>
            <w:color w:val="0000FF"/>
            <w:sz w:val="21"/>
            <w:u w:val="single"/>
          </w:rPr>
          <w:t>https://arxiv.org/abs/2602.03176v1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波纹旨在消除重新捕获的图像中的结构化莫尔伪影，其中的退化与频率高度相关，并且随尺度和方向的不同而变化。虽然最近的深度网络实现了高质量的恢复，但其全精度设计的部署成本仍然很高。二值化通过将激活和权重量化为 1 位来提供极端的压缩机制。然而，人们很少对它进行去纹研究，并且在天真应用时表现不佳。在这项工作中，我们提出了 BinaryDemoire，一种二值化的去波纹框架，它明确地适应莫尔条纹退化的频率结构。首先，我们引入了一种莫尔感知二元门（MABG），它可以提取轻量级频率描述符和激活统计数据。它预测通道门控系数以调节二进制卷积响应的聚合。其次，我们设计了一个执行结构化稀疏快捷对齐的随机分组残差适配器（SGRA）。它进一步集成了交错混合，以促进不同通道分区之间的信息交换。对四个基准的大量实验表明，所提出的 BinaryDemoire 超越了当前的二值化方法。代码：https://github.com/zhengchen1999/BinaryDemoire。</w:t>
      </w:r>
    </w:p>
    <w:p>
      <w:pPr>
        <w:spacing w:before="120"/>
      </w:pPr>
      <w:r>
        <w:rPr>
          <w:rFonts w:ascii="Times New Roman" w:hAnsi="Times New Roman" w:eastAsia="宋体"/>
          <w:b/>
          <w:sz w:val="21"/>
        </w:rPr>
        <w:t>English Abstract:</w:t>
      </w:r>
    </w:p>
    <w:p>
      <w:r>
        <w:rPr>
          <w:rFonts w:ascii="Times New Roman" w:hAnsi="Times New Roman" w:eastAsia="宋体"/>
          <w:sz w:val="21"/>
        </w:rPr>
        <w:t>Image demoiréing aims to remove structured moiré artifacts in recaptured imagery, where degradations are highly frequency-dependent and vary across scales and directions. While recent deep networks achieve high-quality restoration, their full-precision designs remain costly for deployment. Binarization offers an extreme compression regime by quantizing both activations and weights to 1-bit. Yet, it has been rarely studied for demoiréing and performs poorly when naively applied. In this work, we propose BinaryDemoire, a binarized demoiréing framework that explicitly accommodates the frequency structure of moiré degradations. First, we introduce a moiré-aware binary gate (MABG) that extracts lightweight frequency descriptors together with activation statistics. It predicts channel-wise gating coefficients to condition the aggregation of binary convolution responses. Second, we design a shuffle-grouped residual adapter (SGRA) that performs structured sparse shortcut alignment. It further integrates interleaved mixing to promote information exchange across different channel partitions. Extensive experiments on four benchmarks demonstrate that the proposed BinaryDemoire surpasses current binarization methods. Code: https://github.com/zhengchen1999/BinaryDemoire.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VIRAL：通过扩散变压器中的类比进行视觉上下文推理</w:t>
      </w:r>
    </w:p>
    <w:p>
      <w:r>
        <w:rPr>
          <w:rFonts w:ascii="Times New Roman" w:hAnsi="Times New Roman" w:eastAsia="宋体"/>
          <w:b/>
          <w:color w:val="003264"/>
          <w:sz w:val="24"/>
        </w:rPr>
        <w:t>VIRAL: Visual In-Context Reasoning via Analogy in Diffusion Transformers</w:t>
      </w:r>
    </w:p>
    <w:p>
      <w:r>
        <w:rPr>
          <w:rFonts w:ascii="Times New Roman" w:hAnsi="Times New Roman" w:eastAsia="宋体"/>
          <w:sz w:val="21"/>
        </w:rPr>
        <w:t>作者: Yingda Chen</w:t>
        <w:br/>
      </w:r>
      <w:r>
        <w:rPr>
          <w:rFonts w:ascii="Times New Roman" w:hAnsi="Times New Roman" w:eastAsia="宋体"/>
          <w:sz w:val="21"/>
        </w:rPr>
        <w:t xml:space="preserve">时间: 2026-02-03T07:27:23Z | </w:t>
      </w:r>
      <w:r>
        <w:t xml:space="preserve">链接: </w:t>
      </w:r>
      <w:hyperlink r:id="rId97">
        <w:r>
          <w:rPr>
            <w:rFonts w:ascii="Times New Roman" w:hAnsi="Times New Roman" w:eastAsia="宋体"/>
            <w:color w:val="0000FF"/>
            <w:sz w:val="21"/>
            <w:u w:val="single"/>
          </w:rPr>
          <w:t>https://arxiv.org/abs/2602.03210v1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由于任务异构性，在计算机视觉中复制上下文学习（ICL）仍然具有挑战性。我们提出了 \textbf{VIRAL}，这是一个框架，通过视觉类比将 ICL 制定为条件生成（$x_s : x_t :: x_q : y_q$），从预先训练的图像编辑模型中引发视觉推理。我们使用角色感知多图像调节来适应冻结的扩散变压器 (DiT)，并引入专家混合 LoRA 来减轻不同任务之间的梯度干扰。此外，为了弥补当前视觉上下文数据集的差距，我们策划了一个涵盖感知、恢复和编辑的大规模数据集。实验表明，VIRAL 优于现有方法，验证了统一的 V-ICL 范例可以处理大多数视觉任务，包括开放域编辑。我们的代码位于 https://anonymous.4open.science/r/VIRAL-744A</w:t>
      </w:r>
    </w:p>
    <w:p>
      <w:pPr>
        <w:spacing w:before="120"/>
      </w:pPr>
      <w:r>
        <w:rPr>
          <w:rFonts w:ascii="Times New Roman" w:hAnsi="Times New Roman" w:eastAsia="宋体"/>
          <w:b/>
          <w:sz w:val="21"/>
        </w:rPr>
        <w:t>English Abstract:</w:t>
      </w:r>
    </w:p>
    <w:p>
      <w:r>
        <w:rPr>
          <w:rFonts w:ascii="Times New Roman" w:hAnsi="Times New Roman" w:eastAsia="宋体"/>
          <w:sz w:val="21"/>
        </w:rPr>
        <w:t>Replicating In-Context Learning (ICL) in computer vision remains challenging due to task heterogeneity. We propose \textbf{VIRAL}, a framework that elicits visual reasoning from a pre-trained image editing model by formulating ICL as conditional generation via visual analogy ($x_s : x_t :: x_q : y_q$). We adapt a frozen Diffusion Transformer (DiT) using role-aware multi-image conditioning and introduce a Mixture-of-Experts LoRA to mitigate gradient interference across diverse tasks. Additionally, to bridge the gaps in current visual context datasets, we curate a large-scale dataset spanning perception, restoration, and editing. Experiments demonstrate that VIRAL outperforms existing methods, validating that a unified V-ICL paradigm can handle the majority of visual tasks, including open-domain editing. Our code is available at https://anonymous.4open.science/r/VIRAL-744A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PokeFusion 注意：增强无参考样式条件生成</w:t>
      </w:r>
    </w:p>
    <w:p>
      <w:r>
        <w:rPr>
          <w:rFonts w:ascii="Times New Roman" w:hAnsi="Times New Roman" w:eastAsia="宋体"/>
          <w:b/>
          <w:color w:val="003264"/>
          <w:sz w:val="24"/>
        </w:rPr>
        <w:t>PokeFusion Attention: Enhancing Reference-Free Style-Conditioned Generation</w:t>
      </w:r>
    </w:p>
    <w:p>
      <w:r>
        <w:rPr>
          <w:rFonts w:ascii="Times New Roman" w:hAnsi="Times New Roman" w:eastAsia="宋体"/>
          <w:sz w:val="21"/>
        </w:rPr>
        <w:t>作者: Jingbang Tang</w:t>
        <w:br/>
      </w:r>
      <w:r>
        <w:rPr>
          <w:rFonts w:ascii="Times New Roman" w:hAnsi="Times New Roman" w:eastAsia="宋体"/>
          <w:sz w:val="21"/>
        </w:rPr>
        <w:t xml:space="preserve">时间: 2026-02-03T07:44:01Z | </w:t>
      </w:r>
      <w:r>
        <w:t xml:space="preserve">链接: </w:t>
      </w:r>
      <w:hyperlink r:id="rId98">
        <w:r>
          <w:rPr>
            <w:rFonts w:ascii="Times New Roman" w:hAnsi="Times New Roman" w:eastAsia="宋体"/>
            <w:color w:val="0000FF"/>
            <w:sz w:val="21"/>
            <w:u w:val="single"/>
          </w:rPr>
          <w:t>https://arxiv.org/abs/2602.03220v1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文本到图像扩散模型中的无参考样式条件字符生成，其中高质量合成需要稳定的字符结构和跨不同提示的一致、细粒度的样式表达。现有的方法主要依赖于纯文本提示，这种提示通常对视觉风格指定不足，往往会产生明显的风格漂移和几何不一致，或者引入在推理时依赖于外部图像的基于参考的适配器，增加架构复杂性并限制部署灵活性。我们提出了 PokeFusion Attention，一种轻量级解码器级交叉注意机制，它将文本语义与直接在扩散解码器内部学习的风格嵌入融合在一起。通过在注意力级别解耦文本和风格条件，我们的方法可以实现有效的无参考风格化生成，同时保持预训练的扩散主干完全冻结。PokeFusion Attention 仅训练解码器交叉注意力层和紧凑风格投影模块，从而产生参数高效且即插即用的控制组件，可以轻松集成到现有扩散管道中并跨不同主干传输。风格化字符生成基准（Pokemon 风格）的实验表明，我们的方法持续改进风格与代表性的基于适配器的基线相比，保真度、语义对齐和字符形状一致性，同时保持低参数开销和推理时间简单性。</w:t>
      </w:r>
    </w:p>
    <w:p>
      <w:pPr>
        <w:spacing w:before="120"/>
      </w:pPr>
      <w:r>
        <w:rPr>
          <w:rFonts w:ascii="Times New Roman" w:hAnsi="Times New Roman" w:eastAsia="宋体"/>
          <w:b/>
          <w:sz w:val="21"/>
        </w:rPr>
        <w:t>English Abstract:</w:t>
      </w:r>
    </w:p>
    <w:p>
      <w:r>
        <w:rPr>
          <w:rFonts w:ascii="Times New Roman" w:hAnsi="Times New Roman" w:eastAsia="宋体"/>
          <w:sz w:val="21"/>
        </w:rPr>
        <w:t>This paper studies reference-free style-conditioned character generation in text-to-image diffusion models, where high-quality synthesis requires both stable character structure and consistent, fine-grained style expression across diverse prompts. Existing approaches primarily rely on text-only prompting, which is often under-specified for visual style and tends to produce noticeable style drift and geometric inconsistency, or introduce reference-based adapters that depend on external images at inference time, increasing architectural complexity and limiting deployment flexibility.We propose PokeFusion Attention, a lightweight decoder-level cross-attention mechanism that fuses textual semantics with learned style embeddings directly inside the diffusion decoder. By decoupling text and style conditioning at the attention level, our method enables effective reference-free stylized generation while keeping the pretrained diffusion backbone fully frozen.PokeFusion Attention trains only decoder cross-attention layers together with a compact style projection module, resulting in a parameter-efficient and plug-and-play control component that can be easily integrated into existing diffusion pipelines and transferred across different backbones.Experiments on a stylized character generation benchmark (Pokemon-style) demonstrate that our method consistently improves style fidelity, semantic alignment, and character shape consistency compared with representative adapter-based baselines, while maintaining low parameter overhead and inference-time simplicity.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螺旋绳：在 2D 平面中旋转旋转位置嵌入</w:t>
      </w:r>
    </w:p>
    <w:p>
      <w:r>
        <w:rPr>
          <w:rFonts w:ascii="Times New Roman" w:hAnsi="Times New Roman" w:eastAsia="宋体"/>
          <w:b/>
          <w:color w:val="003264"/>
          <w:sz w:val="24"/>
        </w:rPr>
        <w:t>Spiral RoPE: Rotate Your Rotary Positional Embeddings in the 2D Plane</w:t>
      </w:r>
    </w:p>
    <w:p>
      <w:r>
        <w:rPr>
          <w:rFonts w:ascii="Times New Roman" w:hAnsi="Times New Roman" w:eastAsia="宋体"/>
          <w:sz w:val="21"/>
        </w:rPr>
        <w:t>作者: Feng Wang</w:t>
        <w:br/>
      </w:r>
      <w:r>
        <w:rPr>
          <w:rFonts w:ascii="Times New Roman" w:hAnsi="Times New Roman" w:eastAsia="宋体"/>
          <w:sz w:val="21"/>
        </w:rPr>
        <w:t xml:space="preserve">时间: 2026-02-03T07:56:58Z | </w:t>
      </w:r>
      <w:r>
        <w:t xml:space="preserve">链接: </w:t>
      </w:r>
      <w:hyperlink r:id="rId99">
        <w:r>
          <w:rPr>
            <w:rFonts w:ascii="Times New Roman" w:hAnsi="Times New Roman" w:eastAsia="宋体"/>
            <w:color w:val="0000FF"/>
            <w:sz w:val="21"/>
            <w:u w:val="single"/>
          </w:rPr>
          <w:t>https://arxiv.org/abs/2602.03227v1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旋转位置嵌入 (RoPE) 是大型语言模型中事实上的位置编码，因为它能够编码相对位置并支持长度外推。当适应视觉变换器时，标准轴向公式将二维空间位置分解为水平和垂直分量，隐式地将位置编码限制为轴对齐方向。我们认为这种方向约束是标准轴向 2D RoPE 的基本限制，它阻碍了自然图像中自然存在的倾斜空间关系的建模。为了克服这一限制，我们提出了 Spiral RoPE，这是一种简单而有效的扩展，通过将嵌入通道划分为与均匀分布方向相关的多个组来实现多方向位置编码。每组根据块位置在其相应方向上的投影进行旋转，从而允许在水平轴和垂直轴之外对空间关系进行编码。在分类、分割和生成等广泛的视觉任务中，Spiral RoPE 不断提高性能。对注意力图的定性分析进一步表明，Spiral RoPE 对语义相关的对象表现出更集中的激活，并且更好地尊重局部对象边界，凸显了视觉变换器中多方向位置编码的重要性。</w:t>
      </w:r>
    </w:p>
    <w:p>
      <w:pPr>
        <w:spacing w:before="120"/>
      </w:pPr>
      <w:r>
        <w:rPr>
          <w:rFonts w:ascii="Times New Roman" w:hAnsi="Times New Roman" w:eastAsia="宋体"/>
          <w:b/>
          <w:sz w:val="21"/>
        </w:rPr>
        <w:t>English Abstract:</w:t>
      </w:r>
    </w:p>
    <w:p>
      <w:r>
        <w:rPr>
          <w:rFonts w:ascii="Times New Roman" w:hAnsi="Times New Roman" w:eastAsia="宋体"/>
          <w:sz w:val="21"/>
        </w:rPr>
        <w:t>Rotary Position Embedding (RoPE) is the de facto positional encoding in large language models due to its ability to encode relative positions and support length extrapolation. When adapted to vision transformers, the standard axial formulation decomposes two-dimensional spatial positions into horizontal and vertical components, implicitly restricting positional encoding to axis-aligned directions. We identify this directional constraint as a fundamental limitation of the standard axial 2D RoPE, which hinders the modeling of oblique spatial relationships that naturally exist in natural images. To overcome this limitation, we propose Spiral RoPE, a simple yet effective extension that enables multi-directional positional encoding by partitioning embedding channels into multiple groups associated with uniformly distributed directions. Each group is rotated according to the projection of the patch position onto its corresponding direction, allowing spatial relationships to be encoded beyond the horizontal and vertical axes. Across a wide range of vision tasks including classification, segmentation, and generation, Spiral RoPE consistently improves performance. Qualitative analysis of attention maps further show that Spiral RoPE exhibits more concentrated activations on semantically relevant objects and better respects local object boundaries, highlighting the importance of multi-directional positional encoding in vision transformers.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EventFlash：实现基于事件的视觉的高效 MLLM</w:t>
      </w:r>
    </w:p>
    <w:p>
      <w:r>
        <w:rPr>
          <w:rFonts w:ascii="Times New Roman" w:hAnsi="Times New Roman" w:eastAsia="宋体"/>
          <w:b/>
          <w:color w:val="003264"/>
          <w:sz w:val="24"/>
        </w:rPr>
        <w:t>EventFlash: Towards Efficient MLLMs for Event-Based Vision</w:t>
      </w:r>
    </w:p>
    <w:p>
      <w:r>
        <w:rPr>
          <w:rFonts w:ascii="Times New Roman" w:hAnsi="Times New Roman" w:eastAsia="宋体"/>
          <w:sz w:val="21"/>
        </w:rPr>
        <w:t>作者: Xiangyang Ji</w:t>
        <w:br/>
      </w:r>
      <w:r>
        <w:rPr>
          <w:rFonts w:ascii="Times New Roman" w:hAnsi="Times New Roman" w:eastAsia="宋体"/>
          <w:sz w:val="21"/>
        </w:rPr>
        <w:t xml:space="preserve">时间: 2026-02-03T08:06:45Z | </w:t>
      </w:r>
      <w:r>
        <w:t xml:space="preserve">链接: </w:t>
      </w:r>
      <w:hyperlink r:id="rId100">
        <w:r>
          <w:rPr>
            <w:rFonts w:ascii="Times New Roman" w:hAnsi="Times New Roman" w:eastAsia="宋体"/>
            <w:color w:val="0000FF"/>
            <w:sz w:val="21"/>
            <w:u w:val="single"/>
          </w:rPr>
          <w:t>https://arxiv.org/abs/2602.03230v1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基于事件的多模态大语言模型 (MLLM) 可在高速和弱光场景下实现稳健的感知，解决基于帧的 MLLM 的关键限制。然而，当前基于事件的 MLLM 通常依赖于密集的类图像处理范例，忽视了事件流的时空稀疏性，导致计算成本较高。在本文中，我们提出了 EventFlash，这是一种新颖且高效的 MLLM，用于探索时空令牌稀疏化，以减少数据冗余并加速推理。从技术上讲，我们构建了 EventMind，这是一个具有超过 500k 指令集的大规模且场景多样化的数据集，提供短事件流序列和长事件流序列来支持我们的课程培训策略。然后，我们提出了一种用于高效时间采样的自适应时间窗口聚合模块，该模块自适应地压缩时间标记，同时保留关键时间线索。最后，设计了一个稀疏密度引导的注意模块，通过选择信息丰富的区域并抑制空白或稀疏区域来提高空间标记效率。实验结果表明，EventFlash 的吞吐量比基准 (EventFlash-Zero) 提高了 12.4 倍，同时保持了相当的性能。它支持多达 1,000 个 bin 的远程事件流处理，显着优于 EventGPT 的 5 个 bin 限制。我们相信 EventFlash 是基于事件的视觉的有效基础模型。</w:t>
      </w:r>
    </w:p>
    <w:p>
      <w:pPr>
        <w:spacing w:before="120"/>
      </w:pPr>
      <w:r>
        <w:rPr>
          <w:rFonts w:ascii="Times New Roman" w:hAnsi="Times New Roman" w:eastAsia="宋体"/>
          <w:b/>
          <w:sz w:val="21"/>
        </w:rPr>
        <w:t>English Abstract:</w:t>
      </w:r>
    </w:p>
    <w:p>
      <w:r>
        <w:rPr>
          <w:rFonts w:ascii="Times New Roman" w:hAnsi="Times New Roman" w:eastAsia="宋体"/>
          <w:sz w:val="21"/>
        </w:rPr>
        <w:t>Event-based multimodal large language models (MLLMs) enable robust perception in high-speed and low-light scenarios, addressing key limitations of frame-based MLLMs. However, current event-based MLLMs often rely on dense image-like processing paradigms, overlooking the spatiotemporal sparsity of event streams and resulting in high computational cost. In this paper, we propose EventFlash, a novel and efficient MLLM to explore spatiotemporal token sparsification for reducing data redundancy and accelerating inference. Technically, we build EventMind, a large-scale and scene-diverse dataset with over 500k instruction sets, providing both short and long event stream sequences to support our curriculum training strategy. We then present an adaptive temporal window aggregation module for efficient temporal sampling, which adaptively compresses temporal tokens while retaining key temporal cues. Finally, a sparse density-guided attention module is designed to improve spatial token efficiency by selecting informative regions and suppressing empty or sparse areas. Experimental results show that EventFlash achieves a $12.4\times$ throughput improvement over the baseline (EventFlash-Zero) while maintaining comparable performance. It supports long-range event stream processing with up to 1,000 bins, significantly outperforming the 5-bin limit of EventGPT. We believe EventFlash serves as an efficient foundation model for event-based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A3-TTA：图像分割的自适应锚点对齐测试时间自适应</w:t>
      </w:r>
    </w:p>
    <w:p>
      <w:r>
        <w:rPr>
          <w:rFonts w:ascii="Times New Roman" w:hAnsi="Times New Roman" w:eastAsia="宋体"/>
          <w:b/>
          <w:color w:val="003264"/>
          <w:sz w:val="24"/>
        </w:rPr>
        <w:t>A3-TTA: Adaptive Anchor Alignment Test-Time Adaptation for Image Segmentation</w:t>
      </w:r>
    </w:p>
    <w:p>
      <w:r>
        <w:rPr>
          <w:rFonts w:ascii="Times New Roman" w:hAnsi="Times New Roman" w:eastAsia="宋体"/>
          <w:sz w:val="21"/>
        </w:rPr>
        <w:t>作者: Shaoting Zhang</w:t>
        <w:br/>
      </w:r>
      <w:r>
        <w:rPr>
          <w:rFonts w:ascii="Times New Roman" w:hAnsi="Times New Roman" w:eastAsia="宋体"/>
          <w:sz w:val="21"/>
        </w:rPr>
        <w:t xml:space="preserve">时间: 2026-02-03T09:18:11Z | </w:t>
      </w:r>
      <w:r>
        <w:t xml:space="preserve">链接: </w:t>
      </w:r>
      <w:hyperlink r:id="rId101">
        <w:r>
          <w:rPr>
            <w:rFonts w:ascii="Times New Roman" w:hAnsi="Times New Roman" w:eastAsia="宋体"/>
            <w:color w:val="0000FF"/>
            <w:sz w:val="21"/>
            <w:u w:val="single"/>
          </w:rPr>
          <w:t>https://arxiv.org/abs/2602.03292v1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测试时适应 (TTA) 提供了一种实用的解决方案，用于在域转移下部署图像分割模型，而无需访问源数据或重新训练。在现有的 TTA 策略中，基于伪标签的方法表现出了良好的性能。然而，它们通常依赖于扰动集合启发法（例如，丢失采样、测试时间增强、高斯噪声），​​这些方法缺乏分布式基础并产生不稳定的训练信号。这可能会在适应过程中引发错误积累和灾难性遗忘。为了解决这个问题，我们提出了 \textbf{A3-TTA}，这是一个通过锚引导监督构建可靠伪标签的 TTA 框架。具体来说，我们使用类紧凑密度度量来识别预测良好的目标域图像，假设置信的预测意味着与源域的分布接近。这些锚作为稳定的参考来指导伪标签生成，通过语义一致性和边界感知熵最小化进一步规范化。此外，我们引入了自适应指数移动平均策略，以减轻标签噪声并稳定适应过程中的模型更新。在多领域医学图像（心脏结构和前列腺分割）和自然图像上进行评估，与源模型相比，A3-TTA 的平均 Dice 分数显着提高了 10.40 至 17.68 个百分点，在不同分割模型架构下优于几种最先进的 TTA 方法。 A3-TTA在连续TTA方面也表现出色，在连续目标域上保持高性能，具有很强的抗遗忘能力。该代码将在 https://github.com/HiLab-git/A3-TTA 上公开发布。</w:t>
      </w:r>
    </w:p>
    <w:p>
      <w:pPr>
        <w:spacing w:before="120"/>
      </w:pPr>
      <w:r>
        <w:rPr>
          <w:rFonts w:ascii="Times New Roman" w:hAnsi="Times New Roman" w:eastAsia="宋体"/>
          <w:b/>
          <w:sz w:val="21"/>
        </w:rPr>
        <w:t>English Abstract:</w:t>
      </w:r>
    </w:p>
    <w:p>
      <w:r>
        <w:rPr>
          <w:rFonts w:ascii="Times New Roman" w:hAnsi="Times New Roman" w:eastAsia="宋体"/>
          <w:sz w:val="21"/>
        </w:rPr>
        <w:t>Test-Time Adaptation (TTA) offers a practical solution for deploying image segmentation models under domain shift without accessing source data or retraining. Among existing TTA strategies, pseudo-label-based methods have shown promising performance. However, they often rely on perturbation-ensemble heuristics (e.g., dropout sampling, test-time augmentation, Gaussian noise), which lack distributional grounding and yield unstable training signals. This can trigger error accumulation and catastrophic forgetting during adaptation. To address this, we propose \textbf{A3-TTA}, a TTA framework that constructs reliable pseudo-labels through anchor-guided supervision. Specifically, we identify well-predicted target domain images using a class compact density metric, under the assumption that confident predictions imply distributional proximity to the source domain. These anchors serve as stable references to guide pseudo-label generation, which is further regularized via semantic consistency and boundary-aware entropy minimization. Additionally, we introduce a self-adaptive exponential moving average strategy to mitigate label noise and stabilize model update during adaptation. Evaluated on both multi-domain medical images (heart structure and prostate segmentation) and natural images, A3-TTA significantly improves average Dice scores by 10.40 to 17.68 percentage points compared to the source model, outperforming several state-of-the-art TTA methods under different segmentation model architectures. A3-TTA also excels in continual TTA, maintaining high performance across sequential target domains with strong anti-forgetting ability. The code will be made publicly available at https://github.com/HiLab-git/A3-TTA.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PQTNet：用于通过增材制造估算聚乳酸零件缺陷深度的像素式定量热成像神经网络</w:t>
      </w:r>
    </w:p>
    <w:p>
      <w:r>
        <w:rPr>
          <w:rFonts w:ascii="Times New Roman" w:hAnsi="Times New Roman" w:eastAsia="宋体"/>
          <w:b/>
          <w:color w:val="003264"/>
          <w:sz w:val="24"/>
        </w:rPr>
        <w:t>PQTNet: Pixel-wise Quantitative Thermography Neural Network for Estimating Defect Depth in Polylactic Acid Parts by Additive Manufacturing</w:t>
      </w:r>
    </w:p>
    <w:p>
      <w:r>
        <w:rPr>
          <w:rFonts w:ascii="Times New Roman" w:hAnsi="Times New Roman" w:eastAsia="宋体"/>
          <w:sz w:val="21"/>
        </w:rPr>
        <w:t>作者: Yue Ma</w:t>
        <w:br/>
      </w:r>
      <w:r>
        <w:rPr>
          <w:rFonts w:ascii="Times New Roman" w:hAnsi="Times New Roman" w:eastAsia="宋体"/>
          <w:sz w:val="21"/>
        </w:rPr>
        <w:t xml:space="preserve">时间: 2026-02-03T09:43:15Z | </w:t>
      </w:r>
      <w:r>
        <w:t xml:space="preserve">链接: </w:t>
      </w:r>
      <w:hyperlink r:id="rId102">
        <w:r>
          <w:rPr>
            <w:rFonts w:ascii="Times New Roman" w:hAnsi="Times New Roman" w:eastAsia="宋体"/>
            <w:color w:val="0000FF"/>
            <w:sz w:val="21"/>
            <w:u w:val="single"/>
          </w:rPr>
          <w:t>https://arxiv.org/abs/2602.03314v1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部件中的缺陷深度量化仍然是无损检测 (NDT) 的重大挑战。本研究提出了一种逐像素定量热成像神经网络 (PQT-Net) 来解决聚乳酸 (PLA) 部件的这一挑战。一项关键创新是一种新颖的数据增强策略，该策略将热序列数据重建为二维条纹图像，保留每个像素热扩散的完整时间演化。 PQT-Net 架构结合了预训练的 EfficientNetV2-S 主干和自定义残差回归头 (RRH)，其具有可学习参数以优化输出。对比实验证明了 PQT-Net 相对于其他深度学习模型的优越性，实现了最小平均绝对误差（MAE）为 0.0094 mm，决定系数（R）超过 99%。 PQT-Net 的高精度凸显了其在增材制造中稳健的定量缺陷表征的潜力。</w:t>
      </w:r>
    </w:p>
    <w:p>
      <w:pPr>
        <w:spacing w:before="120"/>
      </w:pPr>
      <w:r>
        <w:rPr>
          <w:rFonts w:ascii="Times New Roman" w:hAnsi="Times New Roman" w:eastAsia="宋体"/>
          <w:b/>
          <w:sz w:val="21"/>
        </w:rPr>
        <w:t>English Abstract:</w:t>
      </w:r>
    </w:p>
    <w:p>
      <w:r>
        <w:rPr>
          <w:rFonts w:ascii="Times New Roman" w:hAnsi="Times New Roman" w:eastAsia="宋体"/>
          <w:sz w:val="21"/>
        </w:rPr>
        <w:t>Defect depth quantification in additively manufactured (AM) components remains a significant challenge for non-destructive testing (NDT). This study proposes a Pixel-wise Quantitative Thermography Neural Network (PQT-Net) to address this challenge for polylactic acid (PLA) parts. A key innovation is a novel data augmentation strategy that reconstructs thermal sequence data into two-dimensional stripe images, preserving the complete temporal evolution of heat diffusion for each pixel. The PQT-Net architecture incorporates a pre-trained EfficientNetV2-S backbone and a custom Residual Regression Head (RRH) with learnable parameters to refine outputs. Comparative experiments demonstrate the superiority of PQT-Net over other deep learning models, achieving a minimum Mean Absolute Error (MAE) of 0.0094 mm and a coefficient of determination (R) exceeding 99%. The high precision of PQT-Net underscores its potential for robust quantitative defect characterization in 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用于生成数据增强的隐形清洁标签后门攻击</w:t>
      </w:r>
    </w:p>
    <w:p>
      <w:r>
        <w:rPr>
          <w:rFonts w:ascii="Times New Roman" w:hAnsi="Times New Roman" w:eastAsia="宋体"/>
          <w:b/>
          <w:color w:val="003264"/>
          <w:sz w:val="24"/>
        </w:rPr>
        <w:t>Invisible Clean-Label Backdoor Attacks for Generative Data Augmentation</w:t>
      </w:r>
    </w:p>
    <w:p>
      <w:r>
        <w:rPr>
          <w:rFonts w:ascii="Times New Roman" w:hAnsi="Times New Roman" w:eastAsia="宋体"/>
          <w:sz w:val="21"/>
        </w:rPr>
        <w:t>作者: Zhuo Tang</w:t>
        <w:br/>
      </w:r>
      <w:r>
        <w:rPr>
          <w:rFonts w:ascii="Times New Roman" w:hAnsi="Times New Roman" w:eastAsia="宋体"/>
          <w:sz w:val="21"/>
        </w:rPr>
        <w:t xml:space="preserve">时间: 2026-02-03T09:46:37Z | </w:t>
      </w:r>
      <w:r>
        <w:t xml:space="preserve">链接: </w:t>
      </w:r>
      <w:hyperlink r:id="rId103">
        <w:r>
          <w:rPr>
            <w:rFonts w:ascii="Times New Roman" w:hAnsi="Times New Roman" w:eastAsia="宋体"/>
            <w:color w:val="0000FF"/>
            <w:sz w:val="21"/>
            <w:u w:val="single"/>
          </w:rPr>
          <w:t>https://arxiv.org/abs/2602.03316v1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图像生成模型的快速发展，生成数据增强已成为丰富训练图像的有效方法，特别是当只有小规模数据集可用时。与此同时，在实际应用中，生成数据增强可能容易受到旨在绕过人类检查的清洁标签后门攻击。然而，基于理论分析和初步实验，我们观察到直接将现有的像素级清洁标签后门攻击方法（例如COMBAT）应用于生成的图像会导致攻击成功率较低。这促使我们超越像素级触发器，转而关注潜在的特征级别。为此，我们提出了 InvLBA，这是一种通过潜在扰动来增强生成数据的隐形清洁标签后门攻击方法。我们从理论上证明了InvLBA的干净准确率和攻击成功率的泛化是可以保证的。在多个数据集上的实验表明，我们的方法平均将攻击成功率提高了 46.43%，并且干净精度几乎没有降低，并且对 SOTA 防御方法具有很高的鲁棒性。</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image generative models, generative data augmentation has become an effective way to enrich training images, especially when only small-scale datasets are available. At the same time, in practical applications, generative data augmentation can be vulnerable to clean-label backdoor attacks, which aim to bypass human inspection. However, based on theoretical analysis and preliminary experiments, we observe that directly applying existing pixel-level clean-label backdoor attack methods (e.g., COMBAT) to generated images results in low attack success rates. This motivates us to move beyond pixel-level triggers and focus instead on the latent feature level. To this end, we propose InvLBA, an invisible clean-label backdoor attack method for generative data augmentation by latent perturbation. We theoretically prove that the generalization of the clean accuracy and attack success rates of InvLBA can be guaranteed. Experiments on multiple datasets show that our method improves the attack success rate by 46.43% on average, with almost no reduction in clean accuracy and high robustness against SOTA defense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MedSAM-Agent：通过多轮代理强化学习增强交互式医学图像分割</w:t>
      </w:r>
    </w:p>
    <w:p>
      <w:r>
        <w:rPr>
          <w:rFonts w:ascii="Times New Roman" w:hAnsi="Times New Roman" w:eastAsia="宋体"/>
          <w:b/>
          <w:color w:val="003264"/>
          <w:sz w:val="24"/>
        </w:rPr>
        <w:t>MedSAM-Agent: Empowering Interactive Medical Image Segmentation with Multi-turn Agentic Reinforcement Learning</w:t>
      </w:r>
    </w:p>
    <w:p>
      <w:r>
        <w:rPr>
          <w:rFonts w:ascii="Times New Roman" w:hAnsi="Times New Roman" w:eastAsia="宋体"/>
          <w:sz w:val="21"/>
        </w:rPr>
        <w:t>作者: Yixuan Yuan</w:t>
        <w:br/>
      </w:r>
      <w:r>
        <w:rPr>
          <w:rFonts w:ascii="Times New Roman" w:hAnsi="Times New Roman" w:eastAsia="宋体"/>
          <w:sz w:val="21"/>
        </w:rPr>
        <w:t xml:space="preserve">时间: 2026-02-03T09:47:49Z | </w:t>
      </w:r>
      <w:r>
        <w:t xml:space="preserve">链接: </w:t>
      </w:r>
      <w:hyperlink r:id="rId104">
        <w:r>
          <w:rPr>
            <w:rFonts w:ascii="Times New Roman" w:hAnsi="Times New Roman" w:eastAsia="宋体"/>
            <w:color w:val="0000FF"/>
            <w:sz w:val="21"/>
            <w:u w:val="single"/>
          </w:rPr>
          <w:t>https://arxiv.org/abs/2602.03320v1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医学图像分割正在从特定于任务的模型发展到通用框架。最近的研究利用多模态大型语言模型 (MLLM) 作为自主代理，采用具有可验证奖励的强化学习 (RLVR) 来编排分段任意模型 (SAM) 等专用工具。然而，这些方法往往依赖于单轮、僵化的交互策略，并且在训练过程中缺乏过程级监督，这阻碍了它们充分利用交互工具的动态潜力的能力，并导致冗余动作。为了弥补这一差距，我们提出了 MedSAM-Agent，这是一个将交互式细分重新表述为多步骤自主决策过程的框架。首先，我们引入了一种用于专家策划的轨迹生成的混合提示策略，使模型能够内化类人决策启发法和自适应细化策略。此外，我们开发了一个两阶段的训练管道，将多轮、端到端结果验证与临床保真度过程奖励设计相结合，以促进交互简约性和决策效率。跨越 6 种医疗模式和 21 个数据集的广泛实验表明，MedSAM-Agent 实现了最先进的性能，有效地将自主医疗推理与稳健的迭代优化相结合。代码可在 \href{https://github.com/CUHK-AIM-Group/MedSAM-Agent}{here} 获取。</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is evolving from task-specific models toward generalizable frameworks. Recent research leverages Multi-modal Large Language Models (MLLMs) as autonomous agents, employing reinforcement learning with verifiable reward (RLVR) to orchestrate specialized tools like the Segment Anything Model (SAM). However, these approaches often rely on single-turn, rigid interaction strategies and lack process-level supervision during training, which hinders their ability to fully exploit the dynamic potential of interactive tools and leads to redundant actions. To bridge this gap, we propose MedSAM-Agent, a framework that reformulates interactive segmentation as a multi-step autonomous decision-making process. First, we introduce a hybrid prompting strategy for expert-curated trajectory generation, enabling the model to internalize human-like decision heuristics and adaptive refinement strategies. Furthermore, we develop a two-stage training pipeline that integrates multi-turn, end-to-end outcome verification with a clinical-fidelity process reward design to promote interaction parsimony and decision efficiency. Extensive experiments across 6 medical modalities and 21 datasets demonstrate that MedSAM-Agent achieves state-of-the-art performance, effectively unifying autonomous medical reasoning with robust, iterative optimization. Code is available \href{https://github.com/CUHK-AIM-Group/MedSAM-Agent}{here}.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Pi-GS：具有密集 π^3 初始化的稀疏视图高斯泼溅</w:t>
      </w:r>
    </w:p>
    <w:p>
      <w:r>
        <w:rPr>
          <w:rFonts w:ascii="Times New Roman" w:hAnsi="Times New Roman" w:eastAsia="宋体"/>
          <w:b/>
          <w:color w:val="003264"/>
          <w:sz w:val="24"/>
        </w:rPr>
        <w:t>Pi-GS: Sparse-View Gaussian Splatting with Dense π^3 Initialization</w:t>
      </w:r>
    </w:p>
    <w:p>
      <w:r>
        <w:rPr>
          <w:rFonts w:ascii="Times New Roman" w:hAnsi="Times New Roman" w:eastAsia="宋体"/>
          <w:sz w:val="21"/>
        </w:rPr>
        <w:t>作者: Thomas Köhler</w:t>
        <w:br/>
      </w:r>
      <w:r>
        <w:rPr>
          <w:rFonts w:ascii="Times New Roman" w:hAnsi="Times New Roman" w:eastAsia="宋体"/>
          <w:sz w:val="21"/>
        </w:rPr>
        <w:t xml:space="preserve">时间: 2026-02-03T09:55:03Z | </w:t>
      </w:r>
      <w:r>
        <w:t xml:space="preserve">链接: </w:t>
      </w:r>
      <w:hyperlink r:id="rId105">
        <w:r>
          <w:rPr>
            <w:rFonts w:ascii="Times New Roman" w:hAnsi="Times New Roman" w:eastAsia="宋体"/>
            <w:color w:val="0000FF"/>
            <w:sz w:val="21"/>
            <w:u w:val="single"/>
          </w:rPr>
          <w:t>https://arxiv.org/abs/2602.03327v1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新颖的视图合成发展迅速，从神经辐射场发展到 3D 高斯分布 (3DGS)，它提供实时渲染和快速训练，而不影响视觉保真度。然而，3DGS 严重依赖于准确的相机位姿和高质量的点云初始化，这在稀疏视图场景中很难获得。虽然传统的运动结构 (SfM) 管道在这些设置中经常失败，但现有的基于学习的点估计替代方案通常需要可靠的参考视图，并且对姿态或深度错误保持敏感。在这项工作中，我们提出了一种利用 π^3（一种无参考点云估计网络）的鲁棒方法。我们将 π^3 的密集初始化与旨在减轻几何误差的正则化方案相结合。具体来说，我们采用不确定性引导的深度监督、正态一致性损失和深度扭曲。实验结果表明，我们的方法在 Tanks 和 Temples、LLFF、DTU 和 MipNeRF360 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has evolved rapidly, advancing from Neural Radiance Fields to 3D Gaussian Splatting (3DGS), which offers real-time rendering and rapid training without compromising visual fidelity. However, 3DGS relies heavily on accurate camera poses and high-quality point cloud initialization, which are difficult to obtain in sparse-view scenarios. While traditional Structure from Motion (SfM) pipelines often fail in these settings, existing learning-based point estimation alternatives typically require reliable reference views and remain sensitive to pose or depth errors. In this work, we propose a robust method utilizing π^3, a reference-free point cloud estimation network. We integrate dense initialization from π^3 with a regularization scheme designed to mitigate geometric inaccuracies. Specifically, we employ uncertainty-guided depth supervision, normal consistency loss, and depth warping. Experimental results demonstrate that our approach achieves state-of-the-art performance on the Tanks and Temples, LLFF, DTU, and MipNeRF360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具有无生成器的可学习性诊断的可组合视觉分词器</w:t>
      </w:r>
    </w:p>
    <w:p>
      <w:r>
        <w:rPr>
          <w:rFonts w:ascii="Times New Roman" w:hAnsi="Times New Roman" w:eastAsia="宋体"/>
          <w:b/>
          <w:color w:val="003264"/>
          <w:sz w:val="24"/>
        </w:rPr>
        <w:t>Composable Visual Tokenizers with Generator-Free Diagnostics of Learnability</w:t>
      </w:r>
    </w:p>
    <w:p>
      <w:r>
        <w:rPr>
          <w:rFonts w:ascii="Times New Roman" w:hAnsi="Times New Roman" w:eastAsia="宋体"/>
          <w:sz w:val="21"/>
        </w:rPr>
        <w:t>作者: Yu Tian</w:t>
        <w:br/>
      </w:r>
      <w:r>
        <w:rPr>
          <w:rFonts w:ascii="Times New Roman" w:hAnsi="Times New Roman" w:eastAsia="宋体"/>
          <w:sz w:val="21"/>
        </w:rPr>
        <w:t xml:space="preserve">时间: 2026-02-03T10:02:51Z | </w:t>
      </w:r>
      <w:r>
        <w:t xml:space="preserve">链接: </w:t>
      </w:r>
      <w:hyperlink r:id="rId106">
        <w:r>
          <w:rPr>
            <w:rFonts w:ascii="Times New Roman" w:hAnsi="Times New Roman" w:eastAsia="宋体"/>
            <w:color w:val="0000FF"/>
            <w:sz w:val="21"/>
            <w:u w:val="single"/>
          </w:rPr>
          <w:t>https://arxiv.org/abs/2602.03339v1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 CompTok，这是一个用于学习视觉标记器的训练框架，其标记的组合性得到了增强。 CompTok 使用令牌条件扩散解码器。通过采用 InfoGAN 风格的目标，我们训练一个识别模型来预测用于使用解码图像调节扩散解码器的标记，我们强制解码器不忽略任何标记。为了促进构图控制，除了原始图像之外，CompTok 还对通过在图像之间交换 token 子集形成的 token 进行训练，从而在解码器上实现对 token 的更多构图控制。由于图像之间交换的标记没有地面真实图像目标，因此我们通过对抗流正则化器应用流形约束，以在自然图像分布上保持不成对的交换生成。由此产生的标记生成器不仅在图像类条件生成方面实现了最先进的性能，而且还演示了诸如在图像之间交换标记以实现图像的高级语义编辑等属性。此外，我们提出了两个衡量令牌空间景观的指标，它们不仅可用于描述令牌的组成性，还可用于描述在该空间上训练的生成器学习景观的容易程度。我们在实验中表明，CompTok 可以改进这两个指标，并支持最先进的生成器进行类条件生成。</w:t>
      </w:r>
    </w:p>
    <w:p>
      <w:pPr>
        <w:spacing w:before="120"/>
      </w:pPr>
      <w:r>
        <w:rPr>
          <w:rFonts w:ascii="Times New Roman" w:hAnsi="Times New Roman" w:eastAsia="宋体"/>
          <w:b/>
          <w:sz w:val="21"/>
        </w:rPr>
        <w:t>English Abstract:</w:t>
      </w:r>
    </w:p>
    <w:p>
      <w:r>
        <w:rPr>
          <w:rFonts w:ascii="Times New Roman" w:hAnsi="Times New Roman" w:eastAsia="宋体"/>
          <w:sz w:val="21"/>
        </w:rPr>
        <w:t>We introduce CompTok, a training framework for learning visual tokenizers whose tokens are enhanced for compositionality. CompTok uses a token-conditioned diffusion decoder. By employing an InfoGAN-style objective, where we train a recognition model to predict the tokens used to condition the diffusion decoder using the decoded images, we enforce the decoder to not ignore any of the tokens. To promote compositional control, besides the original images, CompTok also trains on tokens formed by swapping token subsets between images, enabling more compositional control of the token over the decoder. As the swapped tokens between images do not have ground truth image targets, we apply a manifold constraint via an adversarial flow regularizer to keep unpaired swap generations on the natural-image distribution. The resulting tokenizer not only achieves state-of-the-art performance on image class-conditioned generation, but also demonstrates properties such as swapping tokens between images to achieve high level semantic editing of an image. Additionally, we propose two metrics that measures the landscape of the token space that can be useful to describe not only the compositionality of the tokens, but also how easy to learn the landscape is for a generator to be trained on this space. We show in experiments that CompTok can improve on both of the metrics as well as supporting state-of-the-art generators for class conditioned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平铺提示：克服图像和视频超分辨率中的提示规格不足</w:t>
      </w:r>
    </w:p>
    <w:p>
      <w:r>
        <w:rPr>
          <w:rFonts w:ascii="Times New Roman" w:hAnsi="Times New Roman" w:eastAsia="宋体"/>
          <w:b/>
          <w:color w:val="003264"/>
          <w:sz w:val="24"/>
        </w:rPr>
        <w:t>Tiled Prompts: Overcoming Prompt Underspecification in Image and Video Super-Resolution</w:t>
      </w:r>
    </w:p>
    <w:p>
      <w:r>
        <w:rPr>
          <w:rFonts w:ascii="Times New Roman" w:hAnsi="Times New Roman" w:eastAsia="宋体"/>
          <w:sz w:val="21"/>
        </w:rPr>
        <w:t>作者: Jong Chul Ye</w:t>
        <w:br/>
      </w:r>
      <w:r>
        <w:rPr>
          <w:rFonts w:ascii="Times New Roman" w:hAnsi="Times New Roman" w:eastAsia="宋体"/>
          <w:sz w:val="21"/>
        </w:rPr>
        <w:t xml:space="preserve">时间: 2026-02-03T10:09:27Z | </w:t>
      </w:r>
      <w:r>
        <w:t xml:space="preserve">链接: </w:t>
      </w:r>
      <w:hyperlink r:id="rId107">
        <w:r>
          <w:rPr>
            <w:rFonts w:ascii="Times New Roman" w:hAnsi="Times New Roman" w:eastAsia="宋体"/>
            <w:color w:val="0000FF"/>
            <w:sz w:val="21"/>
            <w:u w:val="single"/>
          </w:rPr>
          <w:t>https://arxiv.org/abs/2602.03342v1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条件扩散模型通过使用提示作为语义先验来具有先进的图像和视频超分辨率，但现代超分辨率管道通常依赖于潜在平铺来缩放到高分辨率，其中单个全局标题会导致提示规格不足。粗略的全局提示通常会错过局部细节（提示稀疏性），并提供局部不相关的指导（提示误导），这些指导可以通过无分类器的指导来放大。我们提出了 Tiled Prompts，这是一个用于图像和视频超分辨率的统一框架，它为每个潜在图块生成特定于图块的提示，并在本地文本条件后验下执行超分辨率，提供高信息指导，以最小的开销解决提示不足的问题。对高分辨率现实世界图像和视频的实验表明，相对于全局提示基线，感知质量和文本对齐方面取得了一致的进步，同时减少了幻觉和图块级伪影。</w:t>
      </w:r>
    </w:p>
    <w:p>
      <w:pPr>
        <w:spacing w:before="120"/>
      </w:pPr>
      <w:r>
        <w:rPr>
          <w:rFonts w:ascii="Times New Roman" w:hAnsi="Times New Roman" w:eastAsia="宋体"/>
          <w:b/>
          <w:sz w:val="21"/>
        </w:rPr>
        <w:t>English Abstract:</w:t>
      </w:r>
    </w:p>
    <w:p>
      <w:r>
        <w:rPr>
          <w:rFonts w:ascii="Times New Roman" w:hAnsi="Times New Roman" w:eastAsia="宋体"/>
          <w:sz w:val="21"/>
        </w:rPr>
        <w:t>Text-conditioned diffusion models have advanced image and video super-resolution by using prompts as semantic priors, but modern super-resolution pipelines typically rely on latent tiling to scale to high resolutions, where a single global caption causes prompt underspecification. A coarse global prompt often misses localized details (prompt sparsity) and provides locally irrelevant guidance (prompt misguidance) that can be amplified by classifier-free guidance. We propose Tiled Prompts, a unified framework for image and video super-resolution that generates a tile-specific prompt for each latent tile and performs super-resolution under locally text-conditioned posteriors, providing high-information guidance that resolves prompt underspecification with minimal overhead. Experiments on high resolution real-world images and videos show consistent gains in perceptual quality and text alignment, while reducing hallucinations and tile-level artifacts relative to global-prompt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Z3D：来自图像的零射击 3D 视觉基础</w:t>
      </w:r>
    </w:p>
    <w:p>
      <w:r>
        <w:rPr>
          <w:rFonts w:ascii="Times New Roman" w:hAnsi="Times New Roman" w:eastAsia="宋体"/>
          <w:b/>
          <w:color w:val="003264"/>
          <w:sz w:val="24"/>
        </w:rPr>
        <w:t>Z3D: Zero-Shot 3D Visual Grounding from Images</w:t>
      </w:r>
    </w:p>
    <w:p>
      <w:r>
        <w:rPr>
          <w:rFonts w:ascii="Times New Roman" w:hAnsi="Times New Roman" w:eastAsia="宋体"/>
          <w:sz w:val="21"/>
        </w:rPr>
        <w:t>作者: Maksim Kolodiazhnyi</w:t>
        <w:br/>
      </w:r>
      <w:r>
        <w:rPr>
          <w:rFonts w:ascii="Times New Roman" w:hAnsi="Times New Roman" w:eastAsia="宋体"/>
          <w:sz w:val="21"/>
        </w:rPr>
        <w:t xml:space="preserve">时间: 2026-02-03T10:35:18Z | </w:t>
      </w:r>
      <w:r>
        <w:t xml:space="preserve">链接: </w:t>
      </w:r>
      <w:hyperlink r:id="rId108">
        <w:r>
          <w:rPr>
            <w:rFonts w:ascii="Times New Roman" w:hAnsi="Times New Roman" w:eastAsia="宋体"/>
            <w:color w:val="0000FF"/>
            <w:sz w:val="21"/>
            <w:u w:val="single"/>
          </w:rPr>
          <w:t>https://arxiv.org/abs/2602.03361v1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视觉基础 (3DVG) 旨在基于自然语言查询定位 3D 场景中的对象。在这项工作中，我们仅从多视图图像中探索零样本 3DVG，而不需要任何几何监督或对象先验。我们引入了 Z3D，这是一种通用基础管道，可以灵活地处理多视图图像，同时可以选择合并相机姿势和深度图。我们确定了先前零样本方法中导致性能显着下降的关键瓶颈，并通过（i）最先进的零样本 3D 实例分割方法来生成高质量的 3D 边界框建议和（ii）通过基于提示的分割进行高级推理来解决这些瓶颈，该方法利用了现代 VLM 的全部功能。 ScanRefer 和 Nr3D 基准测试的大量实验表明，我们的方法在零样本方法中实现了最先进的性能。代码可在 https://github.com/col14m/z3d 获取。</w:t>
      </w:r>
    </w:p>
    <w:p>
      <w:pPr>
        <w:spacing w:before="120"/>
      </w:pPr>
      <w:r>
        <w:rPr>
          <w:rFonts w:ascii="Times New Roman" w:hAnsi="Times New Roman" w:eastAsia="宋体"/>
          <w:b/>
          <w:sz w:val="21"/>
        </w:rPr>
        <w:t>English Abstract:</w:t>
      </w:r>
    </w:p>
    <w:p>
      <w:r>
        <w:rPr>
          <w:rFonts w:ascii="Times New Roman" w:hAnsi="Times New Roman" w:eastAsia="宋体"/>
          <w:sz w:val="21"/>
        </w:rPr>
        <w:t>3D visual grounding (3DVG) aims to localize objects in a 3D scene based on natural language queries. In this work, we explore zero-shot 3DVG from multi-view images alone, without requiring any geometric supervision or object priors. We introduce Z3D, a universal grounding pipeline that flexibly operates on multi-view images while optionally incorporating camera poses and depth maps. We identify key bottlenecks in prior zero-shot methods causing significant performance degradation and address them with (i) a state-of-the-art zero-shot 3D instance segmentation method to generate high-quality 3D bounding box proposals and (ii) advanced reasoning via prompt-based segmentation, which utilizes full capabilities of modern VLMs. Extensive experiments on the ScanRefer and Nr3D benchmarks demonstrate that our approach achieves state-of-the-art performance among zero-shot methods. Code is available at https://github.com/col14m/z3d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Yuxin Peng</w:t>
        <w:br/>
      </w:r>
      <w:r>
        <w:rPr>
          <w:rFonts w:ascii="Times New Roman" w:hAnsi="Times New Roman" w:eastAsia="宋体"/>
          <w:sz w:val="21"/>
        </w:rPr>
        <w:t xml:space="preserve">时间: 2026-02-03T10:46:51Z | </w:t>
      </w:r>
      <w:r>
        <w:t xml:space="preserve">链接: </w:t>
      </w:r>
      <w:hyperlink r:id="rId109">
        <w:r>
          <w:rPr>
            <w:rFonts w:ascii="Times New Roman" w:hAnsi="Times New Roman" w:eastAsia="宋体"/>
            <w:color w:val="0000FF"/>
            <w:sz w:val="21"/>
            <w:u w:val="single"/>
          </w:rPr>
          <w:t>https://arxiv.org/abs/2602.03371v1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 \textit{多分辨率对齐（MRA）} 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\textit{Multi-Resolution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SLIM-Diff：数据稀缺癫痫 FLAIR MRI 的共享潜像掩模扩散与 Lp 损失</w:t>
      </w:r>
    </w:p>
    <w:p>
      <w:r>
        <w:rPr>
          <w:rFonts w:ascii="Times New Roman" w:hAnsi="Times New Roman" w:eastAsia="宋体"/>
          <w:b/>
          <w:color w:val="003264"/>
          <w:sz w:val="24"/>
        </w:rPr>
        <w:t>SLIM-Diff: Shared Latent Image-Mask Diffusion with Lp loss for Data-Scarce Epilepsy FLAIR MRI</w:t>
      </w:r>
    </w:p>
    <w:p>
      <w:r>
        <w:rPr>
          <w:rFonts w:ascii="Times New Roman" w:hAnsi="Times New Roman" w:eastAsia="宋体"/>
          <w:sz w:val="21"/>
        </w:rPr>
        <w:t>作者: Ezequiel López-Rubio</w:t>
        <w:br/>
      </w:r>
      <w:r>
        <w:rPr>
          <w:rFonts w:ascii="Times New Roman" w:hAnsi="Times New Roman" w:eastAsia="宋体"/>
          <w:sz w:val="21"/>
        </w:rPr>
        <w:t xml:space="preserve">时间: 2026-02-03T10:48:57Z | </w:t>
      </w:r>
      <w:r>
        <w:t xml:space="preserve">链接: </w:t>
      </w:r>
      <w:hyperlink r:id="rId110">
        <w:r>
          <w:rPr>
            <w:rFonts w:ascii="Times New Roman" w:hAnsi="Times New Roman" w:eastAsia="宋体"/>
            <w:color w:val="0000FF"/>
            <w:sz w:val="21"/>
            <w:u w:val="single"/>
          </w:rPr>
          <w:t>https://arxiv.org/abs/2602.03372v1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癫痫 FLAIR MRI 中的局灶性皮质发育不良 (FCD) 病变微妙且稀缺，使得联合图像掩模生成模型容易不稳定和记忆。我们提出了 SLIM-Diff，一种紧凑的联合扩散模型，其主要贡献是（i）单个共享瓶颈 U-Net，通过 2 通道图像+掩模表示强制解剖结构和病变几何结构之间的紧密耦合，以及（ii）通过可调 $L_p$ 目标进行损失几何调整。作为内部基线，我们包括规范的 DDPM 式目标（具有 $L_2$ 损失的 $ε$ 预测），并在匹配的设置下隔离预测参数化和 $L_p$ 几何的影响。实验表明，$x_0$ 预测始终是联合合成的最强选择，分数次二次惩罚 ($L_{1.5}$) 提高了图像保真度，而 $L_2$ 更好地保留了病变掩模形态。我们的代码和模型权重可在 https://github.com/MarioPasc/slim-diff 中找到</w:t>
      </w:r>
    </w:p>
    <w:p>
      <w:pPr>
        <w:spacing w:before="120"/>
      </w:pPr>
      <w:r>
        <w:rPr>
          <w:rFonts w:ascii="Times New Roman" w:hAnsi="Times New Roman" w:eastAsia="宋体"/>
          <w:b/>
          <w:sz w:val="21"/>
        </w:rPr>
        <w:t>English Abstract:</w:t>
      </w:r>
    </w:p>
    <w:p>
      <w:r>
        <w:rPr>
          <w:rFonts w:ascii="Times New Roman" w:hAnsi="Times New Roman" w:eastAsia="宋体"/>
          <w:sz w:val="21"/>
        </w:rPr>
        <w:t>Focal cortical dysplasia (FCD) lesions in epilepsy FLAIR MRI are subtle and scarce, making joint image--mask generative modeling prone to instability and memorization. We propose SLIM-Diff, a compact joint diffusion model whose main contributions are (i) a single shared-bottleneck U-Net that enforces tight coupling between anatomy and lesion geometry from a 2-channel image+mask representation, and (ii) loss-geometry tuning via a tunable $L_p$ objective. As an internal baseline, we include the canonical DDPM-style objective ($ε$-prediction with $L_2$ loss) and isolate the effect of prediction parameterization and $L_p$ geometry under a matched setup. Experiments show that $x_0$-prediction is consistently the strongest choice for joint synthesis, and that fractional sub-quadratic penalties ($L_{1.5}$) improve image fidelity while $L_2$ better preserves lesion mask morphology. Our code and model weights are available in https://github.com/MarioPasc/slim-diff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UnHype：用于动态 LoRA 遗忘的 CLIP 引导超网络</w:t>
      </w:r>
    </w:p>
    <w:p>
      <w:r>
        <w:rPr>
          <w:rFonts w:ascii="Times New Roman" w:hAnsi="Times New Roman" w:eastAsia="宋体"/>
          <w:b/>
          <w:color w:val="003264"/>
          <w:sz w:val="24"/>
        </w:rPr>
        <w:t>UnHype: CLIP-Guided Hypernetworks for Dynamic LoRA Unlearning</w:t>
      </w:r>
    </w:p>
    <w:p>
      <w:r>
        <w:rPr>
          <w:rFonts w:ascii="Times New Roman" w:hAnsi="Times New Roman" w:eastAsia="宋体"/>
          <w:sz w:val="21"/>
        </w:rPr>
        <w:t>作者: Maciej Zieba</w:t>
        <w:br/>
      </w:r>
      <w:r>
        <w:rPr>
          <w:rFonts w:ascii="Times New Roman" w:hAnsi="Times New Roman" w:eastAsia="宋体"/>
          <w:sz w:val="21"/>
        </w:rPr>
        <w:t xml:space="preserve">时间: 2026-02-03T11:37:08Z | </w:t>
      </w:r>
      <w:r>
        <w:t xml:space="preserve">链接: </w:t>
      </w:r>
      <w:hyperlink r:id="rId111">
        <w:r>
          <w:rPr>
            <w:rFonts w:ascii="Times New Roman" w:hAnsi="Times New Roman" w:eastAsia="宋体"/>
            <w:color w:val="0000FF"/>
            <w:sz w:val="21"/>
            <w:u w:val="single"/>
          </w:rPr>
          <w:t>https://arxiv.org/abs/2602.03410v1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传播模型的最新进展加剧了人们对其潜在滥用的担忧，特别是在生成现实但有害或具有社会破坏性的内容方面。这一挑战激发了人们对有效机器取消学习的兴趣日益增长，即有选择地从模型中删除特定知识或概念而不损害其整体生成能力的过程。在各种方法中，低秩适应（LoRA）已成为一种有效且高效的方法，用于微调模型以实现有针对性的忘却。然而，基于 LoRA 的方法通常对概念语义的适应性有限，并且难以在删除密切相关的概念与保持更广泛含义的泛化之间取得平衡。此外，当必须同时删除多个概念时，这些方法面临可扩展性挑战。为了解决这些限制，我们引入了 UnHype，这是一个将超网络纳入单概念和多概念 LoRA 训练的框架。所提出的架构可以直接插入稳定扩散以及现代基于流的文本到图像模型，其中它展示了稳定的训练行为和有效的概念控制。在推理过程中，超网络基于 CLIP 嵌入动态生成自适应 LoRA 权重，从而实现更多上下文感知、可扩展的取消学习。我们在多项具有挑战性的任务中评估了 UnHype，包括对象擦除、名人擦除和显式内容删除，证明了其有效性和多功能性。存储库：https://github.com/gmum/UnHype。</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large-scale diffusion models have intensified concerns about their potential misuse, particularly in generating realistic yet harmful or socially disruptive content. This challenge has spurred growing interest in effective machine unlearning, the process of selectively removing specific knowledge or concepts from a model without compromising its overall generative capabilities. Among various approaches, Low-Rank Adaptation (LoRA) has emerged as an effective and efficient method for fine-tuning models toward targeted unlearning. However, LoRA-based methods often exhibit limited adaptability to concept semantics and struggle to balance removing closely related concepts with maintaining generalization across broader meanings. Moreover, these methods face scalability challenges when multiple concepts must be erased simultaneously. To address these limitations, we introduce UnHype, a framework that incorporates hypernetworks into single- and multi-concept LoRA training. The proposed architecture can be directly plugged into Stable Diffusion as well as modern flow-based text-to-image models, where it demonstrates stable training behavior and effective concept control. During inference, the hypernetwork dynamically generates adaptive LoRA weights based on the CLIP embedding, enabling more context-aware, scalable unlearning. We evaluate UnHype across several challenging tasks, including object erasure, celebrity erasure, and explicit content removal, demonstrating its effectiveness and versatility. Repository: https://github.com/gmum/UnHype.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Socratic-Geo：通过多智能体交互进行合成数据生成和几何推理</w:t>
      </w:r>
    </w:p>
    <w:p>
      <w:r>
        <w:rPr>
          <w:rFonts w:ascii="Times New Roman" w:hAnsi="Times New Roman" w:eastAsia="宋体"/>
          <w:b/>
          <w:color w:val="003264"/>
          <w:sz w:val="24"/>
        </w:rPr>
        <w:t>Socratic-Geo: Synthetic Data Generation and Geometric Reasoning via Multi-Agent Interaction</w:t>
      </w:r>
    </w:p>
    <w:p>
      <w:r>
        <w:rPr>
          <w:rFonts w:ascii="Times New Roman" w:hAnsi="Times New Roman" w:eastAsia="宋体"/>
          <w:sz w:val="21"/>
        </w:rPr>
        <w:t>作者: Linfeng Zhang</w:t>
        <w:br/>
      </w:r>
      <w:r>
        <w:rPr>
          <w:rFonts w:ascii="Times New Roman" w:hAnsi="Times New Roman" w:eastAsia="宋体"/>
          <w:sz w:val="21"/>
        </w:rPr>
        <w:t xml:space="preserve">时间: 2026-02-03T11:42:25Z | </w:t>
      </w:r>
      <w:r>
        <w:t xml:space="preserve">链接: </w:t>
      </w:r>
      <w:hyperlink r:id="rId112">
        <w:r>
          <w:rPr>
            <w:rFonts w:ascii="Times New Roman" w:hAnsi="Times New Roman" w:eastAsia="宋体"/>
            <w:color w:val="0000FF"/>
            <w:sz w:val="21"/>
            <w:u w:val="single"/>
          </w:rPr>
          <w:t>https://arxiv.org/abs/2602.03414v1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具有显着先进的视觉语言理解能力。然而，即使是最先进的模型也难以进行几何推理，揭示了一个关键瓶颈：高质量图像文本对的极度稀缺。人工注释成本高昂，而自动化方法无法确保保真度和训练有效性。现有的方法要么被动地适应可用图像，要么采用低效的随机探索和过滤，将生成与学习需求脱钩。我们提出了 Socratic-Geo，一个完全自主的框架，通过多智能体交互动态地将数据合成与模型学习结合起来。教师代理生成带有反射反馈的参数化 Python 脚本（Reflect 用于解决可解性，RePI 用于视觉有效性），确保图像-文本对的纯度。求解器代理通过偏好学习优化推理，并用失败路径指导教师的有针对性的增强。生成器独立地学习累积的“图像-代码-指令”三元组的图像生成功能，将程序化绘图智能提炼为视觉生成。从仅 108 个种子问题开始，Socratic-Solver 使用四分之一的基线数据在 6 个基准测试中取得了 49.11 的成绩，比强基线高出 2.43 分。 Socratic-Generator 在 GenExam 上取得了 42.4% 的成绩，为开源模型建立了新的最先进水平，超过了 Seedream-4.0 (39.8%) 并接近 Gemini-2.5-Flash-Image (43.1%)。</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significantly advanced vision-language understanding. However, even state-of-the-art models struggle with geometric reasoning, revealing a critical bottleneck: the extreme scarcity of high-quality image-text pairs. Human annotation is prohibitively expensive, while automated methods fail to ensure fidelity and training effectiveness. Existing approaches either passively adapt to available images or employ inefficient random exploration with filtering, decoupling generation from learning needs. We propose Socratic-Geo, a fully autonomous framework that dynamically couples data synthesis with model learning through multi-agent interaction. The Teacher agent generates parameterized Python scripts with reflective feedback (Reflect for solvability, RePI for visual validity), ensuring image-text pair purity. The Solver agent optimizes reasoning through preference learning, with failure paths guiding Teacher's targeted augmentation. Independently, the Generator learns image generation capabilities on accumulated "image-code-instruction" triplets, distilling programmatic drawing intelligence into visual generation. Starting from only 108 seed problems, Socratic-Solver achieves 49.11 on six benchmarks using one-quarter of baseline data, surpassing strong baselines by 2.43 points. Socratic-Generator achieves 42.4% on GenExam, establishing new state-of-the-art for open-source models, surpassing Seedream-4.0 (39.8%) and approaching Gemini-2.5-Flash-Image (43.1%).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Origin Lens：用于加密图像来源和人工智能检测的隐私第一移动框架</w:t>
      </w:r>
    </w:p>
    <w:p>
      <w:r>
        <w:rPr>
          <w:rFonts w:ascii="Times New Roman" w:hAnsi="Times New Roman" w:eastAsia="宋体"/>
          <w:b/>
          <w:color w:val="003264"/>
          <w:sz w:val="24"/>
        </w:rPr>
        <w:t>Origin Lens: A Privacy-First Mobile Framework for Cryptographic Image Provenance and AI Detection</w:t>
      </w:r>
    </w:p>
    <w:p>
      <w:r>
        <w:rPr>
          <w:rFonts w:ascii="Times New Roman" w:hAnsi="Times New Roman" w:eastAsia="宋体"/>
          <w:sz w:val="21"/>
        </w:rPr>
        <w:t>作者: Marc-Oliver Pahl</w:t>
        <w:br/>
      </w:r>
      <w:r>
        <w:rPr>
          <w:rFonts w:ascii="Times New Roman" w:hAnsi="Times New Roman" w:eastAsia="宋体"/>
          <w:sz w:val="21"/>
        </w:rPr>
        <w:t xml:space="preserve">时间: 2026-02-03T11:49:00Z | </w:t>
      </w:r>
      <w:r>
        <w:t xml:space="preserve">链接: </w:t>
      </w:r>
      <w:hyperlink r:id="rId113">
        <w:r>
          <w:rPr>
            <w:rFonts w:ascii="Times New Roman" w:hAnsi="Times New Roman" w:eastAsia="宋体"/>
            <w:color w:val="0000FF"/>
            <w:sz w:val="21"/>
            <w:u w:val="single"/>
          </w:rPr>
          <w:t>https://arxiv.org/abs/2602.03423v1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生成式人工智能的激增给信息完整性保证带来了挑战，需要将模型治理与最终用户验证连接起来的系统。我们推出 Origin Lens，这是一个隐私优先的移动框架，通过分层验证架构针对视觉虚假信息。与服务器端检测系统不同，Origin Lens 通过 Rust/Flutter 混合架构在设备上本地执行加密图像来源验证和 AI 检测。我们的系统集成了多种信号——包括密码来源、生成模型指纹和可选的检索增强验证——在消费时为用户提供分级置信度指标。我们讨论了该框架与监管要求（欧盟人工智能法案、DSA）的一致性及其在补充平台级机制的验证基础设施中的作用。</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generative AI poses challenges for information integrity assurance, requiring systems that connect model governance with end-user verification. We present Origin Lens, a privacy-first mobile framework that targets visual disinformation through a layered verification architecture. Unlike server-side detection systems, Origin Lens performs cryptographic image provenance verification and AI detection locally on the device via a Rust/Flutter hybrid architecture. Our system integrates multiple signals - including cryptographic provenance, generative model fingerprints, and optional retrieval-augmented verification - to provide users with graded confidence indicators at the point of consumption. We discuss the framework's alignment with regulatory requirements (EU AI Act, DSA) and its role in verification infrastructure that complements platform-level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多主体图像生成的分层概念到外观指导</w:t>
      </w:r>
    </w:p>
    <w:p>
      <w:r>
        <w:rPr>
          <w:rFonts w:ascii="Times New Roman" w:hAnsi="Times New Roman" w:eastAsia="宋体"/>
          <w:b/>
          <w:color w:val="003264"/>
          <w:sz w:val="24"/>
        </w:rPr>
        <w:t>Hierarchical Concept-to-Appearance Guidance for Multi-Subject Image Generation</w:t>
      </w:r>
    </w:p>
    <w:p>
      <w:r>
        <w:rPr>
          <w:rFonts w:ascii="Times New Roman" w:hAnsi="Times New Roman" w:eastAsia="宋体"/>
          <w:sz w:val="21"/>
        </w:rPr>
        <w:t>作者: Jinshi Cui</w:t>
        <w:br/>
      </w:r>
      <w:r>
        <w:rPr>
          <w:rFonts w:ascii="Times New Roman" w:hAnsi="Times New Roman" w:eastAsia="宋体"/>
          <w:sz w:val="21"/>
        </w:rPr>
        <w:t xml:space="preserve">时间: 2026-02-03T12:13:29Z | </w:t>
      </w:r>
      <w:r>
        <w:t xml:space="preserve">链接: </w:t>
      </w:r>
      <w:hyperlink r:id="rId114">
        <w:r>
          <w:rPr>
            <w:rFonts w:ascii="Times New Roman" w:hAnsi="Times New Roman" w:eastAsia="宋体"/>
            <w:color w:val="0000FF"/>
            <w:sz w:val="21"/>
            <w:u w:val="single"/>
          </w:rPr>
          <w:t>https://arxiv.org/abs/2602.03448v1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主体图像生成旨在合成图像，在遵循文本指令的同时忠实地保留多个参考主体的身份。然而，现有方法经常遭受身份不一致和有限的构图控制，因为它们依赖扩散模型来隐式地将文本提示与参考图像关联起来。在这项工作中，我们提出了分层概念到外观指导（CAG），这是一个提供从高级概念到细粒度外观的明确、结构化监督的框架。在概念层面，我们引入了一种 VAE dropout 训练策略，该策略随机省略参考 VAE 特征，鼓励模型更多地依赖来自视觉语言模型（VLM）的强大语义信号，从而在缺乏完整外观线索的情况下促进一致的概念级生成。在外观层面，我们将 VLM 派生的对应关系集成到扩散变压器 (DiT) 内的对应感知屏蔽注意模块中。该模块限制每个文本标记仅关注其匹配的参考区域，确保精确的属性绑定和可靠的多主题组合。大量的实验表明，我们的方法在多主体图像生成方面实现了最先进的性能，显着提高了及时跟踪和主体一致性。</w:t>
      </w:r>
    </w:p>
    <w:p>
      <w:pPr>
        <w:spacing w:before="120"/>
      </w:pPr>
      <w:r>
        <w:rPr>
          <w:rFonts w:ascii="Times New Roman" w:hAnsi="Times New Roman" w:eastAsia="宋体"/>
          <w:b/>
          <w:sz w:val="21"/>
        </w:rPr>
        <w:t>English Abstract:</w:t>
      </w:r>
    </w:p>
    <w:p>
      <w:r>
        <w:rPr>
          <w:rFonts w:ascii="Times New Roman" w:hAnsi="Times New Roman" w:eastAsia="宋体"/>
          <w:sz w:val="21"/>
        </w:rPr>
        <w:t>Multi-subject image generation aims to synthesize images that faithfully preserve the identities of multiple reference subjects while following textual instructions. However, existing methods often suffer from identity inconsistency and limited compositional control, as they rely on diffusion models to implicitly associate text prompts with reference images. In this work, we propose Hierarchical Concept-to-Appearance Guidance (CAG), a framework that provides explicit, structured supervision from high-level concepts to fine-grained appearances. At the conceptual level, we introduce a VAE dropout training strategy that randomly omits reference VAE features, encouraging the model to rely more on robust semantic signals from a Visual Language Model (VLM) and thereby promoting consistent concept-level generation in the absence of complete appearance cues. At the appearance level, we integrate the VLM-derived correspondences into a correspondence-aware masked attention module within the Diffusion Transformer (DiT). This module restricts each text token to attend only to its matched reference regions, ensuring precise attribute binding and reliable multi-subject composition. Extensive experiments demonstrate that our method achieves state-of-the-art performance on the multi-subject image generation, substantially improving prompt following and subject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视觉语言模型中的情境化视觉个性化</w:t>
      </w:r>
    </w:p>
    <w:p>
      <w:r>
        <w:rPr>
          <w:rFonts w:ascii="Times New Roman" w:hAnsi="Times New Roman" w:eastAsia="宋体"/>
          <w:b/>
          <w:color w:val="003264"/>
          <w:sz w:val="24"/>
        </w:rPr>
        <w:t>Contextualized Visual Personalization in Vision-Language Models</w:t>
      </w:r>
    </w:p>
    <w:p>
      <w:r>
        <w:rPr>
          <w:rFonts w:ascii="Times New Roman" w:hAnsi="Times New Roman" w:eastAsia="宋体"/>
          <w:sz w:val="21"/>
        </w:rPr>
        <w:t>作者: Sungroh Yoon</w:t>
        <w:br/>
      </w:r>
      <w:r>
        <w:rPr>
          <w:rFonts w:ascii="Times New Roman" w:hAnsi="Times New Roman" w:eastAsia="宋体"/>
          <w:sz w:val="21"/>
        </w:rPr>
        <w:t xml:space="preserve">时间: 2026-02-03T12:21:26Z | </w:t>
      </w:r>
      <w:r>
        <w:t xml:space="preserve">链接: </w:t>
      </w:r>
      <w:hyperlink r:id="rId115">
        <w:r>
          <w:rPr>
            <w:rFonts w:ascii="Times New Roman" w:hAnsi="Times New Roman" w:eastAsia="宋体"/>
            <w:color w:val="0000FF"/>
            <w:sz w:val="21"/>
            <w:u w:val="single"/>
          </w:rPr>
          <w:t>https://arxiv.org/abs/2602.03454v1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视觉语言模型（VLM）最近取得了进展，但现有方法通常无法根据用户的特定体验生成个性化响应，因为它们缺乏将视觉输入与用户积累的视觉文本上下文相关联的能力。我们将这一挑战新形式化为情境化视觉个性化，这需要 VLM 在解释新图像时对个性化视觉体验进行视觉识别和文本检索。为了解决这个问题，我们提出了 CoViP，一个统一的框架，将个性化图像字幕视为上下文视觉个性化的核心任务，并通过基于强化学习的后训练和字幕增强生成来提高这种能力。我们进一步引入诊断评估，明确排除文本快捷方式解决方案，并验证 VLM 是否真正利用视觉上下文。大量实验表明，现有的开源和专有 VLM 表现出很大的局限性，而 CoViP 不仅改进了个性化图像字幕，而且还为下游个性化任务带来了整体收益。这些结果凸显了 CoViP 是实现稳健且可推广的情境化视觉个性化的关键阶段。</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vision-language models (VLMs), existing approaches often fail to generate personalized responses based on the user's specific experiences, as they lack the ability to associate visual inputs with a user's accumulated visual-textual context. We newly formalize this challenge as contextualized visual personalization, which requires the visual recognition and textual retrieval of personalized visual experiences by VLMs when interpreting new images. To address this issue, we propose CoViP, a unified framework that treats personalized image captioning as a core task for contextualized visual personalization and improves this capability through reinforcement-learning-based post-training and caption-augmented generation. We further introduce diagnostic evaluations that explicitly rule out textual shortcut solutions and verify whether VLMs truly leverage visual context. Extensive experiments demonstrate that existing open-source and proprietary VLMs exhibit substantial limitations, while CoViP not only improves personalized image captioning but also yields holistic gains across downstream personalization tasks. These results highlight CoViP as a crucial stage for enabling robust and generalizable contextualized visual personalization.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目标检测模型的以内点为中心的训练后量化</w:t>
      </w:r>
    </w:p>
    <w:p>
      <w:r>
        <w:rPr>
          <w:rFonts w:ascii="Times New Roman" w:hAnsi="Times New Roman" w:eastAsia="宋体"/>
          <w:b/>
          <w:color w:val="003264"/>
          <w:sz w:val="24"/>
        </w:rPr>
        <w:t>Inlier-Centric Post-Training Quantization for Object Detection Models</w:t>
      </w:r>
    </w:p>
    <w:p>
      <w:r>
        <w:rPr>
          <w:rFonts w:ascii="Times New Roman" w:hAnsi="Times New Roman" w:eastAsia="宋体"/>
          <w:sz w:val="21"/>
        </w:rPr>
        <w:t>作者: Junmo Kim</w:t>
        <w:br/>
      </w:r>
      <w:r>
        <w:rPr>
          <w:rFonts w:ascii="Times New Roman" w:hAnsi="Times New Roman" w:eastAsia="宋体"/>
          <w:sz w:val="21"/>
        </w:rPr>
        <w:t xml:space="preserve">时间: 2026-02-03T12:44:37Z | </w:t>
      </w:r>
      <w:r>
        <w:t xml:space="preserve">链接: </w:t>
      </w:r>
      <w:hyperlink r:id="rId116">
        <w:r>
          <w:rPr>
            <w:rFonts w:ascii="Times New Roman" w:hAnsi="Times New Roman" w:eastAsia="宋体"/>
            <w:color w:val="0000FF"/>
            <w:sz w:val="21"/>
            <w:u w:val="single"/>
          </w:rPr>
          <w:t>https://arxiv.org/abs/2602.03472v1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标检测在计算机视觉中至关重要，但其巨大的计算需求使得部署缓慢且耗电，从而促进了量化。然而，与任务无关的形态（例如背景杂乱和传感器噪声）会引起冗余激活（或异常）。这些异常扩大了激活范围，并使激活分布偏向与任务无关的响应，使位分配复杂化并削弱了信息特征的保存。如果没有明确的标准来区分异常，抑制异常可能会无意中丢弃有用的信息。为了解决这个问题，我们提出了 InlierQ，一种以内点为中心的训练后量化方法，可将异常与信息丰富的内点分开。 InlierQ 计算梯度感知体积显着性分数，将每个体积分类为内点或异常，并使用期望最大化 (EM) 算法拟合这些分数的后验分布。这种设计可以抑制异常，同时保留信息特征。 InlierQ 是无标记的、直接插入的，并且仅需要 64 个校准样本。 COCO 和 nuScenes 基准测试表明，基于相机（2D 和 3D）和基于 LiDAR（3D）的物体检测的量化误差持续减少。</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pivotal in computer vision, yet its immense computational demands make deployment slow and power-hungry, motivating quantization. However, task-irrelevant morphologies such as background clutter and sensor noise induce redundant activations (or anomalies). These anomalies expand activation ranges and skew activation distributions toward task-irrelevant responses, complicating bit allocation and weakening the preservation of informative features. Without a clear criterion to distinguish anomalies, suppressing them can inadvertently discard useful information. To address this, we present InlierQ, an inlier-centric post-training quantization approach that separates anomalies from informative inliers. InlierQ computes gradient-aware volume saliency scores, classifies each volume as an inlier or anomaly, and fits a posterior distribution over these scores using the Expectation-Maximization (EM) algorithm. This design suppresses anomalies while preserving informative features. InlierQ is label-free, drop-in, and requires only 64 calibration samples. Experiments on the COCO and nuScenes benchmarks show consistent reductions in quantization error for camera-based (2D and 3D) and LiDAR-based (3D)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解耦骨架和肉体：具有解耦对齐和结构感知指导的高效多模态表推理</w:t>
      </w:r>
    </w:p>
    <w:p>
      <w:r>
        <w:rPr>
          <w:rFonts w:ascii="Times New Roman" w:hAnsi="Times New Roman" w:eastAsia="宋体"/>
          <w:b/>
          <w:color w:val="003264"/>
          <w:sz w:val="24"/>
        </w:rPr>
        <w:t>Decoupling Skeleton and Flesh: Efficient Multimodal Table Reasoning with Disentangled Alignment and Structure-aware Guidance</w:t>
      </w:r>
    </w:p>
    <w:p>
      <w:r>
        <w:rPr>
          <w:rFonts w:ascii="Times New Roman" w:hAnsi="Times New Roman" w:eastAsia="宋体"/>
          <w:sz w:val="21"/>
        </w:rPr>
        <w:t>作者: Min Zhang</w:t>
        <w:br/>
      </w:r>
      <w:r>
        <w:rPr>
          <w:rFonts w:ascii="Times New Roman" w:hAnsi="Times New Roman" w:eastAsia="宋体"/>
          <w:sz w:val="21"/>
        </w:rPr>
        <w:t xml:space="preserve">时间: 2026-02-03T13:08:31Z | </w:t>
      </w:r>
      <w:r>
        <w:t xml:space="preserve">链接: </w:t>
      </w:r>
      <w:hyperlink r:id="rId117">
        <w:r>
          <w:rPr>
            <w:rFonts w:ascii="Times New Roman" w:hAnsi="Times New Roman" w:eastAsia="宋体"/>
            <w:color w:val="0000FF"/>
            <w:sz w:val="21"/>
            <w:u w:val="single"/>
          </w:rPr>
          <w:t>https://arxiv.org/abs/2602.03491v1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复杂的布局和紧密耦合的结构内容信息，对于大型视觉语言模型（LVLM）来说，表格图像的推理仍然具有挑战性。现有的解决方案通常依赖于昂贵的监督训练、强化学习或外部工具，限制了效率和可扩展性。这项工作解决了一个关键问题：如何在没有外部工具的情况下使用最少的注释使 LVLM 适应表推理？具体来说，我们首先介绍 DiSCo，一个解开的结构-内容对齐框架，它在多模态对齐期间显式地将结构抽象与语义基础分开，从而有效地使 LVLM 适应表结构。在 DiSCo 的基础上，我们进一步提出了 Table-GLS，这是一种全局到局部结构引导的推理框架，通过结构化探索和基于证据的推理来执行表格推理。跨不同基准的大量实验表明，我们的框架有效增强了 LVLM 的表理解和推理能力，特别是泛化到不可见的表结构。</w:t>
      </w:r>
    </w:p>
    <w:p>
      <w:pPr>
        <w:spacing w:before="120"/>
      </w:pPr>
      <w:r>
        <w:rPr>
          <w:rFonts w:ascii="Times New Roman" w:hAnsi="Times New Roman" w:eastAsia="宋体"/>
          <w:b/>
          <w:sz w:val="21"/>
        </w:rPr>
        <w:t>English Abstract:</w:t>
      </w:r>
    </w:p>
    <w:p>
      <w:r>
        <w:rPr>
          <w:rFonts w:ascii="Times New Roman" w:hAnsi="Times New Roman" w:eastAsia="宋体"/>
          <w:sz w:val="21"/>
        </w:rPr>
        <w:t>Reasoning over table images remains challenging for Large Vision-Language Models (LVLMs) due to complex layouts and tightly coupled structure-content information. Existing solutions often depend on expensive supervised training, reinforcement learning, or external tools, limiting efficiency and scalability. This work addresses a key question: how to adapt LVLMs to table reasoning with minimal annotation and no external tools? Specifically, we first introduce DiSCo, a Disentangled Structure-Content alignment framework that explicitly separates structural abstraction from semantic grounding during multimodal alignment, efficiently adapting LVLMs to tables structures. Building on DiSCo, we further present Table-GLS, a Global-to-Local Structure-guided reasoning framework that performs table reasoning via structured exploration and evidence-grounded inference. Extensive experiments across diverse benchmarks demonstrate that our framework efficiently enhances LVLM's table understanding and reasoning capabilities, particularly generalizing to unseen table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语义路由：探索扩散变压器的多层 LLM 特征加权</w:t>
      </w:r>
    </w:p>
    <w:p>
      <w:r>
        <w:rPr>
          <w:rFonts w:ascii="Times New Roman" w:hAnsi="Times New Roman" w:eastAsia="宋体"/>
          <w:b/>
          <w:color w:val="003264"/>
          <w:sz w:val="24"/>
        </w:rPr>
        <w:t>Semantic Routing: Exploring Multi-Layer LLM Feature Weighting for Diffusion Transformers</w:t>
      </w:r>
    </w:p>
    <w:p>
      <w:r>
        <w:rPr>
          <w:rFonts w:ascii="Times New Roman" w:hAnsi="Times New Roman" w:eastAsia="宋体"/>
          <w:sz w:val="21"/>
        </w:rPr>
        <w:t>作者: Wentao Zhang</w:t>
        <w:br/>
      </w:r>
      <w:r>
        <w:rPr>
          <w:rFonts w:ascii="Times New Roman" w:hAnsi="Times New Roman" w:eastAsia="宋体"/>
          <w:sz w:val="21"/>
        </w:rPr>
        <w:t xml:space="preserve">时间: 2026-02-03T13:30:13Z | </w:t>
      </w:r>
      <w:r>
        <w:t xml:space="preserve">链接: </w:t>
      </w:r>
      <w:hyperlink r:id="rId118">
        <w:r>
          <w:rPr>
            <w:rFonts w:ascii="Times New Roman" w:hAnsi="Times New Roman" w:eastAsia="宋体"/>
            <w:color w:val="0000FF"/>
            <w:sz w:val="21"/>
            <w:u w:val="single"/>
          </w:rPr>
          <w:t>https://arxiv.org/abs/2602.03510v1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 DiT 的文本到图像模型越来越多地采用 LLM 作为文本编码器，但文本调节在很大程度上仍然是静态的，并且通常仅使用单个 LLM 层，尽管跨 LLM 层的语义层次结构明显，并且在扩散时间和网络深度上都具有非平稳的去噪动态。为了更好地匹配DiT生成的动态过程，从而增强扩散模型的生成能力，我们引入了一个配备轻量级门的统一归一化凸融合框架，通过时间、深度和联合融合系统地组织多层LLM隐藏状态。实验将深度语义路由确立为卓越的调节策略，持续改进文本图像对齐和组合生成（例如，在 GenAI-Bench 计数任务上为 +9.97）。相反，我们发现纯粹的时间融合会矛盾地降低视觉生成保真度。我们将此归因于训练推理轨迹不匹配：在无分类器指导下，标称时间步长无法跟踪有效 SNR，导致推理过程中语义上的特征注入不及时。总体而言，我们的结果将深度路由定位为强大而有效的基线，并强调了对轨迹感知信号以实现强大的时间相关调节的迫切需求。</w:t>
      </w:r>
    </w:p>
    <w:p>
      <w:pPr>
        <w:spacing w:before="120"/>
      </w:pPr>
      <w:r>
        <w:rPr>
          <w:rFonts w:ascii="Times New Roman" w:hAnsi="Times New Roman" w:eastAsia="宋体"/>
          <w:b/>
          <w:sz w:val="21"/>
        </w:rPr>
        <w:t>English Abstract:</w:t>
      </w:r>
    </w:p>
    <w:p>
      <w:r>
        <w:rPr>
          <w:rFonts w:ascii="Times New Roman" w:hAnsi="Times New Roman" w:eastAsia="宋体"/>
          <w:sz w:val="21"/>
        </w:rPr>
        <w:t>Recent DiT-based text-to-image models increasingly adopt LLMs as text encoders, yet text conditioning remains largely static and often utilizes only a single LLM layer, despite pronounced semantic hierarchy across LLM layers and non-stationary denoising dynamics over both diffusion time and network depth. To better match the dynamic process of DiT generation and thereby enhance the diffusion model's generative capability, we introduce a unified normalized convex fusion framework equipped with lightweight gates to systematically organize multi-layer LLM hidden states via time-wise, depth-wise, and joint fusion. Experiments establish Depth-wise Semantic Routing as the superior conditioning strategy, consistently improving text-image alignment and compositional generation (e.g., +9.97 on the GenAI-Bench Counting task). Conversely, we find that purely time-wise fusion can paradoxically degrade visual generation fidelity. We attribute this to a train-inference trajectory mismatch: under classifier-free guidance, nominal timesteps fail to track the effective SNR, causing semantically mistimed feature injection during inference. Overall, our results position depth-wise routing as a strong and effective baseline and highlight the critical need for trajectory-aware signals to enable robust time-dependent conditioning.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通过约束分解和指令微调进行可解释的逻辑异常分类</w:t>
      </w:r>
    </w:p>
    <w:p>
      <w:r>
        <w:rPr>
          <w:rFonts w:ascii="Times New Roman" w:hAnsi="Times New Roman" w:eastAsia="宋体"/>
          <w:b/>
          <w:color w:val="003264"/>
          <w:sz w:val="24"/>
        </w:rPr>
        <w:t>Interpretable Logical Anomaly Classification via Constraint Decomposition and Instruction Fine-Tuning</w:t>
      </w:r>
    </w:p>
    <w:p>
      <w:r>
        <w:rPr>
          <w:rFonts w:ascii="Times New Roman" w:hAnsi="Times New Roman" w:eastAsia="宋体"/>
          <w:sz w:val="21"/>
        </w:rPr>
        <w:t>作者: Jianxiong Wang</w:t>
        <w:br/>
      </w:r>
      <w:r>
        <w:rPr>
          <w:rFonts w:ascii="Times New Roman" w:hAnsi="Times New Roman" w:eastAsia="宋体"/>
          <w:sz w:val="21"/>
        </w:rPr>
        <w:t xml:space="preserve">时间: 2026-02-03T13:48:09Z | </w:t>
      </w:r>
      <w:r>
        <w:t xml:space="preserve">链接: </w:t>
      </w:r>
      <w:hyperlink r:id="rId119">
        <w:r>
          <w:rPr>
            <w:rFonts w:ascii="Times New Roman" w:hAnsi="Times New Roman" w:eastAsia="宋体"/>
            <w:color w:val="0000FF"/>
            <w:sz w:val="21"/>
            <w:u w:val="single"/>
          </w:rPr>
          <w:t>https://arxiv.org/abs/2602.03530v1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逻辑异常是指违反工业图像中对象数量、空间布局和构图关系的预定义约束。虽然先前的工作主要将异常检测视为二元决策，但此类表述无法表明哪个逻辑规则被破坏，因此为质量保证提供的价值有限。我们引入了逻辑异常分类（LAC），这是一项在单个推理步骤中统一异常检测和细粒度违规分类的任务。为了解决 LAC 问题，我们提出了 LogiCls，这是一种视觉语言框架，可将复杂的逻辑约束分解为一系列可验证的子查询。我们进一步提出了一个以数据为中心的指令合成管道，它为这些子查询生成思想链（CoT）监督，将精确的基础注释与不同的图像文本增强相结合，以使视觉语言模型（VLM）适应逻辑敏感推理。通过难度感知重采样策略来稳定训练，该策略强调具有挑战性的子查询和长尾约束类型。大量实验表明，LogiCls 可提供稳健、可解释且准确的工业逻辑异常分类，提供预测的违规类别及其证据线索。</w:t>
      </w:r>
    </w:p>
    <w:p>
      <w:pPr>
        <w:spacing w:before="120"/>
      </w:pPr>
      <w:r>
        <w:rPr>
          <w:rFonts w:ascii="Times New Roman" w:hAnsi="Times New Roman" w:eastAsia="宋体"/>
          <w:b/>
          <w:sz w:val="21"/>
        </w:rPr>
        <w:t>English Abstract:</w:t>
      </w:r>
    </w:p>
    <w:p>
      <w:r>
        <w:rPr>
          <w:rFonts w:ascii="Times New Roman" w:hAnsi="Times New Roman" w:eastAsia="宋体"/>
          <w:sz w:val="21"/>
        </w:rPr>
        <w:t>Logical anomalies are violations of predefined constraints on object quantity, spatial layout, and compositional relationships in industrial images. While prior work largely treats anomaly detection as a binary decision, such formulations cannot indicate which logical rule is broken and therefore offer limited value for quality assurance. We introduce Logical Anomaly Classification (LAC), a task that unifies anomaly detection and fine-grained violation classification in a single inference step. To tackle LAC, we propose LogiCls, a vision-language framework that decomposes complex logical constraints into a sequence of verifiable subqueries. We further present a data-centric instruction synthesis pipeline that generates chain-of-thought (CoT) supervision for these subqueries, coupling precise grounding annotations with diverse image-text augmentations to adapt vision language models (VLMs) to logic-sensitive reasoning. Training is stabilized by a difficulty-aware resampling strategy that emphasizes challenging subqueries and long tail constraint types. Extensive experiments demonstrate that LogiCls delivers robust, interpretable, and accurate industrial logical anomaly classification, providing both the predicted violation categories and their evidence trails.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掩码自动编码器中的鲁棒表示学习</w:t>
      </w:r>
    </w:p>
    <w:p>
      <w:r>
        <w:rPr>
          <w:rFonts w:ascii="Times New Roman" w:hAnsi="Times New Roman" w:eastAsia="宋体"/>
          <w:b/>
          <w:color w:val="003264"/>
          <w:sz w:val="24"/>
        </w:rPr>
        <w:t>Robust Representation Learning in Masked Autoencoders</w:t>
      </w:r>
    </w:p>
    <w:p>
      <w:r>
        <w:rPr>
          <w:rFonts w:ascii="Times New Roman" w:hAnsi="Times New Roman" w:eastAsia="宋体"/>
          <w:sz w:val="21"/>
        </w:rPr>
        <w:t>作者: Samar Agnihotri</w:t>
        <w:br/>
      </w:r>
      <w:r>
        <w:rPr>
          <w:rFonts w:ascii="Times New Roman" w:hAnsi="Times New Roman" w:eastAsia="宋体"/>
          <w:sz w:val="21"/>
        </w:rPr>
        <w:t xml:space="preserve">时间: 2026-02-03T13:48:34Z | </w:t>
      </w:r>
      <w:r>
        <w:t xml:space="preserve">链接: </w:t>
      </w:r>
      <w:hyperlink r:id="rId120">
        <w:r>
          <w:rPr>
            <w:rFonts w:ascii="Times New Roman" w:hAnsi="Times New Roman" w:eastAsia="宋体"/>
            <w:color w:val="0000FF"/>
            <w:sz w:val="21"/>
            <w:u w:val="single"/>
          </w:rPr>
          <w:t>https://arxiv.org/abs/2602.03531v1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掩码自动编码器 (MAE) 在图像分类任务中取得了令人印象深刻的性能，但它们学习的内部表示仍然知之甚少。这项工作最初是为了了解 MAE 强大的下游分类性能。在此过程中，我们发现通过预训练和微调学习到的表示非常稳健——在存在退化（例如模糊和遮挡）的情况下表现出良好的分类性能。通过对 token 嵌入的分层分析，我们表明预训练的 MAE 在网络深度上以类感知的方式逐步构建其潜在空间：来自不同类的嵌入位于变得越来越可分离的子空间中。我们进一步观察到，与标准视觉变压器 (ViT) 相比，MAE 在编码器层中表现出早期且持续的全局关注。为了量化特征的鲁棒性，我们引入了两个敏感度指标：干净嵌入和扰动嵌入之间的方向对齐，以及退化下活动特征的头部保留。这些研究有助于建立 MAE 稳健的分类性能。</w:t>
      </w:r>
    </w:p>
    <w:p>
      <w:pPr>
        <w:spacing w:before="120"/>
      </w:pPr>
      <w:r>
        <w:rPr>
          <w:rFonts w:ascii="Times New Roman" w:hAnsi="Times New Roman" w:eastAsia="宋体"/>
          <w:b/>
          <w:sz w:val="21"/>
        </w:rPr>
        <w:t>English Abstract:</w:t>
      </w:r>
    </w:p>
    <w:p>
      <w:r>
        <w:rPr>
          <w:rFonts w:ascii="Times New Roman" w:hAnsi="Times New Roman" w:eastAsia="宋体"/>
          <w:sz w:val="21"/>
        </w:rPr>
        <w:t>Masked Autoencoders (MAEs) achieve impressive performance in image classification tasks, yet the internal representations they learn remain less understood. This work started as an attempt to understand the strong downstream classification performance of MAE. In this process we discover that representations learned with the pretraining and fine-tuning, are quite robust - demonstrating a good classification performance in the presence of degradations, such as blur and occlusions. Through layer-wise analysis of token embeddings, we show that pretrained MAE progressively constructs its latent space in a class-aware manner across network depth: embeddings from different classes lie in subspaces that become increasingly separable. We further observe that MAE exhibits early and persistent global attention across encoder layers, in contrast to standard Vision Transformers (ViTs). To quantify feature robustness, we introduce two sensitivity indicators: directional alignment between clean and perturbed embeddings, and head-wise retention of active features under degradations. These studies help establish the robust classification performance of MAEs.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切入混合：在有限的器官分割数据集中，简单的数据增强优于复杂的数据增强</w:t>
      </w:r>
    </w:p>
    <w:p>
      <w:r>
        <w:rPr>
          <w:rFonts w:ascii="Times New Roman" w:hAnsi="Times New Roman" w:eastAsia="宋体"/>
          <w:b/>
          <w:color w:val="003264"/>
          <w:sz w:val="24"/>
        </w:rPr>
        <w:t>Cut to the Mix: Simple Data Augmentation Outperforms Elaborate Ones in Limited Organ Segmentation Datasets</w:t>
      </w:r>
    </w:p>
    <w:p>
      <w:r>
        <w:rPr>
          <w:rFonts w:ascii="Times New Roman" w:hAnsi="Times New Roman" w:eastAsia="宋体"/>
          <w:sz w:val="21"/>
        </w:rPr>
        <w:t>作者: Andreas Maier</w:t>
        <w:br/>
      </w:r>
      <w:r>
        <w:rPr>
          <w:rFonts w:ascii="Times New Roman" w:hAnsi="Times New Roman" w:eastAsia="宋体"/>
          <w:sz w:val="21"/>
        </w:rPr>
        <w:t xml:space="preserve">时间: 2026-02-03T14:03:59Z | </w:t>
      </w:r>
      <w:r>
        <w:t xml:space="preserve">链接: </w:t>
      </w:r>
      <w:hyperlink r:id="rId121">
        <w:r>
          <w:rPr>
            <w:rFonts w:ascii="Times New Roman" w:hAnsi="Times New Roman" w:eastAsia="宋体"/>
            <w:color w:val="0000FF"/>
            <w:sz w:val="21"/>
            <w:u w:val="single"/>
          </w:rPr>
          <w:t>https://arxiv.org/abs/2602.03555v1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器官分割是一种广泛应用的临床常规，自动化器官分割工具极大地改善了放射科医生的流程。最近，基于深度学习（DL）的分割模型已经显示出完成此类任务的能力。然而，分割网络的训练需要大量数据并进行手动注释，由于临床数据稀缺，这是一个主要问题。对于新型成像模式的研究来说，使用有限的数据仍然很常见。为了提高使用有限数据训练的深度学习模型的有效性，数据增强（DA）是一项至关重要的正则化技术。传统的 DA (TDA) 策略侧重于基本的图像内操作，即生成具有不同方向和强度分布的图像。相比之下，图像间和对象级 DA 操作能够从不同的个体创建新图像。然而，这种 DA 策略在多器官分割任务上尚未得到很好的探索。在本文中，我们在两个器官分割数据集上研究了四种可能的图像间 DA 策略：CutMix、CarveMix、ObjectAug 和 AnatoMix。结果表明，与没有 DA 策略的最先进的 nnUNet 相比，CutMix、CarveMix 和 AnatoMix 可以将平均骰子分数提高 4.9、2.0 和 1.9。通过添加 TDA 策略可以进一步改善这些结果。我们的实验表明，Cut-Mix 是一种强大而简单的 DA 策略，可以提高多器官分割的分割性能，即使 CutMix 产生直观的“错误”图像也是如此。我们的实施是公开的，可用于未来的基准测试。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Multi-organ segmentation is a widely applied clinical routine and automated organ segmentation tools dramatically improve the pipeline of the radiologists. Recently, deep learning (DL) based segmentation models have shown the capacity to accomplish such a task. However, the training of the segmentation networks requires large amount of data with manual annotations, which is a major concern due to the data scarcity from clinic. Working with limited data is still common for researches on novel imaging modalities. To enhance the effectiveness of DL models trained with limited data, data augmentation (DA) is a crucial regularization technique. Traditional DA (TDA) strategies focus on basic intra-image operations, i.e. generating images with different orientations and intensity distributions. In contrast, the interimage and object-level DA operations are able to create new images from separate individuals. However, such DA strategies are not well explored on the task of multi-organ segmentation. In this paper, we investigated four possible inter-image DA strategies: CutMix, CarveMix, ObjectAug and AnatoMix, on two organ segmentation datasets. The result shows that CutMix, CarveMix and AnatoMix can improve the average dice score by 4.9, 2.0 and 1.9, compared with the state-of-the-art nnUNet without DA strategies. These results can be further improved by adding TDA strategies. It is revealed in our experiments that Cut-Mix is a robust but simple DA strategy to drive up the segmentation performance for multi-organ segmentation, even when CutMix produces intuitively 'wrong' images. Our implementation is publicly available for future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ELIQ：用于不断演变的人工智能生成图像质量评估的无标签框架</w:t>
      </w:r>
    </w:p>
    <w:p>
      <w:r>
        <w:rPr>
          <w:rFonts w:ascii="Times New Roman" w:hAnsi="Times New Roman" w:eastAsia="宋体"/>
          <w:b/>
          <w:color w:val="003264"/>
          <w:sz w:val="24"/>
        </w:rPr>
        <w:t>ELIQ: A Label-Free Framework for Quality Assessment of Evolving AI-Generated Images</w:t>
      </w:r>
    </w:p>
    <w:p>
      <w:r>
        <w:rPr>
          <w:rFonts w:ascii="Times New Roman" w:hAnsi="Times New Roman" w:eastAsia="宋体"/>
          <w:sz w:val="21"/>
        </w:rPr>
        <w:t>作者: Guangtao Zhai</w:t>
        <w:br/>
      </w:r>
      <w:r>
        <w:rPr>
          <w:rFonts w:ascii="Times New Roman" w:hAnsi="Times New Roman" w:eastAsia="宋体"/>
          <w:sz w:val="21"/>
        </w:rPr>
        <w:t xml:space="preserve">时间: 2026-02-03T14:04:51Z | </w:t>
      </w:r>
      <w:r>
        <w:t xml:space="preserve">链接: </w:t>
      </w:r>
      <w:hyperlink r:id="rId122">
        <w:r>
          <w:rPr>
            <w:rFonts w:ascii="Times New Roman" w:hAnsi="Times New Roman" w:eastAsia="宋体"/>
            <w:color w:val="0000FF"/>
            <w:sz w:val="21"/>
            <w:u w:val="single"/>
          </w:rPr>
          <w:t>https://arxiv.org/abs/2602.03558v1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生成文本到图像的模型正在以前所未有的速度发展，不断改变感知质量上限，并使以前收集的标签对新一代来说变得不可靠。为了解决这个问题，我们提出了 ELIQ，一种用于对不断变化的人工智能生成图像进行质量评估的无标签框架。具体来说，ELIQ 专注于视觉质量和提示图像对齐，自动构建正对和特定方面的负对，以涵盖传统的失真和 AIGC 特定的失真模式，从而无需人工注释即可实现可转移的监督。在这些对的基础上，ELIQ 通过指令调整将预先训练的多模态模型调整为质量感知批评者，并使用轻量级门控融合和质量查询转换器来预测二维质量。跨多个基准的实验表明，ELIQ 始终优于现有的无标签方法，无需修改即可从人工智能生成内容 (AIGC) 推广到用户生成内容 (UGC) 场景，并为不断发展的生成模型下的可扩展和无标签质量评估铺平了道路。该代码将在发布后发布。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Generative text-to-image models are advancing at an unprecedented pace, continuously shifting the perceptual quality ceiling and rendering previously collected labels unreliable for newer generations. To address this, we present ELIQ, a Label-free Framework for Quality Assessment of Evolving AI-generated Images. Specifically, ELIQ focuses on visual quality and prompt-image alignment, automatically constructs positive and aspect-specific negative pairs to cover both conventional distortions and AIGC-specific distortion modes, enabling transferable supervision without human annotations. Building on these pairs, ELIQ adapts a pre-trained multimodal model into a quality-aware critic via instruction tuning and predicts two-dimensional quality using lightweight gated fusion and a Quality Query Transformer. Experiments across multiple benchmarks demonstrate that ELIQ consistently outperforms existing label-free methods, generalizes from AI-generated content (AIGC) to user-generated content (UGC) scenarios without modification, and paves the way for scalable and label-free quality assessment under continuously evolving generative models. The code will be released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技巧胜于技巧：有效零样本异常检测的简单提示</w:t>
      </w:r>
    </w:p>
    <w:p>
      <w:r>
        <w:rPr>
          <w:rFonts w:ascii="Times New Roman" w:hAnsi="Times New Roman" w:eastAsia="宋体"/>
          <w:b/>
          <w:color w:val="003264"/>
          <w:sz w:val="24"/>
        </w:rPr>
        <w:t>TIPS Over Tricks: Simple Prompts for Effective Zero-shot Anomaly Detection</w:t>
      </w:r>
    </w:p>
    <w:p>
      <w:r>
        <w:rPr>
          <w:rFonts w:ascii="Times New Roman" w:hAnsi="Times New Roman" w:eastAsia="宋体"/>
          <w:sz w:val="21"/>
        </w:rPr>
        <w:t>作者: Mohammad Sabokrou</w:t>
        <w:br/>
      </w:r>
      <w:r>
        <w:rPr>
          <w:rFonts w:ascii="Times New Roman" w:hAnsi="Times New Roman" w:eastAsia="宋体"/>
          <w:sz w:val="21"/>
        </w:rPr>
        <w:t xml:space="preserve">时间: 2026-02-03T14:48:11Z | </w:t>
      </w:r>
      <w:r>
        <w:t xml:space="preserve">链接: </w:t>
      </w:r>
      <w:hyperlink r:id="rId123">
        <w:r>
          <w:rPr>
            <w:rFonts w:ascii="Times New Roman" w:hAnsi="Times New Roman" w:eastAsia="宋体"/>
            <w:color w:val="0000FF"/>
            <w:sz w:val="21"/>
            <w:u w:val="single"/>
          </w:rPr>
          <w:t>https://arxiv.org/abs/2602.03594v1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异常检测可识别安全关键环境中与预期行为的偏差。当目标域正常数据不可用时，零样本异常检测 (ZSAD) 会利用视觉语言模型 (VLM)。然而，由于 (i) 空间错位和 (ii) 对细粒度异常的敏感性较弱，CLIP 的粗略图像文本对齐限制了定位和检测；先前的工作用复杂的辅助模块进行了补偿，但在很大程度上忽略了骨干网的选择。我们重新审视主干网并使用 TIPS——一种经过空间感知目标训练的 VLM。虽然 TIPS 缓解了 CLIP 的问题，但它暴露了全局特征和局部特征之间的分布差距。我们通过解耦提示来解决这个问题——针对图像级检测进行固定，并针对像素级定位进行学习——并将局部证据注入全局分数。在没有 CLIP 特定技巧的情况下，我们基于 TIPS 的管道在七个工业数据集中将图像级性能提高了 1.1-3.9%，将像素级性能提高了 1.5-6.9%，通过精益架构提供了强大的泛化能力。代码可在 github.com/AlirezaSalehy/Tipsomaly 获取。</w:t>
      </w:r>
    </w:p>
    <w:p>
      <w:pPr>
        <w:spacing w:before="120"/>
      </w:pPr>
      <w:r>
        <w:rPr>
          <w:rFonts w:ascii="Times New Roman" w:hAnsi="Times New Roman" w:eastAsia="宋体"/>
          <w:b/>
          <w:sz w:val="21"/>
        </w:rPr>
        <w:t>English Abstract:</w:t>
      </w:r>
    </w:p>
    <w:p>
      <w:r>
        <w:rPr>
          <w:rFonts w:ascii="Times New Roman" w:hAnsi="Times New Roman" w:eastAsia="宋体"/>
          <w:sz w:val="21"/>
        </w:rPr>
        <w:t>Anomaly detection identifies departures from expected behavior in safety-critical settings. When target-domain normal data are unavailable, zero-shot anomaly detection (ZSAD) leverages vision-language models (VLMs). However, CLIP's coarse image-text alignment limits both localization and detection due to (i) spatial misalignment and (ii) weak sensitivity to fine-grained anomalies; prior work compensates with complex auxiliary modules yet largely overlooks the choice of backbone. We revisit the backbone and use TIPS-a VLM trained with spatially aware objectives. While TIPS alleviates CLIP's issues, it exposes a distributional gap between global and local features. We address this with decoupled prompts-fixed for image-level detection and learnable for pixel-level localization-and by injecting local evidence into the global score. Without CLIP-specific tricks, our TIPS-based pipeline improves image-level performance by 1.1-3.9% and pixel-level by 1.5-6.9% across seven industrial datasets, delivering strong generalization with a lean architecture. Code is available at github.com/AlirezaSalehy/Tipsomaly.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用于基于能量的联合嵌入预测架构的轻量级库</w:t>
      </w:r>
    </w:p>
    <w:p>
      <w:r>
        <w:rPr>
          <w:rFonts w:ascii="Times New Roman" w:hAnsi="Times New Roman" w:eastAsia="宋体"/>
          <w:b/>
          <w:color w:val="003264"/>
          <w:sz w:val="24"/>
        </w:rPr>
        <w:t>A Lightweight Library for Energy-Based Joint-Embedding Predictive Architectures</w:t>
      </w:r>
    </w:p>
    <w:p>
      <w:r>
        <w:rPr>
          <w:rFonts w:ascii="Times New Roman" w:hAnsi="Times New Roman" w:eastAsia="宋体"/>
          <w:sz w:val="21"/>
        </w:rPr>
        <w:t>作者: Amir Bar</w:t>
        <w:br/>
      </w:r>
      <w:r>
        <w:rPr>
          <w:rFonts w:ascii="Times New Roman" w:hAnsi="Times New Roman" w:eastAsia="宋体"/>
          <w:sz w:val="21"/>
        </w:rPr>
        <w:t xml:space="preserve">时间: 2026-02-03T14:56:24Z | </w:t>
      </w:r>
      <w:r>
        <w:t xml:space="preserve">链接: </w:t>
      </w:r>
      <w:hyperlink r:id="rId124">
        <w:r>
          <w:rPr>
            <w:rFonts w:ascii="Times New Roman" w:hAnsi="Times New Roman" w:eastAsia="宋体"/>
            <w:color w:val="0000FF"/>
            <w:sz w:val="21"/>
            <w:u w:val="single"/>
          </w:rPr>
          <w:t>https://arxiv.org/abs/2602.03604v1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EB-JEPA，这是一个使用联合嵌入预测架构 (JEPA) 学习表示和世界模型的开源库。 JEPA 学习在表示空间而不是像素空间中进行预测，避免生成建模的陷阱，同时捕获适合下游任务的语义上有意义的特征。我们的库提供了模块化、独立的实现，说明了为图像级自监督学习开发的表示学习技术如何转移到视频（其中时间动态增加了复杂性），并最终转移到动作条件的世界模型（其中模型必须另外学习预测控制输入的效果）。每个示例都专为在几个小时内进行单 GPU 训练而设计，使基于能量的自我监督学习可用于研究和教育。我们在 CIFAR-10 上提供 JEA 组件的消融。探测这些表示的准确率达到 91%，这表明该模型学习了有用的特征。扩展到视频，我们在 Moving MNIST 上提供了一个多步骤预测示例，演示了相同的原理如何扩展到时间建模。最后，我们展示了这些表示如何驱动动作条件世界模型，从而在两室导航任务中实现 97% 的规划成功率。全面的消融揭示了每个正则化组件对于防止表示崩溃的至关重要性。代码可在 https://github.com/facebookresearch/eb_jepa 获取。</w:t>
      </w:r>
    </w:p>
    <w:p>
      <w:pPr>
        <w:spacing w:before="120"/>
      </w:pPr>
      <w:r>
        <w:rPr>
          <w:rFonts w:ascii="Times New Roman" w:hAnsi="Times New Roman" w:eastAsia="宋体"/>
          <w:b/>
          <w:sz w:val="21"/>
        </w:rPr>
        <w:t>English Abstract:</w:t>
      </w:r>
    </w:p>
    <w:p>
      <w:r>
        <w:rPr>
          <w:rFonts w:ascii="Times New Roman" w:hAnsi="Times New Roman" w:eastAsia="宋体"/>
          <w:sz w:val="21"/>
        </w:rPr>
        <w:t>We present EB-JEPA, an open-source library for learning representations and world models using Joint-Embedding Predictive Architectures (JEPAs). JEPAs learn to predict in representation space rather than pixel space, avoiding the pitfalls of generative modeling while capturing semantically meaningful features suitable for downstream tasks. Our library provides modular, self-contained implementations that illustrate how representation learning techniques developed for image-level self-supervised learning can transfer to video, where temporal dynamics add complexity, and ultimately to action-conditioned world models, where the model must additionally learn to predict the effects of control inputs. Each example is designed for single-GPU training within a few hours, making energy-based self-supervised learning accessible for research and education. We provide ablations of JEA components on CIFAR-10. Probing these representations yields 91% accuracy, indicating that the model learns useful features. Extending to video, we include a multi-step prediction example on Moving MNIST that demonstrates how the same principles scale to temporal modeling. Finally, we show how these representations can drive action-conditioned world models, achieving a 97% planning success rate on the Two Rooms navigation task. Comprehensive ablations reveal the critical importance of each regularization component for preventing representation collapse. Code is available at https://github.com/facebookresearch/eb_jepa.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KTV：高效免培训视频法学硕士的关键帧和关键令牌选择</w:t>
      </w:r>
    </w:p>
    <w:p>
      <w:r>
        <w:rPr>
          <w:rFonts w:ascii="Times New Roman" w:hAnsi="Times New Roman" w:eastAsia="宋体"/>
          <w:b/>
          <w:color w:val="003264"/>
          <w:sz w:val="24"/>
        </w:rPr>
        <w:t>KTV: Keyframes and Key Tokens Selection for Efficient Training-Free Video LLMs</w:t>
      </w:r>
    </w:p>
    <w:p>
      <w:r>
        <w:rPr>
          <w:rFonts w:ascii="Times New Roman" w:hAnsi="Times New Roman" w:eastAsia="宋体"/>
          <w:sz w:val="21"/>
        </w:rPr>
        <w:t>作者: Jianyuan Guo</w:t>
        <w:br/>
      </w:r>
      <w:r>
        <w:rPr>
          <w:rFonts w:ascii="Times New Roman" w:hAnsi="Times New Roman" w:eastAsia="宋体"/>
          <w:sz w:val="21"/>
        </w:rPr>
        <w:t xml:space="preserve">时间: 2026-02-03T15:08:30Z | </w:t>
      </w:r>
      <w:r>
        <w:t xml:space="preserve">链接: </w:t>
      </w:r>
      <w:hyperlink r:id="rId125">
        <w:r>
          <w:rPr>
            <w:rFonts w:ascii="Times New Roman" w:hAnsi="Times New Roman" w:eastAsia="宋体"/>
            <w:color w:val="0000FF"/>
            <w:sz w:val="21"/>
            <w:u w:val="single"/>
          </w:rPr>
          <w:t>https://arxiv.org/abs/2602.03615v1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免训练视频理解通过将视频视为静态帧序列，利用预训练视觉语言模型 (VLM) 强大的图像理解能力，从而无需进行昂贵的视频特定训练。然而，这种范例经常遭受严重的视觉冗余和高计算开销的困扰，特别是在处理长视频时。至关重要的是，现有的关键帧选择策略，尤其是基于 CLIP 相似性的策略，很容易出现偏差，并且可能会无意中忽略关键帧，从而导致视频理解不理想。为了解决这些重大挑战，我们提出了 \textbf{KTV}，这是一种新颖的两阶段框架，用于高效且有效的免训练视频理解。在第一阶段，KTV 通过对帧级视觉特征进行聚类来执行与问题无关的关键帧选择，产生紧凑、多样化且具有代表性的帧子集，从而减轻时间冗余。在第二阶段，KTV 应用关键视觉标记选择，根据标记重要性和冗余性从每个选定的关键帧中修剪冗余或信息量较少的标记，这显着减少了输入 LLM 的标记数量。对多项选择视频QA 任务的大量实验表明，KTV 的性能优于最先进的无训练基线，同时使用的视觉标记明显减少，\emph{例如}，对于 10800 帧的 60 分钟视频，仅使用 504 个视觉标记，在 MLVU-Test 基准测试中实现了 44.8\%$ 的准确率。特别是，KTV 在某些基准上还超过了几种基于培训的方法。</w:t>
      </w:r>
    </w:p>
    <w:p>
      <w:pPr>
        <w:spacing w:before="120"/>
      </w:pPr>
      <w:r>
        <w:rPr>
          <w:rFonts w:ascii="Times New Roman" w:hAnsi="Times New Roman" w:eastAsia="宋体"/>
          <w:b/>
          <w:sz w:val="21"/>
        </w:rPr>
        <w:t>English Abstract:</w:t>
      </w:r>
    </w:p>
    <w:p>
      <w:r>
        <w:rPr>
          <w:rFonts w:ascii="Times New Roman" w:hAnsi="Times New Roman" w:eastAsia="宋体"/>
          <w:sz w:val="21"/>
        </w:rPr>
        <w:t>Training-free video understanding leverages the strong image comprehension capabilities of pre-trained vision language models (VLMs) by treating a video as a sequence of static frames, thus obviating the need for costly video-specific training. However, this paradigm often suffers from severe visual redundancy and high computational overhead, especially when processing long videos. Crucially, existing keyframe selection strategies, especially those based on CLIP similarity, are prone to biases and may inadvertently overlook critical frames, resulting in suboptimal video comprehension. To address these significant challenges, we propose \textbf{KTV}, a novel two-stage framework for efficient and effective training-free video understanding. In the first stage, KTV performs question-agnostic keyframe selection by clustering frame-level visual features, yielding a compact, diverse, and representative subset of frames that mitigates temporal redundancy. In the second stage, KTV applies key visual token selection, pruning redundant or less informative tokens from each selected keyframe based on token importance and redundancy, which significantly reduces the number of tokens fed into the LLM. Extensive experiments on the Multiple-Choice VideoQA task demonstrate that KTV outperforms state-of-the-art training-free baselines while using significantly fewer visual tokens, \emph{e.g.}, only 504 visual tokens for a 60-min video with 10800 frames, achieving $44.8\%$ accuracy on the MLVU-Test benchmark. In particular, KTV also exceeds several training-based approaches on certain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基于准多模态的病理生理学特征学习用于视网膜疾病诊断</w:t>
      </w:r>
    </w:p>
    <w:p>
      <w:r>
        <w:rPr>
          <w:rFonts w:ascii="Times New Roman" w:hAnsi="Times New Roman" w:eastAsia="宋体"/>
          <w:b/>
          <w:color w:val="003264"/>
          <w:sz w:val="24"/>
        </w:rPr>
        <w:t>Quasi-multimodal-based pathophysiological feature learning for retinal disease diagnosis</w:t>
      </w:r>
    </w:p>
    <w:p>
      <w:r>
        <w:rPr>
          <w:rFonts w:ascii="Times New Roman" w:hAnsi="Times New Roman" w:eastAsia="宋体"/>
          <w:sz w:val="21"/>
        </w:rPr>
        <w:t>作者: Mengyu Jia</w:t>
        <w:br/>
      </w:r>
      <w:r>
        <w:rPr>
          <w:rFonts w:ascii="Times New Roman" w:hAnsi="Times New Roman" w:eastAsia="宋体"/>
          <w:sz w:val="21"/>
        </w:rPr>
        <w:t xml:space="preserve">时间: 2026-02-03T15:13:57Z | </w:t>
      </w:r>
      <w:r>
        <w:t xml:space="preserve">链接: </w:t>
      </w:r>
      <w:hyperlink r:id="rId126">
        <w:r>
          <w:rPr>
            <w:rFonts w:ascii="Times New Roman" w:hAnsi="Times New Roman" w:eastAsia="宋体"/>
            <w:color w:val="0000FF"/>
            <w:sz w:val="21"/>
            <w:u w:val="single"/>
          </w:rPr>
          <w:t>https://arxiv.org/abs/2602.03622v1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多模态数据的互补信号可以有效地识别和诊断广泛的视网膜疾病。然而，眼科实践中的多模态诊断通常面临数据异质性、潜在侵入性、配准复杂性等方面的挑战。因此，提出了一个集成多模态数据合成和融合的统一框架，用于视网膜疾病分类和分级。具体来说，合成的多模态数据结合了眼底荧光素血管造影（FFA）、多光谱成像（MSI）和强调潜在病变以及视盘/视杯区域的显着图。并行模型经过独立训练，可以学习捕获跨病理生理学特征的特定模态表示。然后，这些功能在模态内部和模态之间进行自适应校准，以根据下游任务执行信息修剪和灵活集成。所提出的学习系统通过图像和特征空间的可视化进行了彻底的解释。对两个公共数据集的广泛实验证明了我们的方法在多标签分类（F1 分数：0.683，AUC：0.953）和糖尿病视网膜病变分级（准确度：0.842，Kappa：0.861）任务中优于最先进的方法。这项工作不仅提高了视网膜疾病筛查的准确性和效率，而且还为跨各种医学成像模式的数据增强提供了可扩展的框架。</w:t>
      </w:r>
    </w:p>
    <w:p>
      <w:pPr>
        <w:spacing w:before="120"/>
      </w:pPr>
      <w:r>
        <w:rPr>
          <w:rFonts w:ascii="Times New Roman" w:hAnsi="Times New Roman" w:eastAsia="宋体"/>
          <w:b/>
          <w:sz w:val="21"/>
        </w:rPr>
        <w:t>English Abstract:</w:t>
      </w:r>
    </w:p>
    <w:p>
      <w:r>
        <w:rPr>
          <w:rFonts w:ascii="Times New Roman" w:hAnsi="Times New Roman" w:eastAsia="宋体"/>
          <w:sz w:val="21"/>
        </w:rPr>
        <w:t>Retinal diseases spanning a broad spectrum can be effectively identified and diagnosed using complementary signals from multimodal data. However, multimodal diagnosis in ophthalmic practice is typically challenged in terms of data heterogeneity, potential invasiveness, registration complexity, and so on. As such, a unified framework that integrates multimodal data synthesis and fusion is proposed for retinal disease classification and grading. Specifically, the synthesized multimodal data incorporates fundus fluorescein angiography (FFA), multispectral imaging (MSI), and saliency maps that emphasize latent lesions as well as optic disc/cup regions. Parallel models are independently trained to learn modality-specific representations that capture cross-pathophysiological signatures. These features are then adaptively calibrated within and across modalities to perform information pruning and flexible integration according to downstream tasks. The proposed learning system is thoroughly interpreted through visualizations in both image and feature spaces. Extensive experiments on two public datasets demonstrated the superiority of our approach over state-of-the-art ones in the tasks of multi-label classification (F1-score: 0.683, AUC: 0.953) and diabetic retinopathy grading (Accuracy:0.842, Kappa: 0.861). This work not only enhances the accuracy and efficiency of retinal disease screening but also offers a scalable framework for data augmentation across various medical imaging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合成到真实风格迁移的多目标优化</w:t>
      </w:r>
    </w:p>
    <w:p>
      <w:r>
        <w:rPr>
          <w:rFonts w:ascii="Times New Roman" w:hAnsi="Times New Roman" w:eastAsia="宋体"/>
          <w:b/>
          <w:color w:val="003264"/>
          <w:sz w:val="24"/>
        </w:rPr>
        <w:t>Multi-Objective Optimization for Synthetic-to-Real Style Transfer</w:t>
      </w:r>
    </w:p>
    <w:p>
      <w:r>
        <w:rPr>
          <w:rFonts w:ascii="Times New Roman" w:hAnsi="Times New Roman" w:eastAsia="宋体"/>
          <w:sz w:val="21"/>
        </w:rPr>
        <w:t>作者: Dennis Wilson</w:t>
        <w:br/>
      </w:r>
      <w:r>
        <w:rPr>
          <w:rFonts w:ascii="Times New Roman" w:hAnsi="Times New Roman" w:eastAsia="宋体"/>
          <w:sz w:val="21"/>
        </w:rPr>
        <w:t xml:space="preserve">时间: 2026-02-03T15:14:23Z | </w:t>
      </w:r>
      <w:r>
        <w:t xml:space="preserve">链接: </w:t>
      </w:r>
      <w:hyperlink r:id="rId127">
        <w:r>
          <w:rPr>
            <w:rFonts w:ascii="Times New Roman" w:hAnsi="Times New Roman" w:eastAsia="宋体"/>
            <w:color w:val="0000FF"/>
            <w:sz w:val="21"/>
            <w:u w:val="single"/>
          </w:rPr>
          <w:t>https://arxiv.org/abs/2602.03625v1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分割网络需要大量的像素级注释数据，而对于现实世界的图像来说，获取这些数据的成本很高。计算机图形引擎可以生成合成图像及其真实注释。然而，由于真实图像和合成图像之间的域差距，在此类图像上训练的模型可能在真实图像上表现不佳。风格迁移方法可以通过将逼真的风格应用于合成图像来减少这种差异。由于风格转移算子的组合搜索空间很大，选择有效的数据转换及其顺序很困难。使用多目标遗传算法，我们优化管道以平衡目标领域的结构一致性和风格相似性。我们研究在进化过程中对单个图像样本使用配对图像度量，以实现快速管道评估，而不是需要生成许多图像的标准分布度量。优化后，我们使用分布指标和分割性能评估生成的帕累托前沿。我们将这种方法应用于合成到真实域适应中的标准数据集：从视频游戏 GTA5 到真实图像数据集 Cityscapes 和 ACDC，重点关注不利条件。结果表明，进化算法可以提出适应不同目标的多种增强管道。这项工作的贡献是将风格迁移表述为适合进化优化的排序问题，以及研究在该空间中实现可行搜索的有效指标。源代码位于：https://github.com/echigot/MOOSS。</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networks require large amounts of pixel-level annotated data, which are costly to obtain for real-world images. Computer graphics engines can generate synthetic images alongside their ground-truth annotations. However, models trained on such images can perform poorly on real images due to the domain gap between real and synthetic images. Style transfer methods can reduce this difference by applying a realistic style to synthetic images. Choosing effective data transformations and their sequence is difficult due to the large combinatorial search space of style transfer operators. Using multi-objective genetic algorithms, we optimize pipelines to balance structural coherence and style similarity to target domains. We study the use of paired-image metrics on individual image samples during evolution to enable rapid pipeline evaluation, as opposed to standard distributional metrics that require the generation of many images. After optimization, we evaluate the resulting Pareto front using distributional metrics and segmentation performance. We apply this approach to standard datasets in synthetic-to-real domain adaptation: from the video game GTA5 to real image datasets Cityscapes and ACDC, focusing on adverse conditions. Results demonstrate that evolutionary algorithms can propose diverse augmentation pipelines adapted to different objectives. The contribution of this work is the formulation of style transfer as a sequencing problem suitable for evolutionary optimization and the study of efficient metrics that enable feasible search in this space. The source code is available at: https://github.com/echigot/MOOSS.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MM-SCALE：通过标量判断和列表对齐进行扎根多模态道德推理</w:t>
      </w:r>
    </w:p>
    <w:p>
      <w:r>
        <w:rPr>
          <w:rFonts w:ascii="Times New Roman" w:hAnsi="Times New Roman" w:eastAsia="宋体"/>
          <w:b/>
          <w:color w:val="003264"/>
          <w:sz w:val="24"/>
        </w:rPr>
        <w:t>MM-SCALE: Grounded Multimodal Moral Reasoning via Scalar Judgment and Listwise Alignment</w:t>
      </w:r>
    </w:p>
    <w:p>
      <w:r>
        <w:rPr>
          <w:rFonts w:ascii="Times New Roman" w:hAnsi="Times New Roman" w:eastAsia="宋体"/>
          <w:sz w:val="21"/>
        </w:rPr>
        <w:t>作者: Gunhee Kim</w:t>
        <w:br/>
      </w:r>
      <w:r>
        <w:rPr>
          <w:rFonts w:ascii="Times New Roman" w:hAnsi="Times New Roman" w:eastAsia="宋体"/>
          <w:sz w:val="21"/>
        </w:rPr>
        <w:t xml:space="preserve">时间: 2026-02-03T15:48:00Z | </w:t>
      </w:r>
      <w:r>
        <w:t xml:space="preserve">链接: </w:t>
      </w:r>
      <w:hyperlink r:id="rId128">
        <w:r>
          <w:rPr>
            <w:rFonts w:ascii="Times New Roman" w:hAnsi="Times New Roman" w:eastAsia="宋体"/>
            <w:color w:val="0000FF"/>
            <w:sz w:val="21"/>
            <w:u w:val="single"/>
          </w:rPr>
          <w:t>https://arxiv.org/abs/2602.03665v1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视觉语言模型（VLM）仍然难以在多模式和社会模糊的背景下做出道德上显着的判断。先前的工作通常依赖于二元或成对监督，这往往无法捕捉人类道德推理的连续性和多元性。我们提出了 MM-SCALE（多模态道德量表），这是一个大规模数据集，用于通过 5 点标量评级和明确的模态基础来使 VLM 与人类道德偏好保持一致。每个图像场景对都由人类使用我们为数据收集定制的界面来注释道德可接受性分数和接地推理标签，从而实现对排名场景集的列表偏好优化。通过从离散监督转向标量监督，我们的框架提供了更丰富的对齐信号和更精细的多模态道德推理校准。实验表明，与使用二进制信号训练的 VLM 相比，在 MM-SCALE 上进行微调的 VLM 可实现更高的排序保真度和更稳定的安全校准。</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continue to struggle to make morally salient judgments in multimodal and socially ambiguous contexts. Prior works typically rely on binary or pairwise supervision, which often fail to capture the continuous and pluralistic nature of human moral reasoning. We present MM-SCALE (Multimodal Moral Scale), a large-scale dataset for aligning VLMs with human moral preferences through 5-point scalar ratings and explicit modality grounding. Each image-scenario pair is annotated with moral acceptability scores and grounded reasoning labels by humans using an interface we tailored for data collection, enabling listwise preference optimization over ranked scenario sets. By moving from discrete to scalar supervision, our framework provides richer alignment signals and finer calibration of multimodal moral reasoning. Experiments show that VLMs fine-tuned on MM-SCALE achieve higher ranking fidelity and more stable safety calibration than those trained with binary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用于地下基础设施评估的边缘优化视觉语言模型</w:t>
      </w:r>
    </w:p>
    <w:p>
      <w:r>
        <w:rPr>
          <w:rFonts w:ascii="Times New Roman" w:hAnsi="Times New Roman" w:eastAsia="宋体"/>
          <w:b/>
          <w:color w:val="003264"/>
          <w:sz w:val="24"/>
        </w:rPr>
        <w:t>Edge-Optimized Vision-Language Models for Underground Infrastructure Assessment</w:t>
      </w:r>
    </w:p>
    <w:p>
      <w:r>
        <w:rPr>
          <w:rFonts w:ascii="Times New Roman" w:hAnsi="Times New Roman" w:eastAsia="宋体"/>
          <w:sz w:val="21"/>
        </w:rPr>
        <w:t>作者: Mahdi Abdelguerfi</w:t>
        <w:br/>
      </w:r>
      <w:r>
        <w:rPr>
          <w:rFonts w:ascii="Times New Roman" w:hAnsi="Times New Roman" w:eastAsia="宋体"/>
          <w:sz w:val="21"/>
        </w:rPr>
        <w:t xml:space="preserve">时间: 2026-02-03T17:03:46Z | </w:t>
      </w:r>
      <w:r>
        <w:t xml:space="preserve">链接: </w:t>
      </w:r>
      <w:hyperlink r:id="rId129">
        <w:r>
          <w:rPr>
            <w:rFonts w:ascii="Times New Roman" w:hAnsi="Times New Roman" w:eastAsia="宋体"/>
            <w:color w:val="0000FF"/>
            <w:sz w:val="21"/>
            <w:u w:val="single"/>
          </w:rPr>
          <w:t>https://arxiv.org/abs/2602.03742v1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水道和涵洞系统等地下基础设施的自主检查对于公共安全和城市可持续发展至关重要。尽管配备视觉传感器的机器人平台可以有效地检测结构缺陷，但从这些检测中自动生成人类可读的摘要仍然是一个重大挑战，特别是在资源有限的边缘设备上。本文提出了一种新颖的两级管道，用于对地下缺陷进行端到端总结，将我们的轻量级 RAPID-SCAN 分割模型与部署在边缘计算平台上的微调视觉语言模型（VLM）相结合。第一阶段采用 RAPID-SCAN（使用紧凑自适应网络的资源感知管道检查和缺陷分割），仅用 0.64M 参数即可实现 0.834 F1 分数，实现高效缺陷分割。第二阶段利用经过微调的 Phi-3.5 VLM，从分割输出中以自然语言生成简洁的、特定领域的摘要。我们引入了一个精选的检查图像数据集，其中包含用于 VLM 微调和评估的手动验证的描述。为了实现实时性能，我们采用训练后量化和特定于硬件的优化，在不影响摘要质量的情况下显着减少模型大小和推理延迟。我们在移动机器人平台上部署和评估我们的完整管道，展示其在实际检查场景中的有效性。我们的结果表明，可边缘部署的集成人工智能系统有潜力弥合自动缺陷检测和基础设施维护的可操作见解之间的差距，为更具可扩展性和自主性的检测解决方案铺平道路。</w:t>
      </w:r>
    </w:p>
    <w:p>
      <w:pPr>
        <w:spacing w:before="120"/>
      </w:pPr>
      <w:r>
        <w:rPr>
          <w:rFonts w:ascii="Times New Roman" w:hAnsi="Times New Roman" w:eastAsia="宋体"/>
          <w:b/>
          <w:sz w:val="21"/>
        </w:rPr>
        <w:t>English Abstract:</w:t>
      </w:r>
    </w:p>
    <w:p>
      <w:r>
        <w:rPr>
          <w:rFonts w:ascii="Times New Roman" w:hAnsi="Times New Roman" w:eastAsia="宋体"/>
          <w:sz w:val="21"/>
        </w:rPr>
        <w:t>Autonomous inspection of underground infrastructure, such as sewer and culvert systems, is critical to public safety and urban sustainability. Although robotic platforms equipped with visual sensors can efficiently detect structural deficiencies, the automated generation of human-readable summaries from these detections remains a significant challenge, especially on resource-constrained edge devices. This paper presents a novel two-stage pipeline for end-to-end summarization of underground deficiencies, combining our lightweight RAPID-SCAN segmentation model with a fine-tuned Vision-Language Model (VLM) deployed on an edge computing platform. The first stage employs RAPID-SCAN (Resource-Aware Pipeline Inspection and Defect Segmentation using Compact Adaptive Network), achieving 0.834 F1-score with only 0.64M parameters for efficient defect segmentation. The second stage utilizes a fine-tuned Phi-3.5 VLM that generates concise, domain-specific summaries in natural language from the segmentation outputs. We introduce a curated dataset of inspection images with manually verified descriptions for VLM fine-tuning and evaluation. To enable real-time performance, we employ post-training quantization with hardware-specific optimization, achieving significant reductions in model size and inference latency without compromising summarization quality. We deploy and evaluate our complete pipeline on a mobile robotic platform, demonstrating its effectiveness in real-world inspection scenarios. Our results show the potential of edge-deployable integrated AI systems to bridge the gap between automated defect detection and actionable insights for infrastructure maintenance, paving the way for more scalable and autonomous inspection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透视：动漫角色的单图像层分解</w:t>
      </w:r>
    </w:p>
    <w:p>
      <w:r>
        <w:rPr>
          <w:rFonts w:ascii="Times New Roman" w:hAnsi="Times New Roman" w:eastAsia="宋体"/>
          <w:b/>
          <w:color w:val="003264"/>
          <w:sz w:val="24"/>
        </w:rPr>
        <w:t>See-through: Single-image Layer Decomposition for Anime Characters</w:t>
      </w:r>
    </w:p>
    <w:p>
      <w:r>
        <w:rPr>
          <w:rFonts w:ascii="Times New Roman" w:hAnsi="Times New Roman" w:eastAsia="宋体"/>
          <w:sz w:val="21"/>
        </w:rPr>
        <w:t>作者: Xueting Liu</w:t>
        <w:br/>
      </w:r>
      <w:r>
        <w:rPr>
          <w:rFonts w:ascii="Times New Roman" w:hAnsi="Times New Roman" w:eastAsia="宋体"/>
          <w:sz w:val="21"/>
        </w:rPr>
        <w:t xml:space="preserve">时间: 2026-02-03T17:12:36Z | </w:t>
      </w:r>
      <w:r>
        <w:t xml:space="preserve">链接: </w:t>
      </w:r>
      <w:hyperlink r:id="rId130">
        <w:r>
          <w:rPr>
            <w:rFonts w:ascii="Times New Roman" w:hAnsi="Times New Roman" w:eastAsia="宋体"/>
            <w:color w:val="0000FF"/>
            <w:sz w:val="21"/>
            <w:u w:val="single"/>
          </w:rPr>
          <w:t>https://arxiv.org/abs/2602.03749v1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我们引入了一个框架，可以自动将静态动漫插图转换为可操作的 2.5D 模型。当前的专业工作流程需要繁琐的手动分割和遮挡区域的艺术“幻觉”才能实现运动。我们的方法通过将单个图像分解为完全修复的、语义上不同的层以及推断的绘制顺序来克服这个问题。为了解决训练数据的稀缺问题，我们引入了一个可扩展的引擎，该引擎可以从商业 Live2D 模型中引导高质量的监督，捕获像素完美的语义和隐藏的几何图形。我们的方法将基于扩散的身体部位一致性模块与像素级伪深度推理机制结合起来，该模块强制全局几何一致性。这种组合解决了动漫角色复杂的分层问题，例如交错的发丝，允许动态层重建。我们证明我们的方法可以产生适合专业实时动画应用的高保真、可操作模型。</w:t>
      </w:r>
    </w:p>
    <w:p>
      <w:pPr>
        <w:spacing w:before="120"/>
      </w:pPr>
      <w:r>
        <w:rPr>
          <w:rFonts w:ascii="Times New Roman" w:hAnsi="Times New Roman" w:eastAsia="宋体"/>
          <w:b/>
          <w:sz w:val="21"/>
        </w:rPr>
        <w:t>English Abstract:</w:t>
      </w:r>
    </w:p>
    <w:p>
      <w:r>
        <w:rPr>
          <w:rFonts w:ascii="Times New Roman" w:hAnsi="Times New Roman" w:eastAsia="宋体"/>
          <w:sz w:val="21"/>
        </w:rPr>
        <w:t>We introduce a framework that automates the transformation of static anime illustrations into manipulatable 2.5D models. Current professional workflows require tedious manual segmentation and the artistic ``hallucination'' of occluded regions to enable motion. Our approach overcomes this by decomposing a single image into fully inpainted, semantically distinct layers with inferred drawing orders. To address the scarcity of training data, we introduce a scalable engine that bootstraps high-quality supervision from commercial Live2D models, capturing pixel-perfect semantics and hidden geometry. Our methodology couples a diffusion-based Body Part Consistency Module, which enforces global geometric coherence, with a pixel-level pseudo-depth inference mechanism. This combination resolves the intricate stratification of anime characters, e.g., interleaving hair strands, allowing for dynamic layer reconstruction. We demonstrate that our approach yields high-fidelity, manipulatable models suitable for professional, real-time animation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零样本大型视觉语言模型促进古放射学 X 射线档案中的自动骨骼识别</w:t>
      </w:r>
    </w:p>
    <w:p>
      <w:r>
        <w:rPr>
          <w:rFonts w:ascii="Times New Roman" w:hAnsi="Times New Roman" w:eastAsia="宋体"/>
          <w:b/>
          <w:color w:val="003264"/>
          <w:sz w:val="24"/>
        </w:rPr>
        <w:t>Zero-shot large vision-language model prompting for automated bone identification in paleoradiology x-ray archives</w:t>
      </w:r>
    </w:p>
    <w:p>
      <w:r>
        <w:rPr>
          <w:rFonts w:ascii="Times New Roman" w:hAnsi="Times New Roman" w:eastAsia="宋体"/>
          <w:sz w:val="21"/>
        </w:rPr>
        <w:t>作者: Katherine D. Van Schaik</w:t>
        <w:br/>
      </w:r>
      <w:r>
        <w:rPr>
          <w:rFonts w:ascii="Times New Roman" w:hAnsi="Times New Roman" w:eastAsia="宋体"/>
          <w:sz w:val="21"/>
        </w:rPr>
        <w:t xml:space="preserve">时间: 2026-02-03T17:14:23Z | </w:t>
      </w:r>
      <w:r>
        <w:t xml:space="preserve">链接: </w:t>
      </w:r>
      <w:hyperlink r:id="rId131">
        <w:r>
          <w:rPr>
            <w:rFonts w:ascii="Times New Roman" w:hAnsi="Times New Roman" w:eastAsia="宋体"/>
            <w:color w:val="0000FF"/>
            <w:sz w:val="21"/>
            <w:u w:val="single"/>
          </w:rPr>
          <w:t>https://arxiv.org/abs/2602.03750v1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古放射学利用现代成像技术研究考古和人类学遗迹，为了解千禧年人类健康模式提供了新的窗口。不幸的是，在野外活动期间收集的射线照片是异构的：骨头是脱节的，定位是临时的，并且侧向标记通常不存在。此外，死亡年龄、骨龄、性别和成像设备等因素也会带来很大的变异性。因此，内容导航（例如识别具有特定投影视图的图像子集）可能既耗时又困难，使得高效分类成为专家分析的瓶颈。我们报告了一种零镜头提示策略，该策略利用最先进的大视觉语言模型（LVLM）来自动识别此类图像中的主骨骼、投影视图和侧向性。我们的管道将原始 DICOM 文件转换为骨窗口 PNG，通过精心设计的提示将它们提交给 LVLM，并接收结构化 JSON 输出，这些输出被提取并格式化到电子表格中以准备验证。在由专家委员会认证的古放射学家审查的 100 张图像的随机样本中，系统实现了 92% 的主骨准确性、80% 的投影视图准确性和 100% 的侧向准确性，对于不明确的情况具有低或中等置信度标记。这些结果表明，LVLM 可以大大加速大型古放射学数据集的码字开发，从而在未来的人类学工作流程中实现高效的内容导航。</w:t>
      </w:r>
    </w:p>
    <w:p>
      <w:pPr>
        <w:spacing w:before="120"/>
      </w:pPr>
      <w:r>
        <w:rPr>
          <w:rFonts w:ascii="Times New Roman" w:hAnsi="Times New Roman" w:eastAsia="宋体"/>
          <w:b/>
          <w:sz w:val="21"/>
        </w:rPr>
        <w:t>English Abstract:</w:t>
      </w:r>
    </w:p>
    <w:p>
      <w:r>
        <w:rPr>
          <w:rFonts w:ascii="Times New Roman" w:hAnsi="Times New Roman" w:eastAsia="宋体"/>
          <w:sz w:val="21"/>
        </w:rPr>
        <w:t>Paleoradiology, the use of modern imaging technologies to study archaeological and anthropological remains, offers new windows on millennial scale patterns of human health. Unfortunately, the radiographs collected during field campaigns are heterogeneous: bones are disarticulated, positioning is ad hoc, and laterality markers are often absent. Additionally, factors such as age at death, age of bone, sex, and imaging equipment introduce high variability. Thus, content navigation, such as identifying a subset of images with a specific projection view, can be time consuming and difficult, making efficient triaging a bottleneck for expert analysis. We report a zero shot prompting strategy that leverages a state of the art Large Vision Language Model (LVLM) to automatically identify the main bone, projection view, and laterality in such images. Our pipeline converts raw DICOM files to bone windowed PNGs, submits them to the LVLM with a carefully engineered prompt, and receives structured JSON outputs, which are extracted and formatted onto a spreadsheet in preparation for validation. On a random sample of 100 images reviewed by an expert board certified paleoradiologist, the system achieved 92% main bone accuracy, 80% projection view accuracy, and 100% laterality accuracy, with low or medium confidence flags for ambiguous cases. These results suggest that LVLMs can substantially accelerate code word development for large paleoradiology datasets, allowing for efficient content navigation in future anthropology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具有与表示对齐的视觉特征的测试时调节</w:t>
      </w:r>
    </w:p>
    <w:p>
      <w:r>
        <w:rPr>
          <w:rFonts w:ascii="Times New Roman" w:hAnsi="Times New Roman" w:eastAsia="宋体"/>
          <w:b/>
          <w:color w:val="003264"/>
          <w:sz w:val="24"/>
        </w:rPr>
        <w:t>Test-Time Conditioning with Representation-Aligned Visual Features</w:t>
      </w:r>
    </w:p>
    <w:p>
      <w:r>
        <w:rPr>
          <w:rFonts w:ascii="Times New Roman" w:hAnsi="Times New Roman" w:eastAsia="宋体"/>
          <w:sz w:val="21"/>
        </w:rPr>
        <w:t>作者: Nermin Samet</w:t>
        <w:br/>
      </w:r>
      <w:r>
        <w:rPr>
          <w:rFonts w:ascii="Times New Roman" w:hAnsi="Times New Roman" w:eastAsia="宋体"/>
          <w:sz w:val="21"/>
        </w:rPr>
        <w:t xml:space="preserve">时间: 2026-02-03T17:15:03Z | </w:t>
      </w:r>
      <w:r>
        <w:t xml:space="preserve">链接: </w:t>
      </w:r>
      <w:hyperlink r:id="rId132">
        <w:r>
          <w:rPr>
            <w:rFonts w:ascii="Times New Roman" w:hAnsi="Times New Roman" w:eastAsia="宋体"/>
            <w:color w:val="0000FF"/>
            <w:sz w:val="21"/>
            <w:u w:val="single"/>
          </w:rPr>
          <w:t>https://arxiv.org/abs/2602.03753v1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与自监督模型的表示对齐已被证明可以改善扩散模型训练，但其增强推理时间调节的潜力在很大程度上仍未得到探索。我们引入了表示对齐指导（REPA-G），这是一个利用这些对齐表示和丰富语义属性的框架，能够根据生成中的特征进行测试时调节。通过优化推理时的相似性目标（潜力），我们将去噪过程转向从预先训练的特征提取器中提取的条件表示。我们的方法提供了多种尺度的多功能控制，从通过单个补丁的细粒度纹理匹配到使用全局图像特征标记的广泛语义指导。我们进一步将其扩展到多概念组合，允许不同概念的忠实组合。 REPA-G 完全在推理时运行，为通常不明确的文本提示或粗略的类标签提供灵活而精确的替代方案。我们从理论上证明了该指导如何能够从势引起的倾斜分布中进行采样。 ImageNet 和 COCO 上的定量结果表明我们的方法实现了高质量、多样化的世代。代码可在 https://github.com/valeoai/REPA-G 获取。</w:t>
      </w:r>
    </w:p>
    <w:p>
      <w:pPr>
        <w:spacing w:before="120"/>
      </w:pPr>
      <w:r>
        <w:rPr>
          <w:rFonts w:ascii="Times New Roman" w:hAnsi="Times New Roman" w:eastAsia="宋体"/>
          <w:b/>
          <w:sz w:val="21"/>
        </w:rPr>
        <w:t>English Abstract:</w:t>
      </w:r>
    </w:p>
    <w:p>
      <w:r>
        <w:rPr>
          <w:rFonts w:ascii="Times New Roman" w:hAnsi="Times New Roman" w:eastAsia="宋体"/>
          <w:sz w:val="21"/>
        </w:rPr>
        <w:t>While representation alignment with self-supervised models has been shown to improve diffusion model training, its potential for enhancing inference-time conditioning remains largely unexplored. We introduce Representation-Aligned Guidance (REPA-G), a framework that leverages these aligned representations, with rich semantic properties, to enable test-time conditioning from features in generation. By optimizing a similarity objective (the potential) at inference, we steer the denoising process toward a conditioned representation extracted from a pre-trained feature extractor. Our method provides versatile control at multiple scales, ranging from fine-grained texture matching via single patches to broad semantic guidance using global image feature tokens. We further extend this to multi-concept composition, allowing for the faithful combination of distinct concepts. REPA-G operates entirely at inference time, offering a flexible and precise alternative to often ambiguous text prompts or coarse class labels. We theoretically justify how this guidance enables sampling from the potential-induced tilted distribution. Quantitative results on ImageNet and COCO demonstrate that our approach achieves high-quality, diverse generations. Code is available at https://github.com/valeoai/REPA-G.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RAWDet-7：量化 RAW 图像上的对象检测和描述的多场景基准</w:t>
      </w:r>
    </w:p>
    <w:p>
      <w:r>
        <w:rPr>
          <w:rFonts w:ascii="Times New Roman" w:hAnsi="Times New Roman" w:eastAsia="宋体"/>
          <w:b/>
          <w:color w:val="003264"/>
          <w:sz w:val="24"/>
        </w:rPr>
        <w:t>RAWDet-7: A Multi-Scenario Benchmark for Object Detection and Description on Quantized RAW Images</w:t>
      </w:r>
    </w:p>
    <w:p>
      <w:r>
        <w:rPr>
          <w:rFonts w:ascii="Times New Roman" w:hAnsi="Times New Roman" w:eastAsia="宋体"/>
          <w:sz w:val="21"/>
        </w:rPr>
        <w:t>作者: Margret Keuper</w:t>
        <w:br/>
      </w:r>
      <w:r>
        <w:rPr>
          <w:rFonts w:ascii="Times New Roman" w:hAnsi="Times New Roman" w:eastAsia="宋体"/>
          <w:sz w:val="21"/>
        </w:rPr>
        <w:t xml:space="preserve">时间: 2026-02-03T17:22:45Z | </w:t>
      </w:r>
      <w:r>
        <w:t xml:space="preserve">链接: </w:t>
      </w:r>
      <w:hyperlink r:id="rId133">
        <w:r>
          <w:rPr>
            <w:rFonts w:ascii="Times New Roman" w:hAnsi="Times New Roman" w:eastAsia="宋体"/>
            <w:color w:val="0000FF"/>
            <w:sz w:val="21"/>
            <w:u w:val="single"/>
          </w:rPr>
          <w:t>https://arxiv.org/abs/2602.03760v1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大多数视觉模型都是基于通过针对人类感知优化的 ISP 管道处理的 RGB 图像进行训练，这可能会丢弃对机器推理有用的传感器级信息。 RAW 图像保留未处理的场景数据，使模型能够利用更丰富的线索进行对象检测和对象描述，捕获处理图像中经常丢失的细粒度细节、空间关系和上下文信息。为了支持该领域的研究，我们引入了 RAWDet-7，这是一个包含约 25k 训练图像和 7.6k 测试 RAW 图像的大型数据集，这些图像通过不同的相机、照明条件和环境收集，并按照 MS-COCO 和 LVIS 约定对七个对象类别进行了密集注释。此外，我们还提供了从相应的高分辨率 sRGB 图像导出的对象级描述，有助于研究 RAW 图像处理和低位量化下的对象级信息保存。该数据集允许在模拟 4 位、6 位和 8 位量化下进行评估，反映真实的传感器约束，并为研究检测性能、描述质量和细节以及低位 RAW 图像处理中的泛化提供基准。接受后的数据集和代码。</w:t>
      </w:r>
    </w:p>
    <w:p>
      <w:pPr>
        <w:spacing w:before="120"/>
      </w:pPr>
      <w:r>
        <w:rPr>
          <w:rFonts w:ascii="Times New Roman" w:hAnsi="Times New Roman" w:eastAsia="宋体"/>
          <w:b/>
          <w:sz w:val="21"/>
        </w:rPr>
        <w:t>English Abstract:</w:t>
      </w:r>
    </w:p>
    <w:p>
      <w:r>
        <w:rPr>
          <w:rFonts w:ascii="Times New Roman" w:hAnsi="Times New Roman" w:eastAsia="宋体"/>
          <w:sz w:val="21"/>
        </w:rPr>
        <w:t>Most vision models are trained on RGB images processed through ISP pipelines optimized for human perception, which can discard sensor-level information useful for machine reasoning. RAW images preserve unprocessed scene data, enabling models to leverage richer cues for both object detection and object description, capturing fine-grained details, spatial relationships, and contextual information often lost in processed images. To support research in this domain, we introduce RAWDet-7, a large-scale dataset of ~25k training and 7.6k test RAW images collected across diverse cameras, lighting conditions, and environments, densely annotated for seven object categories following MS-COCO and LVIS conventions. In addition, we provide object-level descriptions derived from the corresponding high-resolution sRGB images, facilitating the study of object-level information preservation under RAW image processing and low-bit quantization. The dataset allows evaluation under simulated 4-bit, 6-bit, and 8-bit quantization, reflecting realistic sensor constraints, and provides a benchmark for studying detection performance, description quality &amp; detail, and generalization in low-bit RAW image processing. Dataset &amp; code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FOVI：用于深度视觉模型的受生物学启发的注视点界面</w:t>
      </w:r>
    </w:p>
    <w:p>
      <w:r>
        <w:rPr>
          <w:rFonts w:ascii="Times New Roman" w:hAnsi="Times New Roman" w:eastAsia="宋体"/>
          <w:b/>
          <w:color w:val="003264"/>
          <w:sz w:val="24"/>
        </w:rPr>
        <w:t>FOVI: A biologically-inspired foveated interface for deep vision models</w:t>
      </w:r>
    </w:p>
    <w:p>
      <w:r>
        <w:rPr>
          <w:rFonts w:ascii="Times New Roman" w:hAnsi="Times New Roman" w:eastAsia="宋体"/>
          <w:sz w:val="21"/>
        </w:rPr>
        <w:t>作者: Talia Konkle</w:t>
        <w:br/>
      </w:r>
      <w:r>
        <w:rPr>
          <w:rFonts w:ascii="Times New Roman" w:hAnsi="Times New Roman" w:eastAsia="宋体"/>
          <w:sz w:val="21"/>
        </w:rPr>
        <w:t xml:space="preserve">时间: 2026-02-03T17:26:54Z | </w:t>
      </w:r>
      <w:r>
        <w:t xml:space="preserve">链接: </w:t>
      </w:r>
      <w:hyperlink r:id="rId134">
        <w:r>
          <w:rPr>
            <w:rFonts w:ascii="Times New Roman" w:hAnsi="Times New Roman" w:eastAsia="宋体"/>
            <w:color w:val="0000FF"/>
            <w:sz w:val="21"/>
            <w:u w:val="single"/>
          </w:rPr>
          <w:t>https://arxiv.org/abs/2602.03766v1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是中心凹的，可变分辨率在大视野的中心达到峰值；这反映了主动传感的有效权衡，允许眼球运动将世界的不同部分与背景中的世界其他部分结合起来。相比之下，大多数计算机视觉系统以统一的分辨率对视觉世界进行编码，这给高效处理全场高分辨率图像带来了挑战。我们提出了一种基于人类视网膜和初级视觉皮层的中心凹视觉接口（FOVI），它将可变分辨率的类似视网膜的传感器阵列重新格式化为均匀密集的、类似 V1 的传感器流形。感受野被定义为传感器流形上的 k 最近邻 (kNN)，通过新颖的内核映射技术实现 kNN 卷积。我们演示了两个用例：(1) 端到端 kNN 卷积架构，以及 (2) 利用低秩适应 (LoRA) 对基础 DINOv3 ViT 模型进行中心点适应。这些模型以非中心凹基线计算成本的一小部分提供了具有竞争力的性能，为高分辨率自我中心视觉的高效且可扩展的主动传感开辟了途径。代码和预训练模型可在 https://github.com/nblauch/fovi 和 https://huggingface.co/fovi-pytorch 获取。</w:t>
      </w:r>
    </w:p>
    <w:p>
      <w:pPr>
        <w:spacing w:before="120"/>
      </w:pPr>
      <w:r>
        <w:rPr>
          <w:rFonts w:ascii="Times New Roman" w:hAnsi="Times New Roman" w:eastAsia="宋体"/>
          <w:b/>
          <w:sz w:val="21"/>
        </w:rPr>
        <w:t>English Abstract:</w:t>
      </w:r>
    </w:p>
    <w:p>
      <w:r>
        <w:rPr>
          <w:rFonts w:ascii="Times New Roman" w:hAnsi="Times New Roman" w:eastAsia="宋体"/>
          <w:sz w:val="21"/>
        </w:rPr>
        <w:t>Human vision is foveated, with variable resolution peaking at the center of a large field of view; this reflects an efficient trade-off for active sensing, allowing eye-movements to bring different parts of the world into focus with other parts of the world in context. In contrast, most computer vision systems encode the visual world at a uniform resolution, raising challenges for processing full-field high-resolution images efficiently. We propose a foveated vision interface (FOVI) based on the human retina and primary visual cortex, that reformats a variable-resolution retina-like sensor array into a uniformly dense, V1-like sensor manifold. Receptive fields are defined as k-nearest-neighborhoods (kNNs) on the sensor manifold, enabling kNN-convolution via a novel kernel mapping technique. We demonstrate two use cases: (1) an end-to-end kNN-convolutional architecture, and (2) a foveated adaptation of the foundational DINOv3 ViT model, leveraging low-rank adaptation (LoRA). These models provide competitive performance at a fraction of the computational cost of non-foveated baselines, opening pathways for efficient and scalable active sensing for high-resolution egocentric vision. Code and pre-trained models are available at https://github.com/nblauch/fovi and https://huggingface.co/fovi-pytorch.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从术前到术中 MRI：预测癫痫手术颞叶切除术中的脑移位</w:t>
      </w:r>
    </w:p>
    <w:p>
      <w:r>
        <w:rPr>
          <w:rFonts w:ascii="Times New Roman" w:hAnsi="Times New Roman" w:eastAsia="宋体"/>
          <w:b/>
          <w:color w:val="003264"/>
          <w:sz w:val="24"/>
        </w:rPr>
        <w:t>From Pre- to Intra-operative MRI: Predicting Brain Shift in Temporal Lobe Resection for Epilepsy Surgery</w:t>
      </w:r>
    </w:p>
    <w:p>
      <w:r>
        <w:rPr>
          <w:rFonts w:ascii="Times New Roman" w:hAnsi="Times New Roman" w:eastAsia="宋体"/>
          <w:sz w:val="21"/>
        </w:rPr>
        <w:t>作者: Alejandro Granados</w:t>
        <w:br/>
      </w:r>
      <w:r>
        <w:rPr>
          <w:rFonts w:ascii="Times New Roman" w:hAnsi="Times New Roman" w:eastAsia="宋体"/>
          <w:sz w:val="21"/>
        </w:rPr>
        <w:t xml:space="preserve">时间: 2026-02-03T17:45:11Z | </w:t>
      </w:r>
      <w:r>
        <w:t xml:space="preserve">链接: </w:t>
      </w:r>
      <w:hyperlink r:id="rId135">
        <w:r>
          <w:rPr>
            <w:rFonts w:ascii="Times New Roman" w:hAnsi="Times New Roman" w:eastAsia="宋体"/>
            <w:color w:val="0000FF"/>
            <w:sz w:val="21"/>
            <w:u w:val="single"/>
          </w:rPr>
          <w:t>https://arxiv.org/abs/2602.03785v1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简介：在神经外科领域，图像引导神经外科系统（IGNS）高度依赖术前脑部磁共振图像（MRI）来协助外科医生定位手术目标并确定手术路径。然而，脑移位使硬脑膜打开后术前 MRI 无效。具有脑移位补偿功能的更新的术中脑部 MRI 对于提高神经导航系统的精度和确保手术干预的最佳结果至关重要。方法：我们提出 NeuralShift，一种基于 U-Net 的模型，完全根据术前 MRI 预测接受颞叶切除术的患者的大脑移位。我们使用根据位于切除侧和沿中线的解剖标志计算的目标配准误差 (TRE) 以及将预测的术中面罩与术中 MRI 得出的面罩进行比较的 DICE 评分来评估我们的结果。结果：我们的实验结果表明，我们的模型可以预测大脑的整体变形（DICE 为 0.97），并具有精确的局部位移（实现低至 1.12 毫米的标志性 TRE），补偿颞叶切除神经外科手术期间的大大脑移位。结论：我们提出的模型能够仅使用术前图像来预测颞叶切除过程中大脑的整体变形，为手术团队提供潜在的机会，以提高神经外科手术的安全性和效率，并为患者提供更好的结果。我们的贡献将在 https://github.com/SurgicalDataScienceKCL/NeuralShift 被接受后公开发布。</w:t>
      </w:r>
    </w:p>
    <w:p>
      <w:pPr>
        <w:spacing w:before="120"/>
      </w:pPr>
      <w:r>
        <w:rPr>
          <w:rFonts w:ascii="Times New Roman" w:hAnsi="Times New Roman" w:eastAsia="宋体"/>
          <w:b/>
          <w:sz w:val="21"/>
        </w:rPr>
        <w:t>English Abstract:</w:t>
      </w:r>
    </w:p>
    <w:p>
      <w:r>
        <w:rPr>
          <w:rFonts w:ascii="Times New Roman" w:hAnsi="Times New Roman" w:eastAsia="宋体"/>
          <w:sz w:val="21"/>
        </w:rPr>
        <w:t>Introduction: In neurosurgery, image-guided Neurosurgery Systems (IGNS) highly rely on preoperative brain magnetic resonance images (MRI) to assist surgeons in locating surgical targets and determining surgical paths. However, brain shift invalidates the preoperative MRI after dural opening. Updated intraoperative brain MRI with brain shift compensation is crucial for enhancing the precision of neuronavigation systems and ensuring the optimal outcome of surgical interventions. Methodology: We propose NeuralShift, a U-Net-based model that predicts brain shift entirely from pre-operative MRI for patients undergoing temporal lobe resection. We evaluated our results using Target Registration Errors (TREs) computed on anatomical landmarks located on the resection side and along the midline, and DICE scores comparing predicted intraoperative masks with masks derived from intraoperative MRI. Results: Our experimental results show that our model can predict the global deformation of the brain (DICE of 0.97) with accurate local displacements (achieve landmark TRE as low as 1.12 mm), compensating for large brain shifts during temporal lobe removal neurosurgery. Conclusion: Our proposed model is capable of predicting the global deformation of the brain during temporal lobe resection using only preoperative images, providing potential opportunities to the surgical team to increase safety and efficiency of neurosurgery and better outcomes to patients. Our contributions will be publicly available after acceptance in https://github.com/SurgicalDataScienceKCL/NeuralShift.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BridgeV2W：通过体现掩模将视频生成模型桥接到具体世界模型</w:t>
      </w:r>
    </w:p>
    <w:p>
      <w:r>
        <w:rPr>
          <w:rFonts w:ascii="Times New Roman" w:hAnsi="Times New Roman" w:eastAsia="宋体"/>
          <w:b/>
          <w:color w:val="003264"/>
          <w:sz w:val="24"/>
        </w:rPr>
        <w:t>BridgeV2W: Bridging Video Generation Models to Embodied World Models via Embodiment Masks</w:t>
      </w:r>
    </w:p>
    <w:p>
      <w:r>
        <w:rPr>
          <w:rFonts w:ascii="Times New Roman" w:hAnsi="Times New Roman" w:eastAsia="宋体"/>
          <w:sz w:val="21"/>
        </w:rPr>
        <w:t>作者: Liang Wang</w:t>
        <w:br/>
      </w:r>
      <w:r>
        <w:rPr>
          <w:rFonts w:ascii="Times New Roman" w:hAnsi="Times New Roman" w:eastAsia="宋体"/>
          <w:sz w:val="21"/>
        </w:rPr>
        <w:t xml:space="preserve">时间: 2026-02-03T17:56:28Z | </w:t>
      </w:r>
      <w:r>
        <w:t xml:space="preserve">链接: </w:t>
      </w:r>
      <w:hyperlink r:id="rId136">
        <w:r>
          <w:rPr>
            <w:rFonts w:ascii="Times New Roman" w:hAnsi="Times New Roman" w:eastAsia="宋体"/>
            <w:color w:val="0000FF"/>
            <w:sz w:val="21"/>
            <w:u w:val="single"/>
          </w:rPr>
          <w:t>https://arxiv.org/abs/2602.03793v1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身世界模型已成为机器人技术中一个有前途的范例，其中大多数利用大规模互联网视频或预训练的视频生成模型来丰富视觉和运动先验。然而，它们仍然面临关键挑战：坐标空间动作和像素空间视频之间的不对准、对相机视点的敏感性以及跨实施例的非统一架构。为此，我们提出了 BridgeV2W，它将坐标空间动作转换为根据 URDF 和相机参数渲染的像素对齐的实施例掩模。然后，这些掩模通过 ControlNet 风格的路径注入到预训练的视频生成模型中，该路径将动作控制信号与预测视频对齐，添加特定于视图的调节以适应相机视点，并在各个实施例中生成统一的世界模型架构。为了减轻对静态背景的过度拟合，BridgeV2W 进一步引入了基于流的运动损失，专注于学习动态和任务相关区域。在单臂 (DROID) 和双臂 (AgiBot-G1) 数据集上进行的实验涵盖了具有未见过的视点和场景的多样化且具有挑战性的条件，结果表明，与之前最先进的方法相比，BridgeV2W 提高了视频生成质量。我们进一步展示了 BridgeV2W 在下游现实世界任务中的潜力，包括政策评估和目标条件规划。更多结果可以在我们的项目网站 https://BridgeV2W.github.io 上找到。</w:t>
      </w:r>
    </w:p>
    <w:p>
      <w:pPr>
        <w:spacing w:before="120"/>
      </w:pPr>
      <w:r>
        <w:rPr>
          <w:rFonts w:ascii="Times New Roman" w:hAnsi="Times New Roman" w:eastAsia="宋体"/>
          <w:b/>
          <w:sz w:val="21"/>
        </w:rPr>
        <w:t>English Abstract:</w:t>
      </w:r>
    </w:p>
    <w:p>
      <w:r>
        <w:rPr>
          <w:rFonts w:ascii="Times New Roman" w:hAnsi="Times New Roman" w:eastAsia="宋体"/>
          <w:sz w:val="21"/>
        </w:rPr>
        <w:t>Embodied world models have emerged as a promising paradigm in robotics, most of which leverage large-scale Internet videos or pretrained video generation models to enrich visual and motion priors. However, they still face key challenges: a misalignment between coordinate-space actions and pixel-space videos, sensitivity to camera viewpoint, and non-unified architectures across embodiments. To this end, we present BridgeV2W, which converts coordinate-space actions into pixel-aligned embodiment masks rendered from the URDF and camera parameters. These masks are then injected into a pretrained video generation model via a ControlNet-style pathway, which aligns the action control signals with predicted videos, adds view-specific conditioning to accommodate camera viewpoints, and yields a unified world model architecture across embodiments. To mitigate overfitting to static backgrounds, BridgeV2W further introduces a flow-based motion loss that focuses on learning dynamic and task-relevant regions. Experiments on single-arm (DROID) and dual-arm (AgiBot-G1) datasets, covering diverse and challenging conditions with unseen viewpoints and scenes, show that BridgeV2W improves video generation quality compared to prior state-of-the-art methods. We further demonstrate the potential of BridgeV2W on downstream real-world tasks, including policy evaluation and goal-conditioned planning. More results can be found on our project website at https://BridgeV2W.github.io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用于生成视图自适应人类视频的 3D 感知隐式运动控制</w:t>
      </w:r>
    </w:p>
    <w:p>
      <w:r>
        <w:rPr>
          <w:rFonts w:ascii="Times New Roman" w:hAnsi="Times New Roman" w:eastAsia="宋体"/>
          <w:b/>
          <w:color w:val="003264"/>
          <w:sz w:val="24"/>
        </w:rPr>
        <w:t>3D-Aware Implicit Motion Control for View-Adaptive Human Video Generation</w:t>
      </w:r>
    </w:p>
    <w:p>
      <w:r>
        <w:rPr>
          <w:rFonts w:ascii="Times New Roman" w:hAnsi="Times New Roman" w:eastAsia="宋体"/>
          <w:sz w:val="21"/>
        </w:rPr>
        <w:t>作者: Kun Gai</w:t>
        <w:br/>
      </w:r>
      <w:r>
        <w:rPr>
          <w:rFonts w:ascii="Times New Roman" w:hAnsi="Times New Roman" w:eastAsia="宋体"/>
          <w:sz w:val="21"/>
        </w:rPr>
        <w:t xml:space="preserve">时间: 2026-02-03T17:59:09Z | </w:t>
      </w:r>
      <w:r>
        <w:t xml:space="preserve">链接: </w:t>
      </w:r>
      <w:hyperlink r:id="rId137">
        <w:r>
          <w:rPr>
            <w:rFonts w:ascii="Times New Roman" w:hAnsi="Times New Roman" w:eastAsia="宋体"/>
            <w:color w:val="0000FF"/>
            <w:sz w:val="21"/>
            <w:u w:val="single"/>
          </w:rPr>
          <w:t>https://arxiv.org/abs/2602.03796v1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视频生成中现有的人体运动控制方法通常依赖 2D 姿势或显式 3D 参数模型（例如 SMPL）作为控制信号。然而，2D 将运动严格绑定到驾驶视点，从而妨碍了新颖的视图合成。显式 3D 模型虽然在结构上信息丰富，但存在固有的不准确性（例如，深度模糊性和不准确的动态），当用作强约束时，会覆盖大型视频生成器强大的内在 3D 感知能力。在这项工作中，我们从 3D 感知的角度重新审视运动控制，提倡一种隐式的、与视图无关的运动表示，它自然地与生成器的空间先验对齐，而不是依赖于外部重建的约束。我们引入了 3DiMo，它联合训练运动编码器和预先训练的视频生成器，将驱动帧提取为紧凑的、与视图无关的运动标记，并通过交叉注意力进行语义注入。为了培养 3D 意识，我们通过丰富视图的监督（即单视图、多视图和移动摄像机视频）进行训练，强制不同视点之间的运动一致性。此外，我们使用辅助几何监督，仅利用 SMPL 进行早期初始化，并退火至零，使模型能够从外部 3D 指导过渡到从数据和生成器先验中学习真正的 3D 空间运动理解。实验证实，3DiMo 通过灵活的文本驱动摄像头控制忠实地再现了驾驶动作，在运动保真度和视觉质量方面都显着超越了现有方法。</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human motion control in video generation typically rely on either 2D poses or explicit 3D parametric models (e.g., SMPL) as control signals. However, 2D poses rigidly bind motion to the driving viewpoint, precluding novel-view synthesis. Explicit 3D models, though structurally informative, suffer from inherent inaccuracies (e.g., depth ambiguity and inaccurate dynamics) which, when used as a strong constraint, override the powerful intrinsic 3D awareness of large-scale video generators. In this work, we revisit motion control from a 3D-aware perspective, advocating for an implicit, view-agnostic motion representation that naturally aligns with the generator's spatial priors rather than depending on externally reconstructed constraints. We introduce 3DiMo, which jointly trains a motion encoder with a pretrained video generator to distill driving frames into compact, view-agnostic motion tokens, injected semantically via cross-attention. To foster 3D awareness, we train with view-rich supervision (i.e., single-view, multi-view, and moving-camera videos), forcing motion consistency across diverse viewpoints. Additionally, we use auxiliary geometric supervision that leverages SMPL only for early initialization and is annealed to zero, enabling the model to transition from external 3D guidance to learning genuine 3D spatial motion understanding from the data and the generator's priors. Experiments confirm that 3DiMo faithfully reproduces driving motions with flexible, text-driven camera control, significantly surpassing existing methods in both motion fidelity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用于自回归多尺度图像生成的渐进棋盘格</w:t>
      </w:r>
    </w:p>
    <w:p>
      <w:r>
        <w:rPr>
          <w:rFonts w:ascii="Times New Roman" w:hAnsi="Times New Roman" w:eastAsia="宋体"/>
          <w:b/>
          <w:color w:val="003264"/>
          <w:sz w:val="24"/>
        </w:rPr>
        <w:t>Progressive Checkerboards for Autoregressive Multiscale Image Generation</w:t>
      </w:r>
    </w:p>
    <w:p>
      <w:r>
        <w:rPr>
          <w:rFonts w:ascii="Times New Roman" w:hAnsi="Times New Roman" w:eastAsia="宋体"/>
          <w:sz w:val="21"/>
        </w:rPr>
        <w:t>作者: David Eigen</w:t>
        <w:br/>
      </w:r>
      <w:r>
        <w:rPr>
          <w:rFonts w:ascii="Times New Roman" w:hAnsi="Times New Roman" w:eastAsia="宋体"/>
          <w:sz w:val="21"/>
        </w:rPr>
        <w:t xml:space="preserve">时间: 2026-02-03T18:15:27Z | </w:t>
      </w:r>
      <w:r>
        <w:t xml:space="preserve">链接: </w:t>
      </w:r>
      <w:hyperlink r:id="rId138">
        <w:r>
          <w:rPr>
            <w:rFonts w:ascii="Times New Roman" w:hAnsi="Times New Roman" w:eastAsia="宋体"/>
            <w:color w:val="0000FF"/>
            <w:sz w:val="21"/>
            <w:u w:val="single"/>
          </w:rPr>
          <w:t>https://arxiv.org/abs/2602.03811v1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图像生成的一个关键挑战是有效地并行采样独立位置，同时仍然通过串行条件对相互依赖关系进行建模。最近的一些工作通过在多尺度金字塔中的尺度之间进行调节来解决这个问题。其他人研究了使用常规分区或随机顺序并行化单个图像中的样本。在这项工作中，我们研究了一种基于渐进棋盘的灵活、固定排序，用于多尺度自回归图像生成。我们的排序从每个尺度的均匀间隔区域并行抽取样本，在每一步的四叉树细分的所有级别上保持完全平衡。这使得能够在尺度之间和尺度内进行有效调节。有趣的是，我们发现证据表明，在我们的平衡设置中，只要串行步骤的总数恒定，各种放大因素都会导致类似的结果。在类条件 ImageNet 上，与具有类似模型容量的最新最先进的自回归系统相比，我们的方法使用更少的采样步骤实现了具有竞争力的性能。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A key challenge in autoregressive image generation is to efficiently sample independent locations in parallel, while still modeling mutual dependencies with serial conditioning. Some recent works have addressed this by conditioning between scales in a multiscale pyramid. Others have looked at parallelizing samples in a single image using regular partitions or randomized orders. In this work we examine a flexible, fixed ordering based on progressive checkerboards for multiscale autoregressive image generation. Our ordering draws samples in parallel from evenly spaced regions at each scale, maintaining full balance in all levels of a quadtree subdivision at each step. This enables effective conditioning both between and within scales. Intriguingly, we find evidence that in our balanced setting, a wide range of scale-up factors lead to similar results, so long as the total number of serial steps is constant. On class-conditional ImageNet, our method achieves competitive performance compared to recent state-of-the-art autoregressive systems with like model capacity, using fewer sampling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通过自适应原点引导连续控制编辑模型</w:t>
      </w:r>
    </w:p>
    <w:p>
      <w:r>
        <w:rPr>
          <w:rFonts w:ascii="Times New Roman" w:hAnsi="Times New Roman" w:eastAsia="宋体"/>
          <w:b/>
          <w:color w:val="003264"/>
          <w:sz w:val="24"/>
        </w:rPr>
        <w:t>Continuous Control of Editing Models via Adaptive-Origin Guidance</w:t>
      </w:r>
    </w:p>
    <w:p>
      <w:r>
        <w:rPr>
          <w:rFonts w:ascii="Times New Roman" w:hAnsi="Times New Roman" w:eastAsia="宋体"/>
          <w:sz w:val="21"/>
        </w:rPr>
        <w:t>作者: Or Patashnik</w:t>
        <w:br/>
      </w:r>
      <w:r>
        <w:rPr>
          <w:rFonts w:ascii="Times New Roman" w:hAnsi="Times New Roman" w:eastAsia="宋体"/>
          <w:sz w:val="21"/>
        </w:rPr>
        <w:t xml:space="preserve">时间: 2026-02-03T18:33:39Z | </w:t>
      </w:r>
      <w:r>
        <w:t xml:space="preserve">链接: </w:t>
      </w:r>
      <w:hyperlink r:id="rId139">
        <w:r>
          <w:rPr>
            <w:rFonts w:ascii="Times New Roman" w:hAnsi="Times New Roman" w:eastAsia="宋体"/>
            <w:color w:val="0000FF"/>
            <w:sz w:val="21"/>
            <w:u w:val="single"/>
          </w:rPr>
          <w:t>https://arxiv.org/abs/2602.03826v1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基于扩散的编辑模型已成为语义图像和视频操作的强大工具。然而，现有模型缺乏平稳控制文本引导编辑强度的机制。在标准文本条件生成中，无分类器指导 (CFG) 会影响提示依从性，表明它是编辑模型中编辑强度的潜在控制。然而，我们表明在这些模型中缩放 CFG 不会在输入和编辑结果之间产生平滑过渡。我们将这种行为归因于无条件预测，它充当指导原点并在低指导尺度下主导生成，同时代表对输入内容的任意操纵。为了实现连续控制，我们引入了自适应原点引导（AdaOr），这是一种使用与身份操作相对应的身份指令，通过身份条件自适应原点调整此标准引导原点的方法。通过根据编辑强度将此身份预测与标准无条件预测进行插值，我们确保从输入到编辑结果的连续过渡。我们在图像和视频编辑任务上评估了我们的方法，证明与当前基于滑块的编辑方法相比，它提供了更平滑、更一致的控制。我们的方法将身份指令纳入标准训练框架，从而在推理时实现细粒度控制，无需每次编辑程序或依赖专门的数据集。</w:t>
      </w:r>
    </w:p>
    <w:p>
      <w:pPr>
        <w:spacing w:before="120"/>
      </w:pPr>
      <w:r>
        <w:rPr>
          <w:rFonts w:ascii="Times New Roman" w:hAnsi="Times New Roman" w:eastAsia="宋体"/>
          <w:b/>
          <w:sz w:val="21"/>
        </w:rPr>
        <w:t>English Abstract:</w:t>
      </w:r>
    </w:p>
    <w:p>
      <w:r>
        <w:rPr>
          <w:rFonts w:ascii="Times New Roman" w:hAnsi="Times New Roman" w:eastAsia="宋体"/>
          <w:sz w:val="21"/>
        </w:rPr>
        <w:t>Diffusion-based editing models have emerged as a powerful tool for semantic image and video manipulation. However, existing models lack a mechanism for smoothly controlling the intensity of text-guided edits. In standard text-conditioned generation, Classifier-Free Guidance (CFG) impacts prompt adherence, suggesting it as a potential control for edit intensity in editing models. However, we show that scaling CFG in these models does not produce a smooth transition between the input and the edited result. We attribute this behavior to the unconditional prediction, which serves as the guidance origin and dominates the generation at low guidance scales, while representing an arbitrary manipulation of the input content. To enable continuous control, we introduce Adaptive-Origin Guidance (AdaOr), a method that adjusts this standard guidance origin with an identity-conditioned adaptive origin, using an identity instruction corresponding to the identity manipulation. By interpolating this identity prediction with the standard unconditional prediction according to the edit strength, we ensure a continuous transition from the input to the edited result. We evaluate our method on image and video editing tasks, demonstrating that it provides smoother and more consistent control compared to current slider-based editing approaches. Our method incorporates an identity instruction into the standard training framework, enabling fine-grained control at inference time without per-edit procedure or reliance on specialized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PrevizWhiz：结合粗糙 3D 场景和 2D 视频来指导生成视频预可视化</w:t>
      </w:r>
    </w:p>
    <w:p>
      <w:r>
        <w:rPr>
          <w:rFonts w:ascii="Times New Roman" w:hAnsi="Times New Roman" w:eastAsia="宋体"/>
          <w:b/>
          <w:color w:val="003264"/>
          <w:sz w:val="24"/>
        </w:rPr>
        <w:t>PrevizWhiz: Combining Rough 3D Scenes and 2D Video to Guide Generative Video Previsualization</w:t>
      </w:r>
    </w:p>
    <w:p>
      <w:r>
        <w:rPr>
          <w:rFonts w:ascii="Times New Roman" w:hAnsi="Times New Roman" w:eastAsia="宋体"/>
          <w:sz w:val="21"/>
        </w:rPr>
        <w:t>作者: Fraser Anderson</w:t>
        <w:br/>
      </w:r>
      <w:r>
        <w:rPr>
          <w:rFonts w:ascii="Times New Roman" w:hAnsi="Times New Roman" w:eastAsia="宋体"/>
          <w:sz w:val="21"/>
        </w:rPr>
        <w:t xml:space="preserve">时间: 2026-02-03T18:56:40Z | </w:t>
      </w:r>
      <w:r>
        <w:t xml:space="preserve">链接: </w:t>
      </w:r>
      <w:hyperlink r:id="rId140">
        <w:r>
          <w:rPr>
            <w:rFonts w:ascii="Times New Roman" w:hAnsi="Times New Roman" w:eastAsia="宋体"/>
            <w:color w:val="0000FF"/>
            <w:sz w:val="21"/>
            <w:u w:val="single"/>
          </w:rPr>
          <w:t>https://arxiv.org/abs/2602.03838v1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在前期制作中，电影制作人和 3D 动画专家必须快速制作创意原型，以在全面制作之前探索电影的可能性，但传统方法涉及效率和表现力的权衡。手绘故事板通常缺乏复杂电影摄影所需的空间精度，而 3D 预可视化则需要专业知识和高质量的装备资产。为了解决这一差距，我们推出了 PrevizWhiz，这是一个利用粗糙 3D 场景与生成图像和视频模型相结合来创建风格化视频预览的系统。该工作流程将帧级图像重新设计与可调节相似度、通过运动路径或外部视频输入进行基于时间的编辑以及细化为高保真视频剪辑集成在一起。与电影制片人的一项研究表明，我们的系统降低了电影制片人的技术门槛，加速了创意迭代，有效弥合了沟通差距，同时也解决了人工智能辅助电影制作中的连续性、作者身份和道德考虑的挑战。</w:t>
      </w:r>
    </w:p>
    <w:p>
      <w:pPr>
        <w:spacing w:before="120"/>
      </w:pPr>
      <w:r>
        <w:rPr>
          <w:rFonts w:ascii="Times New Roman" w:hAnsi="Times New Roman" w:eastAsia="宋体"/>
          <w:b/>
          <w:sz w:val="21"/>
        </w:rPr>
        <w:t>English Abstract:</w:t>
      </w:r>
    </w:p>
    <w:p>
      <w:r>
        <w:rPr>
          <w:rFonts w:ascii="Times New Roman" w:hAnsi="Times New Roman" w:eastAsia="宋体"/>
          <w:sz w:val="21"/>
        </w:rPr>
        <w:t>In pre-production, filmmakers and 3D animation experts must rapidly prototype ideas to explore a film's possibilities before fullscale production, yet conventional approaches involve trade-offs in efficiency and expressiveness. Hand-drawn storyboards often lack spatial precision needed for complex cinematography, while 3D previsualization demands expertise and high-quality rigged assets. To address this gap, we present PrevizWhiz, a system that leverages rough 3D scenes in combination with generative image and video models to create stylized video previews. The workflow integrates frame-level image restyling with adjustable resemblance, time-based editing through motion paths or external video inputs, and refinement into high-fidelity video clips. A study with filmmakers demonstrates that our system lowers technical barriers for film-makers, accelerates creative iteration, and effectively bridges the communication gap, while also surfacing challenges of continuity, authorship, and ethical consideration in AI-assisted filmmaking.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EventNeuS：从单事件相机重建 3D 网格</w:t>
      </w:r>
    </w:p>
    <w:p>
      <w:r>
        <w:rPr>
          <w:rFonts w:ascii="Times New Roman" w:hAnsi="Times New Roman" w:eastAsia="宋体"/>
          <w:b/>
          <w:color w:val="003264"/>
          <w:sz w:val="24"/>
        </w:rPr>
        <w:t>EventNeuS: 3D Mesh Reconstruction from a Single Event Camera</w:t>
      </w:r>
    </w:p>
    <w:p>
      <w:r>
        <w:rPr>
          <w:rFonts w:ascii="Times New Roman" w:hAnsi="Times New Roman" w:eastAsia="宋体"/>
          <w:sz w:val="21"/>
        </w:rPr>
        <w:t>作者: Vladislav Golyanik</w:t>
        <w:br/>
      </w:r>
      <w:r>
        <w:rPr>
          <w:rFonts w:ascii="Times New Roman" w:hAnsi="Times New Roman" w:eastAsia="宋体"/>
          <w:sz w:val="21"/>
        </w:rPr>
        <w:t xml:space="preserve">时间: 2026-02-03T18:59:57Z | </w:t>
      </w:r>
      <w:r>
        <w:t xml:space="preserve">链接: </w:t>
      </w:r>
      <w:hyperlink r:id="rId141">
        <w:r>
          <w:rPr>
            <w:rFonts w:ascii="Times New Roman" w:hAnsi="Times New Roman" w:eastAsia="宋体"/>
            <w:color w:val="0000FF"/>
            <w:sz w:val="21"/>
            <w:u w:val="single"/>
          </w:rPr>
          <w:t>https://arxiv.org/abs/2602.03847v1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在许多场景中，事件摄像机为 RGB 摄像机提供了相当好的替代方案。虽然最近有基于事件的新颖视图合成的工作，但密集 3D 网格重建仍然很少被探索，并且现有的基于事件的技术在 3D 重建精度方面受到严重限制。为了解决这个限制，我们提出了 EventNeuS，这是一种自监督神经模型，用于从单目颜色事件流中学习 3D 表示。我们的方法首次将 3D 符号距离函数和密度场学习与基于事件的监督相结合。此外，我们将球谐编码引入到我们的模型中，以增强对视图相关效果的处理。 EventNeuS 的性能显着优于现有方法，与之前的最佳方法相比，倒角距离平均降低了 34%，平均绝对误差平均降低了 31%。</w:t>
      </w:r>
    </w:p>
    <w:p>
      <w:pPr>
        <w:spacing w:before="120"/>
      </w:pPr>
      <w:r>
        <w:rPr>
          <w:rFonts w:ascii="Times New Roman" w:hAnsi="Times New Roman" w:eastAsia="宋体"/>
          <w:b/>
          <w:sz w:val="21"/>
        </w:rPr>
        <w:t>English Abstract:</w:t>
      </w:r>
    </w:p>
    <w:p>
      <w:r>
        <w:rPr>
          <w:rFonts w:ascii="Times New Roman" w:hAnsi="Times New Roman" w:eastAsia="宋体"/>
          <w:sz w:val="21"/>
        </w:rPr>
        <w:t>Event cameras offer a considerable alternative to RGB cameras in many scenarios. While there are recent works on event-based novel-view synthesis, dense 3D mesh reconstruction remains scarcely explored and existing event-based techniques are severely limited in their 3D reconstruction accuracy. To address this limitation, we present EventNeuS, a self-supervised neural model for learning 3D representations from monocular colour event streams. Our approach, for the first time, combines 3D signed distance function and density field learning with event-based supervision. Furthermore, we introduce spherical harmonics encodings into our model for enhanced handling of view-dependent effects. EventNeuS outperforms existing approaches by a significant margin, achieving 34% lower Chamfer distance and 31% lower mean absolute error on average compared to the best previous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11:32 ---</w:t>
      </w:r>
    </w:p>
    <w:p>
      <w:pPr>
        <w:pStyle w:val="Heading1"/>
      </w:pPr>
      <w:r>
        <w:rPr>
          <w:rFonts w:ascii="Times New Roman" w:hAnsi="Times New Roman" w:eastAsia="宋体"/>
          <w:b/>
          <w:color w:val="000000"/>
          <w:sz w:val="32"/>
        </w:rPr>
        <w:t>Nature Communications</w:t>
      </w:r>
    </w:p>
    <w:p>
      <w:pPr>
        <w:jc w:val="center"/>
      </w:pPr>
      <w:r>
        <w:t>--- 更新: 12:38 ---</w:t>
      </w:r>
    </w:p>
    <w:p>
      <w:pPr>
        <w:pStyle w:val="Heading2"/>
      </w:pPr>
      <w:r/>
      <w:r>
        <w:rPr>
          <w:rFonts w:ascii="Times New Roman" w:hAnsi="Times New Roman" w:eastAsia="宋体"/>
          <w:b/>
          <w:color w:val="000000"/>
          <w:sz w:val="24"/>
        </w:rPr>
        <w:t>人脑中的定向皮质边缘对话</w:t>
      </w:r>
    </w:p>
    <w:p>
      <w:r>
        <w:rPr>
          <w:rFonts w:ascii="Times New Roman" w:hAnsi="Times New Roman" w:eastAsia="宋体"/>
          <w:b/>
          <w:color w:val="003264"/>
          <w:sz w:val="24"/>
        </w:rPr>
        <w:t>Directed cortico-limbic dialogue in the human brain</w:t>
      </w:r>
    </w:p>
    <w:p>
      <w:r>
        <w:rPr>
          <w:rFonts w:ascii="Times New Roman" w:hAnsi="Times New Roman" w:eastAsia="宋体"/>
          <w:sz w:val="21"/>
        </w:rPr>
        <w:t>作者: Ellen van Maren, Camille G. Mignardot, Roland Widmer, Cecilia Friedrichs-Maeder, Juan Ansó, Päivi Nevalainen, Markus Fuchs, Claudio Pollo, Athina Tzovara, Timothée Proix, Kaspar A. Schindler, Maxime O. Baud</w:t>
        <w:br/>
      </w:r>
      <w:r>
        <w:rPr>
          <w:rFonts w:ascii="Times New Roman" w:hAnsi="Times New Roman" w:eastAsia="宋体"/>
          <w:sz w:val="21"/>
        </w:rPr>
        <w:t xml:space="preserve">时间: 2026-02-02 | </w:t>
      </w:r>
      <w:r>
        <w:t xml:space="preserve">链接: </w:t>
      </w:r>
      <w:hyperlink r:id="rId142">
        <w:r>
          <w:rPr>
            <w:rFonts w:ascii="Times New Roman" w:hAnsi="Times New Roman" w:eastAsia="宋体"/>
            <w:color w:val="0000FF"/>
            <w:sz w:val="21"/>
            <w:u w:val="single"/>
          </w:rPr>
          <w:t>https://doi.org/10.1038/s41467-026-68701-z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如何在一堆神经纤维中追踪大脑有序的定向信号？由于人类很少能直接接触到实际的大脑信号，因此睡眠和清醒期间皮质边缘通信的精确接线图基本上仍未绘制出来，这阻碍了神经科学的进步。现在，人脑上独特的神经外科窗口允许在医院对皮层连接进行电映射，但迄今为止的研究依赖于平均信号，掩盖了跨大脑区域和警戒状态的信号流的动态性质。为了因果地估计信号流，我们在几天内用短暂的电脉冲反复探测皮质边缘网络，并在单次试验的基础上评估每个传输信号的可变命运。在所得的公开数据集中，我们描述了数天内数千个本地和远程皮质边缘连接的信号概率和方向性。挑战既定观点，我们发现边缘结构在清醒和睡眠状态下发送的信号是它们接收的信号的两倍。我们的研究结果为因果解释大脑信号流和制定脑网络疾病的治疗策略提供了一个基本框架。</w:t>
      </w:r>
    </w:p>
    <w:p>
      <w:pPr>
        <w:spacing w:before="120"/>
      </w:pPr>
      <w:r>
        <w:rPr>
          <w:rFonts w:ascii="Times New Roman" w:hAnsi="Times New Roman" w:eastAsia="宋体"/>
          <w:b/>
          <w:sz w:val="21"/>
        </w:rPr>
        <w:t>English Abstract:</w:t>
      </w:r>
    </w:p>
    <w:p>
      <w:r>
        <w:rPr>
          <w:rFonts w:ascii="Times New Roman" w:hAnsi="Times New Roman" w:eastAsia="宋体"/>
          <w:sz w:val="21"/>
        </w:rPr>
        <w:t>Abstract How can one trace the brain’s orderly directed signals amid a tangle of nerve fibers? Because direct access to actual brain signaling is rare in humans, the precise wiring diagrams for cortico-limbic communication during sleep and wake remain essentially unmapped, hampering progress in neuroscience. Now, a unique neurosurgical window on the human brain allows for electrically mapping cortical connections at the hospital, but studies so far have relied on average signals, masking the dynamic nature of signal flow across brain regions and vigilance states. To causally estimate signal flow, we repeatedly probed cortico-limbic networks with short-lived electrical pulses over days and assessed the variable fate of each transmitted signal on a single-trial basis. In the resulting openly available dataset, we characterized signaling probabilities and directionality across thousands of local and long-range cortico-limbic connections over days. Challenging established views, we found that limbic structures send twice as many signals as they receive, in both wakefulness and sleep. Our findings provide a fundamental framework for causally interpreting signal flow in the brain and formulating therapeutic strategies for brain network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昆虫级人工视觉嗅觉仿生复眼</w:t>
      </w:r>
    </w:p>
    <w:p>
      <w:r>
        <w:rPr>
          <w:rFonts w:ascii="Times New Roman" w:hAnsi="Times New Roman" w:eastAsia="宋体"/>
          <w:b/>
          <w:color w:val="003264"/>
          <w:sz w:val="24"/>
        </w:rPr>
        <w:t>An insect-scale artificial visual-olfactory bionic compound eye</w:t>
      </w:r>
    </w:p>
    <w:p>
      <w:r>
        <w:rPr>
          <w:rFonts w:ascii="Times New Roman" w:hAnsi="Times New Roman" w:eastAsia="宋体"/>
          <w:sz w:val="21"/>
        </w:rPr>
        <w:t>作者: Jiachuang Wang, Shuai Wei, Nan Qin, Tiger H. Tao</w:t>
        <w:br/>
      </w:r>
      <w:r>
        <w:rPr>
          <w:rFonts w:ascii="Times New Roman" w:hAnsi="Times New Roman" w:eastAsia="宋体"/>
          <w:sz w:val="21"/>
        </w:rPr>
        <w:t xml:space="preserve">时间: 2026-02-02 | </w:t>
      </w:r>
      <w:r>
        <w:t xml:space="preserve">链接: </w:t>
      </w:r>
      <w:hyperlink r:id="rId143">
        <w:r>
          <w:rPr>
            <w:rFonts w:ascii="Times New Roman" w:hAnsi="Times New Roman" w:eastAsia="宋体"/>
            <w:color w:val="0000FF"/>
            <w:sz w:val="21"/>
            <w:u w:val="single"/>
          </w:rPr>
          <w:t>https://doi.org/10.1038/s41467-026-68940-0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眼具有独特的光学结构和高效的图像处理能力。果蝇的视嗅神经系统具有重量轻、功耗低的特点。在人工复眼系统的设计和制造方面付出了巨大的努力。然而，在昆虫尺度上构建具有敏感光电响应和准确嗅觉感知、模仿生物多模态融合决策机制的仿生视觉嗅觉复眼微系统仍然具有挑战性。在此，我们通过飞秒激光双光子聚合将仿生微透镜阵列制造到柔性光电探测器上，在1.5×1.5 mm 2 上集成了1027个小眼，并通过喷墨打印进一步构建比色嗅觉传感器阵列，实现视觉和嗅觉的综合感知。仿生复眼（bio-CE）可实现宽视场成像（方位角180°）、自然眼间隔离、1 kHz闪烁融合频率以及对各种危险化学品的颜色响应，从而对移动物体具有高灵敏度，对环境气体具有快速响应。该微系统可作为广角近距离避障探测器和监测运动目标视觉和嗅觉信息的装置。昆虫尺度仿生并置复眼在无人平台导航和仿生机器人智能方面显示出巨大的潜在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Compound eyes feature unique optical structures and high-efficiency image processing. The opto-olfactory nervous system of Drosophila has the characteristics of lightweight and low power consumption. Significant efforts have been dedicated to the design and manufacturing of artificial compound eye system. However, it is still challenging to construct a bionic visual-olfactory compound eye microsystem with sensitive photoelectric response and accurate olfactory perception in insect-scale, mimicking the biological multimodal fusion decision-making mechanism. Here, we report a miniature apposition compound eye that integrates 1027 ommatidia on 1.5×1.5 mm 2 by manufacturing a bionic micro-lens array onto flexible photodetectors via femtosecond laser two-photon polymerization, further construct the colorimetric olfactory sensor array through inkjet printing to achieve integrated perception of vision and smell. The bionic compound eye (bio-CE) enables wide field-of-view imaging (azimuth angle 180°), natural interocular isolation, a 1 kHz flicker fusion frequency and color response to various hazardous chemicals, resulting in high sensitivity to moving objects and rapid response to environmental gases. The microsystem can serve as a wide-angle close-range obstacle avoidance detector and a device for monitoring visual and olfactory information of moving targets. The insect-scale bionic apposition compound eye shows great potential applications in unmanned platform navigation and bionic robot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在阳光下使用再生 PVC 回收聚烯烃</w:t>
      </w:r>
    </w:p>
    <w:p>
      <w:r>
        <w:rPr>
          <w:rFonts w:ascii="Times New Roman" w:hAnsi="Times New Roman" w:eastAsia="宋体"/>
          <w:b/>
          <w:color w:val="003264"/>
          <w:sz w:val="24"/>
        </w:rPr>
        <w:t>Recycling of polyolefins using recycled PVC under sunlight</w:t>
      </w:r>
    </w:p>
    <w:p>
      <w:r>
        <w:rPr>
          <w:rFonts w:ascii="Times New Roman" w:hAnsi="Times New Roman" w:eastAsia="宋体"/>
          <w:sz w:val="21"/>
        </w:rPr>
        <w:t>作者: Heng Liu, Ding-Wei Ji, Su-Yang Xu, Zhi-Hui Wang, Shi-Yu Guo, Qing-An Chen</w:t>
        <w:br/>
      </w:r>
      <w:r>
        <w:rPr>
          <w:rFonts w:ascii="Times New Roman" w:hAnsi="Times New Roman" w:eastAsia="宋体"/>
          <w:sz w:val="21"/>
        </w:rPr>
        <w:t xml:space="preserve">时间: 2026-02-02 | </w:t>
      </w:r>
      <w:r>
        <w:t xml:space="preserve">链接: </w:t>
      </w:r>
      <w:hyperlink r:id="rId144">
        <w:r>
          <w:rPr>
            <w:rFonts w:ascii="Times New Roman" w:hAnsi="Times New Roman" w:eastAsia="宋体"/>
            <w:color w:val="0000FF"/>
            <w:sz w:val="21"/>
            <w:u w:val="single"/>
          </w:rPr>
          <w:t>https://doi.org/10.1038/s41467-025-68032-5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解聚聚烯烃通常需要高温并且是能源密集型的。在这里，作者将 PVC 升级为光热剂，可以利用阳光将聚烯烃解聚成低分子量蜡或单体</w:t>
      </w:r>
    </w:p>
    <w:p>
      <w:pPr>
        <w:spacing w:before="120"/>
      </w:pPr>
      <w:r>
        <w:rPr>
          <w:rFonts w:ascii="Times New Roman" w:hAnsi="Times New Roman" w:eastAsia="宋体"/>
          <w:b/>
          <w:sz w:val="21"/>
        </w:rPr>
        <w:t>English Abstract:</w:t>
      </w:r>
    </w:p>
    <w:p>
      <w:r>
        <w:rPr>
          <w:rFonts w:ascii="Times New Roman" w:hAnsi="Times New Roman" w:eastAsia="宋体"/>
          <w:sz w:val="21"/>
        </w:rPr>
        <w:t>Depolymerising polyolefins typically requires high temperatures and is energy intensive. Here, the authors upcycle PVC into a photothermal agent which could depolymerise polyolefins using sunlight into low molecular weight waxes or monomers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通过对空气传播病毒传播模式的比较评估，推进雪貂甲型（H5N1）流感风险评估</w:t>
      </w:r>
    </w:p>
    <w:p>
      <w:r>
        <w:rPr>
          <w:rFonts w:ascii="Times New Roman" w:hAnsi="Times New Roman" w:eastAsia="宋体"/>
          <w:b/>
          <w:color w:val="003264"/>
          <w:sz w:val="24"/>
        </w:rPr>
        <w:t>Advancing A(H5N1) influenza risk assessment in ferrets through comparative evaluation of airborne virus shedding patterns</w:t>
      </w:r>
    </w:p>
    <w:p>
      <w:r>
        <w:rPr>
          <w:rFonts w:ascii="Times New Roman" w:hAnsi="Times New Roman" w:eastAsia="宋体"/>
          <w:sz w:val="21"/>
        </w:rPr>
        <w:t>作者: Joanna A. Pulit-Penaloza, Troy J. Kieran, Nicole Brock, Jessica A. Belser, Xiangjie Sun, Hui Zeng, Claudia Pappas, Juan A. De La Cruz, Yasuko Hatta, Han Di, C. Todd Davis, Terrence M. Tumpey, Taronna. R. Maines</w:t>
        <w:br/>
      </w:r>
      <w:r>
        <w:rPr>
          <w:rFonts w:ascii="Times New Roman" w:hAnsi="Times New Roman" w:eastAsia="宋体"/>
          <w:sz w:val="21"/>
        </w:rPr>
        <w:t xml:space="preserve">时间: 2026-02-02 | </w:t>
      </w:r>
      <w:r>
        <w:t xml:space="preserve">链接: </w:t>
      </w:r>
      <w:hyperlink r:id="rId145">
        <w:r>
          <w:rPr>
            <w:rFonts w:ascii="Times New Roman" w:hAnsi="Times New Roman" w:eastAsia="宋体"/>
            <w:color w:val="0000FF"/>
            <w:sz w:val="21"/>
            <w:u w:val="single"/>
          </w:rPr>
          <w:t>https://doi.org/10.1038/s41467-026-68931-1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最近在北美发生的与家禽和牛有关的 A(H5N1) 人畜共患病例凸显了评估新出现病毒株的大流行潜力的迫切需要。我们使用雄性雪貂评估了从人类中分离出的两种 B3.13 和两种 D1.1 基因型 A(H5N1) 病毒，并观察了致命疾病和不同的直接接触传播能力。为了加强大流行风险评估，我们使用旋风分离器 BC251 和基于水凝结捕获的 SPOT 采样器进行气溶胶采样，并进行比较分析，以包括具有已知传播能力特征的其他 A(H5N1)、A(H9N2)、A(H7N9) 和 A(H1N1)pdm09 菌株。尽管 A(H5N1) 毒株均不会通过空气传播，但与 D1.1 毒株相比，检测到的 B3.13 病毒的水平明显更高。在这里，我们展示了鼻腔冲洗液中的病毒载量、空气传播的病毒脱落和雪貂的传播性之间的密切相关性，强调了这些指标对于识别可能适应增加传播潜力的人畜共患流感病毒的价值。</w:t>
      </w:r>
    </w:p>
    <w:p>
      <w:pPr>
        <w:spacing w:before="120"/>
      </w:pPr>
      <w:r>
        <w:rPr>
          <w:rFonts w:ascii="Times New Roman" w:hAnsi="Times New Roman" w:eastAsia="宋体"/>
          <w:b/>
          <w:sz w:val="21"/>
        </w:rPr>
        <w:t>English Abstract:</w:t>
      </w:r>
    </w:p>
    <w:p>
      <w:r>
        <w:rPr>
          <w:rFonts w:ascii="Times New Roman" w:hAnsi="Times New Roman" w:eastAsia="宋体"/>
          <w:sz w:val="21"/>
        </w:rPr>
        <w:t>Abstract Recent A(H5N1) zoonotic cases linked to poultry and cattle in North America highlight the urgent need to assess the pandemic potential of emerging strains. Using male ferrets, we evaluate two B3.13 and two D1.1 genotype A(H5N1) viruses isolated from humans and observe fatal disease and varying capacities for direct contact transmission. To enhance pandemic risk assessment, we conduct aerosol sampling using cyclone BC251 and water condensation capture-based SPOT samplers and perform comparative analyses to include additional A(H5N1), A(H9N2), A(H7N9), and A(H1N1)pdm09 strains with known transmissibility profiles. Although none of the A(H5N1) strains transmit via the air, B3.13 viruses are detected at significantly higher levels compared to D1.1 strains. Here we show strong correlations between viral loads in nasal washes, airborne virus shedding, and transmissibility in ferrets, highlighting the value of these metrics for identifying zoonotic influenza viruses that may be adapting toward increased transmission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2D/2D磷烯/BiOI S型异质结用于真实阳光下亚分钟光催化水消毒</w:t>
      </w:r>
    </w:p>
    <w:p>
      <w:r>
        <w:rPr>
          <w:rFonts w:ascii="Times New Roman" w:hAnsi="Times New Roman" w:eastAsia="宋体"/>
          <w:b/>
          <w:color w:val="003264"/>
          <w:sz w:val="24"/>
        </w:rPr>
        <w:t>2D/2D phosphorene/BiOI S-scheme heterojunction for subminute photocatalytic water disinfection under real sunlight</w:t>
      </w:r>
    </w:p>
    <w:p>
      <w:r>
        <w:rPr>
          <w:rFonts w:ascii="Times New Roman" w:hAnsi="Times New Roman" w:eastAsia="宋体"/>
          <w:sz w:val="21"/>
        </w:rPr>
        <w:t>作者: Dongyang He, Kangning Zhang, Chuanhao Liu, Ya-nan Zhang, Hao Yang, Jingyuan Dong, Jiao Qu</w:t>
        <w:br/>
      </w:r>
      <w:r>
        <w:rPr>
          <w:rFonts w:ascii="Times New Roman" w:hAnsi="Times New Roman" w:eastAsia="宋体"/>
          <w:sz w:val="21"/>
        </w:rPr>
        <w:t xml:space="preserve">时间: 2026-02-02 | </w:t>
      </w:r>
      <w:r>
        <w:t xml:space="preserve">链接: </w:t>
      </w:r>
      <w:hyperlink r:id="rId146">
        <w:r>
          <w:rPr>
            <w:rFonts w:ascii="Times New Roman" w:hAnsi="Times New Roman" w:eastAsia="宋体"/>
            <w:color w:val="0000FF"/>
            <w:sz w:val="21"/>
            <w:u w:val="single"/>
          </w:rPr>
          <w:t>https://doi.org/10.1038/s41467-026-69101-z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该研究展示了磷烯/BiOI异质结可以实现亚分钟水消毒，为高效光催化抗菌材料的设计提供了见解。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study demonstrates a phosphorene/BiOI heterojunction that achieves sub-minute water disinfection, offering insights into the design of efficient photocatalytic antimicrobial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时空超级振荡</w:t>
      </w:r>
    </w:p>
    <w:p>
      <w:r>
        <w:rPr>
          <w:rFonts w:ascii="Times New Roman" w:hAnsi="Times New Roman" w:eastAsia="宋体"/>
          <w:b/>
          <w:color w:val="003264"/>
          <w:sz w:val="24"/>
        </w:rPr>
        <w:t>Space-time superoscillations</w:t>
      </w:r>
    </w:p>
    <w:p>
      <w:r>
        <w:rPr>
          <w:rFonts w:ascii="Times New Roman" w:hAnsi="Times New Roman" w:eastAsia="宋体"/>
          <w:sz w:val="21"/>
        </w:rPr>
        <w:t>作者: Yijie Shen, Nikitas Papasimakis, Nikolay I. Zheludev</w:t>
        <w:br/>
      </w:r>
      <w:r>
        <w:rPr>
          <w:rFonts w:ascii="Times New Roman" w:hAnsi="Times New Roman" w:eastAsia="宋体"/>
          <w:sz w:val="21"/>
        </w:rPr>
        <w:t xml:space="preserve">时间: 2026-02-02 | </w:t>
      </w:r>
      <w:r>
        <w:t xml:space="preserve">链接: </w:t>
      </w:r>
      <w:hyperlink r:id="rId147">
        <w:r>
          <w:rPr>
            <w:rFonts w:ascii="Times New Roman" w:hAnsi="Times New Roman" w:eastAsia="宋体"/>
            <w:color w:val="0000FF"/>
            <w:sz w:val="21"/>
            <w:u w:val="single"/>
          </w:rPr>
          <w:t>https://doi.org/10.1038/s41467-025-68260-9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超级振荡使波能够更快地振荡，超越经典极限。在这里，作者展示了结构光脉冲中同时的空间和时间超振荡，实现了时空的极端亚波长和超快聚焦。</w:t>
      </w:r>
    </w:p>
    <w:p>
      <w:pPr>
        <w:spacing w:before="120"/>
      </w:pPr>
      <w:r>
        <w:rPr>
          <w:rFonts w:ascii="Times New Roman" w:hAnsi="Times New Roman" w:eastAsia="宋体"/>
          <w:b/>
          <w:sz w:val="21"/>
        </w:rPr>
        <w:t>English Abstract:</w:t>
      </w:r>
    </w:p>
    <w:p>
      <w:r>
        <w:rPr>
          <w:rFonts w:ascii="Times New Roman" w:hAnsi="Times New Roman" w:eastAsia="宋体"/>
          <w:sz w:val="21"/>
        </w:rPr>
        <w:t>Superoscillations enable waves to oscillate faster beyond classical limits. Here, the authors demonstrate simultaneous spatial and temporal superoscillations in structured light pulses, achieving extreme both subwavelength and ultrafast focusing in space-time.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在元耦合人类世中促进全球可持续发展</w:t>
      </w:r>
    </w:p>
    <w:p>
      <w:r>
        <w:rPr>
          <w:rFonts w:ascii="Times New Roman" w:hAnsi="Times New Roman" w:eastAsia="宋体"/>
          <w:b/>
          <w:color w:val="003264"/>
          <w:sz w:val="24"/>
        </w:rPr>
        <w:t>Promoting sustainable development worldwide in the metacoupled anthropocene</w:t>
      </w:r>
    </w:p>
    <w:p>
      <w:r>
        <w:rPr>
          <w:rFonts w:ascii="Times New Roman" w:hAnsi="Times New Roman" w:eastAsia="宋体"/>
          <w:sz w:val="21"/>
        </w:rPr>
        <w:t>作者: Qutu Jiang, Zhenci Xu, Nishan Bhattarai, Yinyi Lin, Huijuan Xiao, Jingzheng Ren, Markus Pahlow, Zhimeng Jiang, Yali Liu, Xutong Wu, Guanqiong Ye, Hongsheng Zhang, Jinbao Li, Peng Zhu, Shunlin Liang, Yuanzheng Cui, Chuan Liao, Liang Dong, Jianguo Liu</w:t>
        <w:br/>
      </w:r>
      <w:r>
        <w:rPr>
          <w:rFonts w:ascii="Times New Roman" w:hAnsi="Times New Roman" w:eastAsia="宋体"/>
          <w:sz w:val="21"/>
        </w:rPr>
        <w:t xml:space="preserve">时间: 2026-02-02 | </w:t>
      </w:r>
      <w:r>
        <w:t xml:space="preserve">链接: </w:t>
      </w:r>
      <w:hyperlink r:id="rId148">
        <w:r>
          <w:rPr>
            <w:rFonts w:ascii="Times New Roman" w:hAnsi="Times New Roman" w:eastAsia="宋体"/>
            <w:color w:val="0000FF"/>
            <w:sz w:val="21"/>
            <w:u w:val="single"/>
          </w:rPr>
          <w:t>https://doi.org/10.1038/s41467-026-68653-4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全球可持续发展需要在综合框架下跨互联系统开展协作。在这里，我们将集成元耦合框架说明为一个整体透镜，用于分析系统内部和系统之间的人与自然相互作用，以推进综合可持续性分析。我们提出了六个相互关联的步骤来实施可持续发展目标的相互作用分析、进展评估和路径建模框架，有助于整合2030年议程的知识并强调“不让任何人掉队”。我们证明，该框架为跨学科研究人员提供了实用的工具包，并支持政策制定者制定协同的跨系统战略，以实现地方到全球范围内的可持续发展。</w:t>
      </w:r>
    </w:p>
    <w:p>
      <w:pPr>
        <w:spacing w:before="120"/>
      </w:pPr>
      <w:r>
        <w:rPr>
          <w:rFonts w:ascii="Times New Roman" w:hAnsi="Times New Roman" w:eastAsia="宋体"/>
          <w:b/>
          <w:sz w:val="21"/>
        </w:rPr>
        <w:t>English Abstract:</w:t>
      </w:r>
    </w:p>
    <w:p>
      <w:r>
        <w:rPr>
          <w:rFonts w:ascii="Times New Roman" w:hAnsi="Times New Roman" w:eastAsia="宋体"/>
          <w:sz w:val="21"/>
        </w:rPr>
        <w:t>Promoting sustainable development worldwide requires collaborative efforts across interconnected systems under integrated frameworks. Here, we illustrate the integrated metacoupling framework as a holistic lens for analyzing human-nature interactions within and between systems to advance integrated sustainability analysis. We propose six interrelated steps to operationalize the framework for Sustainable Development Goals’ interaction analysis, progress assessment, and pathway modeling, contributing to the integration of knowledge for the 2030 Agenda and emphasizing “Leave No One Behind”. We demonstrate that the framework offers interdisciplinary researchers a practical toolkit and supports policymakers in developing synergistic cross-system strategies for sustainable development across local to global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 NTD 综合行动：解构传播、解决知识差距并倡导单一健康策略</w:t>
      </w:r>
    </w:p>
    <w:p>
      <w:r>
        <w:rPr>
          <w:rFonts w:ascii="Times New Roman" w:hAnsi="Times New Roman" w:eastAsia="宋体"/>
          <w:b/>
          <w:color w:val="003264"/>
          <w:sz w:val="24"/>
        </w:rPr>
        <w:t>Integrated action for skin NTDs: Deconstructing transmission, addressing knowledge gaps, and championing one health strategies</w:t>
      </w:r>
    </w:p>
    <w:p>
      <w:r>
        <w:rPr>
          <w:rFonts w:ascii="Times New Roman" w:hAnsi="Times New Roman" w:eastAsia="宋体"/>
          <w:sz w:val="21"/>
        </w:rPr>
        <w:t>作者: Lydia Mosi, Bishwanath Acharya, Kingsley Asiedu, Adeola Bamisaiye, M. Eric Benbow, Dziedzom De Souza, Lynne Elson, Ahmed Fahal, Roderick Hay, Ruth Nyangacha, Charles Quaye, Aisha Shitu Sa’id, Dallas J. Smith, Heather Jordan</w:t>
        <w:br/>
      </w:r>
      <w:r>
        <w:rPr>
          <w:rFonts w:ascii="Times New Roman" w:hAnsi="Times New Roman" w:eastAsia="宋体"/>
          <w:sz w:val="21"/>
        </w:rPr>
        <w:t xml:space="preserve">时间: 2026-02-03 | </w:t>
      </w:r>
      <w:r>
        <w:t xml:space="preserve">链接: </w:t>
      </w:r>
      <w:hyperlink r:id="rId149">
        <w:r>
          <w:rPr>
            <w:rFonts w:ascii="Times New Roman" w:hAnsi="Times New Roman" w:eastAsia="宋体"/>
            <w:color w:val="0000FF"/>
            <w:sz w:val="21"/>
            <w:u w:val="single"/>
          </w:rPr>
          <w:t>https://doi.org/10.1038/s41467-026-69065-0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本次审查呼吁采取综合皮肤 NTD 行动，利用 One Health 来分析复杂的人类、动物和环境传播。它强调了知识差距，并敦促扩大、标准化诊断和系统地收集有关社会/财务障碍的数据，以实现以患者为中心的控制。</w:t>
      </w:r>
    </w:p>
    <w:p>
      <w:pPr>
        <w:spacing w:before="120"/>
      </w:pPr>
      <w:r>
        <w:rPr>
          <w:rFonts w:ascii="Times New Roman" w:hAnsi="Times New Roman" w:eastAsia="宋体"/>
          <w:b/>
          <w:sz w:val="21"/>
        </w:rPr>
        <w:t>English Abstract:</w:t>
      </w:r>
    </w:p>
    <w:p>
      <w:r>
        <w:rPr>
          <w:rFonts w:ascii="Times New Roman" w:hAnsi="Times New Roman" w:eastAsia="宋体"/>
          <w:sz w:val="21"/>
        </w:rPr>
        <w:t>This review calls for integrated Skin NTD action, using One Health to analyze complex human, animal, and environmental transmission. It highlights knowledge gaps and urges expanded, standardized diagnostics and systematic data collection on social/financial barriers for patient-centered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Daratumumab 治疗系统性红斑狼疮：单组 2 期试验</w:t>
      </w:r>
    </w:p>
    <w:p>
      <w:r>
        <w:rPr>
          <w:rFonts w:ascii="Times New Roman" w:hAnsi="Times New Roman" w:eastAsia="宋体"/>
          <w:b/>
          <w:color w:val="003264"/>
          <w:sz w:val="24"/>
        </w:rPr>
        <w:t>Daratumumab in systemic lupus erythematosus: a single-arm phase 2 trial</w:t>
      </w:r>
    </w:p>
    <w:p>
      <w:r>
        <w:rPr>
          <w:rFonts w:ascii="Times New Roman" w:hAnsi="Times New Roman" w:eastAsia="宋体"/>
          <w:sz w:val="21"/>
        </w:rPr>
        <w:t>作者: Lennard Ostendorf, Jan Zernicke, Jens Klotsche, Robin Kempkens, Anne E. Beenken, Robert Biesen, Qingyu Cheng, Laleh Khodadadi, Gabriela Maria Guerra, Frederik Heinrich, Pawel Durek, Gerd-Rüdiger Burmester, Gerhard Krönke, Falk Hiepe, Mir-Farzin Mashreghi, Tobias Alexander</w:t>
        <w:br/>
      </w:r>
      <w:r>
        <w:rPr>
          <w:rFonts w:ascii="Times New Roman" w:hAnsi="Times New Roman" w:eastAsia="宋体"/>
          <w:sz w:val="21"/>
        </w:rPr>
        <w:t xml:space="preserve">时间: 2026-02-03 | </w:t>
      </w:r>
      <w:r>
        <w:t xml:space="preserve">链接: </w:t>
      </w:r>
      <w:hyperlink r:id="rId150">
        <w:r>
          <w:rPr>
            <w:rFonts w:ascii="Times New Roman" w:hAnsi="Times New Roman" w:eastAsia="宋体"/>
            <w:color w:val="0000FF"/>
            <w:sz w:val="21"/>
            <w:u w:val="single"/>
          </w:rPr>
          <w:t>https://doi.org/10.1038/s41467-026-69112-w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抗体分泌细胞（ASC）在系统性红斑狼疮（SLE）的病理生理学中发挥着核心作用。这项单组、开放标签、2 期临床试验旨在评估 ASC 消耗型抗 CD38 单克隆抗体 daratumumab 在 SLE 患者中的安全性和有效性 (NCT04810754)。主要终点是第 12 周时血清抗双链 DNA（抗 dsDNA）抗体水平的降低。关键的次要终点包括安全性、临床疗效和免疫学变化。 10 名患有活动性疾病且对至少两种免疫抑制药物反应不足的女性患者每周接受 8 次皮下注射 1800 mg daratumumab，并使用地塞米松作为术前用药（前两次注射 20 mg，然后 10 mg）。到第 12 周，抗 dsDNA 抗体水平中位数降低了 109.6 IU/ml (95% CI 38.1 – 274.5)。该治疗使所有患者和器官领域的临床得到快速、持续的改善，第 12 周时 SRI-4（系统性红斑狼疮反应指数 4）反应率为 100%。5/10 的患者出现低丙种球蛋白血症，需要免疫球蛋白替代。达雷妥尤单抗治疗耗尽了循环 ASC，降低了 I 型干扰素活性，并深刻调节了 T 细胞反应。这些发现强调了 ASC 在 SLE 发病机制中的关键作用，并支持达雷妥尤单抗作为 SLE 的治疗选择。</w:t>
      </w:r>
    </w:p>
    <w:p>
      <w:pPr>
        <w:spacing w:before="120"/>
      </w:pPr>
      <w:r>
        <w:rPr>
          <w:rFonts w:ascii="Times New Roman" w:hAnsi="Times New Roman" w:eastAsia="宋体"/>
          <w:b/>
          <w:sz w:val="21"/>
        </w:rPr>
        <w:t>English Abstract:</w:t>
      </w:r>
    </w:p>
    <w:p>
      <w:r>
        <w:rPr>
          <w:rFonts w:ascii="Times New Roman" w:hAnsi="Times New Roman" w:eastAsia="宋体"/>
          <w:sz w:val="21"/>
        </w:rPr>
        <w:t>Abstract Antibody-secreting cells (ASCs) play a central role in the pathophysiology of systemic lupus erythematosus (SLE). This single-arm, open-label, phase 2 clinical trial aims to evaluate the safety and efficacy of the ASC-depleting anti-CD38 monoclonal antibody daratumumab in patients with SLE (NCT04810754). The primary endpoint is the reduction in serum anti-double-stranded DNA (anti-dsDNA) antibody levels at week 12. Key secondary end points include safety, clinical efficacy, and immunologic changes. Ten female patients with active disease and inadequate responses to at least two immunosuppressive drugs have received eight subcutaneous injections of 1800 mg daratumumab weekly, with dexamethasone as premedication (20 mg for first two injections, then 10 mg). By week 12, anti-dsDNA antibody levels have been reduced by a median of 109.6 IU/ml (95% CI 38.1 – 274.5). The treatment resulted in rapid and sustained clinical improvements across all patients and organ domains, reflected by a 100% SRI-4 (Systemic Lupus Erythematosus Responder Index-4) response rate at week 12. Hypogammaglobulinemia occurred in 5/10 patients, requiring immunoglobulin substitution. Daratumumab treatment has depleted circulating ASCs, reduced type I interferon activity, and profoundly modulated the T-cell responses. These findings highlight the pivotal role of ASCs in SLE pathogenesis and support daratumumab as therapeutic option for SLE.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阿波罗 17 号火山玻璃在月球表面的长时间冷却和脱气</w:t>
      </w:r>
    </w:p>
    <w:p>
      <w:r>
        <w:rPr>
          <w:rFonts w:ascii="Times New Roman" w:hAnsi="Times New Roman" w:eastAsia="宋体"/>
          <w:b/>
          <w:color w:val="003264"/>
          <w:sz w:val="24"/>
        </w:rPr>
        <w:t>Prolonged cooling and degassing of Apollo 17 volcanic glasses on the lunar surface</w:t>
      </w:r>
    </w:p>
    <w:p>
      <w:r>
        <w:rPr>
          <w:rFonts w:ascii="Times New Roman" w:hAnsi="Times New Roman" w:eastAsia="宋体"/>
          <w:sz w:val="21"/>
        </w:rPr>
        <w:t>作者: Peng Ni, Yan Zhan</w:t>
        <w:br/>
      </w:r>
      <w:r>
        <w:rPr>
          <w:rFonts w:ascii="Times New Roman" w:hAnsi="Times New Roman" w:eastAsia="宋体"/>
          <w:sz w:val="21"/>
        </w:rPr>
        <w:t xml:space="preserve">时间: 2026-02-03 | </w:t>
      </w:r>
      <w:r>
        <w:t xml:space="preserve">链接: </w:t>
      </w:r>
      <w:hyperlink r:id="rId151">
        <w:r>
          <w:rPr>
            <w:rFonts w:ascii="Times New Roman" w:hAnsi="Times New Roman" w:eastAsia="宋体"/>
            <w:color w:val="0000FF"/>
            <w:sz w:val="21"/>
            <w:u w:val="single"/>
          </w:rPr>
          <w:t>https://doi.org/10.1038/s41467-026-69087-8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研究月球火山碎屑火山活动为了解月幔的热化学演化和月球的不稳定预算提供了重要的见解。火山碎屑矿床虽然与海海玄武岩相比体积较小，但源自更深、更原始且富含挥发性物质的地幔源。在这里，我们合成了阿波罗 17 号样本 74220 记录的挥发性脱气，这是研究最多的火山碎屑沉积物之一。通过对橄榄石熔体包裹体、熔体海湾和玻璃珠的挥发性脱气进行建模，我们表明这些样品的挥发性损耗不能仅通过自由飞行过程中的脱气来解释，正如之前提出的那样。相反，这些数据需要更长的热历史，珠子在月球表面经历多年的缓慢冷却和长时间脱气，热模型进一步支持了这种情况。我们的研究结果表明，火山碎屑沉积物在喷发之后仍然是活跃的挥发性来源，这对于维持局部短暂的月球大气和月球的长期挥发性循环具有潜在的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Studying lunar pyroclastic volcanism provides key insights into the thermo-chemical evolution of the lunar mantle and the Moon’s volatile budget. Pyroclastic deposits, although volumetrically minor compared to mare basalts, are derived from deeper, more primitive, and volatile-rich mantle sources. Here we synthesize volatile degassing recorded by Apollo 17 sample 74220, one of most studied pyroclastic deposits. By modeling the volatile degassing of olivine-hosted melt inclusions, melt embayments, and glass beads, we show that volatile depletion of these samples cannot be explained solely by degassing during free-flight, as previously proposed. Instead, the data require extended thermal histories, with beads undergoing slow cooling and prolonged degassing on the lunar surface for years, a scenario further supported by thermal modeling. Our findings suggest that pyroclastic deposits remained active volatile sources well beyond eruption, which is potentially important for sustaining a local transient lunar atmosphere and the long-term volatile cycle of the Moon.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空间色彩编码美瞳可增强自然眼球追踪</w:t>
      </w:r>
    </w:p>
    <w:p>
      <w:r>
        <w:rPr>
          <w:rFonts w:ascii="Times New Roman" w:hAnsi="Times New Roman" w:eastAsia="宋体"/>
          <w:b/>
          <w:color w:val="003264"/>
          <w:sz w:val="24"/>
        </w:rPr>
        <w:t>Spatial-chromatic encoding cosmetic contact lenses for enhanced natural eye tracking</w:t>
      </w:r>
    </w:p>
    <w:p>
      <w:r>
        <w:rPr>
          <w:rFonts w:ascii="Times New Roman" w:hAnsi="Times New Roman" w:eastAsia="宋体"/>
          <w:sz w:val="21"/>
        </w:rPr>
        <w:t>作者: Hengtian Zhu, Heyu Huang, Huan Yang, Zixu Li, Zhenning Qi, Yuan Fang, Yining Xu, Yifeng Xiong, Ye Chen, Songtao Yuan, Fei Xu</w:t>
        <w:br/>
      </w:r>
      <w:r>
        <w:rPr>
          <w:rFonts w:ascii="Times New Roman" w:hAnsi="Times New Roman" w:eastAsia="宋体"/>
          <w:sz w:val="21"/>
        </w:rPr>
        <w:t xml:space="preserve">时间: 2026-02-03 | </w:t>
      </w:r>
      <w:r>
        <w:t xml:space="preserve">链接: </w:t>
      </w:r>
      <w:hyperlink r:id="rId152">
        <w:r>
          <w:rPr>
            <w:rFonts w:ascii="Times New Roman" w:hAnsi="Times New Roman" w:eastAsia="宋体"/>
            <w:color w:val="0000FF"/>
            <w:sz w:val="21"/>
            <w:u w:val="single"/>
          </w:rPr>
          <w:t>https://doi.org/10.1038/s41467-026-68918-y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眼球追踪依赖于眼睛特征，这些特征容易受到光线和个体差异的干扰。在这里，朱等人。等人。目前的眼球运动功能增强了美容隐形眼镜，可实现准确、自然和均匀的眼球追踪。</w:t>
      </w:r>
    </w:p>
    <w:p>
      <w:pPr>
        <w:spacing w:before="120"/>
      </w:pPr>
      <w:r>
        <w:rPr>
          <w:rFonts w:ascii="Times New Roman" w:hAnsi="Times New Roman" w:eastAsia="宋体"/>
          <w:b/>
          <w:sz w:val="21"/>
        </w:rPr>
        <w:t>English Abstract:</w:t>
      </w:r>
    </w:p>
    <w:p>
      <w:r>
        <w:rPr>
          <w:rFonts w:ascii="Times New Roman" w:hAnsi="Times New Roman" w:eastAsia="宋体"/>
          <w:sz w:val="21"/>
        </w:rPr>
        <w:t>Eye tracking relies on ocular features, that are susceptible to interference from light and individual variations. Here, Zhu et. al. present eye movement feature enhanced cosmetic contact lenses, enabling accurate, natural, and homogenized eye tracking.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用于光电探测、光声和热弹性气体传感的多功能铌酸锂平台</w:t>
      </w:r>
    </w:p>
    <w:p>
      <w:r>
        <w:rPr>
          <w:rFonts w:ascii="Times New Roman" w:hAnsi="Times New Roman" w:eastAsia="宋体"/>
          <w:b/>
          <w:color w:val="003264"/>
          <w:sz w:val="24"/>
        </w:rPr>
        <w:t>Multifunctional lithium niobate platform for photodetection and photoacoustic and thermoelastic gas sensing</w:t>
      </w:r>
    </w:p>
    <w:p>
      <w:r>
        <w:rPr>
          <w:rFonts w:ascii="Times New Roman" w:hAnsi="Times New Roman" w:eastAsia="宋体"/>
          <w:sz w:val="21"/>
        </w:rPr>
        <w:t>作者: Haoyang Lin, Huadan Zheng, Wenguo Zhu, Yongchun Zhong, Jianhui Yu, Hongpeng Wu, Zhiwei Jia, Jinchuan Zhang, Angelo Sampaolo, Pietro Patimisco, Huihui Lu, Xiaojun Jia, Vincenzo Spagnolo, Lei Dong</w:t>
        <w:br/>
      </w:r>
      <w:r>
        <w:rPr>
          <w:rFonts w:ascii="Times New Roman" w:hAnsi="Times New Roman" w:eastAsia="宋体"/>
          <w:sz w:val="21"/>
        </w:rPr>
        <w:t xml:space="preserve">时间: 2026-02-03 | </w:t>
      </w:r>
      <w:r>
        <w:t xml:space="preserve">链接: </w:t>
      </w:r>
      <w:hyperlink r:id="rId153">
        <w:r>
          <w:rPr>
            <w:rFonts w:ascii="Times New Roman" w:hAnsi="Times New Roman" w:eastAsia="宋体"/>
            <w:color w:val="0000FF"/>
            <w:sz w:val="21"/>
            <w:u w:val="single"/>
          </w:rPr>
          <w:t>https://doi.org/10.1038/s41467-026-69042-7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摘要：利用铁电铌酸锂固有的多物理性质，我们提出了一个多功能平台（LN-MFP），它将光声光谱、光致热弹性光谱和光电检测无缝集成到单个片上器件中。拟议的 LN-MFP 在从可见光到中红外的广泛光谱范围内工作。我们通过实验演示了二氧化氮、水蒸气、乙炔、二氧化碳、甲烷和氨的痕量气体检测，达到了十亿分之一的检测限。我们实施了定制封装解决方案，其中 LN-MFP 芯片和 4.6 µm 量子级联激光芯片与跨阻放大一起安装在印刷电路板上，展示了系统级集成。使用这个共同封装的模块，我们通过二次谐波测量演示一氧化碳检测，概述了完全集成片上实现的清晰路线。与传统台式系统相比，这种紧凑、混合、多功能架构显着降低了系统复杂性和占地面积，并且与快速发展的铌酸锂集成光子生态系统本质上兼容。 LN-MFP 为未来用于环境监测、现场诊断和现场化学​​分析的全铌酸锂光谱芯片提供了核心传感构建模块。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Leveraging the intrinsic multi physics nature of ferroelectric lithium niobate, we present a multi-functional platform (LN-MFP) that seamlessly integrates photoacoustic spectroscopy, light-induced thermoelastic spectroscopy and photodetection into a single on-chip device. The proposed LN-MFP operates over a broad spectral range spanning from the visible to the mid infrared. We experimentally demonstrate trace gas detection of nitrogen dioxide, water vapor, acetylene, carbon dioxide, methane and ammonia, achieving parts-per-billion detection limits. We implement a custom packaging solution where the LN-MFP chip and a 4.6 µm quantum cascade laser chip are mounted on a printed circuit board together with transimpedance amplification, demonstrating system-level integration. Using this co-packaged module, we demonstrate carbon monoxide detection via second-harmonic measurements, outlining a clear route towards fully integrated on-chip implementations. This compact, hybrid, multi-functional architecture markedly reduces system complexity and footprint compared with conventional benchtop systems and is intrinsically compatible with the rapidly developing lithium niobate integrated photonics ecosystem. The LN-MFP provides a core sensing building block for future all-lithium-niobate spectroscopic chips for environmental monitoring, point-of-care diagnostics and on-site chemical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 细胞激活的改变有助于儿童关节炎相关葡萄膜炎的免疫发病机制</w:t>
      </w:r>
    </w:p>
    <w:p>
      <w:r>
        <w:rPr>
          <w:rFonts w:ascii="Times New Roman" w:hAnsi="Times New Roman" w:eastAsia="宋体"/>
          <w:b/>
          <w:color w:val="003264"/>
          <w:sz w:val="24"/>
        </w:rPr>
        <w:t>Altered B cell activation contributes to the immunopathogenesis of childhood arthritis-associated uveitis</w:t>
      </w:r>
    </w:p>
    <w:p>
      <w:r>
        <w:rPr>
          <w:rFonts w:ascii="Times New Roman" w:hAnsi="Times New Roman" w:eastAsia="宋体"/>
          <w:sz w:val="21"/>
        </w:rPr>
        <w:t>作者: Bethany R. Jebson, Benjamin Ingledow, Vicky Alexiou, Jakub Kubiak, Persephone Jenkins, Yuxuan Meng, Melissa Kartawinata, Restuadi Restuadi, Wei-Yu Lin, Chris Wallace, Colin J. Chu, Ameenat Lola Solebo, Lucy R. Wedderburn, Elizabeth C. Rosser, Lucy R. Wedderburn, Zoe Wanstall, Fatjon Dekaj, Aline Kimonyo, Eileen Hahn, Genevieve Gottschalk, Freya Luling Feilding, Alyssia McNeece, Fatema Merali, Elizabeth Ralph, Emily Robinson, Emma Sumner, Andrew Dick, Michael W. Beresford, Emil Carlsson, Joanna Fairlie, Jenna F. Gritzfeld, Oliver McClurg, Karen Rafferty, Athimalaipet V. Ramanan, Teresa Duerr, Michael Barnes, Sandra Ng, Kimme Hyrich, Stephen Eyre, Soumya Raychaudhuri, Wendy Thomson, John Bowes, Jeronee Jennycloss, Saskia Lawson-Tovey, Paul Martin, Andrew Morris, Stephanie Shoop-Worrall, Samantha Smith, Michael Stadler, Damian Tarasek, Melissa Tordoff, Annie Yarwood, Wei-Yu Lin, Prof Nophar Geifman, Sarah Clarke</w:t>
        <w:br/>
      </w:r>
      <w:r>
        <w:rPr>
          <w:rFonts w:ascii="Times New Roman" w:hAnsi="Times New Roman" w:eastAsia="宋体"/>
          <w:sz w:val="21"/>
        </w:rPr>
        <w:t xml:space="preserve">时间: 2026-02-03 | </w:t>
      </w:r>
      <w:r>
        <w:t xml:space="preserve">链接: </w:t>
      </w:r>
      <w:hyperlink r:id="rId154">
        <w:r>
          <w:rPr>
            <w:rFonts w:ascii="Times New Roman" w:hAnsi="Times New Roman" w:eastAsia="宋体"/>
            <w:color w:val="0000FF"/>
            <w:sz w:val="21"/>
            <w:u w:val="single"/>
          </w:rPr>
          <w:t>https://doi.org/10.1038/s41467-025-68264-5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幼年特发性关节炎 (JIA) 是最常见的儿童风湿病，许多患者还患有葡萄膜炎 (JIA-葡萄膜炎)，面临终生视力丧失的风险。驱动幼年特发性关节炎葡萄膜炎发展的机制仍有待研究。在此，我们证明，与无眼部疾病 (JIA) 的 JIA 患者相比，JIA 葡萄膜炎患者的外周血 CD19 + IgD - CD27 - 双阴性 1 型 (DN1) B 细胞升高。在 JIA 葡萄膜炎中，B 细胞受体 (BCR) 库也更具克隆性和体细胞高度突变，并且抗原激活的 B 细胞浸润慢性发炎的 JIA 葡萄膜炎眼睛。实验性自身免疫性葡萄膜视网膜炎 (EAU) 重现了 B 细胞活化增强的特征，使用单克隆抗体破坏 B 细胞和 T 细胞相互作用，转基因小鼠可抑制葡萄膜炎。总之，这些发现支持了一种概念转变，即葡萄膜炎是一种主要由 T 细胞驱动的疾病，并为潜在的新治疗策略提供了证据，这些策略也将 B 细胞视为疾病病理学的驱动因素。</w:t>
      </w:r>
    </w:p>
    <w:p>
      <w:pPr>
        <w:spacing w:before="120"/>
      </w:pPr>
      <w:r>
        <w:rPr>
          <w:rFonts w:ascii="Times New Roman" w:hAnsi="Times New Roman" w:eastAsia="宋体"/>
          <w:b/>
          <w:sz w:val="21"/>
        </w:rPr>
        <w:t>English Abstract:</w:t>
      </w:r>
    </w:p>
    <w:p>
      <w:r>
        <w:rPr>
          <w:rFonts w:ascii="Times New Roman" w:hAnsi="Times New Roman" w:eastAsia="宋体"/>
          <w:sz w:val="21"/>
        </w:rPr>
        <w:t>Abstract In Juvenile Idiopathic Arthritis (JIA), the most common childhood rheumatic disease, many patients also develop uveitis (JIA-uveitis), risking life-long vision loss. The mechanisms driving uveitis development in JIA remain understudied. Here, we demonstrate that peripheral blood CD19 + IgD - CD27 - double negative type 1 (DN1) B cells are elevated in JIA-uveitis compared to JIA patients without eye disease (JIA). The B cell receptor (BCR) repertoire was also more clonal and somatically hypermutated in JIA-uveitis and antigen-activated B cells infiltrated chronically inflamed JIA-uveitis eyes. Features of heightened B cell activation were recapitulated in experimental autoimmune uveoretinitis (EAU) and disrupting B and T cell interactions using monoclonal antibodies and transgenic mice suppresses uveitis. Together, these findings support a conceptual shift that uveitis is a primarily T cell driven disease and provide evidence for potential new therapeutic strategies that also consider B cells as drivers in disease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破解多层薄膜的密码，促进一次性塑料包装的循环利用</w:t>
      </w:r>
    </w:p>
    <w:p>
      <w:r>
        <w:rPr>
          <w:rFonts w:ascii="Times New Roman" w:hAnsi="Times New Roman" w:eastAsia="宋体"/>
          <w:b/>
          <w:color w:val="003264"/>
          <w:sz w:val="24"/>
        </w:rPr>
        <w:t>Cracking the code of multi-layer films to promote circularity in single-use plastic packaging</w:t>
      </w:r>
    </w:p>
    <w:p>
      <w:r>
        <w:rPr>
          <w:rFonts w:ascii="Times New Roman" w:hAnsi="Times New Roman" w:eastAsia="宋体"/>
          <w:sz w:val="21"/>
        </w:rPr>
        <w:t>作者: Ethan C. Quinn, Levi J. Hamernik, Jeffrey N. Law, Ryan W. Clarke, Maya Milrod, Shivani Kozarekar, Rebecca M. Mick, Margaret J. Sobkowicz, Linda J. Broadbelt, Brandon C. Knott, Katrina M. Knauer</w:t>
        <w:br/>
      </w:r>
      <w:r>
        <w:rPr>
          <w:rFonts w:ascii="Times New Roman" w:hAnsi="Times New Roman" w:eastAsia="宋体"/>
          <w:sz w:val="21"/>
        </w:rPr>
        <w:t xml:space="preserve">时间: 2026-02-03 | </w:t>
      </w:r>
      <w:r>
        <w:t xml:space="preserve">链接: </w:t>
      </w:r>
      <w:hyperlink r:id="rId155">
        <w:r>
          <w:rPr>
            <w:rFonts w:ascii="Times New Roman" w:hAnsi="Times New Roman" w:eastAsia="宋体"/>
            <w:color w:val="0000FF"/>
            <w:sz w:val="21"/>
            <w:u w:val="single"/>
          </w:rPr>
          <w:t>https://doi.org/10.1038/s41467-026-68936-w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层薄膜包装通过结合不同的材料层来优化阻隔性能、机械强度和保质期，彻底改变了食品保存，但由于其结构复杂性，它们带来了重大的回收挑战。该视角研究了控制阻隔性能的关键结构-性能关系，并强调了材料设计的创新。</w:t>
      </w:r>
    </w:p>
    <w:p>
      <w:pPr>
        <w:spacing w:before="120"/>
      </w:pPr>
      <w:r>
        <w:rPr>
          <w:rFonts w:ascii="Times New Roman" w:hAnsi="Times New Roman" w:eastAsia="宋体"/>
          <w:b/>
          <w:sz w:val="21"/>
        </w:rPr>
        <w:t>English Abstract:</w:t>
      </w:r>
    </w:p>
    <w:p>
      <w:r>
        <w:rPr>
          <w:rFonts w:ascii="Times New Roman" w:hAnsi="Times New Roman" w:eastAsia="宋体"/>
          <w:sz w:val="21"/>
        </w:rPr>
        <w:t>Multi-layer film packaging revolutionized food preservation by combining diverse material layers to optimize barrier properties, mechanical strength, and shelf-life but they pose significant recycling challenges due to their structural complexity. This perspective examines key structure-property relationships governing barrier performance and highlights innovations in material design.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12:39 ---</w:t>
      </w:r>
    </w:p>
    <w:p>
      <w:pPr>
        <w:pStyle w:val="Heading2"/>
      </w:pPr>
      <w:r/>
      <w:r>
        <w:rPr>
          <w:rFonts w:ascii="Times New Roman" w:hAnsi="Times New Roman" w:eastAsia="宋体"/>
          <w:b/>
          <w:color w:val="000000"/>
          <w:sz w:val="24"/>
        </w:rPr>
        <w:t>COBRA-k：桥接基于约束和动力学代谢建模的强大框架</w:t>
      </w:r>
    </w:p>
    <w:p>
      <w:r>
        <w:rPr>
          <w:rFonts w:ascii="Times New Roman" w:hAnsi="Times New Roman" w:eastAsia="宋体"/>
          <w:b/>
          <w:color w:val="003264"/>
          <w:sz w:val="24"/>
        </w:rPr>
        <w:t>COBRA-k: A powerful framework bridging constraint-based and kinetic metabolic modeling</w:t>
      </w:r>
    </w:p>
    <w:p>
      <w:r>
        <w:rPr>
          <w:rFonts w:ascii="Times New Roman" w:hAnsi="Times New Roman" w:eastAsia="宋体"/>
          <w:sz w:val="21"/>
        </w:rPr>
        <w:t>作者: Pavlos Stephanos Bekiaris, Steffen Klamt</w:t>
        <w:br/>
      </w:r>
      <w:r>
        <w:rPr>
          <w:rFonts w:ascii="Times New Roman" w:hAnsi="Times New Roman" w:eastAsia="宋体"/>
          <w:sz w:val="21"/>
        </w:rPr>
        <w:t xml:space="preserve">时间: 2026-01-23 | </w:t>
      </w:r>
      <w:r>
        <w:t xml:space="preserve">链接: </w:t>
      </w:r>
      <w:hyperlink r:id="rId156">
        <w:r>
          <w:rPr>
            <w:rFonts w:ascii="Times New Roman" w:hAnsi="Times New Roman" w:eastAsia="宋体"/>
            <w:color w:val="0000FF"/>
            <w:sz w:val="21"/>
            <w:u w:val="single"/>
          </w:rPr>
          <w:t>https://doi.org/10.1126/sciadv.aeb3022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数学建模是理解细胞代谢的关键。两种常见的方法是动力学建模和基于约束的重建和分析（COBRA）。 COBRA 模型使用线性约束分析稳态通量，但缺乏动力学细节。动力学模型通过微分方程提供机械描述，但需要（通常未知）动力学参数和酶浓度。为了弥补这一差距，我们引入了 COBRA-k，这是一个将非线性动力学速率定律集成到 COBRA 模型中的框架，以一致地限制代谢通量、酶丰度和代谢物浓度。 COBRA-k 可以通过优化技术灵活探索代谢稳态，即使参数化不完整。 COBRA-k 模型需要解决计算要求高的混合整数非线性程序。因此，我们开发了一种专用迭代算法，在开源 Python 包中实现。我们将 COBRA-k 应用于大规模大肠杆菌模型，证明了其有效性并揭示了整体代谢见解。例如，它准确地预测和解释了细胞内谷氨酸浓度高的现象。 COBRA-k 将 COBRA 的灵活性与动力学精度相结合，为预测代谢建模和工程提供了强大的工具。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Mathematical modeling is key to understanding cellular metabolism. Two common approaches are kinetic modeling and constraint-based reconstruction and analysis (COBRA). COBRA models analyze steady-state fluxes using linear constraints but lack kinetic detail. Kinetic models offer mechanistic descriptions via differential equations but require (often unknown) kinetic parameters and enzyme concentrations. To bridge this gap, we introduce COBRA-k, a framework integrating nonlinear kinetic rate laws into COBRA models to consistently constrain metabolic fluxes, enzyme abundances, and metabolite concentrations. COBRA-k enables flexible exploration of metabolic steady states with optimization techniques, even with incomplete parametrization. COBRA-k models require solving computationally demanding mixed-integer nonlinear programs. We therefore developed a dedicated iterative algorithm, implemented in an open-source Python package. We applied COBRA-k to a large-scale Escherichia coli model, demonstrating its effectiveness and revealing holistic metabolic insights. For example, it accurately predicts and explains the phenomenon of high intracellular glutamate concentration. COBRA-k combines the flexibility of COBRA with kinetic precision, offering a powerful tool for predictive metabolic modeling 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视网膜缺血性损伤的愈合</w:t>
      </w:r>
    </w:p>
    <w:p>
      <w:r>
        <w:rPr>
          <w:rFonts w:ascii="Times New Roman" w:hAnsi="Times New Roman" w:eastAsia="宋体"/>
          <w:b/>
          <w:color w:val="003264"/>
          <w:sz w:val="24"/>
        </w:rPr>
        <w:t>Healing of ischemic injury in the retina</w:t>
      </w:r>
    </w:p>
    <w:p>
      <w:r>
        <w:rPr>
          <w:rFonts w:ascii="Times New Roman" w:hAnsi="Times New Roman" w:eastAsia="宋体"/>
          <w:sz w:val="21"/>
        </w:rPr>
        <w:t>作者: Silke Becker, Zia L’Ecuyer Morison, Jordan Allen, Sama Saeid, Lee Sturgis, Austin Adderley, Ari Koskelainen, Frans Vinberg</w:t>
        <w:br/>
      </w:r>
      <w:r>
        <w:rPr>
          <w:rFonts w:ascii="Times New Roman" w:hAnsi="Times New Roman" w:eastAsia="宋体"/>
          <w:sz w:val="21"/>
        </w:rPr>
        <w:t xml:space="preserve">时间: 2026-01-23 | </w:t>
      </w:r>
      <w:r>
        <w:t xml:space="preserve">链接: </w:t>
      </w:r>
      <w:hyperlink r:id="rId157">
        <w:r>
          <w:rPr>
            <w:rFonts w:ascii="Times New Roman" w:hAnsi="Times New Roman" w:eastAsia="宋体"/>
            <w:color w:val="0000FF"/>
            <w:sz w:val="21"/>
            <w:u w:val="single"/>
          </w:rPr>
          <w:t>https://doi.org/10.1126/sciadv.adx7204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和视网膜退行性疾病，包括阿尔茨海默病、中风、年龄相关性黄斑变性和视网膜中央动脉阻塞，剥夺了数百万人的独立性。由于死亡后神经元活动迅速丧失，研究人类视网膜中的这些疾病受到了阻碍。虽然一些中枢神经系统活动在死后已恢复，但超过 30 分钟的同步神经元传输仍然难以捉摸。我们通过恢复和维持人类视网膜中的光信号传输来克服这一障碍，光信号传输在死亡后 4 小时内恢复并保存长达 48 小时。我们还引入了用于精确采样的基于红外的离体成像、用于药物测试的封闭灌注系统以及小鼠和人类视网膜的离体缺血再灌注模型。该平台能够测试针对氧化应激和谷氨酸兴奋毒性的药物的神经保护和神经毒性作用。我们的进展质疑缺血性损伤的不可逆性，支持视力恢复的临床前研究，提供治疗中枢神经系统缺血的见解，并为人类供体眼移植铺平道路。</w:t>
      </w:r>
    </w:p>
    <w:p>
      <w:pPr>
        <w:spacing w:before="120"/>
      </w:pPr>
      <w:r>
        <w:rPr>
          <w:rFonts w:ascii="Times New Roman" w:hAnsi="Times New Roman" w:eastAsia="宋体"/>
          <w:b/>
          <w:sz w:val="21"/>
        </w:rPr>
        <w:t>English Abstract:</w:t>
      </w:r>
    </w:p>
    <w:p>
      <w:r>
        <w:rPr>
          <w:rFonts w:ascii="Times New Roman" w:hAnsi="Times New Roman" w:eastAsia="宋体"/>
          <w:sz w:val="21"/>
        </w:rPr>
        <w:t>Neuro- and retinal degenerative diseases, including Alzheimer’s, stroke, age-related macular degeneration, and central retinal artery occlusion, rob millions of their independence. Studying these diseases in human retinas has been hindered by the rapid loss of neuronal activity after death. While some CNS activity has been restored postmortem, synchronized neuronal transmission beyond 30 min has remained elusive. We overcome this barrier by reviving and sustaining light signal transmission in human retinas recovered up to 4 hours after death and stored for up to 48 hours. We also introduce infrared-based ex vivo imaging for precise sampling, a closed perfusion system for drug testing, and an ex vivo ischemia-reperfusion model in mouse and human retina. This platform enables testing of neuroprotective and neurotoxic effects of drugs targeting oxidative stress and glutamate excitotoxicity. Our advances question the irreversibility of ischemic injury, support preclinical studies in vision restoration, offer insights into treating CNS ischemia, and pave the way for human donor eye transplantation.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TDRD3 是一种包含 Tudor 结构域的蛋白质，可调节 Klf2 依赖性 T reg 分化和调节免疫耐受的功能</w:t>
      </w:r>
    </w:p>
    <w:p>
      <w:r>
        <w:rPr>
          <w:rFonts w:ascii="Times New Roman" w:hAnsi="Times New Roman" w:eastAsia="宋体"/>
          <w:b/>
          <w:color w:val="003264"/>
          <w:sz w:val="24"/>
        </w:rPr>
        <w:t>TDRD3, a Tudor domain-containing protein, regulates Klf2 -dependent T reg differentiation and function to modulate immune tolerance</w:t>
      </w:r>
    </w:p>
    <w:p>
      <w:r>
        <w:rPr>
          <w:rFonts w:ascii="Times New Roman" w:hAnsi="Times New Roman" w:eastAsia="宋体"/>
          <w:sz w:val="21"/>
        </w:rPr>
        <w:t>作者: Yun Shi, Xiaoqun Tao, Lei Shen, Yate-Ching Yuan, Guanpeng Wang, Ethan Eurmsirilerd, Rendell Chang, Zhenyu Jia, Weirong Shang, Yanzhong Yang, Zuoming Sun</w:t>
        <w:br/>
      </w:r>
      <w:r>
        <w:rPr>
          <w:rFonts w:ascii="Times New Roman" w:hAnsi="Times New Roman" w:eastAsia="宋体"/>
          <w:sz w:val="21"/>
        </w:rPr>
        <w:t xml:space="preserve">时间: 2026-01-23 | </w:t>
      </w:r>
      <w:r>
        <w:t xml:space="preserve">链接: </w:t>
      </w:r>
      <w:hyperlink r:id="rId158">
        <w:r>
          <w:rPr>
            <w:rFonts w:ascii="Times New Roman" w:hAnsi="Times New Roman" w:eastAsia="宋体"/>
            <w:color w:val="0000FF"/>
            <w:sz w:val="21"/>
            <w:u w:val="single"/>
          </w:rPr>
          <w:t>https://doi.org/10.1126/sciadv.aea3960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含 Tudor 结构域的蛋白 3 (TDRD3) 充当甲基精氨酸读取器，将翻译后精氨酸甲基化信号传递给转录机制，从而通过调节基因表达来调节细胞功能。调节性 T 细胞 (T regs) 对于建立和维持免疫耐受至关重要。在这项研究中，我们证明 T reg 特异性缺失 Tdrd3 的小鼠表现出严重受损的 iT reg 分化，但胸腺 T reg 分化却没有。此外，源自这些小鼠的 iT regs（而非胸腺 T regs）在过继转移模型中未能抑制结肠炎，表明抑制能力受损。老年 Tdrd3 缺陷小鼠也表现出自发性自身炎症。从机制上讲，TDRD3 被转录因子 FOXO1 招募（可能以甲基化依赖性方式）来激活 Klf2 表达，这对于 T reg 分化至关重要。值得注意的是，Klf2 在 Tdrd3 缺陷的 CD4 + T 细胞中的强制表达可以挽救 iT reg 的发育和抑制功能。总的来说，我们的研究结果确定 TDRD3 是 iT reg 分化和免疫稳态的中央转录调节因子，强调它是调节免疫耐受的潜在治疗靶点。</w:t>
      </w:r>
    </w:p>
    <w:p>
      <w:pPr>
        <w:spacing w:before="120"/>
      </w:pPr>
      <w:r>
        <w:rPr>
          <w:rFonts w:ascii="Times New Roman" w:hAnsi="Times New Roman" w:eastAsia="宋体"/>
          <w:b/>
          <w:sz w:val="21"/>
        </w:rPr>
        <w:t>English Abstract:</w:t>
      </w:r>
    </w:p>
    <w:p>
      <w:r>
        <w:rPr>
          <w:rFonts w:ascii="Times New Roman" w:hAnsi="Times New Roman" w:eastAsia="宋体"/>
          <w:sz w:val="21"/>
        </w:rPr>
        <w:t>Tudor domain-containing protein 3 (TDRD3) functions as a methylarginine reader that relays posttranslational arginine methylation signals to the transcriptional machinery, thereby regulating cellular functions through modulation of gene expression. Regulatory T cells (T regs ) are pivotal for establishing and maintaining immune tolerance. In this study, we demonstrate that mice with T reg -specific deletion of Tdrd3 exhibit severely impaired iT reg , but not thymic T reg , differentiation. Moreover, iT regs , but not thymic T regs , derived from these mice fail to suppress colitis in adoptive transfer models, indicating compromised inhibitory capacity. Aged Tdrd3 -deficient mice also show spontaneous autoinflammation. Mechanistically, TDRD3 is recruited by the transcription factor FOXO1, presumably in a methylation-dependent manner, to activate Klf2 expression, which is essential for T reg differentiation. Notably, the enforced expression of Klf2 in Tdrd3 -deficient CD4 + T cells rescue both iT reg development and suppressive function. Collectively, our findings identify TDRD3 as a central transcriptional regulator of iT reg differentiation and immune homeostasis, highlighting it as a potential therapeutic target for modulating immune tolerance.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Lrrn介导的视网膜神经节细胞靶向驱动视觉电路组装以进行亮度和对比度检测</w:t>
      </w:r>
    </w:p>
    <w:p>
      <w:r>
        <w:rPr>
          <w:rFonts w:ascii="Times New Roman" w:hAnsi="Times New Roman" w:eastAsia="宋体"/>
          <w:b/>
          <w:color w:val="003264"/>
          <w:sz w:val="24"/>
        </w:rPr>
        <w:t>Lrrn-mediated retinal ganglion cell targeting drives visual circuit assembly for brightness and contrast detection</w:t>
      </w:r>
    </w:p>
    <w:p>
      <w:r>
        <w:rPr>
          <w:rFonts w:ascii="Times New Roman" w:hAnsi="Times New Roman" w:eastAsia="宋体"/>
          <w:sz w:val="21"/>
        </w:rPr>
        <w:t>作者: Elena Putti, Giulia Faini, Julie Thanh-Mai Dang, Jay H. Savaliya, Fanny Eggeler, Karine Duroure, Juliette Vougny, Gonzalo Ortiz-Álvarez, Cristina Pujades, Armin Bahl, Jeff W. Lichtman, Florian Engert, Jonathan Boulanger-Weill, Filippo Del Bene, Shahad Albadri</w:t>
        <w:br/>
      </w:r>
      <w:r>
        <w:rPr>
          <w:rFonts w:ascii="Times New Roman" w:hAnsi="Times New Roman" w:eastAsia="宋体"/>
          <w:sz w:val="21"/>
        </w:rPr>
        <w:t xml:space="preserve">时间: 2026-01-23 | </w:t>
      </w:r>
      <w:r>
        <w:t xml:space="preserve">链接: </w:t>
      </w:r>
      <w:hyperlink r:id="rId159">
        <w:r>
          <w:rPr>
            <w:rFonts w:ascii="Times New Roman" w:hAnsi="Times New Roman" w:eastAsia="宋体"/>
            <w:color w:val="0000FF"/>
            <w:sz w:val="21"/>
            <w:u w:val="single"/>
          </w:rPr>
          <w:t>https://doi.org/10.1126/sciadv.adz4585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亮度和对比度是视觉的基本特征，对于物体检测、环境导航和进食至关重要。在这里，我们确定了斑马鱼视觉系统中的亮度和对比度处理电路，并揭示了富含亮氨酸的重复神经元 (Lrrn) 细胞粘附分子 (CAM) 在调节其组装中的作用。我们发现，深部投射的视网膜神经节细胞是大脑的第一个突触中继，需要 Lrrn2 和 Lrrn3a 来精确定位视顶盖内的轴突。使用新的报告线，我们实现了这种先前未充分表征的脊椎动物视觉回路的高分辨率图谱。 Lrrn CAM 的基因破坏会导致电路混乱以及亮度和对比敏感度受损，从而导致视觉引导行为的缺陷。此外，超微结构电路重建和功能成像分析识别了其突触伙伴，并揭示了其在亮度处理中的关键作用。这些研究定义了核心视觉处理途径，并将 Lrrn CAM 确立为其组装的重要分子驱动因素。</w:t>
      </w:r>
    </w:p>
    <w:p>
      <w:pPr>
        <w:spacing w:before="120"/>
      </w:pPr>
      <w:r>
        <w:rPr>
          <w:rFonts w:ascii="Times New Roman" w:hAnsi="Times New Roman" w:eastAsia="宋体"/>
          <w:b/>
          <w:sz w:val="21"/>
        </w:rPr>
        <w:t>English Abstract:</w:t>
      </w:r>
    </w:p>
    <w:p>
      <w:r>
        <w:rPr>
          <w:rFonts w:ascii="Times New Roman" w:hAnsi="Times New Roman" w:eastAsia="宋体"/>
          <w:sz w:val="21"/>
        </w:rPr>
        <w:t>Brightness and contrast are fundamental features of vision, crucial for object detection, environmental navigation, and feeding. Here, we identify a brightness- and contrast-processing circuit in the zebrafish visual system and uncover the role of leucine-rich repeat neuronal (Lrrn) cell adhesion molecules (CAMs) in regulating its assembly. We show that deep-projecting retinal ganglion cells serve as the first synaptic relay to the brain, requiring Lrrn2 and Lrrn3a for precise axonal targeting within the optic tectum. Using a new reporter line, we achieved high-resolution mapping of this previously undercharacterized vertebrate visual circuit. Genetic disruption of Lrrn CAMs leads to disorganization of the circuit and impairments in brightness and contrast sensitivity, resulting in deficits in visually guided behavior. Additionally, ultrastructural circuit reconstruction and functional imaging analysis identified both its synaptic partners and revealed its critical role in luminance processing. These studies define a core visual processing pathway and establish Lrrn CAMs as essential molecular drivers of its assembly.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常驻CD49a + CD103 + NKG2C + NK细胞限制人类淋巴组织外植体中的HIV感染</w:t>
      </w:r>
    </w:p>
    <w:p>
      <w:r>
        <w:rPr>
          <w:rFonts w:ascii="Times New Roman" w:hAnsi="Times New Roman" w:eastAsia="宋体"/>
          <w:b/>
          <w:color w:val="003264"/>
          <w:sz w:val="24"/>
        </w:rPr>
        <w:t>Resident CD49a + CD103 + NKG2C + NK cells restrict HIV infection in human lymphoid tissue explants</w:t>
      </w:r>
    </w:p>
    <w:p>
      <w:r>
        <w:rPr>
          <w:rFonts w:ascii="Times New Roman" w:hAnsi="Times New Roman" w:eastAsia="宋体"/>
          <w:sz w:val="21"/>
        </w:rPr>
        <w:t>作者: David Perea, Alba Gonzalez, Ana Gallego-Cortés, Nerea Sanchez-Gaona, Felix Pumarola, Nuria Ortiz, Ines Llano, Juan Lorente, Vicenç Falcó, Meritxell Genescà, Maria J. Buzon</w:t>
        <w:br/>
      </w:r>
      <w:r>
        <w:rPr>
          <w:rFonts w:ascii="Times New Roman" w:hAnsi="Times New Roman" w:eastAsia="宋体"/>
          <w:sz w:val="21"/>
        </w:rPr>
        <w:t xml:space="preserve">时间: 2026-01-23 | </w:t>
      </w:r>
      <w:r>
        <w:t xml:space="preserve">链接: </w:t>
      </w:r>
      <w:hyperlink r:id="rId160">
        <w:r>
          <w:rPr>
            <w:rFonts w:ascii="Times New Roman" w:hAnsi="Times New Roman" w:eastAsia="宋体"/>
            <w:color w:val="0000FF"/>
            <w:sz w:val="21"/>
            <w:u w:val="single"/>
          </w:rPr>
          <w:t>https://doi.org/10.1126/sciadv.adz1565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自然杀伤 (NK) 细胞是抗病毒免疫的关键效应细胞，但其在急性 HIV 感染期间的组织特异性作用仍不清楚。使用离体人类扁桃体组织模型，我们分析了 NK 细胞对早期 HIV 感染的反应，并发现了具有特殊功能的不同亚群。我们发现了一个先前未表征的记忆样 NK 群体（CD16 +/- CD69 + CD49a + CD103 + NKG2C + ）与病毒负荷减少相关，并富含细胞毒性介质（GNLY、PRF1 和 GZMB）、凋亡配体（FASLG 和 TRAIL）、细胞因子受体（IL2RA、IL2RB、IL2RG、IL12RB2 和IL18R1) 和运输分子（CCL3-5、CCR7 和 SELL）。尽管在功能上能够在组织模拟环境中清除 HIV 感染的 CD4 + T 细胞，但它们在感染后表现出细胞毒性受损和转录衰竭迹象。相反，HIV 驱动未成熟的 CD16 - CD69 + NK 细胞重编程为更具细胞毒性和迁移效应表型。这些发现揭示了早期 HIV 感染期间淋巴组织中 NK 细胞的动态适应，并强调组织驻留 NK 细胞作为免疫治疗干预的有希望的目标。</w:t>
      </w:r>
    </w:p>
    <w:p>
      <w:pPr>
        <w:spacing w:before="120"/>
      </w:pPr>
      <w:r>
        <w:rPr>
          <w:rFonts w:ascii="Times New Roman" w:hAnsi="Times New Roman" w:eastAsia="宋体"/>
          <w:b/>
          <w:sz w:val="21"/>
        </w:rPr>
        <w:t>English Abstract:</w:t>
      </w:r>
    </w:p>
    <w:p>
      <w:r>
        <w:rPr>
          <w:rFonts w:ascii="Times New Roman" w:hAnsi="Times New Roman" w:eastAsia="宋体"/>
          <w:sz w:val="21"/>
        </w:rPr>
        <w:t>Natural killer (NK) cells are pivotal effectors in antiviral immunity, yet their tissue-specific roles during acute HIV infection remain poorly defined. Using an ex vivo human tonsillar tissue model, we profile NK cell responses to early HIV infection and uncover distinct subsets with specialized functions. We identify a previously uncharacterized memory-like NK population (CD16 +/− CD69 + CD49a + CD103 + NKG2C + ) associated with reduced viral burden and enriched in cytotoxic mediators (GNLY, PRF1, and GZMB), apoptotic ligands (FASLG and TRAIL), cytokine receptors (IL2RA, IL2RB, IL2RG, IL12RB2, and IL18R1) and trafficking molecules (CCL3–5, CCR7, and SELL). Although functionally capable of clearing HIV-infected CD4 + T cells in a tissue-mimetic environment, they show impaired cytotoxicity and transcriptional signs of exhaustion after infection. Conversely, HIV drives the reprogramming of immature CD16 − CD69 + NK cells toward a more cytotoxic and migratory effector phenotype. These findings reveal dynamic NK cell adaptations in lymphoid tissue during early HIV infection and highlight tissue-resident NK cells as promising targets for immunotherapeutic intervention.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具有仿骨连杆的仿生可生长人形机器人，可实现多功能移动</w:t>
      </w:r>
    </w:p>
    <w:p>
      <w:r>
        <w:rPr>
          <w:rFonts w:ascii="Times New Roman" w:hAnsi="Times New Roman" w:eastAsia="宋体"/>
          <w:b/>
          <w:color w:val="003264"/>
          <w:sz w:val="24"/>
        </w:rPr>
        <w:t>Bioinspired growable humanoid robot with bone-mimetic linkages for versatile mobility</w:t>
      </w:r>
    </w:p>
    <w:p>
      <w:r>
        <w:rPr>
          <w:rFonts w:ascii="Times New Roman" w:hAnsi="Times New Roman" w:eastAsia="宋体"/>
          <w:sz w:val="21"/>
        </w:rPr>
        <w:t>作者: Hao Liu, Yanda Yang, Ting Wang, Jintao Yin, Hongqiang Wang</w:t>
        <w:br/>
      </w:r>
      <w:r>
        <w:rPr>
          <w:rFonts w:ascii="Times New Roman" w:hAnsi="Times New Roman" w:eastAsia="宋体"/>
          <w:sz w:val="21"/>
        </w:rPr>
        <w:t xml:space="preserve">时间: 2026-01-23 | </w:t>
      </w:r>
      <w:r>
        <w:t xml:space="preserve">链接: </w:t>
      </w:r>
      <w:hyperlink r:id="rId161">
        <w:r>
          <w:rPr>
            <w:rFonts w:ascii="Times New Roman" w:hAnsi="Times New Roman" w:eastAsia="宋体"/>
            <w:color w:val="0000FF"/>
            <w:sz w:val="21"/>
            <w:u w:val="single"/>
          </w:rPr>
          <w:t>https://doi.org/10.1126/sciadv.aea2831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人类生物力学的启发，人形机器人通常被设计为模仿人类运动学，但通常缺乏骨骼发育的关键特征，例如可生长性、轻质而坚硬的结构以及冲击吸收的顺应性。这项工作引入了一种受骨骼启发的连杆结构，具有高达 315% 的延展性，重量仅为 350 克，同时保持高负载能力、顺应性和稳定性。这些可生长的连杆集成到软人形机器人中，可实现动态形状适应，将高度减少至 36%，宽度减少至 61%，以穿越狭小的空间。通过将可增长的连杆致动与伺服电机相结合，机器人切换到爬行模式，并且移动速度比单独使用电机或软致动器快 1122 倍。 GrowHR 仅重 4.5 公斤，可以漂浮、游泳、水上行走和飞行。其柔软的身体确保了安全的人际互动，允许拥抱、跌倒和举起而不会受伤。可变形的腿在外部负载下表现出弹性能量存储和释放，允许运动超越刚性结构的限制。这项工作开创了一种适用于动态、复杂环境的可扩展、多功能机器人设计方法。</w:t>
      </w:r>
    </w:p>
    <w:p>
      <w:pPr>
        <w:spacing w:before="120"/>
      </w:pPr>
      <w:r>
        <w:rPr>
          <w:rFonts w:ascii="Times New Roman" w:hAnsi="Times New Roman" w:eastAsia="宋体"/>
          <w:b/>
          <w:sz w:val="21"/>
        </w:rPr>
        <w:t>English Abstract:</w:t>
      </w:r>
    </w:p>
    <w:p>
      <w:r>
        <w:rPr>
          <w:rFonts w:ascii="Times New Roman" w:hAnsi="Times New Roman" w:eastAsia="宋体"/>
          <w:sz w:val="21"/>
        </w:rPr>
        <w:t>Inspired by human biomechanics, humanoid robots are often designed to mimic human kinematics but typically lack key traits of developing bones, such as growability, lightweight yet stiff construction, and compliance for impact absorption. This work introduces a bone-inspired linkage structure with up to 315% extensibility, weighing only 350 grams while maintaining high load capacity, compliance, and stability. Integrated into a soft humanoid robot, these growable linkages enable dynamic shape adaptation, reducing height to 36% and width to 61%, to traverse tight spaces. By combining growable link actuation with servomotors, the robot switches to crawling mode and moves 1122 times faster than using motors or soft actuators alone. At just 4.5 kilograms, GrowHR can float, swim, walk on water, and fly. Its soft body ensures safe human interaction, allowing hugging, falling, and lifting without injury. Deformable legs demonstrate elastic energy storage and release under external loading, allowing motions beyond the limits of rigid structures. This work pioneers a growable, multifunctional robotic design approach for dynamic,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宏观植物投影成像 (MAPPI)：一个开放、可扩展的全植物荧光实时成像平台</w:t>
      </w:r>
    </w:p>
    <w:p>
      <w:r>
        <w:rPr>
          <w:rFonts w:ascii="Times New Roman" w:hAnsi="Times New Roman" w:eastAsia="宋体"/>
          <w:b/>
          <w:color w:val="003264"/>
          <w:sz w:val="24"/>
        </w:rPr>
        <w:t>MAcro Plant Projection Imaging (MAPPI): An open, scalable platform for whole-plant fluorescence real-time imaging</w:t>
      </w:r>
    </w:p>
    <w:p>
      <w:r>
        <w:rPr>
          <w:rFonts w:ascii="Times New Roman" w:hAnsi="Times New Roman" w:eastAsia="宋体"/>
          <w:sz w:val="21"/>
        </w:rPr>
        <w:t>作者: Giorgia Tortora, Bianca Maria Orlando Marchesano, Stefano Buratti, Laura Luoni, Matteo Grenzi, Keiko Yoshioka, Valeria Contartese, Alessia Candeo, Alex Costa, Andrea Bassi</w:t>
        <w:br/>
      </w:r>
      <w:r>
        <w:rPr>
          <w:rFonts w:ascii="Times New Roman" w:hAnsi="Times New Roman" w:eastAsia="宋体"/>
          <w:sz w:val="21"/>
        </w:rPr>
        <w:t xml:space="preserve">时间: 2026-01-23 | </w:t>
      </w:r>
      <w:r>
        <w:t xml:space="preserve">链接: </w:t>
      </w:r>
      <w:hyperlink r:id="rId162">
        <w:r>
          <w:rPr>
            <w:rFonts w:ascii="Times New Roman" w:hAnsi="Times New Roman" w:eastAsia="宋体"/>
            <w:color w:val="0000FF"/>
            <w:sz w:val="21"/>
            <w:u w:val="single"/>
          </w:rPr>
          <w:t>https://doi.org/10.1126/sciadv.aea4466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植物如何感知和响应环境和发育线索需要能够实时监测体内整个组织分子信号的工具。基因编码的荧光指示剂与荧光显微镜相结合，已经改变了植物生物学，但它们的应用仍然主要局限于小型模型生物和专门的显微镜仪器。在这里，我们展示了宏观植物投影成像 (MAPPI)，这是一种开源、低成本、模块化荧光成像平台，适用于模型生物或幼苗阶段以外的土壤生长植物。 MAPPI 可实现荧光报告基因的宽视场、双投影成像，支持在接近生理条件下系统信号的实时可视化。我们通过跟踪成年烟草中的钙和 L-谷氨酸动态来验证 MAPPI，揭示由受伤、燃烧或淹没触发的发育调节的长距离钙波，包括双向芽到根和根到芽信号传导。通过实现全植物功能成像的民主化，MAPPI 提供了一种可扩展的工具，用于剖析模型和非模型物种的信号传播、应激适应和系统通信。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plants perceive and respond to environmental and developmental cues requires tools capable of monitoring molecular signals in vivo, across whole tissues, and in real time. Genetically encoded fluorescent indicators, coupled with fluorescence microscopy, have transformed plant biology, but their application remains largely confined to small model organisms and specialized microscopy instrumentation. Here, we present MAcro Plant Projection Imaging (MAPPI), an open-source, low-cost, and modular fluorescence imaging platform for soil-grown plants beyond the model organism or seedling stage. MAPPI enables wide field-of-view, dual-projection imaging of fluorescent reporters, supporting real-time visualization of systemic signals under near-physiological conditions. We validate MAPPI by tracking calcium and l -glutamate dynamics in adult Nicotiana benthamiana plants, revealing developmentally regulated long-distance calcium waves triggered by wounding, burning, or submergence, including bidirectional shoot-to-root and root-to-shoot signaling. By democratizing access to whole-plant functional imaging, MAPPI provides a scalable tool for dissecting signal propagation, stress adaptation, and systemic communication in both model and nonmodel species.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具有独立来源的量子网络中的随机性证明</w:t>
      </w:r>
    </w:p>
    <w:p>
      <w:r>
        <w:rPr>
          <w:rFonts w:ascii="Times New Roman" w:hAnsi="Times New Roman" w:eastAsia="宋体"/>
          <w:b/>
          <w:color w:val="003264"/>
          <w:sz w:val="24"/>
        </w:rPr>
        <w:t>Randomness certification in a quantum network with independent sources</w:t>
      </w:r>
    </w:p>
    <w:p>
      <w:r>
        <w:rPr>
          <w:rFonts w:ascii="Times New Roman" w:hAnsi="Times New Roman" w:eastAsia="宋体"/>
          <w:sz w:val="21"/>
        </w:rPr>
        <w:t>作者: Giorgio Minati, Giovanni Rodari, Emanuele Polino, Francesco Andreoli, Davide Poderini, Rafael Chaves, Gonzalo Carvacho, Fabio Sciarrino</w:t>
        <w:br/>
      </w:r>
      <w:r>
        <w:rPr>
          <w:rFonts w:ascii="Times New Roman" w:hAnsi="Times New Roman" w:eastAsia="宋体"/>
          <w:sz w:val="21"/>
        </w:rPr>
        <w:t xml:space="preserve">时间: 2026-01-23 | </w:t>
      </w:r>
      <w:r>
        <w:t xml:space="preserve">链接: </w:t>
      </w:r>
      <w:hyperlink r:id="rId163">
        <w:r>
          <w:rPr>
            <w:rFonts w:ascii="Times New Roman" w:hAnsi="Times New Roman" w:eastAsia="宋体"/>
            <w:color w:val="0000FF"/>
            <w:sz w:val="21"/>
            <w:u w:val="single"/>
          </w:rPr>
          <w:t>https://doi.org/10.1126/sciadv.aea8571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性认证是量子信息科学的基础和实践方面，对于保护量子通信协议至关重要。传统上，这些协议是通过单个纠缠源来实现和验证的，就像典型的贝尔场景一样。然而，改进这些协议以支持涉及多个纠缠源的更复杂的配置是构建鲁棒架构和实现大规模量子网络的关键。在这里，我们展示了如何在纠缠隐形传态实验中证明随机性，这是显示两个独立纠缠源的量子中继器的构建块。使用标量扩展方法，我们解决了相关集的非凸性带来的挑战，为窃听者对共享秘密位的了解提供了有效的界限。我们的理论模型描述了网络内可证明的随机性，并通过对光子量子网络的实验数据的分析进行了验证。</w:t>
      </w:r>
    </w:p>
    <w:p>
      <w:pPr>
        <w:spacing w:before="120"/>
      </w:pPr>
      <w:r>
        <w:rPr>
          <w:rFonts w:ascii="Times New Roman" w:hAnsi="Times New Roman" w:eastAsia="宋体"/>
          <w:b/>
          <w:sz w:val="21"/>
        </w:rPr>
        <w:t>English Abstract:</w:t>
      </w:r>
    </w:p>
    <w:p>
      <w:r>
        <w:rPr>
          <w:rFonts w:ascii="Times New Roman" w:hAnsi="Times New Roman" w:eastAsia="宋体"/>
          <w:sz w:val="21"/>
        </w:rPr>
        <w:t>Randomness certification is a foundational and practical aspect of quantum information science, essential for securing quantum communication protocols. Traditionally, these protocols have been implemented and validated with a single entanglement source, as in the paradigmatic Bell scenario. However, advancing these protocols to support more complex configurations involving multiple entanglement sources is key to building robust architectures and realizing large-scale quantum networks. Here, we show how to certify randomness in an entanglement-teleportation experiment, the building block of a quantum repeater displaying two independent sources of entanglement. Using the scalar extension method, we address the challenge posed by the nonconvexity of the correlation set, providing effective bounds on an eavesdropper’s knowledge of the shared secret bits. Our theoretical model characterizes the certifiable randomness within the network and is validated through the analysis of experimental data from a photonic quantum network.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类固醇依赖性代谢重连揭示了胶质母细胞瘤的新治疗和成像方法</w:t>
      </w:r>
    </w:p>
    <w:p>
      <w:r>
        <w:rPr>
          <w:rFonts w:ascii="Times New Roman" w:hAnsi="Times New Roman" w:eastAsia="宋体"/>
          <w:b/>
          <w:color w:val="003264"/>
          <w:sz w:val="24"/>
        </w:rPr>
        <w:t>Steroid-dependent metabolic rewiring reveals novel therapeutic and imaging approaches for glioblastoma</w:t>
      </w:r>
    </w:p>
    <w:p>
      <w:r>
        <w:rPr>
          <w:rFonts w:ascii="Times New Roman" w:hAnsi="Times New Roman" w:eastAsia="宋体"/>
          <w:sz w:val="21"/>
        </w:rPr>
        <w:t>作者: Maria Francesca Allega, Ruhi Deshmukh, Theresa Hillinger, Alena Akhmetshina, Anaïs Oudin, Robert Bielik, Dmitry Soloviev, Victor H. Villar, Tobias Ackermann, Guillaume Bourmeau, Sandeep K. Chahal, Katrina H. Stevenson, Colin Nixon, Robin Shaw, Gillian M. Morrison, Anthony J. Chalmers, Steven M. Pollard, Morten Lund-Johansen, Rolf Bjerkvig, Giorgio Seano, Simone P. Niclou, Einar O. Vik-Mo, David Y. Lewis, David Sumpton, Saverio Tardito</w:t>
        <w:br/>
      </w:r>
      <w:r>
        <w:rPr>
          <w:rFonts w:ascii="Times New Roman" w:hAnsi="Times New Roman" w:eastAsia="宋体"/>
          <w:sz w:val="21"/>
        </w:rPr>
        <w:t xml:space="preserve">时间: 2026-01-23 | </w:t>
      </w:r>
      <w:r>
        <w:t xml:space="preserve">链接: </w:t>
      </w:r>
      <w:hyperlink r:id="rId164">
        <w:r>
          <w:rPr>
            <w:rFonts w:ascii="Times New Roman" w:hAnsi="Times New Roman" w:eastAsia="宋体"/>
            <w:color w:val="0000FF"/>
            <w:sz w:val="21"/>
            <w:u w:val="single"/>
          </w:rPr>
          <w:t>https://doi.org/10.1126/sciadv.adx6539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类固醇抗炎药，如地塞米松，通常用于治疗脑肿瘤相关的水肿，但其对脑肿瘤代谢的影响仍未得到充分研究。在这里，对用地塞米松处理的幼稚胶质母细胞瘤细胞进行的代谢组学筛选显示，N 1 -甲基烟酰胺（一种烟酰胺 N -甲基转移酶 (NNMT) 产物）通过糖皮质激素受体激活而积累。在胶质母细胞瘤患者中使用稳定同位素辅助代谢组学，我们发现烟酰胺转化为 N 1 -甲基烟酰胺的转化超过转化为 NAD + 的转化，导致肿瘤中 N 1 -甲基烟酰胺的积累是周围脑组织的约 7 倍。在原位模型中，地塞米松在胶质母细胞瘤肿瘤中选择性增强 NNMT 活性，但在对侧大脑中则不然。利用 NNMT 的肿瘤特异性活性，我们开发了一种基于 11 C-烟酰胺的新型正电子发射断层扫描 (PET) 方法来可视化胶质母细胞瘤肿瘤。此外，我们的研究结果表明，当与限制蛋氨酸的饮食相结合时，地塞米松诱导的蛋氨酸依赖性烟酰胺甲基化对胶质母细胞瘤有害。这些结果表明，类固醇可以重新连接蛋氨酸和烟酰胺代谢，从而能够开发出针对胶质母细胞瘤的创新 PET 成像和代谢疗法。</w:t>
      </w:r>
    </w:p>
    <w:p>
      <w:pPr>
        <w:spacing w:before="120"/>
      </w:pPr>
      <w:r>
        <w:rPr>
          <w:rFonts w:ascii="Times New Roman" w:hAnsi="Times New Roman" w:eastAsia="宋体"/>
          <w:b/>
          <w:sz w:val="21"/>
        </w:rPr>
        <w:t>English Abstract:</w:t>
      </w:r>
    </w:p>
    <w:p>
      <w:r>
        <w:rPr>
          <w:rFonts w:ascii="Times New Roman" w:hAnsi="Times New Roman" w:eastAsia="宋体"/>
          <w:sz w:val="21"/>
        </w:rPr>
        <w:t>Steroid anti-inflammatory drugs, such as dexamethasone, are routinely used to manage brain tumor–associated edema, yet their impact on brain tumor metabolism remains understudied. Here, a metabolomic screen in naïve glioblastoma cells treated with dexamethasone revealed the accumulation of N 1 -methylnicotinamide, a nicotinamide N -methyltransferase (NNMT) product, through glucocorticoid receptor activation. Using stable isotope-assisted metabolomics in patients with glioblastoma, we showed that nicotinamide conversion into N 1 -methylnicotinamide exceeds that into NAD + , leading to a ~7-fold accumulation of N 1 -methylnicotinamide in tumor compared to surrounding brain tissue. In orthotopic models, NNMT activity was enhanced by dexamethasone selectively in glioblastoma tumors but not in contralateral brain. Leveraging the tumor-specific activity of NNMT, we developed a novel 11 C-nicotinamide–based positron emission tomography (PET) approach to visualizing glioblastoma tumors. Furthermore, our findings demonstrate that the dexamethasone-induced methionine-dependent nicotinamide methylation becomes detrimental for glioblastoma when combined with a methionine-restricted diet. These results show that steroids rewire methionine and nicotinamide metabolism, enabling the development of innovative PET imaging and metabolic therapies for glioblastoma.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NEP-聚合酶复合物结构揭示甲型流感病毒聚合酶的监管热点</w:t>
      </w:r>
    </w:p>
    <w:p>
      <w:r>
        <w:rPr>
          <w:rFonts w:ascii="Times New Roman" w:hAnsi="Times New Roman" w:eastAsia="宋体"/>
          <w:b/>
          <w:color w:val="003264"/>
          <w:sz w:val="24"/>
        </w:rPr>
        <w:t>Regulatory hotspot on the influenza A virus polymerase revealed through the structure of the NEP-polymerase complex</w:t>
      </w:r>
    </w:p>
    <w:p>
      <w:r>
        <w:rPr>
          <w:rFonts w:ascii="Times New Roman" w:hAnsi="Times New Roman" w:eastAsia="宋体"/>
          <w:sz w:val="21"/>
        </w:rPr>
        <w:t>作者: Alison Rep, Fangzheng Wang, Kuang-Yu Chen, Loïc Carrique, Jane Sharps, Jonathan M. Grimes, Ervin Fodor</w:t>
        <w:br/>
      </w:r>
      <w:r>
        <w:rPr>
          <w:rFonts w:ascii="Times New Roman" w:hAnsi="Times New Roman" w:eastAsia="宋体"/>
          <w:sz w:val="21"/>
        </w:rPr>
        <w:t xml:space="preserve">时间: 2026-01-23 | </w:t>
      </w:r>
      <w:r>
        <w:t xml:space="preserve">链接: </w:t>
      </w:r>
      <w:hyperlink r:id="rId165">
        <w:r>
          <w:rPr>
            <w:rFonts w:ascii="Times New Roman" w:hAnsi="Times New Roman" w:eastAsia="宋体"/>
            <w:color w:val="0000FF"/>
            <w:sz w:val="21"/>
            <w:u w:val="single"/>
          </w:rPr>
          <w:t>https://doi.org/10.1126/sciadv.aeb4073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甲型流感病毒 (IAV) 在病毒核糖核蛋白 (vRNP) 内的宿主细胞核中转录和复制其分段的 RNA 基因组，这些基因组被输出用于病毒粒子组装。核输出蛋白 (NEP) 对此过程至关重要，并且还调节病毒 RNA 合成，意味着与病毒 RNA 聚合酶的直接相互作用。在这里，我们展示了与 IAV 聚合酶结合的 NEP 的 2.5-Å 低温电子显微镜结构，并证明单独的 NEP 足以促进 vRNP 输出，而病毒基质蛋白 1 则增强输出效率。 NEP 形成四螺旋束，结合在聚合酶的 PA C 端结构域和 PB1 N 端的界面上。该界面上的 NEP 结合位点与宿主 ANP32 和 RNA 聚合酶 II 的 C 端结构域的结合位点重叠，表明它作为调节热点协调病毒聚合酶在 RNA 合成和核输出之间的转换，揭示了 IAV 复制周期中的关键控制层。</w:t>
      </w:r>
    </w:p>
    <w:p>
      <w:pPr>
        <w:spacing w:before="120"/>
      </w:pPr>
      <w:r>
        <w:rPr>
          <w:rFonts w:ascii="Times New Roman" w:hAnsi="Times New Roman" w:eastAsia="宋体"/>
          <w:b/>
          <w:sz w:val="21"/>
        </w:rPr>
        <w:t>English Abstract:</w:t>
      </w:r>
    </w:p>
    <w:p>
      <w:r>
        <w:rPr>
          <w:rFonts w:ascii="Times New Roman" w:hAnsi="Times New Roman" w:eastAsia="宋体"/>
          <w:sz w:val="21"/>
        </w:rPr>
        <w:t>Influenza A virus (IAV) transcribes and replicates its segmented RNA genome in the host nucleus within viral ribonucleoproteins (vRNPs), which are exported for virion assembly. The nuclear export protein (NEP) is essential for this process and also regulates viral RNA synthesis, implicating a direct interaction with the viral RNA polymerase. Here, we present a 2.5-Å cryogenic electron microscopy structure of NEP bound to the IAV polymerase and demonstrate that NEP alone is sufficient to promote vRNP export, with the viral matrix protein 1 enhancing export efficiency. NEP forms a four-helix bundle that binds at the interface of the PA C-terminal domain and PB1 N terminus of the polymerase. The NEP binding site at this interface overlaps with those for the host ANP32 and the C-terminal domain of RNA polymerase II, indicating that it functions as a regulatory hotspot coordinating transitions of the viral polymerase between RNA synthesis and nuclear export, revealing a critical layer of control in the IAV replication cycle.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美国本土 PM 2.5 成分导致的心血管死亡率存在空间和种族/民族差异</w:t>
      </w:r>
    </w:p>
    <w:p>
      <w:r>
        <w:rPr>
          <w:rFonts w:ascii="Times New Roman" w:hAnsi="Times New Roman" w:eastAsia="宋体"/>
          <w:b/>
          <w:color w:val="003264"/>
          <w:sz w:val="24"/>
        </w:rPr>
        <w:t>Spatial and racial/ethnic disparities in cardiovascular mortality attributable to PM 2.5 components in the contiguous United States</w:t>
      </w:r>
    </w:p>
    <w:p>
      <w:r>
        <w:rPr>
          <w:rFonts w:ascii="Times New Roman" w:hAnsi="Times New Roman" w:eastAsia="宋体"/>
          <w:sz w:val="21"/>
        </w:rPr>
        <w:t>作者: Ying Hu, Lingzhi Chu, Stefano Renzetti, Emma Zang, Ijeoma Opara, Yuan Lu, Erica S. Spatz, Harlan M. Krumholz, Kai Chen</w:t>
        <w:br/>
      </w:r>
      <w:r>
        <w:rPr>
          <w:rFonts w:ascii="Times New Roman" w:hAnsi="Times New Roman" w:eastAsia="宋体"/>
          <w:sz w:val="21"/>
        </w:rPr>
        <w:t xml:space="preserve">时间: 2026-01-30 | </w:t>
      </w:r>
      <w:r>
        <w:t xml:space="preserve">链接: </w:t>
      </w:r>
      <w:hyperlink r:id="rId166">
        <w:r>
          <w:rPr>
            <w:rFonts w:ascii="Times New Roman" w:hAnsi="Times New Roman" w:eastAsia="宋体"/>
            <w:color w:val="0000FF"/>
            <w:sz w:val="21"/>
            <w:u w:val="single"/>
          </w:rPr>
          <w:t>https://doi.org/10.1126/sciadv.adx2075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长期接触细颗粒物 (PM 2.5 ) 是心血管疾病 (CVD) 死亡的一个公认的危险因素，但其组成部分的贡献仍不清楚，特别是在不同地理区域和种族/族裔群体中。我们通过合并双向固定效应 (gWQS-feglm) 扩展了广义加权分位数和回归模型，以量化美国本土 PM 2.5 成分可归因的 CVD 死亡。由于铵 (NH 4 + ) 和硫酸盐 (SO 4 2− ) 减少，PM 2.5 成分导致的 CVD 死亡人数从 2001 年的 42,200 人 (28,200,57,600 人) 下降到 2020 年的 23,500 人 (15,700,32,100 人)。 2020 年，高死亡率地区依然存在，PM 2.5 成分的区域差异也很明显，加利福尼亚州和中东北部以 NH 4 + 为主，南部以 SO 4 2− 为主，大西洋中部以黑碳和 SO 4 2− 为主。种族/民族差异依然存在，与非西班牙裔白人相比，非西班牙裔黑人和西班牙裔的归因死亡率下降速度较慢。我们的研究结果强调了基于组成部分的有针对性的干预措施的重要性，以解决 PM 2.5 归因负担的差异。</w:t>
      </w:r>
    </w:p>
    <w:p>
      <w:pPr>
        <w:spacing w:before="120"/>
      </w:pPr>
      <w:r>
        <w:rPr>
          <w:rFonts w:ascii="Times New Roman" w:hAnsi="Times New Roman" w:eastAsia="宋体"/>
          <w:b/>
          <w:sz w:val="21"/>
        </w:rPr>
        <w:t>English Abstract:</w:t>
      </w:r>
    </w:p>
    <w:p>
      <w:r>
        <w:rPr>
          <w:rFonts w:ascii="Times New Roman" w:hAnsi="Times New Roman" w:eastAsia="宋体"/>
          <w:sz w:val="21"/>
        </w:rPr>
        <w:t>Long-term exposure to fine particulate matter (PM 2.5 ) is a well-established risk factor for cardiovascular disease (CVD) mortality, yet the contributions of its components remain unclear, particularly across geographic regions and racial/ethnic groups. We extended the generalized weighted quantile sum regression model by incorporating two-way fixed effects (gWQS-feglm) to quantify PM 2.5 component–attributable CVD deaths across the contiguous United States. PM 2.5 component–attributable CVD deaths declined from 42,200 (28,200,57,600) in 2001 to 23,500 (15,700,32,100) in 2020, driven by ammonium (NH 4 + ) and sulfate (SO 4 2− ) reductions. In 2020, high-attributable-mortality regions remained and regional disparities in PM 2.5 composition pronounced, with NH 4 + dominant in California and the East North Central, SO 4 2− in the South, and black carbon and SO 4 2− in the Middle Atlantic. Racial/ethnic disparities persisted, with non-Hispanic Blacks and Hispanics experiencing slower attributable-mortality declines compared with non-Hispanic whites. Our findings highlight the importance of targeted interventions based on components to address disparities in PM 2.5 -attributable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α-突触核蛋白表达是体细胞树突多巴胺释放和早期基因诱导所必需的</w:t>
      </w:r>
    </w:p>
    <w:p>
      <w:r>
        <w:rPr>
          <w:rFonts w:ascii="Times New Roman" w:hAnsi="Times New Roman" w:eastAsia="宋体"/>
          <w:b/>
          <w:color w:val="003264"/>
          <w:sz w:val="24"/>
        </w:rPr>
        <w:t>α-Synuclein expression is required for somatodendritic dopamine release and immediate early gene induction</w:t>
      </w:r>
    </w:p>
    <w:p>
      <w:r>
        <w:rPr>
          <w:rFonts w:ascii="Times New Roman" w:hAnsi="Times New Roman" w:eastAsia="宋体"/>
          <w:sz w:val="21"/>
        </w:rPr>
        <w:t>作者: Se Joon Choi, Anika Frank, Manu Ben-Johny, Guomei Tang, Jonas Bendig, Stavros Fanourakis, Benjamin D. Hobson, Nagendran Ramalingam, Ulf Dettmer, Ellen Kanter, David Sulzer, Eugene V. Mosharov</w:t>
        <w:br/>
      </w:r>
      <w:r>
        <w:rPr>
          <w:rFonts w:ascii="Times New Roman" w:hAnsi="Times New Roman" w:eastAsia="宋体"/>
          <w:sz w:val="21"/>
        </w:rPr>
        <w:t xml:space="preserve">时间: 2026-01-30 | </w:t>
      </w:r>
      <w:r>
        <w:t xml:space="preserve">链接: </w:t>
      </w:r>
      <w:hyperlink r:id="rId167">
        <w:r>
          <w:rPr>
            <w:rFonts w:ascii="Times New Roman" w:hAnsi="Times New Roman" w:eastAsia="宋体"/>
            <w:color w:val="0000FF"/>
            <w:sz w:val="21"/>
            <w:u w:val="single"/>
          </w:rPr>
          <w:t>https://doi.org/10.1126/sciadv.ady6978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α-突触核蛋白 (αSyn) 是一种生理功能尚未确定的突触前蛋白，在帕金森病神经病理学中发挥着核心作用。迄今为止，αSyn 表达对轴突突触小泡胞吐作用和膜循环动力学的影响相对较小。相比之下，我们报告 αSyn 是黑质体树突多巴胺释放的主要调节剂，这是一种知之甚少的神经传递形式，是感觉运动和基底神经节回路的核心。这种调节是由于 αSyn 在控制 L 型钙离子通道 (LTCC) 活性方面​​的先前未知作用所致，LTCC 也与帕金森病的发病机制有关。 αSyn 缺陷的神经元进一步表现出尖峰频率适应能力下降、海马 LTCC 依赖性长期增强以及立即早期基因诱导，这些功能对于突触适应和神经元可塑性至关重要。</w:t>
      </w:r>
    </w:p>
    <w:p>
      <w:pPr>
        <w:spacing w:before="120"/>
      </w:pPr>
      <w:r>
        <w:rPr>
          <w:rFonts w:ascii="Times New Roman" w:hAnsi="Times New Roman" w:eastAsia="宋体"/>
          <w:b/>
          <w:sz w:val="21"/>
        </w:rPr>
        <w:t>English Abstract:</w:t>
      </w:r>
    </w:p>
    <w:p>
      <w:r>
        <w:rPr>
          <w:rFonts w:ascii="Times New Roman" w:hAnsi="Times New Roman" w:eastAsia="宋体"/>
          <w:sz w:val="21"/>
        </w:rPr>
        <w:t>α-Synuclein (αSyn) is a presynaptic protein of unestablished physiological function that plays a central role in Parkinson’s disease neuropathology. To date, the reported effects of αSyn expression on the kinetics of axonal synaptic vesicle exocytosis and membrane cycling have been relatively small. In contrast, we report that αSyn is the major modulator of substantia nigra somatodendritic dopamine release, a little-understood form of neurotransmission that is central to sensorimotor and basal ganglia circuitry. This regulation is due to a previously unknown role for αSyn in controlling the activity of the L-type calcium ion channels (LTCC), which are also implicated in Parkinson’s pathogenesis. αSyn-deficient neurons further display decreased spike frequency adaptation, hippocampal LTCC-dependent long-term potentiation, and immediate early gene induction, functions that are essential for synaptic adaptation and neuronal plasticity.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Set2与FACT协调转录偶联H3K36三甲基化的结构基础</w:t>
      </w:r>
    </w:p>
    <w:p>
      <w:r>
        <w:rPr>
          <w:rFonts w:ascii="Times New Roman" w:hAnsi="Times New Roman" w:eastAsia="宋体"/>
          <w:b/>
          <w:color w:val="003264"/>
          <w:sz w:val="24"/>
        </w:rPr>
        <w:t>Structural basis of transcription-coupled H3K36 trimethylation by Set2 in coordination with FACT</w:t>
      </w:r>
    </w:p>
    <w:p>
      <w:r>
        <w:rPr>
          <w:rFonts w:ascii="Times New Roman" w:hAnsi="Times New Roman" w:eastAsia="宋体"/>
          <w:sz w:val="21"/>
        </w:rPr>
        <w:t>作者: Tomoya Kujirai, Haruhiko Ehara, Tomoko Ito, Masami Henmi, Eriko Oya, Takehiko Kobayashi, Shun-ichi Sekine, Hitoshi Kurumizaka</w:t>
        <w:br/>
      </w:r>
      <w:r>
        <w:rPr>
          <w:rFonts w:ascii="Times New Roman" w:hAnsi="Times New Roman" w:eastAsia="宋体"/>
          <w:sz w:val="21"/>
        </w:rPr>
        <w:t xml:space="preserve">时间: 2026-01-30 | </w:t>
      </w:r>
      <w:r>
        <w:t xml:space="preserve">链接: </w:t>
      </w:r>
      <w:hyperlink r:id="rId168">
        <w:r>
          <w:rPr>
            <w:rFonts w:ascii="Times New Roman" w:hAnsi="Times New Roman" w:eastAsia="宋体"/>
            <w:color w:val="0000FF"/>
            <w:sz w:val="21"/>
            <w:u w:val="single"/>
          </w:rPr>
          <w:t>https://doi.org/10.1126/sciadv.aed1952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 H3K36 残基 (H3K36me3) 的三甲基化通过抑制染色质中不需要的隐性转录，在确保转录保真度方面发挥着不可或缺的作用。 H3K36me3 修饰是在 RNA 聚合酶 II 延伸复合物 (EC) 转录延伸过程中由 Set2/SETD2 完成的。在这里，我们发现 Set2 介导的 H3K36me3 沉积发生在 EC 后面的核小体重新组装上。组蛋白伴侣 FACT 抑制 H3K36me3 在下游核小体上的沉积，从而确保 Set2 专门针对重组上游核小体。与 Set2 复合的核小体转录 EC 的冷冻电镜结构显示，Set2 由 EC 的 Spt6 亚基锚定，在核小体重组过程中逐步捕获两个 H3 N 末端尾部。 Set2-EC 相互作用的废除会导致转录偶联 H3K36me3 沉积缺陷。这些见解阐明了转录偶联 H3K36me3 在染色质中沉积的基于结构的机制。</w:t>
      </w:r>
    </w:p>
    <w:p>
      <w:pPr>
        <w:spacing w:before="120"/>
      </w:pPr>
      <w:r>
        <w:rPr>
          <w:rFonts w:ascii="Times New Roman" w:hAnsi="Times New Roman" w:eastAsia="宋体"/>
          <w:b/>
          <w:sz w:val="21"/>
        </w:rPr>
        <w:t>English Abstract:</w:t>
      </w:r>
    </w:p>
    <w:p>
      <w:r>
        <w:rPr>
          <w:rFonts w:ascii="Times New Roman" w:hAnsi="Times New Roman" w:eastAsia="宋体"/>
          <w:sz w:val="21"/>
        </w:rPr>
        <w:t>Trimethylation of the histone H3K36 residue (H3K36me3) plays an indispensable role in ensuring transcription fidelity by suppressing undesired cryptic transcription in chromatin. H3K36me3 modification is accomplished by Set2/SETD2 during transcription elongation by the RNA polymerase II elongation complex (EC). Here, we found that Set2-mediated H3K36me3 deposition occurs on the nucleosome reassembling behind the EC. The histone chaperone FACT suppresses H3K36me3 deposition on the downstream nucleosome, thereby ensuring that Set2 targets specifically on the reassembling upstream nucleosome. Cryo–electron microscopy structures of the nucleosome-transcribing EC complexed with Set2 revealed that Set2 is anchored by the Spt6 subunit of the EC to capture both of the H3 N-terminal tails in a stepwise manner during the nucleosome reassembly process. Abrogation of the Set2-EC interaction leads to defective transcription-coupled H3K36me3 deposition. These insights elucidate the structure-based mechanism of transcription-coupled H3K36me3 deposition in chromatin.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从光到声音：在健康和疾病中看到和听到胎盘</w:t>
      </w:r>
    </w:p>
    <w:p>
      <w:r>
        <w:rPr>
          <w:rFonts w:ascii="Times New Roman" w:hAnsi="Times New Roman" w:eastAsia="宋体"/>
          <w:b/>
          <w:color w:val="003264"/>
          <w:sz w:val="24"/>
        </w:rPr>
        <w:t>From light to sound: Seeing and hearing the placenta in health and disease</w:t>
      </w:r>
    </w:p>
    <w:p>
      <w:r>
        <w:rPr>
          <w:rFonts w:ascii="Times New Roman" w:hAnsi="Times New Roman" w:eastAsia="宋体"/>
          <w:sz w:val="21"/>
        </w:rPr>
        <w:t>作者: Donghyun Lee, Jiwoong Kim, Jinseok Heo, Hyunseo Jeon, Shiyang Chang, Wonseok Choi, Chulhong Kim, Zhifen Yang</w:t>
        <w:br/>
      </w:r>
      <w:r>
        <w:rPr>
          <w:rFonts w:ascii="Times New Roman" w:hAnsi="Times New Roman" w:eastAsia="宋体"/>
          <w:sz w:val="21"/>
        </w:rPr>
        <w:t xml:space="preserve">时间: 2026-01-30 | </w:t>
      </w:r>
      <w:r>
        <w:t xml:space="preserve">链接: </w:t>
      </w:r>
      <w:hyperlink r:id="rId169">
        <w:r>
          <w:rPr>
            <w:rFonts w:ascii="Times New Roman" w:hAnsi="Times New Roman" w:eastAsia="宋体"/>
            <w:color w:val="0000FF"/>
            <w:sz w:val="21"/>
            <w:u w:val="single"/>
          </w:rPr>
          <w:t>https://doi.org/10.1126/sciadv.aed2184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胎盘是妊娠特有的器官，充当母胎界面并介导交换、保护和内分泌调节等重要过程。胎盘异常影响主要围产期疾病的病理生理学、发病、进展和预后，因此能够检测和监测这些疾病的成像方式至关重要。超声 (US) 成像是胎盘成像的主要方式，通过 B 模式提供结构评估，通过多普勒模式提供血流评估。此外，3D 能量多普勒、定量超声和剪切波弹性成像等先进技术扩展了胎盘超声成像的能力。光声 (PA) 成像能够以高空间分辨率观察内源性发色团（例如血红蛋白）的光学特性，并测量血氧饱和度（胎盘功能障碍的关键因素），为胎盘成像提供了巨大的价值。在这篇综述中，我们介绍了用于胎盘成像的 US/PA 成像技术，包括临床前和临床研究。此外，通过考虑当前的局限性和潜在的解决方案，我们提出了 US/PA 成像在该领域的未来发展轨迹。</w:t>
      </w:r>
    </w:p>
    <w:p>
      <w:pPr>
        <w:spacing w:before="120"/>
      </w:pPr>
      <w:r>
        <w:rPr>
          <w:rFonts w:ascii="Times New Roman" w:hAnsi="Times New Roman" w:eastAsia="宋体"/>
          <w:b/>
          <w:sz w:val="21"/>
        </w:rPr>
        <w:t>English Abstract:</w:t>
      </w:r>
    </w:p>
    <w:p>
      <w:r>
        <w:rPr>
          <w:rFonts w:ascii="Times New Roman" w:hAnsi="Times New Roman" w:eastAsia="宋体"/>
          <w:sz w:val="21"/>
        </w:rPr>
        <w:t>The placenta is a pregnancy-specific organ, functioning as the maternal-fetal interface and mediating essential processes including exchange, protection, and endocrine regulation. Placental abnormalities contribute to the pathophysiology, onset, progression, and prognosis of major perinatal disorders, making imaging modalities that enable their detection and monitoring crucial. Ultrasound (US) imaging is the principal modality for placental imaging, providing structural assessment with B-mode and blood flow evaluation with Doppler mode. Furthermore, advanced techniques such as 3D power Doppler, quantitative US, and shear-wave elastography expand the capabilities of placental US imaging. Photoacoustic (PA) imaging enables observation of the optical properties of endogenous chromophores (e.g., hemoglobin) with high spatial resolution and measures blood oxygenation, a key factor in placental dysfunction, offering substantial value for placental imaging. In this review, we cover US/PA imaging techniques for placental imaging, including preclinical and clinical studies. In addition, by considering current limitations and potential solutions, we suggest future trajectories for the advancement of US/PA imaging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外排泵通过限制细菌中的重新结合来控制细胞内药物靶标动力学</w:t>
      </w:r>
    </w:p>
    <w:p>
      <w:r>
        <w:rPr>
          <w:rFonts w:ascii="Times New Roman" w:hAnsi="Times New Roman" w:eastAsia="宋体"/>
          <w:b/>
          <w:color w:val="003264"/>
          <w:sz w:val="24"/>
        </w:rPr>
        <w:t>Efflux pumps control intracellular drug-target kinetics by limiting rebinding in bacteria</w:t>
      </w:r>
    </w:p>
    <w:p>
      <w:r>
        <w:rPr>
          <w:rFonts w:ascii="Times New Roman" w:hAnsi="Times New Roman" w:eastAsia="宋体"/>
          <w:sz w:val="21"/>
        </w:rPr>
        <w:t>作者: Subrata Dev, Keiran Stevenson, Dai Le, Minsu Kim</w:t>
        <w:br/>
      </w:r>
      <w:r>
        <w:rPr>
          <w:rFonts w:ascii="Times New Roman" w:hAnsi="Times New Roman" w:eastAsia="宋体"/>
          <w:sz w:val="21"/>
        </w:rPr>
        <w:t xml:space="preserve">时间: 2026-01-30 | </w:t>
      </w:r>
      <w:r>
        <w:t xml:space="preserve">链接: </w:t>
      </w:r>
      <w:hyperlink r:id="rId170">
        <w:r>
          <w:rPr>
            <w:rFonts w:ascii="Times New Roman" w:hAnsi="Times New Roman" w:eastAsia="宋体"/>
            <w:color w:val="0000FF"/>
            <w:sz w:val="21"/>
            <w:u w:val="single"/>
          </w:rPr>
          <w:t>https://doi.org/10.1126/sciadv.aea7983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细菌外排泵是多重耐药性的主要原因，通常被描述为减少药物进入的“看门人”。在这里，我们揭示了外排泵的进入后机制，揭示了它们在细胞内药物-靶标相互作用的深层功能。通过定量活细胞成像，我们使用 DNA 结合抑制剂 Hoechst 33342 (HCT) 监测了大肠杆菌和铜绿假单胞菌中主要外排系统的活性。我们发现，外排的失活（大肠杆菌中的 Δ tolC 和铜绿假单胞菌中的 Δ6）增加了表观 HCT-DNA 亲和力，这是由表观解结合率降低介导的，而内在速率保持不变。统计物理模型和实验测试表明，与在稀释的体外条件下不同，在细胞内环境中与其靶标解除结合的药物分子会经历连续的重新结合，从而延长了与靶标结合的药物的总寿命。然而，外排泵通过抑制重新结合来抵消这种效应，从而在动力学上破坏药物-靶点相互作用的稳定性。这种生物物理机制与典型的守门效应相乘，以扩大和放大耐药性。</w:t>
      </w:r>
    </w:p>
    <w:p>
      <w:pPr>
        <w:spacing w:before="120"/>
      </w:pPr>
      <w:r>
        <w:rPr>
          <w:rFonts w:ascii="Times New Roman" w:hAnsi="Times New Roman" w:eastAsia="宋体"/>
          <w:b/>
          <w:sz w:val="21"/>
        </w:rPr>
        <w:t>English Abstract:</w:t>
      </w:r>
    </w:p>
    <w:p>
      <w:r>
        <w:rPr>
          <w:rFonts w:ascii="Times New Roman" w:hAnsi="Times New Roman" w:eastAsia="宋体"/>
          <w:sz w:val="21"/>
        </w:rPr>
        <w:t>Bacterial efflux pumps are major contributors to multidrug resistance, classically described as “gatekeepers” that reduce drug entry. Here, we uncover a post–entry mechanism of efflux pumps, revealing their function deep into intracellular drug-target interactions. Using quantitative live-cell imaging, we monitored the activity of major efflux systems in Escherichia coli and Pseudomonas aeruginosa with Hoechst 33342 (HCT), a DNA binding inhibitor. We found that inactivation of efflux (Δ tolC in E. coli and Δ6 in P. aeruginosa ) increased the apparent HCT-DNA affinity, mediated by a decreased apparent unbinding rate, whereas the intrinsic rate remained unchanged. Statistical physics modeling and experimental testing show that, unlike under dilute in vitro conditions, drug molecules that unbind from their targets in intracellular environments undergo successive rebinding, prolonging the total lifetime of the drug bound to the target. However, efflux pumps counteract this effect by suppressing rebinding, thereby kinetically destabilizing drug-target interactions. This biophysical mechanism acts multiplicatively with the canonical gatekeeping effect to broaden and amplify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AI集成类肤可穿戴“眼电子”一站式斜视数字化诊断</w:t>
      </w:r>
    </w:p>
    <w:p>
      <w:r>
        <w:rPr>
          <w:rFonts w:ascii="Times New Roman" w:hAnsi="Times New Roman" w:eastAsia="宋体"/>
          <w:b/>
          <w:color w:val="003264"/>
          <w:sz w:val="24"/>
        </w:rPr>
        <w:t>One-stop strabismus digital diagnosis via AI-integrated skin-like and wearable “Eyelectronics”</w:t>
      </w:r>
    </w:p>
    <w:p>
      <w:r>
        <w:rPr>
          <w:rFonts w:ascii="Times New Roman" w:hAnsi="Times New Roman" w:eastAsia="宋体"/>
          <w:sz w:val="21"/>
        </w:rPr>
        <w:t>作者: Yong Yang, Xin Liu, Jiankai Tang, Hengyi Guo, Jinsong Zhang, Yuntao Wang, Yonghong Jiao, Yihao Chen, Xue Feng</w:t>
        <w:br/>
      </w:r>
      <w:r>
        <w:rPr>
          <w:rFonts w:ascii="Times New Roman" w:hAnsi="Times New Roman" w:eastAsia="宋体"/>
          <w:sz w:val="21"/>
        </w:rPr>
        <w:t xml:space="preserve">时间: 2026-01-30 | </w:t>
      </w:r>
      <w:r>
        <w:t xml:space="preserve">链接: </w:t>
      </w:r>
      <w:hyperlink r:id="rId171">
        <w:r>
          <w:rPr>
            <w:rFonts w:ascii="Times New Roman" w:hAnsi="Times New Roman" w:eastAsia="宋体"/>
            <w:color w:val="0000FF"/>
            <w:sz w:val="21"/>
            <w:u w:val="single"/>
          </w:rPr>
          <w:t>https://doi.org/10.1126/sciadv.aeb7242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斜视影响约 4% 的儿童，损害视力和心理健康。但临床诊断需要多种仪器，逐步检查眼位、眼外肌功能、偏角等。它受到诊断客观性低、儿科依从性差和成本高的限制。在这里，我们提出了一种通过人工智能（AI）进行一站式斜视数字诊断的策略——集成的、类皮肤的、可穿戴的“电子电子设备”。这款超轻、难以察觉的眼戴系统具有超薄（厚度约 60 微米）、透气、多向（0°/45°/90°）应变传感阵列，可保形地适应敏感的眼睑。它可以在眼球运动过程中对眼睑变形进行无线、轻度限​​制的测量。通过经眼部磁共振成像模拟验证的生物力学模型，我们建立了眼睑变形和眼球运动之间的先验相关性。 Ey electronics 由我们的生理学知识驱动的端到端 AI 算法提供支持，实现了斜视角度的同步测量和麻痹肌肉的识别。它在眼球运动检查中提供 96.6% 的四向分类准确率和 1.2° 的测量准确度。针对临床标准（Hess 筛选测试）的临床基准测试证实了诊断一致性（组内相关性 = 0.978）。该系统将定量生物力学传感与数字诊断联系起来，为未来斜视治疗树立了典范。</w:t>
      </w:r>
    </w:p>
    <w:p>
      <w:pPr>
        <w:spacing w:before="120"/>
      </w:pPr>
      <w:r>
        <w:rPr>
          <w:rFonts w:ascii="Times New Roman" w:hAnsi="Times New Roman" w:eastAsia="宋体"/>
          <w:b/>
          <w:sz w:val="21"/>
        </w:rPr>
        <w:t>English Abstract:</w:t>
      </w:r>
    </w:p>
    <w:p>
      <w:r>
        <w:rPr>
          <w:rFonts w:ascii="Times New Roman" w:hAnsi="Times New Roman" w:eastAsia="宋体"/>
          <w:sz w:val="21"/>
        </w:rPr>
        <w:t>Strabismus, affecting ~4% of children, impairs vision and psychosocial health. However, clinical diagnosis requires multiple instruments and stepwise examinations of ocular alignment, extraocular muscle function, and deviation angle. It is limited by low diagnostic objectivity, poor pediatric compliance, and high cost. Here, we propose a strategy for one-stop strabismus digital diagnosis via artificial intelligence (AI)–integrated, skin-like, and wearable “Eyelectronics.” The ultralightweight, imperceptible eye-wearable system features an ultrathin (~60 micrometers in thickness), breathable, and multidirectional (0°/45°/90°) strain-sensing array conformally adapted to the sensitive eyelid. It enables wireless, mild-restricted measurement of eyelid deformation during eye movements. Through biomechanical modeling validated by ocular magnetic resonance imaging simulations, we establish a prior correlation between eyelid deformation and eye movements. The Eyelectronics, powered by our physiology knowledge-driven end-to-end AI algorithm, achieves simultaneous measurement of strabismus angle and identification of paretic muscle. It delivers a 96.6% four-direction classification accuracy and a 1.2° measurement accuracy in ocular motility examinations. Clinical benchmarking against the clinical standard (Hess screen test) confirmed diagnostic agreement (intraclass correlation = 0.978). This system bridges quantitative biomechanical sensing with digital diagnosis, promoting a paradigm for future strabismus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单粒子表面增强相干反斯托克斯拉曼散射：纳米粒子设计和机制</w:t>
      </w:r>
    </w:p>
    <w:p>
      <w:r>
        <w:rPr>
          <w:rFonts w:ascii="Times New Roman" w:hAnsi="Times New Roman" w:eastAsia="宋体"/>
          <w:b/>
          <w:color w:val="003264"/>
          <w:sz w:val="24"/>
        </w:rPr>
        <w:t>Single-particle surface-enhanced coherent anti–Stokes Raman scattering: Nanoparticle design and mechanism</w:t>
      </w:r>
    </w:p>
    <w:p>
      <w:r>
        <w:rPr>
          <w:rFonts w:ascii="Times New Roman" w:hAnsi="Times New Roman" w:eastAsia="宋体"/>
          <w:sz w:val="21"/>
        </w:rPr>
        <w:t>作者: Sanjun Fan, Ran Cheng, Haonan Lin, Zhewen Luo, Abigail E. Smith, Chih-Feng Wang, Jinna He, Brian T. Scarpitti, Deben N. Shoup, Hannah C. Schorr, Erjun Liang, Jian Ye, Ji-Xin Cheng, Zachary D. Schultz</w:t>
        <w:br/>
      </w:r>
      <w:r>
        <w:rPr>
          <w:rFonts w:ascii="Times New Roman" w:hAnsi="Times New Roman" w:eastAsia="宋体"/>
          <w:sz w:val="21"/>
        </w:rPr>
        <w:t xml:space="preserve">时间: 2026-01-30 | </w:t>
      </w:r>
      <w:r>
        <w:t xml:space="preserve">链接: </w:t>
      </w:r>
      <w:hyperlink r:id="rId172">
        <w:r>
          <w:rPr>
            <w:rFonts w:ascii="Times New Roman" w:hAnsi="Times New Roman" w:eastAsia="宋体"/>
            <w:color w:val="0000FF"/>
            <w:sz w:val="21"/>
            <w:u w:val="single"/>
          </w:rPr>
          <w:t>https://doi.org/10.1126/sciadv.ady0545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表面增强相干反斯托克斯拉曼散射（SECARS）被认为通过结合局域表面等离子体共振和相干拉曼增强来增加信号强度和灵敏度。然而，SECARS 的实现比表面增强拉曼散射 (SERS) 更复杂，并且仍然具有挑战性。与 SERS 不同，非线性 CARS 过程需要三个不同场的相干相互作用。单粒子 SECARS 的电场和纳米粒子 (NP) 形态之间的相互作用仍未被探索，并且产生 SECARS 信号的潜在机制尚未完全了解。在这里，使用 CARS 显微镜合成并筛选了 27 种不同的纳米颗粒。其中，只有星核核卫星纳米颗粒表现出单颗粒SECARS信号，该信号受到激光偏振、双光子发光背景、光致热效应、颗粒尺寸和颗粒形貌的影响。纳米颗粒特性对 SECARS 增强的影响为单颗粒 SECARS 纳米颗粒的设计和合成提供了指导，并为生物成像和化学传感提供了机会。</w:t>
      </w:r>
    </w:p>
    <w:p>
      <w:pPr>
        <w:spacing w:before="120"/>
      </w:pPr>
      <w:r>
        <w:rPr>
          <w:rFonts w:ascii="Times New Roman" w:hAnsi="Times New Roman" w:eastAsia="宋体"/>
          <w:b/>
          <w:sz w:val="21"/>
        </w:rPr>
        <w:t>English Abstract:</w:t>
      </w:r>
    </w:p>
    <w:p>
      <w:r>
        <w:rPr>
          <w:rFonts w:ascii="Times New Roman" w:hAnsi="Times New Roman" w:eastAsia="宋体"/>
          <w:sz w:val="21"/>
        </w:rPr>
        <w:t>Surface-enhanced coherent anti–Stokes Raman scattering (SECARS) is believed to increase the signal intensity and sensitivity by combining the localized surface plasmon resonance and coherent Raman enhancement. However, the realization of SECARS is more complex than for surface-enhanced Raman scattering (SERS) and remains challenging. Unlike SERS, the nonlinear CARS process requires the coherent interaction of three distinct fields. The interactions between the electric fields and nanoparticle (NP) morphology for single-particle SECARS remain unexplored, and the underlying mechanisms generating the SECARS signal are not fully understood. Here, 27 distinct NPs were synthesized and screened using a CARS microscope. Among them, only star-core core-satellite NPs show single-particle SECARS signals, which were affected by laser polarization, two-photon luminescence background, photoinduced heating effects, particle size, and particle morphology. The influence of NP properties on SECARS enhancement offers guidance for the design and synthesis of NPs for single-particle SECARS and opportunities in biological imaging and chemical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穿过混沌的导波：目标模式传输的通用界限</w:t>
      </w:r>
    </w:p>
    <w:p>
      <w:r>
        <w:rPr>
          <w:rFonts w:ascii="Times New Roman" w:hAnsi="Times New Roman" w:eastAsia="宋体"/>
          <w:b/>
          <w:color w:val="003264"/>
          <w:sz w:val="24"/>
        </w:rPr>
        <w:t>Guiding waves through chaos: Universal bounds for targeted mode transport</w:t>
      </w:r>
    </w:p>
    <w:p>
      <w:r>
        <w:rPr>
          <w:rFonts w:ascii="Times New Roman" w:hAnsi="Times New Roman" w:eastAsia="宋体"/>
          <w:sz w:val="21"/>
        </w:rPr>
        <w:t>作者: Cheng-Zhen Wang, John Guillamon, Ulrich Kuhl, Matthieu Davy, Mattis Reisner, Arthur Goetschy, Tsampikos Kottos</w:t>
        <w:br/>
      </w:r>
      <w:r>
        <w:rPr>
          <w:rFonts w:ascii="Times New Roman" w:hAnsi="Times New Roman" w:eastAsia="宋体"/>
          <w:sz w:val="21"/>
        </w:rPr>
        <w:t xml:space="preserve">时间: 2026-01-30 | </w:t>
      </w:r>
      <w:r>
        <w:t xml:space="preserve">链接: </w:t>
      </w:r>
      <w:hyperlink r:id="rId173">
        <w:r>
          <w:rPr>
            <w:rFonts w:ascii="Times New Roman" w:hAnsi="Times New Roman" w:eastAsia="宋体"/>
            <w:color w:val="0000FF"/>
            <w:sz w:val="21"/>
            <w:u w:val="single"/>
          </w:rPr>
          <w:t>https://doi.org/10.1126/sciadv.aeb1158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复杂环境中的波传播是无线通信、成像和声学领域的一个核心挑战，其中多重散射和干扰掩盖了直接传输路径。相干波前整形可以实现精确的能量传输，但通常需要对介质有充分的了解。在这里，我们引入了一种针对目标模式传输（TMT）的通用统计框架，该框架规避了这一限制，并在包括微波网络、二维混沌腔和三维混响室在内的各种平台上对其进行了验证。 TMT 量化了多模波混沌系统中指定输入和输出通道之间能量传输的效率。我们开发了一种图解理论，可以预测 TMT 算子的特征值分布，并识别控制性能的宏观参数（耦合强度、吸收和通道控制）。该理论为最佳 TMT 波前提供了明确的界限，并捕获了统计传输间隙和无反射状态等现象。这些发现确立了复杂环境中能量传输和信息传输的设计原则，对自适应信号处理和基于波的技术具有广泛的影响。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Controlling wave propagation in complex environments is a central challenge across wireless communications, imaging, and acoustics, where multiple scattering and interference obscure direct transmission paths. Coherent wavefront shaping enables precise energy delivery but typically requires full knowledge of the medium. Here, we introduce a universal statistical framework for targeted mode transport (TMT) that circumvents this limitation and validate it on various platforms including microwave networks, two-dimensional chaotic cavities, and three-dimensional reverberation chambers. TMT quantifies the efficiency of transferring energy between specified input and output channels in multimode wave-chaotic systems. We develop a diagrammatic theory that predicts the eigenvalue distribution of the TMT operator and identifies the macroscopic parameters—coupling strength, absorption, and channel control—that govern performance. The theory provides explicit bounds for optimal TMT wavefronts and captures phenomena like statistical transmission gaps and reflectionless states. These findings establish design principles for energy delivery and information transfer in complex environments, with broad implications for adaptive signal processing and wave-based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原位锚定 MXene 上的 2D 六角形 Zn-MOF 以实现坚固的无阳极 5 V 级锂金属电池</w:t>
      </w:r>
    </w:p>
    <w:p>
      <w:r>
        <w:rPr>
          <w:rFonts w:ascii="Times New Roman" w:hAnsi="Times New Roman" w:eastAsia="宋体"/>
          <w:b/>
          <w:color w:val="003264"/>
          <w:sz w:val="24"/>
        </w:rPr>
        <w:t>In situ anchoring 2D hexagonal Zn-MOF on MXene toward robust anode-less 5 V–class Li metal batteries</w:t>
      </w:r>
    </w:p>
    <w:p>
      <w:r>
        <w:rPr>
          <w:rFonts w:ascii="Times New Roman" w:hAnsi="Times New Roman" w:eastAsia="宋体"/>
          <w:sz w:val="21"/>
        </w:rPr>
        <w:t>作者: Yuan Tian, Zhihao Pei, Deyan Luan, Xiong Wen (David) Lou</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https://doi.org/10.1126/sciadv.aeb1378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无阳极 5 V 级锂金属电池 (LMB) 有望实现高能量密度和安全性，但在实践中，面临着严峻的挑战，包括枝晶生长、界面不稳定、与“死”锂积累相关的粉化，以及使用重铜集流体导致的能量密度妥协。在这里，我们展示了锚定在导电碳化钛 (Ti 3 C 2 T x ) MXene 片 (MX/2D-Zn-MOF) 上的二维六方含锌金属有机框架的精心设计，作为无阳极 5 V 级 LMB 的三维轻质主体。丰富的氮/氟/富锌亲锂位点有效降低锂成核能垒，确保均匀的锂沉积，并稳定固体电解质界面。互连的三维框架通过空间均匀化锂离子通量和降低局部电流密度进一步引导均匀的锂沉积，并提供足够的空间来减轻结构变化，从而提供结构完整性以防止粉化。因此，MX/2D-Zn-MOF主体表现出均匀的锂沉积、可逆的锂沉积和剥离行为以及稳定的循环性能（在1.0毫安/平方厘米和5.0毫安/平方厘米时约1800小时）。令人印象深刻的是，组装好的无阳极 5 V 级锂金属软包电池具有稳定的循环性能和高能量密度。</w:t>
      </w:r>
    </w:p>
    <w:p>
      <w:pPr>
        <w:spacing w:before="120"/>
      </w:pPr>
      <w:r>
        <w:rPr>
          <w:rFonts w:ascii="Times New Roman" w:hAnsi="Times New Roman" w:eastAsia="宋体"/>
          <w:b/>
          <w:sz w:val="21"/>
        </w:rPr>
        <w:t>English Abstract:</w:t>
      </w:r>
    </w:p>
    <w:p>
      <w:r>
        <w:rPr>
          <w:rFonts w:ascii="Times New Roman" w:hAnsi="Times New Roman" w:eastAsia="宋体"/>
          <w:sz w:val="21"/>
        </w:rPr>
        <w:t>Anode-less 5 V–class lithium metal batteries (LMBs) promise high energy density and safety yet, in practice, face critical challenges including dendrite growth, interfacial instability, pulverization associated with “dead” lithium accumulation, and energy density compromise from the use of heavy copper collector. Here, we demonstrate an elaborate design of two-dimensional hexagonal zinc-containing metal-organic framework anchored on conductive titanium carbide (Ti 3 C 2 T x ) MXene sheets (MX/2D-Zn-MOF) as a three-dimensional lightweight host for anode-less 5 V–class LMBs. The abundant nitrogen/fluorine/zinc-rich lithiophilic sites effectively decrease lithium nucleation energy barriers, ensure uniform lithium deposition, and stabilize solid electrolyte interphase. The interconnected three-dimensional framework further guides uniform lithium deposition by spatially homogenizing lithium ion flux and reducing local current density as well as offers sufficient space to alleviate structural change, thus affording structural integrity against pulverization. As a result, the MX/2D-Zn-MOF host demonstrates uniform lithium deposition, reversible lithium plating and stripping behavior, and stable cycling performance (~1800 hours at 1.0 milliamperes per square centimeter and 5.0 milliampere hours per square centimeter). Impressively, the assembled anode-less 5 V–class lithium metal pouch cell delivers stable cycling performance and high energy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推进量子成像：多功能液晶实现电可调谐性</w:t>
      </w:r>
    </w:p>
    <w:p>
      <w:r>
        <w:rPr>
          <w:rFonts w:ascii="Times New Roman" w:hAnsi="Times New Roman" w:eastAsia="宋体"/>
          <w:b/>
          <w:color w:val="003264"/>
          <w:sz w:val="24"/>
        </w:rPr>
        <w:t>Advancing quantum imaging: Electrical tunability enabled by versatile liquid crystals</w:t>
      </w:r>
    </w:p>
    <w:p>
      <w:r>
        <w:rPr>
          <w:rFonts w:ascii="Times New Roman" w:hAnsi="Times New Roman" w:eastAsia="宋体"/>
          <w:sz w:val="21"/>
        </w:rPr>
        <w:t>作者: Dong Zhu, Shi-Hui Ding, Rui Sun, Zhi-Xiang Li, Wen Chen, Yi-Heng Zhang, Si-Jia Liu, Yi-Ming Wang, Fang-Tianyu Chen, Peng Chen, Yan-Qing Lu</w:t>
        <w:br/>
      </w:r>
      <w:r>
        <w:rPr>
          <w:rFonts w:ascii="Times New Roman" w:hAnsi="Times New Roman" w:eastAsia="宋体"/>
          <w:sz w:val="21"/>
        </w:rPr>
        <w:t xml:space="preserve">时间: 2026-01-30 | </w:t>
      </w:r>
      <w:r>
        <w:t xml:space="preserve">链接: </w:t>
      </w:r>
      <w:hyperlink r:id="rId175">
        <w:r>
          <w:rPr>
            <w:rFonts w:ascii="Times New Roman" w:hAnsi="Times New Roman" w:eastAsia="宋体"/>
            <w:color w:val="0000FF"/>
            <w:sz w:val="21"/>
            <w:u w:val="single"/>
          </w:rPr>
          <w:t>https://doi.org/10.1126/sciadv.adz8962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边缘检测等光学图像处理技术在各种应用中表现出独特的优势。与预示的量子成像协同结合，它们在最小照明下识别光敏样品方面具有显着的潜力。然而，现有的方案通常缺乏动态控制量子成像功能的能力。在这里，我们引入了多功能液晶来实现单光子成像和电可调多模切换。基于双手性胆甾型液晶调制器，可以高信噪比提取目标的不同形貌信息，包括整个形状及其精细轮廓。向列液晶利用其电可调特性，探索选择预示单光子的特定偏振，从而实现三模量子成像中的动态远程切换。为了进一步提高时间效率，基于有吸引力的铁电液晶提出了超快速远程切换。这项工作为光子受限场景提供了独特的成像平台，并揭示了软物质在量子信息处理中前所未有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image processing techniques like edge detection demonstrate unique superiority in various applications. Synergistically combined with heralded quantum imaging, they have notable potential for identifying light-sensitive samples under minimal illumination. However, present schemes usually lack the capability to control the quantum imaging function dynamically. Here, we introduce versatile liquid crystals to realize heralded single-photon imaging and electrically tunable multimode switching. On the basis of the bichiral cholesteric liquid crystal modulator, different morphology information of the target can be extracted with a high signal-to-noise ratio, including the entire shape and its fine outline. The nematic liquid crystal, leveraging its electrically tunable properties, is explored to select specific polarizations of heralded single photons, enabling dynamic remote switching in trimode quantum imaging. To further improve the time efficiency, an ultrafast remote switching is presented on the basis of the appealing ferroelectric liquid crystals. This work supplies a unique imaging platform for photon-limited scenarios and reveals the unprecedented possibilities of soft matters in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用于休眠肿瘤细胞簇 MRI 检测的亲电工程磁传感器</w:t>
      </w:r>
    </w:p>
    <w:p>
      <w:r>
        <w:rPr>
          <w:rFonts w:ascii="Times New Roman" w:hAnsi="Times New Roman" w:eastAsia="宋体"/>
          <w:b/>
          <w:color w:val="003264"/>
          <w:sz w:val="24"/>
        </w:rPr>
        <w:t>An electrophilicity-engineered magnetic sensor for MRI detection of dormant tumor cell clusters</w:t>
      </w:r>
    </w:p>
    <w:p>
      <w:r>
        <w:rPr>
          <w:rFonts w:ascii="Times New Roman" w:hAnsi="Times New Roman" w:eastAsia="宋体"/>
          <w:sz w:val="21"/>
        </w:rPr>
        <w:t>作者: Zeyu Liang, Bo Zhang, Xun Liu, Lin Xiao, Shangzhi Xie, Hui Du, Qiyue Wang, Fangyuan Li, Daishun Ling</w:t>
        <w:br/>
      </w:r>
      <w:r>
        <w:rPr>
          <w:rFonts w:ascii="Times New Roman" w:hAnsi="Times New Roman" w:eastAsia="宋体"/>
          <w:sz w:val="21"/>
        </w:rPr>
        <w:t xml:space="preserve">时间: 2026-01-30 | </w:t>
      </w:r>
      <w:r>
        <w:t xml:space="preserve">链接: </w:t>
      </w:r>
      <w:hyperlink r:id="rId176">
        <w:r>
          <w:rPr>
            <w:rFonts w:ascii="Times New Roman" w:hAnsi="Times New Roman" w:eastAsia="宋体"/>
            <w:color w:val="0000FF"/>
            <w:sz w:val="21"/>
            <w:u w:val="single"/>
          </w:rPr>
          <w:t>https://doi.org/10.1126/sciadv.aea5236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在磁共振成像 (MRI) 中，顺磁性金属中心和水分子之间的直接偶极-偶极相互作用控制造影剂的 T 1 弛豫。具有多个不成对电子的金属螯合物长期以来一直主导着 MRI 造影剂。尽管理论上每个探针提供更多的顺磁中心，但基于纳米颗粒的造影剂由于与水的直接偶极相互作用不足而一直举步维艰，阻碍了其临床应用。在这里，我们提出了一种亲电工程磁传感器（EEMS），它利用高电负性金属原子来增强纳米传感器中顺磁中心的亲电性，从而实现与水的直接亲电催化偶极相互作用（ECD）以增强 MRI。 EEMS 表现出强大的 T 1 对比度，在 9 特斯拉时纵向弛豫率为 23.2 每毫摩尔每秒，可视化体内肿瘤细胞簇小至 68.5 微米。 ECD-MRI 可以检测并精确切除含有休眠肿瘤细胞簇的腋窝淋巴结，实现小鼠术后 100 天 100% 的存活率。 EEMS 增强的 ECD-MRI 提出了一种变革性成像原理，用于对以前无法检测到的生物实体进行无创可视化。</w:t>
      </w:r>
    </w:p>
    <w:p>
      <w:pPr>
        <w:spacing w:before="120"/>
      </w:pPr>
      <w:r>
        <w:rPr>
          <w:rFonts w:ascii="Times New Roman" w:hAnsi="Times New Roman" w:eastAsia="宋体"/>
          <w:b/>
          <w:sz w:val="21"/>
        </w:rPr>
        <w:t>English Abstract:</w:t>
      </w:r>
    </w:p>
    <w:p>
      <w:r>
        <w:rPr>
          <w:rFonts w:ascii="Times New Roman" w:hAnsi="Times New Roman" w:eastAsia="宋体"/>
          <w:sz w:val="21"/>
        </w:rPr>
        <w:t>In magnetic resonance imaging (MRI), direct dipole-dipole interactions between paramagnetic metal centers and water molecules govern the T 1 relaxation of contrast agents. Metal chelates featuring multiple unpaired electrons have long dominated MRI contrast agents. Despite theoretically offering more paramagnetic centers per probe, nanoparticle-based contrast agents have struggled because of the insufficient direct dipolar interactions with water, impeding their clinical adoption. Here, we present an electrophilicity-engineered magnetic sensor (EEMS), which leverages high-electronegativity metal atoms to enhance the electrophilicity of paramagnetic centers in nanosensors, enabling direct electrophilic catalytic dipolar interactions (ECD) with water for enhanced MRI. EEMS demonstrates robust T 1 contrast with a longitudinal relaxivity of 23.2 per millimolar per second at 9 tesla, visualizing tumor cell clusters as small as 68.5 micrometer in vivo. ECD-MRI allows detecting and precise resection of axillary lymph nodes containing dormant tumor cell clusters, achieving 100% survival in mice 100 days postsurgery. EEMS-enhanced ECD-MRI presents a transformative imaging principle for noninvasive visualization of previously undetectable biological 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粘连蛋白聚类修饰因子的遗传筛选确定了基因组折叠的调节因子</w:t>
      </w:r>
    </w:p>
    <w:p>
      <w:r>
        <w:rPr>
          <w:rFonts w:ascii="Times New Roman" w:hAnsi="Times New Roman" w:eastAsia="宋体"/>
          <w:b/>
          <w:color w:val="003264"/>
          <w:sz w:val="24"/>
        </w:rPr>
        <w:t>A genetic screen for modifiers of cohesin clustering identifies regulators of genome folding</w:t>
      </w:r>
    </w:p>
    <w:p>
      <w:r>
        <w:rPr>
          <w:rFonts w:ascii="Times New Roman" w:hAnsi="Times New Roman" w:eastAsia="宋体"/>
          <w:sz w:val="21"/>
        </w:rPr>
        <w:t>作者: Wonho Kim, Daniel S. Park, Son C. Nguyen, Rachel Yang, Eric F. Joyce, Rajan Jain</w:t>
        <w:br/>
      </w:r>
      <w:r>
        <w:rPr>
          <w:rFonts w:ascii="Times New Roman" w:hAnsi="Times New Roman" w:eastAsia="宋体"/>
          <w:sz w:val="21"/>
        </w:rPr>
        <w:t xml:space="preserve">时间: 2026-01-30 | </w:t>
      </w:r>
      <w:r>
        <w:t xml:space="preserve">链接: </w:t>
      </w:r>
      <w:hyperlink r:id="rId177">
        <w:r>
          <w:rPr>
            <w:rFonts w:ascii="Times New Roman" w:hAnsi="Times New Roman" w:eastAsia="宋体"/>
            <w:color w:val="0000FF"/>
            <w:sz w:val="21"/>
            <w:u w:val="single"/>
          </w:rPr>
          <w:t>https://doi.org/10.1126/sciadv.adx5130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粘连蛋白复合物通过多个步骤协调 3D 基因组结构，包括加载到染色质上、DNA 环挤出、挤出停止和从染色质上卸载。然而，调节这些步骤的上游监管因素在很大程度上仍未被探索。先前的研究表明，粘连蛋白聚类与其染色质停留时间和环挤出活性相关。在这里，我们开发、优化并进行了基于成像的遗传筛选，利用粘连蛋白聚类的调节来识别粘连蛋白调节剂。使用粘连蛋白卸载器 WAPL 部分降解的敏化背景，我们筛选了可成药基因组对粘连蛋白聚类的影响。通过多轮筛选和实验，我们鉴定了7个粘连蛋白聚类的增强子和10个抑制子。有几个因素控制多个基因座的基因组折叠和粘连蛋白负载。值得注意的是，我们的筛选确定了线粒体功能和表观遗传沉默的因素，表明这些过程与粘连蛋白活性的调节有关。这项研究提供了识别粘连蛋白调节因子的宝贵资源，并提供了对控制基因组折叠的上游机制的见解。</w:t>
      </w:r>
    </w:p>
    <w:p>
      <w:pPr>
        <w:spacing w:before="120"/>
      </w:pPr>
      <w:r>
        <w:rPr>
          <w:rFonts w:ascii="Times New Roman" w:hAnsi="Times New Roman" w:eastAsia="宋体"/>
          <w:b/>
          <w:sz w:val="21"/>
        </w:rPr>
        <w:t>English Abstract:</w:t>
      </w:r>
    </w:p>
    <w:p>
      <w:r>
        <w:rPr>
          <w:rFonts w:ascii="Times New Roman" w:hAnsi="Times New Roman" w:eastAsia="宋体"/>
          <w:sz w:val="21"/>
        </w:rPr>
        <w:t>The cohesin complex orchestrates 3D genome architecture through multiple steps including loading onto chromatin, DNA loop extrusion, stalling of extrusion, and unloading off chromatin. However, the upstream regulatory factors modulating these steps remain largely unexplored. Previous studies suggest that cohesin clustering correlates with its chromatin residence time and loop extrusion activity. Here, we developed, optimized, and performed an imaging-based genetic screen leveraging modulation of cohesin clustering to identify cohesin regulators. Using a sensitized background in which the cohesin unloader WAPL is partially degraded, we screened the druggable genome for effects on cohesin clustering. Through multiple rounds of screening and experimentation, we identified 7 enhancers and 10 suppressors of cohesin clustering. Several factors control genome folding at multiple loci and cohesin loading. Notably, our screen identified factors in mitochondrial function and epigenetic silencing, implicating these processes in the regulation of cohesin activity. This study offers a valuable resource identifying cohesin regulators and provides insights into upstream mechanisms governing genome folding.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微藻中 β-1,3-葡聚糖诱导集体行为</w:t>
      </w:r>
    </w:p>
    <w:p>
      <w:r>
        <w:rPr>
          <w:rFonts w:ascii="Times New Roman" w:hAnsi="Times New Roman" w:eastAsia="宋体"/>
          <w:b/>
          <w:color w:val="003264"/>
          <w:sz w:val="24"/>
        </w:rPr>
        <w:t>Induction of collective behavior by β-1,3-glucans in microalgae</w:t>
      </w:r>
    </w:p>
    <w:p>
      <w:r>
        <w:rPr>
          <w:rFonts w:ascii="Times New Roman" w:hAnsi="Times New Roman" w:eastAsia="宋体"/>
          <w:sz w:val="21"/>
        </w:rPr>
        <w:t>作者: Lou Lambert, Richard G. Dorrell, Antoine Danon</w:t>
        <w:br/>
      </w:r>
      <w:r>
        <w:rPr>
          <w:rFonts w:ascii="Times New Roman" w:hAnsi="Times New Roman" w:eastAsia="宋体"/>
          <w:sz w:val="21"/>
        </w:rPr>
        <w:t xml:space="preserve">时间: 2026-01-30 | </w:t>
      </w:r>
      <w:r>
        <w:t xml:space="preserve">链接: </w:t>
      </w:r>
      <w:hyperlink r:id="rId178">
        <w:r>
          <w:rPr>
            <w:rFonts w:ascii="Times New Roman" w:hAnsi="Times New Roman" w:eastAsia="宋体"/>
            <w:color w:val="0000FF"/>
            <w:sz w:val="21"/>
            <w:u w:val="single"/>
          </w:rPr>
          <w:t>https://doi.org/10.1126/sciadv.aea5313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β-1,3-葡聚糖是多方面的分子，在水生生态系统中发挥着关键作用，它们储存大气中的CO 2 ，​​并且在人类健康中发挥着关键作用，它们有助于对抗病原体并具有抗癌特性。到目前为止，藻类中的 β-1,3-葡聚糖除了储存糖分之外没有其他作用。我们在此表明​​，在莱茵衣藻中，β-1,3-葡聚糖控制聚集，这是一种应对压力的集体行为。我们已经确定了在聚集过程中专门参与 β-1,3-葡聚糖合成和降解的酶。 β-1,3-葡聚糖诱导聚集的转录组揭示了该激发子的早期效应。比较基因组分析使我们能够设想 β-1,3-葡聚糖在团藻目向多细胞性转变中的潜在作用。 β-1,3-葡聚糖在单细胞模式生物衣藻的应激反应中的功能的发现揭示了它们的作用模式。考虑到它们在对抗植物和动物中的病原真菌方面的潜在作用，这一点尤其重要。</w:t>
      </w:r>
    </w:p>
    <w:p>
      <w:pPr>
        <w:spacing w:before="120"/>
      </w:pPr>
      <w:r>
        <w:rPr>
          <w:rFonts w:ascii="Times New Roman" w:hAnsi="Times New Roman" w:eastAsia="宋体"/>
          <w:b/>
          <w:sz w:val="21"/>
        </w:rPr>
        <w:t>English Abstract:</w:t>
      </w:r>
    </w:p>
    <w:p>
      <w:r>
        <w:rPr>
          <w:rFonts w:ascii="Times New Roman" w:hAnsi="Times New Roman" w:eastAsia="宋体"/>
          <w:sz w:val="21"/>
        </w:rPr>
        <w:t>β-1,3-glucans are multifaceted molecules, playing a key role in aquatic ecosystems where they store atmospheric CO 2 , as well as in human health, where they help fight pathogens and have anticancer properties. Until now, no role other than sugar storage had been attributed to β-1,3-glucans in algae. We show here that in Chlamydomonas reinhardtii , β-1,3-glucans control aggregation, a collective behavior in response to stress. We have identified the enzymes specifically involved in β-1,3-glucan synthesis and degradation during aggregation. The transcriptome of β-1,3-glucan–induced aggregation revealed an early effect of this elicitor. A comparative genomic analysis allowed us to envisage a potential role for β-1,3-glucans in the transition to multicellularity in Volvocales. The finding of the function of β-1,3-glucans in the stress response of the unicellular model organism Chlamydomonas sheds light into their mode of action. This is particularly relevant given their potential roles combatting pathogenic fungi in plants and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使用生成扩散模型进行千米级对流模型仿真</w:t>
      </w:r>
    </w:p>
    <w:p>
      <w:r>
        <w:rPr>
          <w:rFonts w:ascii="Times New Roman" w:hAnsi="Times New Roman" w:eastAsia="宋体"/>
          <w:b/>
          <w:color w:val="003264"/>
          <w:sz w:val="24"/>
        </w:rPr>
        <w:t>Kilometer-scale convection-allowing model emulation using generative diffusion modeling</w:t>
      </w:r>
    </w:p>
    <w:p>
      <w:r>
        <w:rPr>
          <w:rFonts w:ascii="Times New Roman" w:hAnsi="Times New Roman" w:eastAsia="宋体"/>
          <w:sz w:val="21"/>
        </w:rPr>
        <w:t>作者: Jaideep Pathak, Yair Cohen, Piyush Garg, Peter Harrington, Noah Brenowitz, Dale Durran, Morteza Mardani, Arash Vahdat, Shaoming Xu, Karthik Kashinath, Michael Pritchard</w:t>
        <w:br/>
      </w:r>
      <w:r>
        <w:rPr>
          <w:rFonts w:ascii="Times New Roman" w:hAnsi="Times New Roman" w:eastAsia="宋体"/>
          <w:sz w:val="21"/>
        </w:rPr>
        <w:t xml:space="preserve">时间: 2026-01-30 | </w:t>
      </w:r>
      <w:r>
        <w:t xml:space="preserve">链接: </w:t>
      </w:r>
      <w:hyperlink r:id="rId179">
        <w:r>
          <w:rPr>
            <w:rFonts w:ascii="Times New Roman" w:hAnsi="Times New Roman" w:eastAsia="宋体"/>
            <w:color w:val="0000FF"/>
            <w:sz w:val="21"/>
            <w:u w:val="single"/>
          </w:rPr>
          <w:t>https://doi.org/10.1126/sciadv.adv0423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暴规模对流模型（CAM）明确解析了大气中的对流动力学，以预测导致破坏性极端天气的雷暴和中尺度对流系统的演变。迄今为止，深度学习模型在这种公里级大气模拟方面尚未被证明是熟练的，尽管在较粗的分辨率上与最先进的全球中期天气预报具有竞争力。我们提出了一种名为 StormCast 的生成扩散模型，它模拟高分辨率快速刷新 (HRRR)——美国国家海洋和大气管理局最先进的 3 公里可操作 CAM。 StormCast 使用 1 小时的时间步长，以大气边界层的密集垂直分辨率，以 26 个天气变量为条件，以自回归方式预测 99 个公里级的状态变量。我们展示了成功学习的公里级动力学，包括复合雷达反射率的竞争性 1 至 6 小时预测技能以及物理上真实的对流星团演化、潮湿上升气流和冷池形态。这些结果为改进公里级区域机器学习天气预报和未来气候灾害动态降尺度提供了机会。</w:t>
      </w:r>
    </w:p>
    <w:p>
      <w:pPr>
        <w:spacing w:before="120"/>
      </w:pPr>
      <w:r>
        <w:rPr>
          <w:rFonts w:ascii="Times New Roman" w:hAnsi="Times New Roman" w:eastAsia="宋体"/>
          <w:b/>
          <w:sz w:val="21"/>
        </w:rPr>
        <w:t>English Abstract:</w:t>
      </w:r>
    </w:p>
    <w:p>
      <w:r>
        <w:rPr>
          <w:rFonts w:ascii="Times New Roman" w:hAnsi="Times New Roman" w:eastAsia="宋体"/>
          <w:sz w:val="21"/>
        </w:rPr>
        <w:t>Storm-scale convection-allowing models (CAMs) explicitly resolve convective dynamics within the atmosphere to predict the evolution of thunderstorms and mesoscale convective systems that result in damaging extreme weather. Deep learning models have, thus far, not proven skillful in this regime of kilometer-scale atmospheric simulation, despite being competitive at coarser resolutions with state-of-the-art global, medium-range weather forecasting. We present a generative diffusion model called StormCast, which emulates the High-Resolution Rapid Refresh (HRRR)—National Oceanic and Atmospheric Administration’s state-of-the-art 3-kilometer operational CAM. StormCast autoregressively predicts 99 state variables at the kilometer scale using a 1-hour time step, with dense vertical resolution in the atmospheric boundary layer, conditioned on 26 synoptic variables. We show successfully learned kilometer-scale dynamics including competitive 1- to 6-hour forecast skill for composite radar reflectivity alongside physically realistic convective cluster evolution, moist updrafts, and cold pool morphology. These results present opportunities for improving kilometer-scale regional ML weather prediction and future climate hazard dynamical downscaling.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C-H氧化非特异性过氧酶的计算合理设计</w:t>
      </w:r>
    </w:p>
    <w:p>
      <w:r>
        <w:rPr>
          <w:rFonts w:ascii="Times New Roman" w:hAnsi="Times New Roman" w:eastAsia="宋体"/>
          <w:b/>
          <w:color w:val="003264"/>
          <w:sz w:val="24"/>
        </w:rPr>
        <w:t>Computational rational design of unspecific peroxygenase for C-H oxidation</w:t>
      </w:r>
    </w:p>
    <w:p>
      <w:r>
        <w:rPr>
          <w:rFonts w:ascii="Times New Roman" w:hAnsi="Times New Roman" w:eastAsia="宋体"/>
          <w:sz w:val="21"/>
        </w:rPr>
        <w:t>作者: Ruichen Gao, Xiaodi Fu, Zonglin Li, Zhiyao Wang, Guanjian Li, Jun Ge, Frank Hollmann, Zhanfeng Wang, Wen-Yong Lou, Xiaoling Wu</w:t>
        <w:br/>
      </w:r>
      <w:r>
        <w:rPr>
          <w:rFonts w:ascii="Times New Roman" w:hAnsi="Times New Roman" w:eastAsia="宋体"/>
          <w:sz w:val="21"/>
        </w:rPr>
        <w:t xml:space="preserve">时间: 2026-01-30 | </w:t>
      </w:r>
      <w:r>
        <w:t xml:space="preserve">链接: </w:t>
      </w:r>
      <w:hyperlink r:id="rId180">
        <w:r>
          <w:rPr>
            <w:rFonts w:ascii="Times New Roman" w:hAnsi="Times New Roman" w:eastAsia="宋体"/>
            <w:color w:val="0000FF"/>
            <w:sz w:val="21"/>
            <w:u w:val="single"/>
          </w:rPr>
          <w:t>https://doi.org/10.1126/sciadv.aeb6329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理性设计已成为一种改造酶的革命性方法，具有定制的选择性和效率。在碳氢氧化这一合成化学的关键挑战中，非特异性过氧化酶（UPO）使用过氧化氢直接氧化未活化的碳氢键，但其实用性因活性低和选择性不完善而受到限制。通过计算理性设计，本研究系统地导航巨大的序列空间，识别增强UPO催化性能的突变，最终产生活性增强13倍和对映选择性&gt;99%的UPO变体，并揭示了残基Lys 165在活性和对映选择性中的主导作用。这项研究展示了计算策略如何克服进化限制，为合成化学提供高效的生物催化剂。</w:t>
      </w:r>
    </w:p>
    <w:p>
      <w:pPr>
        <w:spacing w:before="120"/>
      </w:pPr>
      <w:r>
        <w:rPr>
          <w:rFonts w:ascii="Times New Roman" w:hAnsi="Times New Roman" w:eastAsia="宋体"/>
          <w:b/>
          <w:sz w:val="21"/>
        </w:rPr>
        <w:t>English Abstract:</w:t>
      </w:r>
    </w:p>
    <w:p>
      <w:r>
        <w:rPr>
          <w:rFonts w:ascii="Times New Roman" w:hAnsi="Times New Roman" w:eastAsia="宋体"/>
          <w:sz w:val="21"/>
        </w:rPr>
        <w:t>Computational rational design has emerged as a transformative approach to engineer enzymes with tailored selectivity and efficiency. In the context of carbon-hydrogen oxidation, a key challenge in synthetic chemistry, unspecific peroxygenases (UPOs) directly oxidize unactivated carbon-hydrogen bonds using hydrogen peroxide, yet their utility is limited by low activity and imperfect selectivity. By computational rational design, this study systematically navigated vast sequence spaces to identify mutations that enhance catalytic performance of UPOs, lastly yielded UPO variants with 13-fold enhanced activity and &gt;99% enantioselectivity, and revealed the dominant role of residue Lys 165 in activity and enantioselectivity. This study shows how computational strategies overcome evolutionary constraints to deliver efficient biocatalysts for synthetic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 AQP11 的冷冻电镜结构揭示了具有大孔的三聚体结构</w:t>
      </w:r>
    </w:p>
    <w:p>
      <w:r>
        <w:rPr>
          <w:rFonts w:ascii="Times New Roman" w:hAnsi="Times New Roman" w:eastAsia="宋体"/>
          <w:b/>
          <w:color w:val="003264"/>
          <w:sz w:val="24"/>
        </w:rPr>
        <w:t>Cryo-EM structure of human AQP11 reveals a trimeric architecture with a large pore</w:t>
      </w:r>
    </w:p>
    <w:p>
      <w:r>
        <w:rPr>
          <w:rFonts w:ascii="Times New Roman" w:hAnsi="Times New Roman" w:eastAsia="宋体"/>
          <w:sz w:val="21"/>
        </w:rPr>
        <w:t>作者: Shota Suzuki, Akiko Kamegawa, Daisuke Kozai, Kouki Nishikawa, Katsumasa Irie, Yoshinori Fujiyoshi</w:t>
        <w:br/>
      </w:r>
      <w:r>
        <w:rPr>
          <w:rFonts w:ascii="Times New Roman" w:hAnsi="Times New Roman" w:eastAsia="宋体"/>
          <w:sz w:val="21"/>
        </w:rPr>
        <w:t xml:space="preserve">时间: 2026-01-30 | </w:t>
      </w:r>
      <w:r>
        <w:t xml:space="preserve">链接: </w:t>
      </w:r>
      <w:hyperlink r:id="rId181">
        <w:r>
          <w:rPr>
            <w:rFonts w:ascii="Times New Roman" w:hAnsi="Times New Roman" w:eastAsia="宋体"/>
            <w:color w:val="0000FF"/>
            <w:sz w:val="21"/>
            <w:u w:val="single"/>
          </w:rPr>
          <w:t>https://doi.org/10.1126/sciadv.aeb5769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Aquaporin-11 (AQP-11) 是一种内质网定位水通道，对于肾脏发育至关重要。其结构及其传输特性的分子基础仍然未知。我们在冷冻电子显微镜下以 2.3 Å 分辨率分析了人类 AQP11 结构，揭示了与其他已知四聚体 AQP 相比的三聚体结构，以及包含七个跨膜螺旋 (Hs) 的拓扑结构，其中包括一个额外的 N 端螺旋 (H0)。该通道孔比典型的 AQP 更宽、疏水性更强，并且具有围绕 Asn-Pro-Cys (NPC) 序列而不是典型的 Asn-Pro-Ala (NPA) 基序的独特结构。这些特征提供了水和其他小溶质可以渗透 AQP11 的结构框架。我们的研究结果为设计特定抑制剂来研究 AQP11 的生理功能提供了蓝图。</w:t>
      </w:r>
    </w:p>
    <w:p>
      <w:pPr>
        <w:spacing w:before="120"/>
      </w:pPr>
      <w:r>
        <w:rPr>
          <w:rFonts w:ascii="Times New Roman" w:hAnsi="Times New Roman" w:eastAsia="宋体"/>
          <w:b/>
          <w:sz w:val="21"/>
        </w:rPr>
        <w:t>English Abstract:</w:t>
      </w:r>
    </w:p>
    <w:p>
      <w:r>
        <w:rPr>
          <w:rFonts w:ascii="Times New Roman" w:hAnsi="Times New Roman" w:eastAsia="宋体"/>
          <w:sz w:val="21"/>
        </w:rPr>
        <w:t>Aquaporin-11 (AQP-11) is an endoplasmic reticulum-localized water channel essential for renal development. Its structure and the molecular basis of its transport properties remained unknown. We analyzed the human AQP11 structure under cryo–electron microscopy at 2.3 Å resolution, revealing a trimeric architecture compared with other known tetrameric AQPs and a topology comprising seven transmembrane helices (Hs), including an additional N-terminal helix (H0). The channel pore is broader and more hydrophobic than that of canonical AQPs, and features a unique structure surrounding an Asn-Pro-Cys (NPC) sequence instead of the typical Asn-Pro-Ala (NPA) motif. These features provide a structural framework through which water and other small solutes can permeate AQP11. Our findings provide a blueprint for designing specific inhibitors to investigate the physiologic functions of AQP11.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通过移码合成的牛樟芝半乳甘露聚糖文库揭示了有效的免疫调节八糖结构域</w:t>
      </w:r>
    </w:p>
    <w:p>
      <w:r>
        <w:rPr>
          <w:rFonts w:ascii="Times New Roman" w:hAnsi="Times New Roman" w:eastAsia="宋体"/>
          <w:b/>
          <w:color w:val="003264"/>
          <w:sz w:val="24"/>
        </w:rPr>
        <w:t>A synthetic Antrodia cinnamomea galactomannan library by frameshift unveils a potent immunoregulatory octasaccharide domain</w:t>
      </w:r>
    </w:p>
    <w:p>
      <w:r>
        <w:rPr>
          <w:rFonts w:ascii="Times New Roman" w:hAnsi="Times New Roman" w:eastAsia="宋体"/>
          <w:sz w:val="21"/>
        </w:rPr>
        <w:t>作者: Qishuai Li, Xiao-Lin Zhang, Ran Liu, Peng Wang, Hongzhi Cao, Allan Wee Ren Ng, Yuan Qiao, Han Ding, Xue-Wei Liu, Ming Li</w:t>
        <w:br/>
      </w:r>
      <w:r>
        <w:rPr>
          <w:rFonts w:ascii="Times New Roman" w:hAnsi="Times New Roman" w:eastAsia="宋体"/>
          <w:sz w:val="21"/>
        </w:rPr>
        <w:t xml:space="preserve">时间: 2026-01-30 | </w:t>
      </w:r>
      <w:r>
        <w:t xml:space="preserve">链接: </w:t>
      </w:r>
      <w:hyperlink r:id="rId182">
        <w:r>
          <w:rPr>
            <w:rFonts w:ascii="Times New Roman" w:hAnsi="Times New Roman" w:eastAsia="宋体"/>
            <w:color w:val="0000FF"/>
            <w:sz w:val="21"/>
            <w:u w:val="single"/>
          </w:rPr>
          <w:t>https://doi.org/10.1126/sciadv.aec5309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我们报告了牛樟芝半乳甘露聚糖文库的设计、合成和免疫学评估，该文库由 11 种寡糖组成，链长范围为 4 至 24 个糖。这些低聚糖保持一致的 75% 甘露糖和 25% 半乳糖组成，反映了天然半乳甘露聚糖的关键结构特征。值得注意的是，该文库包含五种四糖和四种八糖，展示了肉桂半乳甘露聚糖所有可能的移码模式，为构效关系研究探索连接模式和域效应的作用提供了有价值的材料。该文库的合成是通过高效的立体选择性 α-半乳糖基化方法实现的。免疫学评估表明，八糖4及其两个亚基四糖7和10表现出有效的免疫调节活性，表现出显着的域效应。初步机制研究表明，这些寡糖通过抑制丝裂原激活蛋白激酶信号通路发挥作用。此外，八糖4独特地减弱了核因子κB通路，突出了其化合物特异性机制并展示了1 + 1 &gt; 2效应。</w:t>
      </w:r>
    </w:p>
    <w:p>
      <w:pPr>
        <w:spacing w:before="120"/>
      </w:pPr>
      <w:r>
        <w:rPr>
          <w:rFonts w:ascii="Times New Roman" w:hAnsi="Times New Roman" w:eastAsia="宋体"/>
          <w:b/>
          <w:sz w:val="21"/>
        </w:rPr>
        <w:t>English Abstract:</w:t>
      </w:r>
    </w:p>
    <w:p>
      <w:r>
        <w:rPr>
          <w:rFonts w:ascii="Times New Roman" w:hAnsi="Times New Roman" w:eastAsia="宋体"/>
          <w:sz w:val="21"/>
        </w:rPr>
        <w:t>We report the design, synthesis, and immunological evaluation of an Antrodia cinnamomea galactomannan library consisting of 11 oligosaccharides, with chain lengths ranging from 4 to 24 sugars. These oligosaccharides maintain a consistent composition of 75% mannose and 25% galactose, mirroring the key structural features of natural galactomannan. Notably, the library includes five tetrasaccharides and four octasaccharides, exhibiting all possible frameshift patterns of A. cinnamomea galactomannan, offering valuable materials for structure-activity relationship studies to explore the role of linking modes and domain effect. The synthesis of this library was achieved through a highly effective stereoselective α-galactosylation approach. Immunological evaluations revealed that octasaccharide 4 and its two subunit tetrasaccharides 7 and 10 exhibited potent immunoregulatory activities, demonstrating a notable domain effect. Preliminary mechanistic studies unveiled that these oligosaccharides exert their effects by suppressing mitogen-activated protein kinase signaling pathway. In addition, octasaccharide 4 uniquely attenuated nuclear factor κB pathway, highlighting its compound-specific mechanism and demonstrating a 1 + 1 &gt; 2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通过相干能量重新分配实现量子态复兴</w:t>
      </w:r>
    </w:p>
    <w:p>
      <w:r>
        <w:rPr>
          <w:rFonts w:ascii="Times New Roman" w:hAnsi="Times New Roman" w:eastAsia="宋体"/>
          <w:b/>
          <w:color w:val="003264"/>
          <w:sz w:val="24"/>
        </w:rPr>
        <w:t>Quantum state revival via coherent energy redistribution</w:t>
      </w:r>
    </w:p>
    <w:p>
      <w:r>
        <w:rPr>
          <w:rFonts w:ascii="Times New Roman" w:hAnsi="Times New Roman" w:eastAsia="宋体"/>
          <w:sz w:val="21"/>
        </w:rPr>
        <w:t>作者: Benjamin Crockett, Nicola Montaut, James van Howe, Piotr Roztocki, Yang Liu, Robin Helsten, Wei Zhao, Roberto Morandotti, José Azaña</w:t>
        <w:br/>
      </w:r>
      <w:r>
        <w:rPr>
          <w:rFonts w:ascii="Times New Roman" w:hAnsi="Times New Roman" w:eastAsia="宋体"/>
          <w:sz w:val="21"/>
        </w:rPr>
        <w:t xml:space="preserve">时间: 2026-01-30 | </w:t>
      </w:r>
      <w:r>
        <w:t xml:space="preserve">链接: </w:t>
      </w:r>
      <w:hyperlink r:id="rId183">
        <w:r>
          <w:rPr>
            <w:rFonts w:ascii="Times New Roman" w:hAnsi="Times New Roman" w:eastAsia="宋体"/>
            <w:color w:val="0000FF"/>
            <w:sz w:val="21"/>
            <w:u w:val="single"/>
          </w:rPr>
          <w:t>https://doi.org/10.1126/sciadv.ady8981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度处理和检测量子态对于在许多应用中实现量子优势至关重要。然而，众所周知，这些状态是脆弱的，因为它们对损耗敏感、无法被放大以及对退相干的敏感性。这使得它们比传统信号更容易受到噪声的影响，从而限制了它们的实验室外部署。我们演示了量子相干能量重新分布，它不仅可以恢复隐藏在噪声中的纠缠态，还可以改善其特性，从而朝着具有更好可部署性的抗噪声架构迈进。使用标准电信基础设施，我们显示时间仓纠缠光子对的巧合与巧合比率增加了一个数量级。此外，我们通过对被噪声破坏的量子位进行量子态断层扫描测量来恢复量子干涉可见性和保真度，从而证明了丢失纠缠的恢复。</w:t>
      </w:r>
    </w:p>
    <w:p>
      <w:pPr>
        <w:spacing w:before="120"/>
      </w:pPr>
      <w:r>
        <w:rPr>
          <w:rFonts w:ascii="Times New Roman" w:hAnsi="Times New Roman" w:eastAsia="宋体"/>
          <w:b/>
          <w:sz w:val="21"/>
        </w:rPr>
        <w:t>English Abstract:</w:t>
      </w:r>
    </w:p>
    <w:p>
      <w:r>
        <w:rPr>
          <w:rFonts w:ascii="Times New Roman" w:hAnsi="Times New Roman" w:eastAsia="宋体"/>
          <w:sz w:val="21"/>
        </w:rPr>
        <w:t>Processing and detecting quantum states with high fidelity are essential for enabling quantum advantages across many applications. However, these states are known to be fragile because of their sensitivity to losses, their inability to be amplified, and their susceptibility to decoherence. This makes them far more vulnerable to noise than classical signals, limiting their out-of-lab deployment. We demonstrate quantum coherent energy redistribution, which not only recovers entangled states buried in noise but also improves their properties, moving toward noise-robust architectures with better deployability. Using standard telecommunications infrastructure, we show an order of magnitude increase in the coincidence-to-accidental ratio for time-bin entangled photon pairs. Furthermore, we demonstrate the revival of lost entanglement by recovering quantum interference visibility and fidelity from quantum state tomography measurements of qubits corrupted by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COVID-19 大流行后癫痫发作恶化的颞叶癫痫患者的神经免疫激活：[ 18 F]DPA-714 PET/MR 研究</w:t>
      </w:r>
    </w:p>
    <w:p>
      <w:r>
        <w:rPr>
          <w:rFonts w:ascii="Times New Roman" w:hAnsi="Times New Roman" w:eastAsia="宋体"/>
          <w:b/>
          <w:color w:val="003264"/>
          <w:sz w:val="24"/>
        </w:rPr>
        <w:t>Neuroimmune activation in temporal lobe epilepsy patients with worsening seizure following the COVID-19 pandemic: A [ 18 F]DPA-714 PET/MR study</w:t>
      </w:r>
    </w:p>
    <w:p>
      <w:r>
        <w:rPr>
          <w:rFonts w:ascii="Times New Roman" w:hAnsi="Times New Roman" w:eastAsia="宋体"/>
          <w:sz w:val="21"/>
        </w:rPr>
        <w:t>作者: Ling Xiao, Li Qin, Tao Jiang, Ming Qu, Manliu Hou, Yongxiang Tang, Shuo Hu, Li Feng</w:t>
        <w:br/>
      </w:r>
      <w:r>
        <w:rPr>
          <w:rFonts w:ascii="Times New Roman" w:hAnsi="Times New Roman" w:eastAsia="宋体"/>
          <w:sz w:val="21"/>
        </w:rPr>
        <w:t xml:space="preserve">时间: 2026-01-30 | </w:t>
      </w:r>
      <w:r>
        <w:t xml:space="preserve">链接: </w:t>
      </w:r>
      <w:hyperlink r:id="rId184">
        <w:r>
          <w:rPr>
            <w:rFonts w:ascii="Times New Roman" w:hAnsi="Times New Roman" w:eastAsia="宋体"/>
            <w:color w:val="0000FF"/>
            <w:sz w:val="21"/>
            <w:u w:val="single"/>
          </w:rPr>
          <w:t>https://doi.org/10.1126/sciadv.adu5874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颞叶癫痫 (TLE) 患者在 COVID-19 后经常会出现癫痫恶化的情况，称为 COVID-19 后活动性 TLE。虽然怀疑这些患者存在神经炎症变化，但大脑中枢和全身炎症的测量仍有待探索。我们研究了易位蛋白标准化摄取值比 (TSPO SUVr)（一种使用正电子发射断层扫描 (PET) 的神经炎症量化标志物）在 COVID-19 后活动性 TLE 患者的大脑中是否升高。此外，我们还检查了 TSPO SUVr 和炎症因子之间的相关性，以确定 COVID-19 后活动性癫痫的潜在外周血炎症预测因子。我们的研究强调了 COVID-19 后活动性 TLE 患者大脑中存在广泛的神经炎症，并且血浆中炎症细胞因子的水平升高。此外，白细胞介素-1β (IL-1β)、IL-10 和干扰素-γ (IFN-γ) 的血浆水平与神经免疫激活之间的强相关性表明，将血浆炎症因子与 TSPO PET 相结合，可以作为临床诊断、动态监测和评估 TLE 相关神经炎症免疫治疗效果的可靠方法。</w:t>
      </w:r>
    </w:p>
    <w:p>
      <w:pPr>
        <w:spacing w:before="120"/>
      </w:pPr>
      <w:r>
        <w:rPr>
          <w:rFonts w:ascii="Times New Roman" w:hAnsi="Times New Roman" w:eastAsia="宋体"/>
          <w:b/>
          <w:sz w:val="21"/>
        </w:rPr>
        <w:t>English Abstract:</w:t>
      </w:r>
    </w:p>
    <w:p>
      <w:r>
        <w:rPr>
          <w:rFonts w:ascii="Times New Roman" w:hAnsi="Times New Roman" w:eastAsia="宋体"/>
          <w:sz w:val="21"/>
        </w:rPr>
        <w:t>Patients with temporal lobe epilepsy (TLE) frequently experience worsening epilepsy following COVID-19, referred to as post–COVID-19 active TLE. While neuroinflammatory changes are suspected in these patients, measurements of both central and systemic inflammation in the brain remain unexplored. We investigate whether the translocator protein standardized uptake value ratio (TSPO SUVr), a quantifiable marker of neuroinflammation using positron emission tomography (PET), is elevated in the brains of patients with post–COVID-19 active TLE. In addition, we examine correlations between TSPO SUVr and inflammatory factors to identify potential peripheral blood inflammatory predictors of post–COVID-19 active epilepsy. Our study highlights the presence of widespread neuroinflammation in the brain and increased levels of inflammatory cytokines in the plasma of individuals with post–COVID-19 active TLE. Furthermore, strong correlations between plasma levels of interleukin-1β (IL-1β), IL-10, and interferon-γ (IFN-γ) and neuroimmune activation suggest the potential for integrating plasma inflammatory factors with TSPO PET as a dependable approach for clinical diagnosis, dynamic monitoring, and assessment of immune-based therapeutic efficacy in TLE-associated neuroinflammation.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12:41 ---</w:t>
      </w:r>
    </w:p>
    <w:p>
      <w:pPr>
        <w:pStyle w:val="Heading2"/>
      </w:pPr>
      <w:r/>
      <w:r>
        <w:rPr>
          <w:rFonts w:ascii="Times New Roman" w:hAnsi="Times New Roman" w:eastAsia="宋体"/>
          <w:b/>
          <w:color w:val="000000"/>
          <w:sz w:val="24"/>
        </w:rPr>
        <w:t>监测公众对不必要的地震预警警报的反应</w:t>
      </w:r>
    </w:p>
    <w:p>
      <w:r>
        <w:rPr>
          <w:rFonts w:ascii="Times New Roman" w:hAnsi="Times New Roman" w:eastAsia="宋体"/>
          <w:b/>
          <w:color w:val="003264"/>
          <w:sz w:val="24"/>
        </w:rPr>
        <w:t>Monitoring public reaction to an unnecessary earthquake early warning alert</w:t>
      </w:r>
    </w:p>
    <w:p>
      <w:r>
        <w:rPr>
          <w:rFonts w:ascii="Times New Roman" w:hAnsi="Times New Roman" w:eastAsia="宋体"/>
          <w:sz w:val="21"/>
        </w:rPr>
        <w:t>作者: Gony Yagoda-Biran, Ran N. Nof, Yonat Zwebner</w:t>
        <w:br/>
      </w:r>
      <w:r>
        <w:rPr>
          <w:rFonts w:ascii="Times New Roman" w:hAnsi="Times New Roman" w:eastAsia="宋体"/>
          <w:sz w:val="21"/>
        </w:rPr>
        <w:t xml:space="preserve">时间: 2026-02-03 | </w:t>
      </w:r>
      <w:r>
        <w:t xml:space="preserve">链接: </w:t>
      </w:r>
      <w:hyperlink r:id="rId185">
        <w:r>
          <w:rPr>
            <w:rFonts w:ascii="Times New Roman" w:hAnsi="Times New Roman" w:eastAsia="宋体"/>
            <w:color w:val="0000FF"/>
            <w:sz w:val="21"/>
            <w:u w:val="single"/>
          </w:rPr>
          <w:t>https://doi.org/10.1038/s41598-026-37958-1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虚假或不必要的地震预警 (EEW) 警报可能会损害公众信任，可能导致警报疲劳或脱离，这是政策制定者最关心的问题。尽管虚假警报本质上是不可预测的，但 2024 年 10 月 26 日出现了一个难得的研究机会，当时以色列 EEW 系统将一场计划中的军事爆炸错误地归类为 5.2 级地震，向超过 100 万人发出警报。这是以色列有史以来第一次公共电子预警警报，发生在战时，此前一年几乎每天都有导弹警报。活动结束后不久进行了一项预先登记的调查（N = 1,043）。由于警报的地理范围有限，该事件提供了一个准实验机会来比较收到警报和未收到警报的人之间的态度。结果显示，公众在很大程度上仍然有动力遵循电子预警预警指南，并且对错误警报有相当大的容忍度。然而，对虚假电子战警报的容忍度明显低于虚假导弹警报，这表明公众对地震威胁和安全威胁的看法不同。尽管存在虚假警报和长时间接触警报，但公众对接收警告的支持仍然很强，即使是对于非破坏性的、有感的事件。这些发现凸显了公众信任的弹性，并为设计有效的警报系统提供了见解。</w:t>
      </w:r>
    </w:p>
    <w:p>
      <w:pPr>
        <w:spacing w:before="120"/>
      </w:pPr>
      <w:r>
        <w:rPr>
          <w:rFonts w:ascii="Times New Roman" w:hAnsi="Times New Roman" w:eastAsia="宋体"/>
          <w:b/>
          <w:sz w:val="21"/>
        </w:rPr>
        <w:t>English Abstract:</w:t>
      </w:r>
    </w:p>
    <w:p>
      <w:r>
        <w:rPr>
          <w:rFonts w:ascii="Times New Roman" w:hAnsi="Times New Roman" w:eastAsia="宋体"/>
          <w:sz w:val="21"/>
        </w:rPr>
        <w:t>False or unnecessary Earthquake Early Warning (EEW) alerts risk undermining public trust, potentially leading to alert fatigue or disengagement, a critical concern for policymakers. Although false alerts are inherently unpredictable, a rare opportunity to study one arose on October 26, 2024, when a planned military explosion was mistakenly classified as a magnitude 5.2 earthquake by the Israeli EEW system, triggering alerts to over one million people. This was the first-ever public EEW alert in Israel and occurred during wartime, following a year of near-daily missile alerts. A preregistered survey (N = 1,043) was conducted shortly after this event. Because the alert was geographically limited, the incident offered a quasi-experimental opportunity to compare attitudes between those who received the alert and those who did not. Results showed that the public remained largely motivated to follow EEW guidance and had considerable tolerance for false alerts. However, tolerance was significantly lower for false EEW alerts than false missile alerts, indicating different public perceptions of seismic versus security threats. Despite the false alert and prolonged exposure to alerts, public support for receiving warning, even for non-damaging, felt events, remained strong. These findings highlight the resilience of public trust and offer insights for designing effective alert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意大利语的高级自然交互：LLaMAntino-3-ANITA</w:t>
      </w:r>
    </w:p>
    <w:p>
      <w:r>
        <w:rPr>
          <w:rFonts w:ascii="Times New Roman" w:hAnsi="Times New Roman" w:eastAsia="宋体"/>
          <w:b/>
          <w:color w:val="003264"/>
          <w:sz w:val="24"/>
        </w:rPr>
        <w:t>Advanced natural-based interaction for the ITAlian language: LLaMAntino-3-ANITA</w:t>
      </w:r>
    </w:p>
    <w:p>
      <w:r>
        <w:rPr>
          <w:rFonts w:ascii="Times New Roman" w:hAnsi="Times New Roman" w:eastAsia="宋体"/>
          <w:sz w:val="21"/>
        </w:rPr>
        <w:t>作者: Marco Polignano, Pierpaolo Basile, Giovanni Semeraro</w:t>
        <w:br/>
      </w:r>
      <w:r>
        <w:rPr>
          <w:rFonts w:ascii="Times New Roman" w:hAnsi="Times New Roman" w:eastAsia="宋体"/>
          <w:sz w:val="21"/>
        </w:rPr>
        <w:t xml:space="preserve">时间: 2026-02-03 | </w:t>
      </w:r>
      <w:r>
        <w:t xml:space="preserve">链接: </w:t>
      </w:r>
      <w:hyperlink r:id="rId186">
        <w:r>
          <w:rPr>
            <w:rFonts w:ascii="Times New Roman" w:hAnsi="Times New Roman" w:eastAsia="宋体"/>
            <w:color w:val="0000FF"/>
            <w:sz w:val="21"/>
            <w:u w:val="single"/>
          </w:rPr>
          <w:t>https://doi.org/10.1038/s41598-025-31319-0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 LLaMAntino-3-ANITA-8B-Inst-DPO-ITA，这是一种基于 Meta-AI LLaMA-3 模型系列、适用于意大利语的大型语言模型 (LLM)。首先使用监督微调（SFT）技术对英语数据集对原始 8B 参数指令调优模型进行微调，以增强其在指令任务上的基线性能。随后，应用直接偏好优化 (DPO) 流程来调整偏好、减少不安全响应并限制偏差。在最后阶段，该模型使用有限数量的高质量意大利语数据来适应意大利语。该方法结合了 QLoRA 的效率（用于微调原始模型权重的较小部分）和 DPO 来细化模型的输出，使模型适应意大利语语言结构，同时保持计算效率。对意大利语和英语语言的 Open LLM 基准的评估证实了该模型的有效性，在意大利 LLM 中实现了最先进的性能，在各种意大利语文本理解和问答任务上的平均准确度得分为 0.6160。该模型通过 HuggingFace 中心发布，并在 GitHub 存储库中提供了使用示例。</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LLaMAntino-3-ANITA-8B-Inst-DPO-ITA, a Large Language Model (LLM) adapted for the Italian language based on the Meta-AI LLaMA-3 model family. The original 8B parameter instruction-tuned model is first fine-tuned using the Supervised Fine-tuning (SFT) technique on English datasets to enhance its baseline performance on instruction tasks. Subsequently, a Direct Preference Optimization (DPO) process is applied to align preferences, mitigate unsafe responses, and limiting biases. In the final stage, the model is adapted to the Italian language using a limited amount of high quality Italian language data. This methodology combines the efficiency of QLoRA, for fine-tuning on a smaller portion of the original model weights, with DPO to refine the model’s output, adapting the model to the Italian linguistic structure while maintaining computational efficiency. Evaluation on Open LLM benchmarks for both Italian and English languages confirms the model’s effectiveness, achieving state- of-the-art performance among Italian LLMs with an average accuracy score of 0.6160 on various Italian text comprehension and question-answering tasks. The model is released via the HuggingFace hub, with usage examples available in the 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修正：使用深度学习从无人机图像中检测红树林幼苗进行恢复监测</w:t>
      </w:r>
    </w:p>
    <w:p>
      <w:r>
        <w:rPr>
          <w:rFonts w:ascii="Times New Roman" w:hAnsi="Times New Roman" w:eastAsia="宋体"/>
          <w:b/>
          <w:color w:val="003264"/>
          <w:sz w:val="24"/>
        </w:rPr>
        <w:t>Correction: Detecting mangrove seedlings from UAV imagery using deep learning for restoration monitoring</w:t>
      </w:r>
    </w:p>
    <w:p>
      <w:r>
        <w:rPr>
          <w:rFonts w:ascii="Times New Roman" w:hAnsi="Times New Roman" w:eastAsia="宋体"/>
          <w:sz w:val="21"/>
        </w:rPr>
        <w:t>作者: Yuri Shendryk, Maria P. Vilas</w:t>
        <w:br/>
      </w:r>
      <w:r>
        <w:rPr>
          <w:rFonts w:ascii="Times New Roman" w:hAnsi="Times New Roman" w:eastAsia="宋体"/>
          <w:sz w:val="21"/>
        </w:rPr>
        <w:t xml:space="preserve">时间: 2026-02-03 | </w:t>
      </w:r>
      <w:r>
        <w:t xml:space="preserve">链接: </w:t>
      </w:r>
      <w:hyperlink r:id="rId187">
        <w:r>
          <w:rPr>
            <w:rFonts w:ascii="Times New Roman" w:hAnsi="Times New Roman" w:eastAsia="宋体"/>
            <w:color w:val="0000FF"/>
            <w:sz w:val="21"/>
            <w:u w:val="single"/>
          </w:rPr>
          <w:t>https://doi.org/10.1038/s41598-026-37788-1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使用仿生机器人关节探索关节受体的本体感受潜力</w:t>
      </w:r>
    </w:p>
    <w:p>
      <w:r>
        <w:rPr>
          <w:rFonts w:ascii="Times New Roman" w:hAnsi="Times New Roman" w:eastAsia="宋体"/>
          <w:b/>
          <w:color w:val="003264"/>
          <w:sz w:val="24"/>
        </w:rPr>
        <w:t>Exploring the proprioceptive potential of joint receptors using a biomimetic robotic joint</w:t>
      </w:r>
    </w:p>
    <w:p>
      <w:r>
        <w:rPr>
          <w:rFonts w:ascii="Times New Roman" w:hAnsi="Times New Roman" w:eastAsia="宋体"/>
          <w:sz w:val="21"/>
        </w:rPr>
        <w:t>作者: Akihiro Miki, Shun Hasegawa, Sota Yuzaki, Yuta Sahara, Yoshimoto Ribayashi, Kento Kawaharazuka, Kei Okada</w:t>
        <w:br/>
      </w:r>
      <w:r>
        <w:rPr>
          <w:rFonts w:ascii="Times New Roman" w:hAnsi="Times New Roman" w:eastAsia="宋体"/>
          <w:sz w:val="21"/>
        </w:rPr>
        <w:t xml:space="preserve">时间: 2026-02-03 | </w:t>
      </w:r>
      <w:r>
        <w:t xml:space="preserve">链接: </w:t>
      </w:r>
      <w:hyperlink r:id="rId188">
        <w:r>
          <w:rPr>
            <w:rFonts w:ascii="Times New Roman" w:hAnsi="Times New Roman" w:eastAsia="宋体"/>
            <w:color w:val="0000FF"/>
            <w:sz w:val="21"/>
            <w:u w:val="single"/>
          </w:rPr>
          <w:t>https://doi.org/10.1038/s41598-025-27311-3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神经科学中，关节感受器传统上被视为极限探测器，仅在极端关节角度时提供位置信息，而肌梭被认为是关节角度位置的主要传感器。然而，关节受体广泛分布在整个关节囊中，它们在本体感觉中的完整作用仍不清楚。在这项研究中，我们特别关注模仿 I 型关节受体，这些受体对缓慢而持续的运动做出反应，并使用机器人技术开发的仿生关节量化了它们的本体感受潜力。结果表明，类 I 型关节感受器单独就能实现本体感觉感知，弯曲和扭转运动的平均误差小于 2 度。这些发现表明，关节受体在本体感觉中发挥的作用可能比之前认识的更大，并且在发育和进化过程中，肌梭和关节受体的相对贡献在神经网络中的权重不同。此外，这项工作可能会引发关于遗传性感觉和自主神经病 III 型患者的肘部和膝盖之间观察到的差异本体感觉缺陷的新讨论。总之，这些发现凸显了基于仿生学的机器人方法在推进神经科学、医学和机器人技术之间的跨学科研究方面的潜力。</w:t>
      </w:r>
    </w:p>
    <w:p>
      <w:pPr>
        <w:spacing w:before="120"/>
      </w:pPr>
      <w:r>
        <w:rPr>
          <w:rFonts w:ascii="Times New Roman" w:hAnsi="Times New Roman" w:eastAsia="宋体"/>
          <w:b/>
          <w:sz w:val="21"/>
        </w:rPr>
        <w:t>English Abstract:</w:t>
      </w:r>
    </w:p>
    <w:p>
      <w:r>
        <w:rPr>
          <w:rFonts w:ascii="Times New Roman" w:hAnsi="Times New Roman" w:eastAsia="宋体"/>
          <w:sz w:val="21"/>
        </w:rPr>
        <w:t>Abstract In neuroscience, joint receptors have traditionally been viewed as limit detectors, providing positional information only at extreme joint angles, while muscle spindles are considered the primary sensors of joint angle position. However, joint receptors are widely distributed throughout the joint capsule, and their full role in proprioception remains unclear. In this study, we specifically focused on mimicking Type I joint receptors, which respond to slow and sustained movements, and quantified their proprioceptive potential using a biomimetic joint developed with robotics technology. Results showed that Type I-like joint receptors alone enabled proprioceptive sensing with an average error of less than 2 degrees in both bending and twisting motions. These findings suggest that joint receptors may play a greater role in proprioception than previously recognized and that the relative contributions of muscle spindles and joint receptors are differentially weighted within neural networks during development and evolution. Furthermore, this work may prompt new discussions on the differential proprioceptive deficits observed between the elbows and knees in patients with hereditary sensory and autonomic neuropathy type III. Together, these findings highlight the potential of biomimetics-based robotic approaches for advancing interdisciplinary research bridging neuroscience, medicine, and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基于改进RT-DETR的胃肠息肉检测方法</w:t>
      </w:r>
    </w:p>
    <w:p>
      <w:r>
        <w:rPr>
          <w:rFonts w:ascii="Times New Roman" w:hAnsi="Times New Roman" w:eastAsia="宋体"/>
          <w:b/>
          <w:color w:val="003264"/>
          <w:sz w:val="24"/>
        </w:rPr>
        <w:t>Gastrointestinal polyp detection method based on the improved RT-DETR</w:t>
      </w:r>
    </w:p>
    <w:p>
      <w:r>
        <w:rPr>
          <w:rFonts w:ascii="Times New Roman" w:hAnsi="Times New Roman" w:eastAsia="宋体"/>
          <w:sz w:val="21"/>
        </w:rPr>
        <w:t>作者: Jiabin Du, Ziqiong He, Su Zhang, Gengqi Wu, Chen Liang</w:t>
        <w:br/>
      </w:r>
      <w:r>
        <w:rPr>
          <w:rFonts w:ascii="Times New Roman" w:hAnsi="Times New Roman" w:eastAsia="宋体"/>
          <w:sz w:val="21"/>
        </w:rPr>
        <w:t xml:space="preserve">时间: 2026-02-03 | </w:t>
      </w:r>
      <w:r>
        <w:t xml:space="preserve">链接: </w:t>
      </w:r>
      <w:hyperlink r:id="rId189">
        <w:r>
          <w:rPr>
            <w:rFonts w:ascii="Times New Roman" w:hAnsi="Times New Roman" w:eastAsia="宋体"/>
            <w:color w:val="0000FF"/>
            <w:sz w:val="21"/>
            <w:u w:val="single"/>
          </w:rPr>
          <w:t>https://doi.org/10.1038/s41598-026-38617-1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息肉是结直肠癌的潜在前兆，因此通过内窥镜进行准确检测成为有效筛查和监测策略的关键组成部分。然而，由于息肉形态、尺度不平衡和成像噪声的显着变化，自动检测仍然具有挑战性，这通常会导致现有方法的高漏检率。为了解决这些问题，我们提出了一种基于 RT-DETR-r18 架构的优化实时检测框架。我们的方法集成了三个战略增强功能来改进特征表示和注意机制。首先，我们介绍 DWRC3-DRB 模块，它利用残差和密集连接来稳健地融合浅层和深层特征。其次，为了减轻背景干扰，我们设计了EAAAFI模块；该组件支持具有线性复杂性的全局上下文建模，有效地关注信息区域。最后，我们结合了 ELA-HSFPN 模块，将有效的局部注意力与分层特征金字塔相结合，以促进自适应多尺度特征集成。对混合内窥镜数据集的系统实验表明，我们的方法显着优于基线和最先进的检测器。具体来说，与 RT-DETR-r18 相比，我们的方法将精度从 90.7% 提高到 94.8%，召回率从 84.0% 提高到 89.9%，mAP@0.5 从 92.2% 提高到 94.2%。至关重要的是，它在实现这一精度的同时保持了 188.6 FPS 的处理速度，完全满足实时视频处理所需的低延迟基准。</w:t>
      </w:r>
    </w:p>
    <w:p>
      <w:pPr>
        <w:spacing w:before="120"/>
      </w:pPr>
      <w:r>
        <w:rPr>
          <w:rFonts w:ascii="Times New Roman" w:hAnsi="Times New Roman" w:eastAsia="宋体"/>
          <w:b/>
          <w:sz w:val="21"/>
        </w:rPr>
        <w:t>English Abstract:</w:t>
      </w:r>
    </w:p>
    <w:p>
      <w:r>
        <w:rPr>
          <w:rFonts w:ascii="Times New Roman" w:hAnsi="Times New Roman" w:eastAsia="宋体"/>
          <w:sz w:val="21"/>
        </w:rPr>
        <w:t>Gastrointestinal polyps are potential precursors to colorectal cancer, making accurate detection via endoscopy a key component of effective screening and surveillance strategies. However, automated detection remains challenging due to significant variations in polyp morphology, scale imbalance, and imaging noise, which often lead to high miss rates in existing approaches. To address these issues, we propose an optimized real-time detection framework based on the RT-DETR-r18 architecture. Our method integrates three strategic enhancements to improve feature representation and attention mechanisms. First, we introduce the DWRC3-DRB module, which utilizes residual and dense connections to robustly fuse shallow and deep features. Second, to mitigate background interference, we design the EAAAIFI module; this component enables global context modeling with linear complexity, effectively focusing on informative regions. Finally, we incorporate the ELA-HSFPN module, combining efficient local attention with a hierarchical feature pyramid to facilitate adaptive multi-scale feature integration. Systematic experiments on a hybrid endoscopic dataset demonstrate that our approach significantly outperforms the baseline and state-of-the-art detectors. Specifically, compared to RT-DETR-r18, our method increases precision from 90.7% to 94.8%, recall from 84.0% to 89.9%, and mAP@0.5 from 92.2% to 94.2%. Crucially, it achieves this accuracy while maintaining a processing speed of 188.6 FPS, fully meeting the low-latency benchmarks required for real-time video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头像进行身体尺寸估计的功能性大脑图谱</w:t>
      </w:r>
    </w:p>
    <w:p>
      <w:r>
        <w:rPr>
          <w:rFonts w:ascii="Times New Roman" w:hAnsi="Times New Roman" w:eastAsia="宋体"/>
          <w:b/>
          <w:color w:val="003264"/>
          <w:sz w:val="24"/>
        </w:rPr>
        <w:t>Functional brain mapping of body size estimation using a 3D avatar</w:t>
      </w:r>
    </w:p>
    <w:p>
      <w:r>
        <w:rPr>
          <w:rFonts w:ascii="Times New Roman" w:hAnsi="Times New Roman" w:eastAsia="宋体"/>
          <w:sz w:val="21"/>
        </w:rPr>
        <w:t>作者: Hayden J. Peel, Joel P. Diaz-Fong, Sameena Karsan, Rajay Kumar, Gerhard Hellemann, Jamie D. Feusner</w:t>
        <w:br/>
      </w:r>
      <w:r>
        <w:rPr>
          <w:rFonts w:ascii="Times New Roman" w:hAnsi="Times New Roman" w:eastAsia="宋体"/>
          <w:sz w:val="21"/>
        </w:rPr>
        <w:t xml:space="preserve">时间: 2026-02-03 | </w:t>
      </w:r>
      <w:r>
        <w:t xml:space="preserve">链接: </w:t>
      </w:r>
      <w:hyperlink r:id="rId190">
        <w:r>
          <w:rPr>
            <w:rFonts w:ascii="Times New Roman" w:hAnsi="Times New Roman" w:eastAsia="宋体"/>
            <w:color w:val="0000FF"/>
            <w:sz w:val="21"/>
            <w:u w:val="single"/>
          </w:rPr>
          <w:t>https://doi.org/10.1038/s41598-026-38383-0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身体尺寸估计——判断自己身体大小和形状的能力——是身体形象的关键感知组成部分。然而，其神经基础以及个体间准确性差异的基础仍然知之甚少，部分原因是现有评估工具的局限性。我们使用了 Somatomap 3D 的适应功能磁共振兼容版本，这是一项交互式任务，参与者通过调整 26 个身体部位的大小和形状来操纵可旋转的 3D 化身，以匹配他们感知的身体。 28 名健康的男性和女性成年人在功能磁共振成像期间完成了这项任务。使用通用线性模型对先前身体处理研究中先验感兴趣区域的大脑活动进行建模，该模型结合了事件特定参数和与任务表现相关的参数调制器。使用身体部位估计误差的多维尺度来计算身体尺寸估计准确性的个体间差异，并且得分与来自感兴趣区域的 BOLD 信号特征变量相关。任务投入与假设的身体选择性和多感觉区域的显着激活相关，包括双侧纹状体区域、右侧梭状体区域、右顶上小叶和双侧前运动皮层。多维尺度确定了反映身体部位周长扭曲的主要子维度，这与双侧顶上小叶的神经反应显着相关。没有其他大脑区域与估计准确性的个体间差异存在显着关联。这些结果表明，身体尺寸估计涉及视觉、运动和顶叶区域的分布式网络。其中，只有顶上小叶显示出与身体部位周长的身体尺寸估计准确性的个体间差异显着相关，支持其作为精神疾病（例如饮食失调和身体变形障碍）中身体表征改变的候选神经基质的作用。</w:t>
      </w:r>
    </w:p>
    <w:p>
      <w:pPr>
        <w:spacing w:before="120"/>
      </w:pPr>
      <w:r>
        <w:rPr>
          <w:rFonts w:ascii="Times New Roman" w:hAnsi="Times New Roman" w:eastAsia="宋体"/>
          <w:b/>
          <w:sz w:val="21"/>
        </w:rPr>
        <w:t>English Abstract:</w:t>
      </w:r>
    </w:p>
    <w:p>
      <w:r>
        <w:rPr>
          <w:rFonts w:ascii="Times New Roman" w:hAnsi="Times New Roman" w:eastAsia="宋体"/>
          <w:sz w:val="21"/>
        </w:rPr>
        <w:t>Body size estimation—the ability to judge the size and shape of one’s own body—is a key perceptual component of body image. However, its neural basis, and the basis for inter-individual differences in accuracy, remain poorly understood, partly due to limitations in existing assessment tools. We used an adapted, fMRI-compatible version of Somatomap 3D, an interactive task in which participants manipulate a rotatable 3D avatar by adjusting the size and shape of 26 individual body parts to match their perceived body. Twenty-eight healthy male and female adults completed the task during fMRI. Brain activity in a priori regions of interest from previous studies of body processing was modeled using a general linear model incorporating event-specific parameters and parametric modulators related to task performance. Inter-individual differences in body size estimation accuracy were calculated using multidimensional scaling of body part estimation errors, and scores were correlated with BOLD signal eigenvariates from regions of interest. Task engagement was associated with significant activation in hypothesized body-selective and multisensory regions, including bilateral extrastriate body area, right fusiform body area, right superior parietal lobule, and bilateral premotor cortex. Multidimensional scaling identified a primary subdimension reflecting distortions in body part girths, which was significantly associated with neural responses in bilateral superior parietal lobule. No other brain regions showed significant associations with inter-individual differences in estimation accuracy. These results suggest that body size estimation engages a distributed network of visual, motor, and parietal regions. Among these, only the superior parietal lobule showed a significant association with inter-individual variation in body size estimation accuracy for body part girths, supporting its role as a candidate neural substrate for altered body representation in psychiatric conditions such as eating disorders and body dysmorphic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使用灰狼优化进行离线签名验证的混合机器学习框架</w:t>
      </w:r>
    </w:p>
    <w:p>
      <w:r>
        <w:rPr>
          <w:rFonts w:ascii="Times New Roman" w:hAnsi="Times New Roman" w:eastAsia="宋体"/>
          <w:b/>
          <w:color w:val="003264"/>
          <w:sz w:val="24"/>
        </w:rPr>
        <w:t>A hybrid machine learning framework for offline signature verification using gray wolf optimization</w:t>
      </w:r>
    </w:p>
    <w:p>
      <w:r>
        <w:rPr>
          <w:rFonts w:ascii="Times New Roman" w:hAnsi="Times New Roman" w:eastAsia="宋体"/>
          <w:sz w:val="21"/>
        </w:rPr>
        <w:t>作者: Nemi Chandra Rathore, Akshay Juneja, Neeraj Kumar, Vijay Kumar, Arvind Dhaka</w:t>
        <w:br/>
      </w:r>
      <w:r>
        <w:rPr>
          <w:rFonts w:ascii="Times New Roman" w:hAnsi="Times New Roman" w:eastAsia="宋体"/>
          <w:sz w:val="21"/>
        </w:rPr>
        <w:t xml:space="preserve">时间: 2026-02-03 | </w:t>
      </w:r>
      <w:r>
        <w:t xml:space="preserve">链接: </w:t>
      </w:r>
      <w:hyperlink r:id="rId191">
        <w:r>
          <w:rPr>
            <w:rFonts w:ascii="Times New Roman" w:hAnsi="Times New Roman" w:eastAsia="宋体"/>
            <w:color w:val="0000FF"/>
            <w:sz w:val="21"/>
            <w:u w:val="single"/>
          </w:rPr>
          <w:t>https://doi.org/10.1038/s41598-026-36163-4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写签名验证是行政、财务、法律等场景中经常使用的生物识别技术之一，用于验证个人身份。不幸的是，该任务的离线性质使其更具挑战性，因为它涉及签名内方差以及各种时间和环境因素。本文提出了一种新颖的离线签名验证系统（OSVS），称为 SignGuard。它是通过使用灰狼优化（GWO）进行预处理而设计的。此外，由于所提出的方法具有旋转敏感描述符，因此使用主方向对齐（POA）来减轻它们的旋转。接下来是两个具有新纹理特征的独立于作者的模型，即中心对称局部二进制模式（CS-LBP）和正交中心对称局部二进制模式（OC-CSLBP）。它们使用混合机器学习框架进行训练，集成支持向量机和 XGBoost 分类器，以离线模式验证签名图像。 SignGuard 的性能在 CEDAR、SID 和 BHSig260 数据集以及名为 DeepSignVault 的新颖数据集上得到利用，使得 OC-CSLBP 和 CS-LBP 的准确率分别达到 98.77% 和 97.46%。据观察，SignGuard 的性能优于现有的 OSVS。所提出的架构显示了商业、法律和管理系统中实际应用程序的增强的安全性和可靠性。 SignGuard的出色表现突显了法律文件和金融交易的真实性。</w:t>
      </w:r>
    </w:p>
    <w:p>
      <w:pPr>
        <w:spacing w:before="120"/>
      </w:pPr>
      <w:r>
        <w:rPr>
          <w:rFonts w:ascii="Times New Roman" w:hAnsi="Times New Roman" w:eastAsia="宋体"/>
          <w:b/>
          <w:sz w:val="21"/>
        </w:rPr>
        <w:t>English Abstract:</w:t>
      </w:r>
    </w:p>
    <w:p>
      <w:r>
        <w:rPr>
          <w:rFonts w:ascii="Times New Roman" w:hAnsi="Times New Roman" w:eastAsia="宋体"/>
          <w:sz w:val="21"/>
        </w:rPr>
        <w:t>Handwritten signature verification is one of the frequently used biometric in administrative, financial, legal, and similar scenarios to verify the identity of a person. Unfortunately, the offline nature of this task makes it more challenging as it involves intra-signature variance, and various temporal and environmental factors. This paper presents a novel offline signature verification system (OSVS) called SignGuard. It is designed by using Gray Wolf Optimization (GWO) for preprocessing. Also, Principal Orientation Alignment (POA) is used to mitigate their rotation as the proposed method has rotation sensitive descriptors. It is followed by two writer-independent models with new texture features namely, Centre Symmetric local binary pattern (CS-LBP) and Orthogonal Central Symmetric Local Binary Pattern (OC-CSLBP). They are trained using hybrid machine learning framework such that Support Vector Machine and XGBoost classifiers are integrated for the verification of a signature image in an offline mode. The performance of SignGuard is exploited on CEDAR, SID, and BHSig260 datasets, along with a novel dataset called DeepSignVault, such that OC-CSLBP and CS-LBP yields an accuracy of 98.77% and 97.46%, respectively. It is observed that SignGuard outperforms the existing OSVSs. The proposed architecture shows enhanced security and reliability for real-world applications in business, legal, and administrative systems. The outstanding performance of SignGuard highlights the authenticity of legal documents and financial transactions.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矢状旁与经椎间孔硬膜外类固醇注射硬膜外腔对比流量和临床结果的比较</w:t>
      </w:r>
    </w:p>
    <w:p>
      <w:r>
        <w:rPr>
          <w:rFonts w:ascii="Times New Roman" w:hAnsi="Times New Roman" w:eastAsia="宋体"/>
          <w:b/>
          <w:color w:val="003264"/>
          <w:sz w:val="24"/>
        </w:rPr>
        <w:t>Comparison of epidural space contrast flow and clinical outcomes in parasagittal versus transforaminal epidural steroid injection</w:t>
      </w:r>
    </w:p>
    <w:p>
      <w:r>
        <w:rPr>
          <w:rFonts w:ascii="Times New Roman" w:hAnsi="Times New Roman" w:eastAsia="宋体"/>
          <w:sz w:val="21"/>
        </w:rPr>
        <w:t>作者: Narges Khojasteh, Hossein Majedi, Ali Emami Meibodi, Alireza Khajehnasiri, Reza Atef Yekta, Nader Ali Nazemian Yazdi, Mojgan Rahimi, Sogol Alikarami, Koorosh Kamali, Hamed Abdollahi</w:t>
        <w:br/>
      </w:r>
      <w:r>
        <w:rPr>
          <w:rFonts w:ascii="Times New Roman" w:hAnsi="Times New Roman" w:eastAsia="宋体"/>
          <w:sz w:val="21"/>
        </w:rPr>
        <w:t xml:space="preserve">时间: 2026-02-03 | </w:t>
      </w:r>
      <w:r>
        <w:t xml:space="preserve">链接: </w:t>
      </w:r>
      <w:hyperlink r:id="rId192">
        <w:r>
          <w:rPr>
            <w:rFonts w:ascii="Times New Roman" w:hAnsi="Times New Roman" w:eastAsia="宋体"/>
            <w:color w:val="0000FF"/>
            <w:sz w:val="21"/>
            <w:u w:val="single"/>
          </w:rPr>
          <w:t>https://doi.org/10.1038/s41598-026-36056-6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硬膜外类固醇注射（ESI）常用于治疗腰骶神经根性疼痛，但硬膜外腔内溶质的扩散情况需要进一步研究。这项半盲、随机研究评估了 79 名患有腰痛的成人采用旁矢状椎板间 (PIL) 和经椎间孔 (TF) 入路的临床结果和对比传播模式。参与者被随机分配接受 TF-ESI（3 毫升）或高容量 PIL-ESI（10 毫升）。所有手术均在荧光镜引导下进行。由一位盲法疼痛专家评估造影剂扩散情况，并在治疗后两周、一个月、两个月和六个月测量临床结果，包括镇痛、患者满意度和生活质量。结果显示各组之间的基线特征没有差异。两组在基线和治疗后六个月的平均疼痛强度没有统计学上的显着差异（p分别为0.590和0.484）。六个月内，疼痛缓解、满意度、生活质量和对比剂扩散至硬膜外腔前部没有差异。然而，TF 组需要更多的透视图像 (p &lt; 0.001)。高容量 PIL-ESI 提供与 TF-ESI 相当的临床疗效和前部对比度分布，且所需的荧光镜图像更少。</w:t>
      </w:r>
    </w:p>
    <w:p>
      <w:pPr>
        <w:spacing w:before="120"/>
      </w:pPr>
      <w:r>
        <w:rPr>
          <w:rFonts w:ascii="Times New Roman" w:hAnsi="Times New Roman" w:eastAsia="宋体"/>
          <w:b/>
          <w:sz w:val="21"/>
        </w:rPr>
        <w:t>English Abstract:</w:t>
      </w:r>
    </w:p>
    <w:p>
      <w:r>
        <w:rPr>
          <w:rFonts w:ascii="Times New Roman" w:hAnsi="Times New Roman" w:eastAsia="宋体"/>
          <w:sz w:val="21"/>
        </w:rPr>
        <w:t>Abstract Epidural steroid injections (ESI) are frequently used to treat lumbosacral radicular pain, but the solute spread in the epidural space needs further investigation. This semi-blind, randomized study assessed clinical outcomes and contrast spread patterns between the parasagittal interlaminar (PIL) and transforaminal (TF) approaches in 79 adults with low back pain. Participants were randomly assigned to receive either TF-ESI (3 ml) or high-volume PIL-ESI (10 ml). All procedures were performed under fluoroscopic guidance. Contrast spread was evaluated by a blinded pain specialist, and clinical outcomes, including analgesia, patient satisfaction, and quality of life, were measured at two weeks, one month, two months, and six months post-treatment. Results showed no differences in baseline characteristics between groups. There were no statistically significant differences between the two groups in mean pain intensity at baseline and six months after treatment ( p = 0.590 and 0.484, respectively). Pain relief, satisfaction, quality of life, and contrast spread to the anterior epidural space did not differ over six months. However, the TF group required significantly more fluoroscopic images ( p &lt; 0.001). High-volume PIL-ESI provides clinical efficacy and anterior contrast distribution equivalent to TF-ESI, with fewer fluoroscopic images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买麻藤 var. 的药理学分析丁香提取物具有抗菌、抗氧化、细胞毒性和抗炎活性</w:t>
      </w:r>
    </w:p>
    <w:p>
      <w:r>
        <w:rPr>
          <w:rFonts w:ascii="Times New Roman" w:hAnsi="Times New Roman" w:eastAsia="宋体"/>
          <w:b/>
          <w:color w:val="003264"/>
          <w:sz w:val="24"/>
        </w:rPr>
        <w:t>Pharmacological profiling of Gnetum gnemon var. tenerum extracts exhibits antibacterial, antioxidant, cytotoxic and anti-inflammatory activities</w:t>
      </w:r>
    </w:p>
    <w:p>
      <w:r>
        <w:rPr>
          <w:rFonts w:ascii="Times New Roman" w:hAnsi="Times New Roman" w:eastAsia="宋体"/>
          <w:sz w:val="21"/>
        </w:rPr>
        <w:t>作者: Tachpon Techarang, Nateelak Kooltheat, Watcharapong Mitsuwan, Morteza Saki, Chonticha Romyasamit</w:t>
        <w:br/>
      </w:r>
      <w:r>
        <w:rPr>
          <w:rFonts w:ascii="Times New Roman" w:hAnsi="Times New Roman" w:eastAsia="宋体"/>
          <w:sz w:val="21"/>
        </w:rPr>
        <w:t xml:space="preserve">时间: 2026-02-03 | </w:t>
      </w:r>
      <w:r>
        <w:t xml:space="preserve">链接: </w:t>
      </w:r>
      <w:hyperlink r:id="rId193">
        <w:r>
          <w:rPr>
            <w:rFonts w:ascii="Times New Roman" w:hAnsi="Times New Roman" w:eastAsia="宋体"/>
            <w:color w:val="0000FF"/>
            <w:sz w:val="21"/>
            <w:u w:val="single"/>
          </w:rPr>
          <w:t>https://doi.org/10.1038/s41598-026-38348-3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本研究对买麻藤粗提物和溶剂分配部位进行了全面的体外药理学评价。特内鲁姆。 LC-MS 代谢物分析鉴定出 77 种化合物，包括类黄酮和苯乙醇胺衍生物，它们具有本文所述的抗氧化、细胞毒性和抗炎活性。对总酚和类黄酮含量 (TPC/TFC) 进行了定量，表明乙酸乙酯和正丁醇部分含有最高水平的这些植物化学物质。这些组分在 ABTS 和 DPPH 测定中均表现出很强的抗氧化活性。使用纸片扩散、MIC 和 MBC 测定法评估提取物对五种病原菌的抗菌活性，其中氯仿和乙酸乙酯组分表现出最高的效力，对鲍曼不动杆菌的 MIC 值低至 0.049 mg/mL。对人胃肠癌细胞系（AGS、HT-29）和正常肠上皮细胞系（HIEC-6）的细胞毒性测试显示，对癌细胞具有剂量依赖性细胞毒性，而对正常细胞的影响明显较低，表明有选择性作用。通过 LPS 刺激的 RAW264.7 巨噬细胞中一氧化氮 (NO) 抑制来评估抗炎活性，结果表明氯仿和乙酸乙酯组分最有效地抑制 NO 产生。这些发现为 G.gnemon 的传统用途提供了科学支持，并强调其提取物是生物活性化合物的有前途的来源，具有抗氧化应激、细菌感染、炎症和癌症的多靶点药理潜力。</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conducted a comprehensive in vitro pharmacological evaluation of the crude extract and solvent-partitioned fractions of Gnetum gnemon var. tenerum . LC–MS metabolite profiling identified 77 compounds, including flavonoids and phenylethanolamine derivatives, that exhibit the antioxidant, cytotoxic, and anti-inflammatory activities described in this paper. The total phenolic and flavonoid contents (TPC/TFC) were quantified, showed that the ethyl acetate and n-butanol fractions contained the highest levels of these phytochemicals. These fractions exhibited strong antioxidant activity in both ABTS and DPPH assays. The antibacterial activity of the extracts was assessed using disk diffusion, MIC, and MBC assays against five pathogenic bacteria, where the chloroform and ethyl acetate fractions demonstrated the highest potency, with MIC values as low as 0.049 mg/mL against Acinetobacter baumannii . Cytotoxicity testing on human gastrointestinal cancer cell lines (AGS, HT-29) and a normal intestinal epithelial cell line (HIEC-6) showed dose-dependent cytotoxicity toward cancer cells while exerting markedly lower effects on normal cells, suggesting selective action. Anti-inflammatory activity, evaluated by nitric oxide (NO) inhibition in LPS-stimulated RAW264.7 macrophages, revealed that the chloroform and ethyl acetate fractions most effectively suppressed NO production. These findings provide scientific support for the traditional uses of G. gnemon and highlight its extracts as a promising source of bioactive compounds with multi-target pharmacological potential against oxidative stress, bacterial infections, inflammation, and cancer.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氢集成电力系统规划的线性规划模型</w:t>
      </w:r>
    </w:p>
    <w:p>
      <w:r>
        <w:rPr>
          <w:rFonts w:ascii="Times New Roman" w:hAnsi="Times New Roman" w:eastAsia="宋体"/>
          <w:b/>
          <w:color w:val="003264"/>
          <w:sz w:val="24"/>
        </w:rPr>
        <w:t>A linear programming model for power system planning with hydrogen integration</w:t>
      </w:r>
    </w:p>
    <w:p>
      <w:r>
        <w:rPr>
          <w:rFonts w:ascii="Times New Roman" w:hAnsi="Times New Roman" w:eastAsia="宋体"/>
          <w:sz w:val="21"/>
        </w:rPr>
        <w:t>作者: Issa Zaiter, Andrei Sleptchenko, Ahmad Mayyas, Raed Jaradat, Toufic Mezher</w:t>
        <w:br/>
      </w:r>
      <w:r>
        <w:rPr>
          <w:rFonts w:ascii="Times New Roman" w:hAnsi="Times New Roman" w:eastAsia="宋体"/>
          <w:sz w:val="21"/>
        </w:rPr>
        <w:t xml:space="preserve">时间: 2026-02-03 | </w:t>
      </w:r>
      <w:r>
        <w:t xml:space="preserve">链接: </w:t>
      </w:r>
      <w:hyperlink r:id="rId194">
        <w:r>
          <w:rPr>
            <w:rFonts w:ascii="Times New Roman" w:hAnsi="Times New Roman" w:eastAsia="宋体"/>
            <w:color w:val="0000FF"/>
            <w:sz w:val="21"/>
            <w:u w:val="single"/>
          </w:rPr>
          <w:t>https://doi.org/10.1038/s41598-026-35701-4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济脱碳的迫切需要使氢成为难以减排行业的清洁燃料和可再生能源整合的缓冲。对于拥有丰富太阳能资源的阿拉伯联合酋长国（UAE）来说，氢在电力系统中的大规模作用仍未得到充分探索。本研究开发了一种每小时分辨率的线性规划优化模型，以评估氢作为储能介质和工业商品的经济和环境效益。该模型优化了太阳能光伏、风能、核能和天然气发电，以及电池和包括地下储氢在内的氢气子系统，以满足预计的 2030 年电力（203 太瓦时）和氢气（1.4 百万吨）需求目标。该模型采用 Python 实现并通过 Gurobi 求解，确定了一个成本最优的系统，其电力成本为 0.065 美元/千瓦时，氢气成本为 2.56 美元/公斤。结果突显了氢对碳税和天然气价格波动的脆弱性，同时证实了氢在储存和需求供应方面的成本效益。</w:t>
      </w:r>
    </w:p>
    <w:p>
      <w:pPr>
        <w:spacing w:before="120"/>
      </w:pPr>
      <w:r>
        <w:rPr>
          <w:rFonts w:ascii="Times New Roman" w:hAnsi="Times New Roman" w:eastAsia="宋体"/>
          <w:b/>
          <w:sz w:val="21"/>
        </w:rPr>
        <w:t>English Abstract:</w:t>
      </w:r>
    </w:p>
    <w:p>
      <w:r>
        <w:rPr>
          <w:rFonts w:ascii="Times New Roman" w:hAnsi="Times New Roman" w:eastAsia="宋体"/>
          <w:sz w:val="21"/>
        </w:rPr>
        <w:t>The imperative to decarbonize the economy has positioned hydrogen as a clean fuel for hard-to-abate sectors and as a buffer for renewable energy integration. For the United Arab Emirates (UAE), with abundant solar resources, the large-scale role of hydrogen in the power system remains underexplored. This study develops an hourly-resolution linear programming optimization model to evaluate the economic and environmental benefits of hydrogen integration as both an energy storage medium and an industrial commodity. The model optimizes solar PV, wind, nuclear, and natural gas generation, along with batteries and a hydrogen subsystem including underground hydrogen storage, to meet projected 2030 electricity (203 TWh) and hydrogen (1.4 Mton) demand targets. Implemented in Python and solved with Gurobi, the model identifies a cost-optimal system that yields a levelized cost of electricity of $0.065/kWh and hydrogen of $2.56/kg. The results highlight vulnerability to carbon taxation and gas price volatility, while confirming hydrogen’s cost-effectiveness for storage and demand supply.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评估大型植物的矿物质成分和体外养分消化率，以评估其作为可持续动物饲料的潜力</w:t>
      </w:r>
    </w:p>
    <w:p>
      <w:r>
        <w:rPr>
          <w:rFonts w:ascii="Times New Roman" w:hAnsi="Times New Roman" w:eastAsia="宋体"/>
          <w:b/>
          <w:color w:val="003264"/>
          <w:sz w:val="24"/>
        </w:rPr>
        <w:t>Evaluation of mineral composition and in-vitro nutrient digestibility of macrophytes to assess their potential as sustainable animal feed</w:t>
      </w:r>
    </w:p>
    <w:p>
      <w:r>
        <w:rPr>
          <w:rFonts w:ascii="Times New Roman" w:hAnsi="Times New Roman" w:eastAsia="宋体"/>
          <w:sz w:val="21"/>
        </w:rPr>
        <w:t>作者: Munibul Islam, Gowher Gull Sheikh, Qazi Shehriyar Sahib, Haidar Ali Ahmed</w:t>
        <w:br/>
      </w:r>
      <w:r>
        <w:rPr>
          <w:rFonts w:ascii="Times New Roman" w:hAnsi="Times New Roman" w:eastAsia="宋体"/>
          <w:sz w:val="21"/>
        </w:rPr>
        <w:t xml:space="preserve">时间: 2026-02-03 | </w:t>
      </w:r>
      <w:r>
        <w:t xml:space="preserve">链接: </w:t>
      </w:r>
      <w:hyperlink r:id="rId195">
        <w:r>
          <w:rPr>
            <w:rFonts w:ascii="Times New Roman" w:hAnsi="Times New Roman" w:eastAsia="宋体"/>
            <w:color w:val="0000FF"/>
            <w:sz w:val="21"/>
            <w:u w:val="single"/>
          </w:rPr>
          <w:t>https://doi.org/10.1038/s41598-026-37642-4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评估了从达尔湖、马纳斯巴尔湖、霍克萨尔湖和安查尔湖收集的各种水生植物的宏观和微观矿物质特征，评估了重金属浓度，并确定了其体外消化率。宏观矿物质分析揭示了每个湖泊不同物种之间的显着差异，突出了这些水生植物的营养多样性。达尔湖的青萍、马纳斯巴尔湖的满江红、Hokersar 湖的酸模、安查尔湖的青萍和红萍表现出值得注意的大量矿物质浓度。就微量矿物质而言，达尔湖水生植物的铜 (Cu) 浓度一致，而睡莲 (Nymphaea tetragona) 的铁含量显着较高 (p &lt; 0.05)。研究发现其他湖泊的大型植物中微量矿物质浓度也有类似的趋势。重金属分析表明，达尔湖和马纳斯巴尔湖的大型植物的浓度不同，其中一些物种显示出植物修复剂的潜力。体外消化率结果显示，来自达尔湖的荷花、菱角和浮萍的干物质 (DM)、有机质 (OM) 和中性洗涤纤维 (NDF) 的消化率显着较高 (p &lt; 0.05)，而来自马纳斯巴尔湖的睡莲也显示出显着较高的值 (p &lt; 0.05)。来自 Nigeen Lake 的香蒲、荇菜和金鱼藻的体外消化率值显着较低 (p &lt; 0.05)，同样，来自 Anchar 湖的 Nymphoides peltata 也表现出较低的值。该研究强调了环境因素对矿物质积累的影响以及水生植物在营养物去除和植物修复方面的潜在用途。</w:t>
      </w:r>
    </w:p>
    <w:p>
      <w:pPr>
        <w:spacing w:before="120"/>
      </w:pPr>
      <w:r>
        <w:rPr>
          <w:rFonts w:ascii="Times New Roman" w:hAnsi="Times New Roman" w:eastAsia="宋体"/>
          <w:b/>
          <w:sz w:val="21"/>
        </w:rPr>
        <w:t>English Abstract:</w:t>
      </w:r>
    </w:p>
    <w:p>
      <w:r>
        <w:rPr>
          <w:rFonts w:ascii="Times New Roman" w:hAnsi="Times New Roman" w:eastAsia="宋体"/>
          <w:sz w:val="21"/>
        </w:rPr>
        <w:t>The current study evaluates the macro- and micro-mineral profiles, assesses heavy metal concentrations, and determines the in-vitro digestibility of various aquatic macrophytes collected from Dal Lake, Manasbal Lake, Hokersar Lake, and Anchar Lake. The macro-mineral analysis reveals significant variations among different species in each lake, highlighting the nutritional diversity of these aquatic plants. Lemna minor from Dal Lake, Azolla cristata from Manasbal Lake, Rumex rupestris from Hokersar Lake, and Lemna minor and Azolla cristata from Anchar Lake exhibited noteworthy macro-mineral concentrations. In terms of micro-minerals, Copper (Cu) concentrations were consistent among macrophytes from Dal Lake, while Fe levels were significantly higher (p &lt; 0.05) in Nymphaea tetragona. The study found similar trends in micro-mineral concentrations in macrophytes from other lakes. The heavy metal analysis demonstrated varying concentrations among macrophytes in Dal Lake and Manasbal Lake, with some species showing potential as phytoremediators. The outcomes of in-vitro digestibility revealed significantly higher (p &lt; 0.05) digestibilities of dry matter (DM), organic matter (OM), and neutral detergent fiber (NDF) in weeds Nelumbo nucifera, Trapa natans, and Lemna minor sourced from Dal Lake, whereas, Nymphaea tetragona from Manasbal Lake also revealed significantly higher values (p &lt; 0.05). Significantly lower (p &lt; 0.05) in-vitro digestibility values were revealed by Typha angustata, Nymphoides aquatica, and Ceratophyllum demersum from Nigeen Lake, likewise Nymphoides peltata sourced from Anchar Lake exhibited lower values. The study emphasizes the impact of environmental factors on mineral accumulation and the potential use of aquatic plants for nutrient removal and phytoremediation.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AA2014 和 AA5052 异种铝合金搅拌摩擦焊参数优化</w:t>
      </w:r>
    </w:p>
    <w:p>
      <w:r>
        <w:rPr>
          <w:rFonts w:ascii="Times New Roman" w:hAnsi="Times New Roman" w:eastAsia="宋体"/>
          <w:b/>
          <w:color w:val="003264"/>
          <w:sz w:val="24"/>
        </w:rPr>
        <w:t>Friction stir welding parameter optimization for dissimilar AA2014 and AA5052 aluminium alloys</w:t>
      </w:r>
    </w:p>
    <w:p>
      <w:r>
        <w:rPr>
          <w:rFonts w:ascii="Times New Roman" w:hAnsi="Times New Roman" w:eastAsia="宋体"/>
          <w:sz w:val="21"/>
        </w:rPr>
        <w:t>作者: Seenivasan Soundararjan, C. Jeevakarunya, P. Raj Kumar, R. Chandraprakash, Sathish Kannan, A. Saiyathibrahim, A. Johnson Santhosh</w:t>
        <w:br/>
      </w:r>
      <w:r>
        <w:rPr>
          <w:rFonts w:ascii="Times New Roman" w:hAnsi="Times New Roman" w:eastAsia="宋体"/>
          <w:sz w:val="21"/>
        </w:rPr>
        <w:t xml:space="preserve">时间: 2026-02-03 | </w:t>
      </w:r>
      <w:r>
        <w:t xml:space="preserve">链接: </w:t>
      </w:r>
      <w:hyperlink r:id="rId196">
        <w:r>
          <w:rPr>
            <w:rFonts w:ascii="Times New Roman" w:hAnsi="Times New Roman" w:eastAsia="宋体"/>
            <w:color w:val="0000FF"/>
            <w:sz w:val="21"/>
            <w:u w:val="single"/>
          </w:rPr>
          <w:t>https://doi.org/10.1038/s41598-026-37562-3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这项科学研究利用响应面法（RSM）和Box-Behnken设计（BBD）优化了AA2014和AA5052异种铝合金的搅拌摩擦焊（FSW）参数。系统地改变四个关键加工变量，即工具转速（1500-2100 rpm）、销几何形状（三角形、圆形、方形）、轴向载荷（7-10 kN）和焊接速度（10-20 mm/min），以评估它们对极限抗拉强度（UTS）、屈服强度（YS）、伸长率（E）和显微硬度（H）的影响。使用期望函数进行的多响应优化揭示了一组有利条件：1879.95 rpm、方销、10 kN 轴向载荷和 17.62 mm/min 焊接速度。在这些条件下，焊缝的机械性能表现出 UTS = 257.76 MPa、YS = 196.96 MPa、E = 4.41% 和 H = 100.96 Hv 的平衡，综合期望值为 0.880。随后的验证实验证明该模型是可靠的，UTS和YS的预测误差均小于1.5%。显微组织检查表明，优化后的焊缝具有细小的等轴晶组织，搅拌区Al2CuMg析出物分布均匀，这是由于完全的动态再结晶和充分的材料混合所致。相反，次优参数会产生粗晶粒、析出物簇和隧道缺陷，这与较差的机械性能相关。在这项研究中，RSM-BBD-合意性方法的集成方法已被证明可以有效优化这对异种合金的 FSW，以生产出无缺陷的接头，并具有改进的强度-硬度平衡，适合轻质结构应用。</w:t>
      </w:r>
    </w:p>
    <w:p>
      <w:pPr>
        <w:spacing w:before="120"/>
      </w:pPr>
      <w:r>
        <w:rPr>
          <w:rFonts w:ascii="Times New Roman" w:hAnsi="Times New Roman" w:eastAsia="宋体"/>
          <w:b/>
          <w:sz w:val="21"/>
        </w:rPr>
        <w:t>English Abstract:</w:t>
      </w:r>
    </w:p>
    <w:p>
      <w:r>
        <w:rPr>
          <w:rFonts w:ascii="Times New Roman" w:hAnsi="Times New Roman" w:eastAsia="宋体"/>
          <w:sz w:val="21"/>
        </w:rPr>
        <w:t>This scientific research has optimized the parameters of Friction Stir Welding (FSW) for dissimilar aluminium alloys of AA2014 and AA5052 by using Response Surface Methodology (RSM) with a Box-Behnken Design (BBD). Four critical processing variables, i.e., tool rotating speed (1500–2100 rpm), pin geometry (triangle, circular, square), axial load (7–10 kN), and welding speed (10–20 mm/min), were systematically varied to assess their influence on ultimate tensile strength (UTS), yield strength (YS), elongation (E), and microhardness (H). Multi-response optimization using the desirability function revealed a set of favourable conditions: 1879.95 rpm, square pin, 10 kN axial load, and 17.62 mm/min welding speed. Under these conditions the mechanical performance of the weld showed a balance of UTS = 257.76 MPa, YS = 196.96 MPa, E = 4.41%, and H = 100.96 Hv with a combined desirability of 0.880. Subsequent validation experiments proved the model to be reliable, with errors in the prediction of UTS and YS less than 1.5%. Microstructural examination showed that the optimized weld had a fine equiaxed grain structure and a homogeneous distribution of Al2CuMg precipitates in the stir zone that is due to complete dynamic recrystallization and thorough material mixing. On the contrary, coarse grains, clusters of precipitates, and tunnel defects were produced by sub-optimal parameters, which correlated with inferior mechanical properties. In this research, the integrated approach of RSM-BBD-desirability approach has been shown to be effective in the optimization of FSW of this dissimilar pair of alloys to produce defect-free joints with an improved strength-hardness balance suitable for lightweight structural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由紧急医疗服务数据支持的机器学习模型增强了院前环境中的中风分诊</w:t>
      </w:r>
    </w:p>
    <w:p>
      <w:r>
        <w:rPr>
          <w:rFonts w:ascii="Times New Roman" w:hAnsi="Times New Roman" w:eastAsia="宋体"/>
          <w:b/>
          <w:color w:val="003264"/>
          <w:sz w:val="24"/>
        </w:rPr>
        <w:t>Machine learning models powered by emergency medical services data enhance stroke triage in prehospital settings</w:t>
      </w:r>
    </w:p>
    <w:p>
      <w:r>
        <w:rPr>
          <w:rFonts w:ascii="Times New Roman" w:hAnsi="Times New Roman" w:eastAsia="宋体"/>
          <w:sz w:val="21"/>
        </w:rPr>
        <w:t>作者: Michael Saban, Grant Hiura, Paula de la Peña, Amy Wozniak, Daniel Heiferman, Oguz Akbilgic, Mark Cichon, Samie Tootooni</w:t>
        <w:br/>
      </w:r>
      <w:r>
        <w:rPr>
          <w:rFonts w:ascii="Times New Roman" w:hAnsi="Times New Roman" w:eastAsia="宋体"/>
          <w:sz w:val="21"/>
        </w:rPr>
        <w:t xml:space="preserve">时间: 2026-02-03 | </w:t>
      </w:r>
      <w:r>
        <w:t xml:space="preserve">链接: </w:t>
      </w:r>
      <w:hyperlink r:id="rId197">
        <w:r>
          <w:rPr>
            <w:rFonts w:ascii="Times New Roman" w:hAnsi="Times New Roman" w:eastAsia="宋体"/>
            <w:color w:val="0000FF"/>
            <w:sz w:val="21"/>
            <w:u w:val="single"/>
          </w:rPr>
          <w:t>https://doi.org/10.1038/s41598-026-37069-x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及时的中风诊断对于提供挽救生命的治疗至关重要，但当前的院前中风评估工具经常导致漏诊或延迟诊断。紧急医疗服务 (EMS) 越来越多地在运输过程中收集详细数据，为开发基于人工智能的工具来支持早期中风检测提供了机会。在这项回顾性研究中，我们与急诊科 (ED) 记录相比，评估了院前数据的可用性和可靠性。我们测试了机器学习支持 EMS 中风分诊的潜力。我们的队列包括 2015 年至 2020 年 8,221 次救护车中的 4,333 名患者，中风率为 2.0%（64% 为严重中风）。心率、呼吸频率、血压、血氧饱和度和 GCS 评分等生命体征的记录比例超过 88%，普遍高于 ED 患者。我们训练和评估了用于检测中风和严重中风的随机森林、XGBoost 和顺序神经网络。 XGBoost 模型在中风检测方面表现最佳（ROC-AUC 0.843 [0.77–0.89]、PR-AUC 0.293 [0.16–0.45]），而随机森林在严重中风方面表现最佳（ROC-AUC 0.826 [0.75–0.90]、PR-AUC 0.186 [0.07–0.35]）。模型经过校准以提高可靠性，并使用 SHAP 评估特征重要性以增强可解释性。这些发现凸显了基于人工智能的工具在利用实时 EMS 数据改善院前中风分诊方面的前景。</w:t>
      </w:r>
    </w:p>
    <w:p>
      <w:pPr>
        <w:spacing w:before="120"/>
      </w:pPr>
      <w:r>
        <w:rPr>
          <w:rFonts w:ascii="Times New Roman" w:hAnsi="Times New Roman" w:eastAsia="宋体"/>
          <w:b/>
          <w:sz w:val="21"/>
        </w:rPr>
        <w:t>English Abstract:</w:t>
      </w:r>
    </w:p>
    <w:p>
      <w:r>
        <w:rPr>
          <w:rFonts w:ascii="Times New Roman" w:hAnsi="Times New Roman" w:eastAsia="宋体"/>
          <w:sz w:val="21"/>
        </w:rPr>
        <w:t>Timely stroke diagnosis is essential for delivering life-saving treatments, yet current prehospital stroke assessment tools often lead to missed or delayed diagnoses. Emergency Medical Services (EMS) increasingly collect detailed data during transport, offering an opportunity to develop AI-based tools to support early stroke detection. In this retrospective study, we evaluated the availability and reliability of prehospital data compared to Emergency Department (ED) records. We tested the potential of machine learning to support EMS stroke triage. Our cohort included 4,333 patients across 8,221 ambulance encounters from 2015 to 2020 with stroke rate of 2.0% (64% severe strokes). Vital signs such as heart rate, respiratory rate, blood pressure, oxygen saturation, and GCS scores, recorded in over 88%, were generally higher than their ED counterparts. We trained and evaluated random forest, XGBoost, and sequential neural networks for detecting stroke and severe stroke. The XGBoost model performed best for stroke detection (ROC-AUC 0.843 [0.77–0.89], PR-AUC 0.293 [0.16–0.45]), while Random Forest performed best for severe strokes (ROC-AUC 0.826 [0.75–0.90], PR-AUC 0.186 [0.07–0.35]). Models were calibrated to improve reliability, and feature importance was assessed using SHAP to enhance interpretability. These findings highlight the promise of AI-based tools in improving prehospital stroke triage with real-time EMS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针对医疗数据生态系统中人工智能驱动的威胁传播和零日云漏洞的多层加密信任强化模型</w:t>
      </w:r>
    </w:p>
    <w:p>
      <w:r>
        <w:rPr>
          <w:rFonts w:ascii="Times New Roman" w:hAnsi="Times New Roman" w:eastAsia="宋体"/>
          <w:b/>
          <w:color w:val="003264"/>
          <w:sz w:val="24"/>
        </w:rPr>
        <w:t>A multi-layered cryptographic trust reinforcement model against AI-driven threat propagation and zero-day cloud vulnerabilities in healthcare data ecosystems</w:t>
      </w:r>
    </w:p>
    <w:p>
      <w:r>
        <w:rPr>
          <w:rFonts w:ascii="Times New Roman" w:hAnsi="Times New Roman" w:eastAsia="宋体"/>
          <w:sz w:val="21"/>
        </w:rPr>
        <w:t>作者: Meena Rani, R. Lavanya, K. V. Shahnaz, K. Ramu, Rohit Pachlor, Shitanshu Jain</w:t>
        <w:br/>
      </w:r>
      <w:r>
        <w:rPr>
          <w:rFonts w:ascii="Times New Roman" w:hAnsi="Times New Roman" w:eastAsia="宋体"/>
          <w:sz w:val="21"/>
        </w:rPr>
        <w:t xml:space="preserve">时间: 2026-02-03 | </w:t>
      </w:r>
      <w:r>
        <w:t xml:space="preserve">链接: </w:t>
      </w:r>
      <w:hyperlink r:id="rId198">
        <w:r>
          <w:rPr>
            <w:rFonts w:ascii="Times New Roman" w:hAnsi="Times New Roman" w:eastAsia="宋体"/>
            <w:color w:val="0000FF"/>
            <w:sz w:val="21"/>
            <w:u w:val="single"/>
          </w:rPr>
          <w:t>https://doi.org/10.1038/s41598-026-36966-5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疗云生态系统越来越容易受到网络攻击、零日攻击以及人工智能驱动的攻击的困扰，因此需要在后台安全架构中使用操作可行、可靠、科学的安全架构。本文的作者介绍了多层加密信任强化（MCTR）框架，该框架将分层抗量子密码、通过区块链的去中心化信任验证和基于人工智能的异常检测器结合到一个自适应和协调的安全框架中。与当前的混合医疗保健安全模型相比，所提供的解决方案提供了数学控制的信任开发、协调的多节点零日缓解以及区块链控制的取证透明度。对真实医疗保健数据的大规模模拟表明，威胁检测率为 95-98%，误报率不超过 2.5%，区块链吞吐量每秒超过 130 笔交易，区块链对零日攻击的有效率超过 91%，且延迟水平合理。这些结果证明 MCTR 在技术上是合理的，在计算上不可能不可行，并且实际上可以用于实时医疗保健环境。</w:t>
      </w:r>
    </w:p>
    <w:p>
      <w:pPr>
        <w:spacing w:before="120"/>
      </w:pPr>
      <w:r>
        <w:rPr>
          <w:rFonts w:ascii="Times New Roman" w:hAnsi="Times New Roman" w:eastAsia="宋体"/>
          <w:b/>
          <w:sz w:val="21"/>
        </w:rPr>
        <w:t>English Abstract:</w:t>
      </w:r>
    </w:p>
    <w:p>
      <w:r>
        <w:rPr>
          <w:rFonts w:ascii="Times New Roman" w:hAnsi="Times New Roman" w:eastAsia="宋体"/>
          <w:sz w:val="21"/>
        </w:rPr>
        <w:t>The healthcare cloud ecosystem is getting vulnerable to cyberattacks, zero-day attacks and being plagued by AI-driven attacks, hence the need to use operationally feasible, solid, scientific in background security architectures. The authors of this paper introduce a Multi-Layered Cryptographic Trust Reinforcement (MCTR) framework, which unites hierarchical quantum-resistant cryptography, decentralized trust validation through blockchain and AI-based anomaly detector into an adaptive and coordinated security framework. In contrast to the current hybrid healthcare security models, the offered solution provides mathematically controlled trust development, coordinated multi-node zero-day mitigation, and blockchain-controlled forensic transparency. Large-scale simulations with real-world healthcare data show that the threat detection rate is 95–98%, the false positive rate does not surpass 2.5%, blockchain throughput is over 130 transactions per second, and blockchain is over 91% effective against zero-day attacks with a reasonable level of latency. These results prove that MCTR is technically sound, cannot be computationally unfeasible, and practically can be used in real-time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一种增强隧道视力患者视野的改进缝雕方法</w:t>
      </w:r>
    </w:p>
    <w:p>
      <w:r>
        <w:rPr>
          <w:rFonts w:ascii="Times New Roman" w:hAnsi="Times New Roman" w:eastAsia="宋体"/>
          <w:b/>
          <w:color w:val="003264"/>
          <w:sz w:val="24"/>
        </w:rPr>
        <w:t>An improved seam carving method for enhancing the visual field of tunnel vision patients</w:t>
      </w:r>
    </w:p>
    <w:p>
      <w:r>
        <w:rPr>
          <w:rFonts w:ascii="Times New Roman" w:hAnsi="Times New Roman" w:eastAsia="宋体"/>
          <w:sz w:val="21"/>
        </w:rPr>
        <w:t>作者: Dina El-Torky, Salsabil El-Regaily, Ahmad Moadamani, Ahmed Osama, Alaa Mostafa, Amira Yasser, Mosaab Ghaley, Shahd Ashraf, Maryam Al-Berry, Zaki Fayed</w:t>
        <w:br/>
      </w:r>
      <w:r>
        <w:rPr>
          <w:rFonts w:ascii="Times New Roman" w:hAnsi="Times New Roman" w:eastAsia="宋体"/>
          <w:sz w:val="21"/>
        </w:rPr>
        <w:t xml:space="preserve">时间: 2026-02-03 | </w:t>
      </w:r>
      <w:r>
        <w:t xml:space="preserve">链接: </w:t>
      </w:r>
      <w:hyperlink r:id="rId199">
        <w:r>
          <w:rPr>
            <w:rFonts w:ascii="Times New Roman" w:hAnsi="Times New Roman" w:eastAsia="宋体"/>
            <w:color w:val="0000FF"/>
            <w:sz w:val="21"/>
            <w:u w:val="single"/>
          </w:rPr>
          <w:t>https://doi.org/10.1038/s41598-026-35527-0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视力障碍有多种形式，所有这些都会对患者的日常活动产生负面影响，并妨碍患者执行简单的行动，例如安全地在街上行走。内容感知图像重定向可用于增强视野有限（即隧道视野）的患者的场景。本研究论文提出了一种改进的接缝雕刻方法，该方法可以减小输入图像的宽度以适应患者的视角，同时保留原始图像中的重要对象以及图像细节。该方法通过使用结合深度、显着性、前景分割和边缘检测特征的多尺度图像融合计算能量图来增强原始接缝雕刻，并使用前向中间方法进行接缝去除步骤。结果显示，效率优于各种重定向方法，整合了结构、感知和基于特征的质量指标的综合得分提高了 30.8%。使用配对 t 检验 ( $$n = 73$$ ) 的统计分析证实，与基线接缝雕刻方法相比，所有主要指标 ( $$p&lt;0.001$$ ) 都取得了统计上的显着改进，包括 SSIM、SIFT 特征匹配和基于现代深度学习的感知质量指标。</w:t>
      </w:r>
    </w:p>
    <w:p>
      <w:pPr>
        <w:spacing w:before="120"/>
      </w:pPr>
      <w:r>
        <w:rPr>
          <w:rFonts w:ascii="Times New Roman" w:hAnsi="Times New Roman" w:eastAsia="宋体"/>
          <w:b/>
          <w:sz w:val="21"/>
        </w:rPr>
        <w:t>English Abstract:</w:t>
      </w:r>
    </w:p>
    <w:p>
      <w:r>
        <w:rPr>
          <w:rFonts w:ascii="Times New Roman" w:hAnsi="Times New Roman" w:eastAsia="宋体"/>
          <w:sz w:val="21"/>
        </w:rPr>
        <w:t>Abstract Visual impairment has various forms all of which negatively affect the patient’s daily activities and prevent performing simple actions like walking safely in a street. Content-aware image retargeting can be used to enhance the scene for patients who have limited visual field i.e. tunnel vision. A modified Seam Carving method is presented in this research paper which can decrease the width of the input image to fit in the patient’s angle of vision while preserving the important objects in the original image as well as the image details. The method enhanced the original Seam Carving by calculating the energy map using multiscale image fusion that combines depth, saliency, foreground segmentation, and edge detection features, and used a forward-middle approach for the seam removal step. The results showed efficiency that outperformed various retargeting methods, achieving a 30.8% improvement in the composite score that integrates structural, perceptual, and feature-based quality metrics. Statistical analysis using paired t-tests ( $$n = 73$$ ) confirmed statistically significant improvements across all major metrics ( $$p&lt;0.001$$ ), including SSIM, SIFT feature matching, and modern deep learning-based perceptual quality metrics, compared to the baseline seam carving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阳光防护剂对某些生物防治剂的协同活性作为控制棉叶虫、斜纹夜蛾（Boisduval）的新方法</w:t>
      </w:r>
    </w:p>
    <w:p>
      <w:r>
        <w:rPr>
          <w:rFonts w:ascii="Times New Roman" w:hAnsi="Times New Roman" w:eastAsia="宋体"/>
          <w:b/>
          <w:color w:val="003264"/>
          <w:sz w:val="24"/>
        </w:rPr>
        <w:t>Synergistic activity of sunlight protectants on some biocontrol agents as a new approach to control the cotton leaf worm, Spodoptera littoralis (Boisduval)</w:t>
      </w:r>
    </w:p>
    <w:p>
      <w:r>
        <w:rPr>
          <w:rFonts w:ascii="Times New Roman" w:hAnsi="Times New Roman" w:eastAsia="宋体"/>
          <w:sz w:val="21"/>
        </w:rPr>
        <w:t>作者: Radwa G. Attia, Abd El Aziz A. Khidr, Hend A. A. Al-Ashry, M. S. Yones, Mahmoud Sayed, Shireen A. M. Maamoun</w:t>
        <w:br/>
      </w:r>
      <w:r>
        <w:rPr>
          <w:rFonts w:ascii="Times New Roman" w:hAnsi="Times New Roman" w:eastAsia="宋体"/>
          <w:sz w:val="21"/>
        </w:rPr>
        <w:t xml:space="preserve">时间: 2026-02-03 | </w:t>
      </w:r>
      <w:r>
        <w:t xml:space="preserve">链接: </w:t>
      </w:r>
      <w:hyperlink r:id="rId200">
        <w:r>
          <w:rPr>
            <w:rFonts w:ascii="Times New Roman" w:hAnsi="Times New Roman" w:eastAsia="宋体"/>
            <w:color w:val="0000FF"/>
            <w:sz w:val="21"/>
            <w:u w:val="single"/>
          </w:rPr>
          <w:t>https://doi.org/10.1038/s41598-026-35601-7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杀虫剂作为传统化学杀虫剂的可持续且环保的替代品而受到关注。它们具有特定目标、可生物降解，并能减少昆虫抗性的发展。然而，它们的使用通常受到环境不稳定的限制，特别是在阳光和紫外线辐射下，这会迅速降解活性成分并降低功效。需要保护性配方，例如添加紫外线屏蔽剂，以提高其耐用性和功效。本研究调查了三种紫外线防护剂（棕榈酸辛酯、Tinuvin P 和 UV-P）在增强一些生物防治剂（Dipel DF、Tracer 和 Diacox）在田间条件下 15 天的持久性以控制斜纹夜蛾 4 龄幼虫方面的效率。 12天后，所有杀虫剂的残留效果均显着下降，其中Tracer的残留效果最低，死亡率为零，而Diacox + UV防护剂的残留效果最高。到了 15 天，除 Diacox 与棕榈酸辛酯、Tinuvin P 和 UV-P 混合外，均不再具有持续疗效，仍导致 27%、32% 和 12% 的死亡率；分别。处理 15 天后，对北沙蚕幼虫的 SDS-PAGE 显示处理组和对照组之间蛋白质片段数量的差异。处理后的样品中形成了新的蛋白质条带，而一些正常条带消失了。</w:t>
      </w:r>
    </w:p>
    <w:p>
      <w:pPr>
        <w:spacing w:before="120"/>
      </w:pPr>
      <w:r>
        <w:rPr>
          <w:rFonts w:ascii="Times New Roman" w:hAnsi="Times New Roman" w:eastAsia="宋体"/>
          <w:b/>
          <w:sz w:val="21"/>
        </w:rPr>
        <w:t>English Abstract:</w:t>
      </w:r>
    </w:p>
    <w:p>
      <w:r>
        <w:rPr>
          <w:rFonts w:ascii="Times New Roman" w:hAnsi="Times New Roman" w:eastAsia="宋体"/>
          <w:sz w:val="21"/>
        </w:rPr>
        <w:t>Abstract Bioinsecticides have gained attention as a sustainable and eco-friendly alternative to traditional chemical insecticides. They are target-specific, biodegradable, and reduce the development of insect resistance. However, their use is often limited by environmental instability, particularly under sunlight and UV radiation, which rapidly degrade active ingredients and reduce efficacy. Protective formulation, such as addition of UV-screening agents are needed to improve their durability and efficacy. This study investigates the efficiency of three UV protectants, Octylpalmitate, Tinuvin P, and UV- P in enhancing the persistence of some biocontrol agents, Dipel DF, Tracer, and Diacox under field conditions for 15 days to control the 4th instar larvae of Spodoptera littoralis . After 12 days, the residual effect of the all insecticides had markedly decreased, with Tracer showing the lowest persistence with zero mortality, and Diacox + UV protectant the highest. By 15 days, the sustained efficacy was absent, except for Diacox mixed with Octyl palmitate, Tinuvin P, and UV-P, which still caused 27, 32 and 12% mortality; respectively. The SDS-PAGE of S. littoralis larvae following 15 days of treatments revealed differences in the numbers of protein fragments between treated and control. New protein bands formed in the treated samples, while several normal bands disappeared.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使用两种分析方法的广义三阶非线性薛定谔方程的分岔分析和孤子解</w:t>
      </w:r>
    </w:p>
    <w:p>
      <w:r>
        <w:rPr>
          <w:rFonts w:ascii="Times New Roman" w:hAnsi="Times New Roman" w:eastAsia="宋体"/>
          <w:b/>
          <w:color w:val="003264"/>
          <w:sz w:val="24"/>
        </w:rPr>
        <w:t>Bifurcation analysis and soliton solutions of the generalized third-order nonlinear Schrödinger equation using two analytical approaches</w:t>
      </w:r>
    </w:p>
    <w:p>
      <w:r>
        <w:rPr>
          <w:rFonts w:ascii="Times New Roman" w:hAnsi="Times New Roman" w:eastAsia="宋体"/>
          <w:sz w:val="21"/>
        </w:rPr>
        <w:t>作者: Shahida Parveen, Muhammad Abbas, Tahir Nazir, Muhammad Nadeem Anwar, M. R. Alharthi, Muhammad Zain Yousaf, Asnake Birhanu</w:t>
        <w:br/>
      </w:r>
      <w:r>
        <w:rPr>
          <w:rFonts w:ascii="Times New Roman" w:hAnsi="Times New Roman" w:eastAsia="宋体"/>
          <w:sz w:val="21"/>
        </w:rPr>
        <w:t xml:space="preserve">时间: 2026-02-03 | </w:t>
      </w:r>
      <w:r>
        <w:t xml:space="preserve">链接: </w:t>
      </w:r>
      <w:hyperlink r:id="rId201">
        <w:r>
          <w:rPr>
            <w:rFonts w:ascii="Times New Roman" w:hAnsi="Times New Roman" w:eastAsia="宋体"/>
            <w:color w:val="0000FF"/>
            <w:sz w:val="21"/>
            <w:u w:val="single"/>
          </w:rPr>
          <w:t>https://doi.org/10.1038/s41598-026-37836-w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论文用于研究广义三阶非线性薛定谔方程，该方程对于描述光纤、等离子体物理和流体力学中复杂的非线性波传播非常重要。利用广义辅助方程法和改进的修正Sardar-sub方程法得到了各种解析孤子解。利用提出的方法得到了该问题的周期、钟形、反钟形、暗、W型、扭结、反扭结和M形孤子解。以图形方式描述了几种孤子解的行为。这些发现对于工程和数学物理的应用非常重要。平面动力系统理论的一个关键组成部分是由伽利略变换引起的控制方程动力系统的分岔。通过强调系统对其初始条件的敏感性以及其长期演化的不确定性，该研究还研究了混沌行为。最后，进行敏感性分析，以检查改变系统参数对解决方案的稳定性和结果的影响。通过考虑这些因素，这项工作有助于我们理解所提出的模型的动态特性，并为其在非线性媒体和其他研究领域的使用提供有用的见解。与之前的研究相比，这项工作是新颖的，因为它将增强的分析方法应用于广义三阶非线性薛定谔方程，从而产生了更广泛的解类别。</w:t>
      </w:r>
    </w:p>
    <w:p>
      <w:pPr>
        <w:spacing w:before="120"/>
      </w:pPr>
      <w:r>
        <w:rPr>
          <w:rFonts w:ascii="Times New Roman" w:hAnsi="Times New Roman" w:eastAsia="宋体"/>
          <w:b/>
          <w:sz w:val="21"/>
        </w:rPr>
        <w:t>English Abstract:</w:t>
      </w:r>
    </w:p>
    <w:p>
      <w:r>
        <w:rPr>
          <w:rFonts w:ascii="Times New Roman" w:hAnsi="Times New Roman" w:eastAsia="宋体"/>
          <w:sz w:val="21"/>
        </w:rPr>
        <w:t>This research paper is used to examine the generalized third-order nonlinear Schrödinger equation that is important for the description of complex nonlinear wave propagation in optical fibers, plasma physics, and in fluid mechanics. By using the generalized auxiliary equation method and improved modified Sardar-sub equation method various analytical soliton solutions are obtained. The Periodic, bell, anti-bell, dark, W-type, kink, anti-kink, and M-shape solitons solutions of the problem are obtained by using proposed methods. The behavior of several soliton solutions is depicted graphically. The findings are important for applications in engineering and mathematical physics. A key component of planar dynamical system theory is the bifurcation of the dynamical system of the governing equation caused by the Galilean transformation. By emphasizing how susceptible the system is to its initial conditions and how uncertain its long-term evolution is, the study also investigates chaotic behavior. Lastly, sensitivity analysis is performed to examine the effects of altering system parameters on the stability and results of the solutions. By taking these things into account, this work aids in our comprehension of the proposed model’s dynamical characteristics and offers helpful insights into its use in nonlinear media and other fields of research. In contrast to previous research, this work is novel because it applies enhanced analytical methods to the generalized third-order nonlinear Schrödinger equation, resulting in a wider range of solution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单细胞转录组学鉴定膀胱癌中成纤维细胞相关的免疫异质性和预后特征</w:t>
      </w:r>
    </w:p>
    <w:p>
      <w:r>
        <w:rPr>
          <w:rFonts w:ascii="Times New Roman" w:hAnsi="Times New Roman" w:eastAsia="宋体"/>
          <w:b/>
          <w:color w:val="003264"/>
          <w:sz w:val="24"/>
        </w:rPr>
        <w:t>Single-cell transcriptomics identifies fibroblast associated immune heterogeneity and prognostic signatures in bladder cancer</w:t>
      </w:r>
    </w:p>
    <w:p>
      <w:r>
        <w:rPr>
          <w:rFonts w:ascii="Times New Roman" w:hAnsi="Times New Roman" w:eastAsia="宋体"/>
          <w:sz w:val="21"/>
        </w:rPr>
        <w:t>作者: Xiaojuan Tang, Ling Liu, Min Gao, Peng Duan, Sheng Li, Zilong Yuan, Qiang Xia, Lei Xi, Yan Tan</w:t>
        <w:br/>
      </w:r>
      <w:r>
        <w:rPr>
          <w:rFonts w:ascii="Times New Roman" w:hAnsi="Times New Roman" w:eastAsia="宋体"/>
          <w:sz w:val="21"/>
        </w:rPr>
        <w:t xml:space="preserve">时间: 2026-02-03 | </w:t>
      </w:r>
      <w:r>
        <w:t xml:space="preserve">链接: </w:t>
      </w:r>
      <w:hyperlink r:id="rId202">
        <w:r>
          <w:rPr>
            <w:rFonts w:ascii="Times New Roman" w:hAnsi="Times New Roman" w:eastAsia="宋体"/>
            <w:color w:val="0000FF"/>
            <w:sz w:val="21"/>
            <w:u w:val="single"/>
          </w:rPr>
          <w:t>https://doi.org/10.1038/s41598-026-38219-x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膀胱癌（BLCA）的免疫微环境和预后仍然是其治疗中持续存在的挑战。本研究旨在建立预测预后指标并研究免疫微环境以增强临床治疗策略。利用膀胱癌患者的单细胞 RNA-seq 数据构建了单细胞转录图谱，重点关注成纤维细胞相关基因表达、细胞间通讯、单细胞通量估计分析推断的代谢途径和转录因子网络。使用癌症基因组图谱的数据验证了成纤维细胞相关的预后基因特征，并开发了一个预后模型来将膀胱癌患者分为高风险组和低风险组。对三个癌旁单细胞样本的分析揭示了 3,603 个成纤维细胞和 500 个成纤维细胞相关标记基因的存在。值得注意的是，通过 SCENIC 分析鉴定了关键的成纤维细胞特异性转录因子，包括 MAF、TWIST1 和 TCF21。综合RNA测序数据的结合使得能够发现与成纤维细胞相关的预后标记物。使用这种分类模型，可以根据模型将患者生存分为高风险和低风险类别。我们的研究结果强调了 BLCA 中与免疫微环境的成纤维细胞成分相关的预后遗传特征，为预后评估和潜在的治疗意义提供了初步见解。</w:t>
      </w:r>
    </w:p>
    <w:p>
      <w:pPr>
        <w:spacing w:before="120"/>
      </w:pPr>
      <w:r>
        <w:rPr>
          <w:rFonts w:ascii="Times New Roman" w:hAnsi="Times New Roman" w:eastAsia="宋体"/>
          <w:b/>
          <w:sz w:val="21"/>
        </w:rPr>
        <w:t>English Abstract:</w:t>
      </w:r>
    </w:p>
    <w:p>
      <w:r>
        <w:rPr>
          <w:rFonts w:ascii="Times New Roman" w:hAnsi="Times New Roman" w:eastAsia="宋体"/>
          <w:sz w:val="21"/>
        </w:rPr>
        <w:t>The immune microenvironment and prognosis of bladder cancer (BLCA) remain ongoing challenges in its treatment. This study aimed to establish predictive prognostic indicators and investigate the immune microenvironment to enhance clinical treatment strategies. A single-cell transcriptional atlas was constructed using single-cell RNA-seq data from patients with bladder cancer, focusing on fibroblast-related gene expression, intercellular communication, metabolic pathways inferred by single-cell flux estimation analysis, and transcription factor networks. Fibroblast-associated prognostic gene signatures were validated using data from The Cancer Genome Atlas, and a prognostic model was developed to stratify patients with bladder cancer into high- and low-risk groups. Analysis of three para-carcinoma single-cell samples revealed the presence of 3,603 fibroblasts and 500 fibroblast-associated marker genes. Notably, key fibroblast-specific transcription factors, including MAF, TWIST1, and TCF21, were identified through SCENIC analysis. The incorporation of comprehensive RNA sequencing data enabled the discovery of prognostic markers associated with fibroblasts. Using this classification model, patient survival could be stratified into high- and low-risk categories based on the model. The results of our study highlight the prognostic genetic signatures associated with the fibroblast component of the immune microenvironment in BLCA, offering preliminary insights into prognostic assessment and potential therapeutic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一种基于小波的频域方法，用于准确检测多种作物疾病</w:t>
      </w:r>
    </w:p>
    <w:p>
      <w:r>
        <w:rPr>
          <w:rFonts w:ascii="Times New Roman" w:hAnsi="Times New Roman" w:eastAsia="宋体"/>
          <w:b/>
          <w:color w:val="003264"/>
          <w:sz w:val="24"/>
        </w:rPr>
        <w:t>A wavelet-based frequency-domain approach for accurate multi-crop disease detection</w:t>
      </w:r>
    </w:p>
    <w:p>
      <w:r>
        <w:rPr>
          <w:rFonts w:ascii="Times New Roman" w:hAnsi="Times New Roman" w:eastAsia="宋体"/>
          <w:sz w:val="21"/>
        </w:rPr>
        <w:t>作者: Jiamu Zhao, Yongchao Liang, Gongmin Wei, Bing Han, Jie Li, Chaoyi Yu, Junjie Zeng, Shengli He</w:t>
        <w:br/>
      </w:r>
      <w:r>
        <w:rPr>
          <w:rFonts w:ascii="Times New Roman" w:hAnsi="Times New Roman" w:eastAsia="宋体"/>
          <w:sz w:val="21"/>
        </w:rPr>
        <w:t xml:space="preserve">时间: 2026-02-03 | </w:t>
      </w:r>
      <w:r>
        <w:t xml:space="preserve">链接: </w:t>
      </w:r>
      <w:hyperlink r:id="rId203">
        <w:r>
          <w:rPr>
            <w:rFonts w:ascii="Times New Roman" w:hAnsi="Times New Roman" w:eastAsia="宋体"/>
            <w:color w:val="0000FF"/>
            <w:sz w:val="21"/>
            <w:u w:val="single"/>
          </w:rPr>
          <w:t>https://doi.org/10.1038/s41598-026-38476-w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作物病斑的及时定位和诊断对于疾病控制和减少农药使用至关重要。然而，现场病灶通常类似于叶子纹理，规模变化很大，并且受到光照和阴影干扰，这使得同时实现高精度和轻量级推理具有挑战性。我们提出了 WGA-YOLO，一种用于作物病害识别的轻量级 YOLO 变体。我们设计的核心是小波通道重校准（WCR），它是一个基于 DWT 的下采样模块：离散小波变换自然地提供多分辨率、时频局部表示，可以明确地将低频近似与高频边缘/纹理细节分开。 WCR 融合高频和低频分量，并通过频域互补性增强特征表示，从而在分辨率降低期间保留语义和精细纹理信息，而额外成本可以忽略不计。我们还引入了 PS-C2f，它将风车形卷积集成到 C2f 中，以通过多方向、不规则内核更好地捕获微小病变细节，并用动态组注意池（DGAP）取代 SPPF，以实现高效的多尺度上下文聚合。在我们的 PlantDoc_boost 数据集上，WGA-YOLO 比 YOLOv8n 提高了 3.02 和 2.85%，同时将参数和 FLOP 减少了约 0.18 M 和约 0.3G，证明了推理效率和部署友好性的提高，同时在现场场景中保持了强大的检测性能。</w:t>
      </w:r>
    </w:p>
    <w:p>
      <w:pPr>
        <w:spacing w:before="120"/>
      </w:pPr>
      <w:r>
        <w:rPr>
          <w:rFonts w:ascii="Times New Roman" w:hAnsi="Times New Roman" w:eastAsia="宋体"/>
          <w:b/>
          <w:sz w:val="21"/>
        </w:rPr>
        <w:t>English Abstract:</w:t>
      </w:r>
    </w:p>
    <w:p>
      <w:r>
        <w:rPr>
          <w:rFonts w:ascii="Times New Roman" w:hAnsi="Times New Roman" w:eastAsia="宋体"/>
          <w:sz w:val="21"/>
        </w:rPr>
        <w:t>Timely localization and diagnosis of crop lesions are critical for disease control and reducing pesticide use. However, in-field lesions often resemble leaf textures, vary widely in scale, and suffer from lighting and shadow interference—making simultaneous high accuracy and lightweight inference challenging. We propose WGA-YOLO, a lightweight YOLO variant for crop disease recognition. Central to our design is Wavelet Channel Recalibration (WCR), a DWT-based downsampling module: discrete wavelet transform naturally provides multi-resolution, time–frequency localized representations that explicitly separate low-frequency approximations from high-frequency edge/texture details. WCR fuses high- and low-frequency components and enhances feature representation through their frequency-domain complementarity, thereby preserving semantic and fine texture information during resolution reduction with negligible extra cost. We also introduce PS-C2f, which integrates Pinwheel-shaped convolutions into C2f to better capture tiny lesion details via multi-directional, irregular kernels, and replace SPPF with Dynamic Group Attention Pooling (DGAP) for efficient multi-scale context aggregation. On our PlantDoc_boost dataset, WGA-YOLO improves over YOLOv8n by 3.02 and 2.85% points, while reducing parameters and FLOPs by ~ 0.18 M and ~ 0.3G, demonstrating improved inference efficiency and deployment friendliness while maintaining strong detection performance in field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量子优化的分层块编码，具有强大的嵌入，可实现感知完整性和压缩容忍的视觉数据保护</w:t>
      </w:r>
    </w:p>
    <w:p>
      <w:r>
        <w:rPr>
          <w:rFonts w:ascii="Times New Roman" w:hAnsi="Times New Roman" w:eastAsia="宋体"/>
          <w:b/>
          <w:color w:val="003264"/>
          <w:sz w:val="24"/>
        </w:rPr>
        <w:t>Quantum optimized hierarchical chunk encoding with robust embedding for perceptual integrity and compression tolerant visual data protection</w:t>
      </w:r>
    </w:p>
    <w:p>
      <w:r>
        <w:rPr>
          <w:rFonts w:ascii="Times New Roman" w:hAnsi="Times New Roman" w:eastAsia="宋体"/>
          <w:sz w:val="21"/>
        </w:rPr>
        <w:t>作者: G. Suresh, J. Arun Kumar, Vivek Karthick Perumal, S. Ramkumar</w:t>
        <w:br/>
      </w:r>
      <w:r>
        <w:rPr>
          <w:rFonts w:ascii="Times New Roman" w:hAnsi="Times New Roman" w:eastAsia="宋体"/>
          <w:sz w:val="21"/>
        </w:rPr>
        <w:t xml:space="preserve">时间: 2026-02-03 | </w:t>
      </w:r>
      <w:r>
        <w:t xml:space="preserve">链接: </w:t>
      </w:r>
      <w:hyperlink r:id="rId204">
        <w:r>
          <w:rPr>
            <w:rFonts w:ascii="Times New Roman" w:hAnsi="Times New Roman" w:eastAsia="宋体"/>
            <w:color w:val="0000FF"/>
            <w:sz w:val="21"/>
            <w:u w:val="single"/>
          </w:rPr>
          <w:t>https://doi.org/10.1038/s41598-026-38249-5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多媒体通信和图像共享平台的发展呈指数级增长，这增强了未经授权的进入、压缩降级以及视觉数据操纵的威胁。基于固定域变换的经典水印方法很可能是 DCT 和 DWT 并不总是适应不同的压缩率，并且对对抗环境不具有高鲁棒性。此外，可用的方法受到低水平的不可感知性或计算的限制，这阻碍了实时或大规模应用。为了克服这些限制，提出了一种新的感知自适应和压缩敏感图像水印的量子优化分层块编码（QHCE）模型。所提供的方法结合了基于熵的图像四叉树划分、基于显着性的区域选择以及使用多层 DWT 的水印变换域嵌入。量子遗传算法（QGA）用于找到嵌入参数的最佳位置、频带和强度，从而在鲁棒性和视觉保真度之间实现良好的权衡。该模型使用 Python 3.10、PyWavelets 和 Qiskit 进行训练，并在不同 JPEG 压缩比的柯达图像数据集上进行测试。实验结果表明，与基线方法相比有显着改进，平均 PSNR 为 57.8 dB，SSIM 为 0.997，BER 为 0.00%，QF ≥ 70 时提取精度为 100%。与非优化基线相比，基于 QGA 的优化还实现了有效载荷容量增加 19%，运行时间减少 25%。使用 SHA-256 和汉明距离分析，完整性验证的准确度达到 99.95%。将量子启发的优化集成到感知驱动的编码管道中，为下一代视觉数据保护提供了可扩展、安全且高度稳健的解决方案。这为量子安全多媒体系统和水印恢复能力的未来研究提供了一个引人注目的方向。</w:t>
      </w:r>
    </w:p>
    <w:p>
      <w:pPr>
        <w:spacing w:before="120"/>
      </w:pPr>
      <w:r>
        <w:rPr>
          <w:rFonts w:ascii="Times New Roman" w:hAnsi="Times New Roman" w:eastAsia="宋体"/>
          <w:b/>
          <w:sz w:val="21"/>
        </w:rPr>
        <w:t>English Abstract:</w:t>
      </w:r>
    </w:p>
    <w:p>
      <w:r>
        <w:rPr>
          <w:rFonts w:ascii="Times New Roman" w:hAnsi="Times New Roman" w:eastAsia="宋体"/>
          <w:sz w:val="21"/>
        </w:rPr>
        <w:t>The multimedia communication and image-sharing platform development has increased exponentially, which enhances the threat of unauthorized entry, degradation through compression, and the manipulation of the visual data. The classical watermarking methods that are based on fixed-domain transforms are likely DCT and DWT are not always adaptive to different compression rates, and do not have high robustness to adversarial environments. In addition, methods that are available are limited by low levels of imperceptibility or computation, which hinder real time or large-scale application. In order to overcome such limitations, a new Quantum-Optimized Hierarchical Chunk Encoding (QHCE) model of perceptually adaptive and compression-sensitive image watermarking is proposed. The offered approach incorporates the entropy-based quadtree partitioning of the image into chunks, saliency-based region selection, and transform-domain embedding of watermark with the use of multi-layers DWT. Quantum Genetic Algorithm (QGA) is used to find the optimal location, band and strength of the embedding parameter that results in a good trade-off between the robustness and the visual fidelity. The model was trained with Python 3.10 and PyWavelets and Qiskit and tested on Kodak image dataset at different JPEG compression ratios. Experimental results demonstrate a significant improvement over baseline methods, with an average PSNR of 57.8 dB, SSIM of 0.997, 0.00% BER, and 100% extraction accuracy at QF ≥ 70. The QGA-based optimization also achieved a 19% increase in payload capacity and a 25% reduction in runtime compared to non-optimized baselines. Integrity verification reached 99.95% accuracy using SHA-256 and Hamming distance analysis. Integrating quantum-inspired optimization within a perceptually driven encoding pipeline offers a scalable, secure, and highly robust solution for next-generation visual data protection. This provides a compelling direction for future research in quantum-secure multimedia systems and watermark resilience.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罗马尼亚和土耳其五种药用植物提取物的 LC-MS/MS 表征、生物活性和碳酸酐酶抑制潜力</w:t>
      </w:r>
    </w:p>
    <w:p>
      <w:r>
        <w:rPr>
          <w:rFonts w:ascii="Times New Roman" w:hAnsi="Times New Roman" w:eastAsia="宋体"/>
          <w:b/>
          <w:color w:val="003264"/>
          <w:sz w:val="24"/>
        </w:rPr>
        <w:t>LC-MS/MS characterization, biological activity, and carbonic anhydrase inhibitory potential of five medicinal plant extracts from Romania and Türkiye</w:t>
      </w:r>
    </w:p>
    <w:p>
      <w:r>
        <w:rPr>
          <w:rFonts w:ascii="Times New Roman" w:hAnsi="Times New Roman" w:eastAsia="宋体"/>
          <w:sz w:val="21"/>
        </w:rPr>
        <w:t>作者: Eda Büker, Dorina Casoni, Simona Codruta Aurora Cobzac, İbrahim Bilici, Ömer Kayır, Hacer Doğan</w:t>
        <w:br/>
      </w:r>
      <w:r>
        <w:rPr>
          <w:rFonts w:ascii="Times New Roman" w:hAnsi="Times New Roman" w:eastAsia="宋体"/>
          <w:sz w:val="21"/>
        </w:rPr>
        <w:t xml:space="preserve">时间: 2026-02-03 | </w:t>
      </w:r>
      <w:r>
        <w:t xml:space="preserve">链接: </w:t>
      </w:r>
      <w:hyperlink r:id="rId205">
        <w:r>
          <w:rPr>
            <w:rFonts w:ascii="Times New Roman" w:hAnsi="Times New Roman" w:eastAsia="宋体"/>
            <w:color w:val="0000FF"/>
            <w:sz w:val="21"/>
            <w:u w:val="single"/>
          </w:rPr>
          <w:t>https://doi.org/10.1038/s41598-026-38419-5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天然碳酸酐酶（CA）抑制剂因其在利尿、抗青光眼、抗肥胖和抗癌治疗中的潜在应用而受到广泛关注。本研究首次对来自罗马尼亚和土耳其的小茴香、杜松、洋甘菊、贯叶连翘和缬草的水醇提取物的 CA 抑制潜力、抗氧化活性和 LC-MS/MS（液相色谱串联质谱法）植物化学特征进行了比较评估。采用主成分分析 (PCA) 将次生代谢物与观察到的生物活性关联起来。虽然 S. hortensis 和 J. communis 在这两个国家表现出一致的代谢特征，但其他物种则表现出地理差异。相关分析表明，虽然特定的酚酸（例如没食子酸、阿魏酸）支持抗氧化能力，但迷迭香酸和木犀草素对 CA 抑制和利尿潜力有重要贡献。值得注意的是，S. hortensis 成为最有前途的来源；土耳其样品表现出卓越的功效，这归因于高迷迭香酸含量 (49.76 µg/mL) 和显着的 CA 抑制作用 (64.87 µg 乙酰唑酰胺当量/mL)。土耳其的贯叶连翘中的多酚和类黄酮含量最高，分别为 16.95 ± 0.221 和 9.77 ± 0.17。这些发现强调了 S. hortensis 在治疗 CA 相关疾病方面的治疗潜力。</w:t>
      </w:r>
    </w:p>
    <w:p>
      <w:pPr>
        <w:spacing w:before="120"/>
      </w:pPr>
      <w:r>
        <w:rPr>
          <w:rFonts w:ascii="Times New Roman" w:hAnsi="Times New Roman" w:eastAsia="宋体"/>
          <w:b/>
          <w:sz w:val="21"/>
        </w:rPr>
        <w:t>English Abstract:</w:t>
      </w:r>
    </w:p>
    <w:p>
      <w:r>
        <w:rPr>
          <w:rFonts w:ascii="Times New Roman" w:hAnsi="Times New Roman" w:eastAsia="宋体"/>
          <w:sz w:val="21"/>
        </w:rPr>
        <w:t>Natural carbonic anhydrase (CA) inhibitors are gaining significant attention for their potential applications in diuretic, antiglaucoma, anti-obesity, and anticancer therapies. This study provides the first comparative evaluation of CA inhibitory potential, antioxidant activity, and LC-MS/MS (Liquid Chromatography Tandem Mass Spectrometry) phytochemical profiles of hydroalcoholic extracts from Satureja hortensis, Juniperus communis, Matricaria chamomilla, Hypericum perforatum, and Valeriana officinalis sourced from Romania and Türkiye. Principal Component Analysis (PCA) was employed to correlate secondary metabolites with observed biological activities. While S. hortensis and J. communis displayed consistent metabolic profiles across both countries, the other species exhibited geographic variation. Correlation analysis indicated that while specific phenolic acids (e.g., gallic, ferulic) supported antioxidant capacity, rosmarinic acid and luteolin were strong contributors to CA inhibition and diuretic potential. Notably, S. hortensis emerged as the most promising source; the Turkish sample demonstrated superior efficacy, attributed to high rosmarinic acid content (49.76 µg/mL) and substantial CA inhibition (64.87 µg acetazolamide equivalent/mL). The highest values of polyphenol and flavonoid content were found in H. perforatum from Türkiye, with 16.95 ± 0.221 and 9.77 ± 0.17, respectively. These findings underscore the therapeutic potential of S. hortensis in managing CA-related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数字艺术创作的全景图像修复与视觉质量增强方法</w:t>
      </w:r>
    </w:p>
    <w:p>
      <w:r>
        <w:rPr>
          <w:rFonts w:ascii="Times New Roman" w:hAnsi="Times New Roman" w:eastAsia="宋体"/>
          <w:b/>
          <w:color w:val="003264"/>
          <w:sz w:val="24"/>
        </w:rPr>
        <w:t>Panoramic image restoration and visual quality enhancement methods for digital art creation</w:t>
      </w:r>
    </w:p>
    <w:p>
      <w:r>
        <w:rPr>
          <w:rFonts w:ascii="Times New Roman" w:hAnsi="Times New Roman" w:eastAsia="宋体"/>
          <w:sz w:val="21"/>
        </w:rPr>
        <w:t>作者: Zhenxi Yu, Ting Wang, Peng Tian, Xuejie Li</w:t>
        <w:br/>
      </w:r>
      <w:r>
        <w:rPr>
          <w:rFonts w:ascii="Times New Roman" w:hAnsi="Times New Roman" w:eastAsia="宋体"/>
          <w:sz w:val="21"/>
        </w:rPr>
        <w:t xml:space="preserve">时间: 2026-02-03 | </w:t>
      </w:r>
      <w:r>
        <w:t xml:space="preserve">链接: </w:t>
      </w:r>
      <w:hyperlink r:id="rId206">
        <w:r>
          <w:rPr>
            <w:rFonts w:ascii="Times New Roman" w:hAnsi="Times New Roman" w:eastAsia="宋体"/>
            <w:color w:val="0000FF"/>
            <w:sz w:val="21"/>
            <w:u w:val="single"/>
          </w:rPr>
          <w:t>https://doi.org/10.1038/s41598-026-37659-9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景图像以其广阔的视野和丰富的信息，成为数字艺术创作和虚拟现实中必不可少的视觉材料。然而，现有的全景图像恢复和质量增强方法缺乏高层语义理解和全局特征控制，这往往导致复杂场景中的结构混乱。他们还努力平衡语义理解、实时性能和恢复质量。针对这些问题，本文提出了一种用于数字艺术创作的全景图像修复和视觉质量增强模型。该模型使用多尺度残差网络、坐标空间注意力机制和超分辨率重建来构建视觉质量增强算法，准确捕获局部细节和全局结构特征。基于该算法，集成了优化的生成对抗网络和视觉变换器，对损坏和未损坏区域之间的空间相关性和语义逻辑进行建模，实现了高质量的完成。实验结果表明，该模型在DIV2K和SUN360数据集上2000条数据量下，结构相似度指数分别为0.975和0.971，峰值信噪比分别为53.82 dB和53.75 dB，最大内存占用为394 MB，响应时间为3.12 s。该模型在所有指标上均优于比较模型，增强了细节清晰度和全局一致性，并保持了高效的处理性能。它为数字艺术创作提供了高质量的视觉素材，在各项性能指标上都展现出显着的优势。</w:t>
      </w:r>
    </w:p>
    <w:p>
      <w:pPr>
        <w:spacing w:before="120"/>
      </w:pPr>
      <w:r>
        <w:rPr>
          <w:rFonts w:ascii="Times New Roman" w:hAnsi="Times New Roman" w:eastAsia="宋体"/>
          <w:b/>
          <w:sz w:val="21"/>
        </w:rPr>
        <w:t>English Abstract:</w:t>
      </w:r>
    </w:p>
    <w:p>
      <w:r>
        <w:rPr>
          <w:rFonts w:ascii="Times New Roman" w:hAnsi="Times New Roman" w:eastAsia="宋体"/>
          <w:sz w:val="21"/>
        </w:rPr>
        <w:t>Panoramic images, with their wide field of view and abundant information, have become essential visual materials in digital art creation and virtual reality. However, existing panoramic image restoration and quality enhancement methods lack high-level semantic understanding and global feature control, which often leads to structural disorder in complex scenes. They also struggle to balance semantic comprehension, real-time performance, and restoration quality. To address these issues, this paper raises a panoramic image restoration and visual quality enhancement model for digital art creation. The model uses a Multi Scale Residual Network, a Coordinate Space Attention mechanism, and super resolution reconstruction to construct a visual quality enhancement algorithm, which accurately captures both local details and global structural features. Based on this algorithm, an optimized Generative Adversarial Network and a Vision Transformer are integrated to model the spatial correlation and semantic logic between damaged and undamaged regions, achieving high-quality completion. Experimental results show that the model achieves a Structural Similarity Index of 0.975 and 0.971, a Peak Signal to Noise Ratio of 53.82 dB and 53.75 dB, a maximum memory usage of 394 MB, and a response time of 3.12 s with a data volume of 2000 in DIV2K and SUN360 datasets. The model outperforms comparison models in all metrics, enhances both detail clarity and global consistency, and maintains efficient processing performance. It provides high-quality visual materials for digital art creation and shows significant advantages across various performance indicators.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阿拉伯海暖池和大气不稳定在引发印度半岛季风 MCC 中的作用</w:t>
      </w:r>
    </w:p>
    <w:p>
      <w:r>
        <w:rPr>
          <w:rFonts w:ascii="Times New Roman" w:hAnsi="Times New Roman" w:eastAsia="宋体"/>
          <w:b/>
          <w:color w:val="003264"/>
          <w:sz w:val="24"/>
        </w:rPr>
        <w:t>Role of Arabian Sea warm pool and atmospheric instability in triggering a monsoonal MCC over Peninsular India</w:t>
      </w:r>
    </w:p>
    <w:p>
      <w:r>
        <w:rPr>
          <w:rFonts w:ascii="Times New Roman" w:hAnsi="Times New Roman" w:eastAsia="宋体"/>
          <w:sz w:val="21"/>
        </w:rPr>
        <w:t>作者: Subin Jose, V. Jayachandran, Nandana S Pradeep</w:t>
        <w:br/>
      </w:r>
      <w:r>
        <w:rPr>
          <w:rFonts w:ascii="Times New Roman" w:hAnsi="Times New Roman" w:eastAsia="宋体"/>
          <w:sz w:val="21"/>
        </w:rPr>
        <w:t xml:space="preserve">时间: 2026-02-03 | </w:t>
      </w:r>
      <w:r>
        <w:t xml:space="preserve">链接: </w:t>
      </w:r>
      <w:hyperlink r:id="rId207">
        <w:r>
          <w:rPr>
            <w:rFonts w:ascii="Times New Roman" w:hAnsi="Times New Roman" w:eastAsia="宋体"/>
            <w:color w:val="0000FF"/>
            <w:sz w:val="21"/>
            <w:u w:val="single"/>
          </w:rPr>
          <w:t>https://doi.org/10.1038/s41598-026-37219-1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中尺度对流复合体 (MCC) 对全球水文循环做出了重大贡献，极端降雨和洪水事件约占印度地区季风降雨总量的 50$$\%$$。 2024 年 7 月 29 日至 30 日期间，印度西高止山脉的瓦亚纳德发生了一场极端降雨事件，引发了毁灭性的山体滑坡和大面积破坏。本研究利用卫星、现场和再分析数据集调查了造成该事件的 MCC。该系统在高度不稳定的大气环境中表现出深层组织的对流、强烈的低层湿气输送和高层发散。阿拉伯海东南部上空异常持续的暖池在季风休止阶段持续存在，通过升高的海面温度和潜热通量创造了有利的热力学条件。研究结果强调了海洋-大气耦合在季风对流极端事件中日益重要的作用，并强调需要改进西高止山脉等地形复杂地区的中尺度建模和预警框架。</w:t>
      </w:r>
    </w:p>
    <w:p>
      <w:pPr>
        <w:spacing w:before="120"/>
      </w:pPr>
      <w:r>
        <w:rPr>
          <w:rFonts w:ascii="Times New Roman" w:hAnsi="Times New Roman" w:eastAsia="宋体"/>
          <w:b/>
          <w:sz w:val="21"/>
        </w:rPr>
        <w:t>English Abstract:</w:t>
      </w:r>
    </w:p>
    <w:p>
      <w:r>
        <w:rPr>
          <w:rFonts w:ascii="Times New Roman" w:hAnsi="Times New Roman" w:eastAsia="宋体"/>
          <w:sz w:val="21"/>
        </w:rPr>
        <w:t>Mesoscale Convective Complexes (MCCs) significantly contribute to the global hydrological cycle and about 50$$\%$$ of the total monsoon rainfall over the Indian region through extreme rainfall and flood events. An extreme rainfall event triggered devastating landslides and widespread damage over Wayanad in the Western Ghats, India, during 29–30 July 2024. This study investigates the MCC responsible for the event using satellite, in-situ, and reanalysis datasets. The system exhibited deep organized convection, strong low-level moisture transport, and upper-level divergence within a highly unstable atmospheric environment. An anomalously persistent warm pool over the southeastern Arabian Sea, sustained during a monsoon break phase, created favorable thermodynamic conditions through elevated sea surface temperatures and latent heat fluxes. The findings underscore the growing role of ocean–atmosphere coupling in monsoonal convective extremes and highlight the need for improved mesoscale modeling and early warning frameworks over topographically complex regions like the Western Ghats.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高脂肪饮食重塑视前区的基因调控网络</w:t>
      </w:r>
    </w:p>
    <w:p>
      <w:r>
        <w:rPr>
          <w:rFonts w:ascii="Times New Roman" w:hAnsi="Times New Roman" w:eastAsia="宋体"/>
          <w:b/>
          <w:color w:val="003264"/>
          <w:sz w:val="24"/>
        </w:rPr>
        <w:t>High fat diet remodels the gene regulatory networks in the preoptic area</w:t>
      </w:r>
    </w:p>
    <w:p>
      <w:r>
        <w:rPr>
          <w:rFonts w:ascii="Times New Roman" w:hAnsi="Times New Roman" w:eastAsia="宋体"/>
          <w:sz w:val="21"/>
        </w:rPr>
        <w:t>作者: Olivia Lazaro, Caleb Beimfohr, Britany App, Rashmita Basu, Travis S. Johnson, Jonathan N. Flak</w:t>
        <w:br/>
      </w:r>
      <w:r>
        <w:rPr>
          <w:rFonts w:ascii="Times New Roman" w:hAnsi="Times New Roman" w:eastAsia="宋体"/>
          <w:sz w:val="21"/>
        </w:rPr>
        <w:t xml:space="preserve">时间: 2026-02-03 | </w:t>
      </w:r>
      <w:r>
        <w:t xml:space="preserve">链接: </w:t>
      </w:r>
      <w:hyperlink r:id="rId208">
        <w:r>
          <w:rPr>
            <w:rFonts w:ascii="Times New Roman" w:hAnsi="Times New Roman" w:eastAsia="宋体"/>
            <w:color w:val="0000FF"/>
            <w:sz w:val="21"/>
            <w:u w:val="single"/>
          </w:rPr>
          <w:t>https://doi.org/10.1038/s41598-026-37692-8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的特点是慢性高血糖导致全身广泛功能障碍。为了通过个体中潜在的完整机制来抵消β细胞衰竭和胰岛素抵抗，中枢神经系统是恢复血糖控制的一个有趣的目标。虽然当前一代的糖尿病治疗方法至少部分是通过重新调整维持能量平衡的动态神经回路的功能来起作用的，但尚未在涉及能量平衡和葡萄糖稳态的大脑许多部分中建立用于缓解代谢疾病的神经标志物。然后，这些缓解模块可以应用于尚未建立的大脑区域，并加快在其他区域发现与糖尿病相关的功能。为了实现这一目标，我们使用了之前发表的来自由于 FGF1 治疗而糖尿病缓解的 ob/ob 小鼠的下丘脑单细胞测序数据集，并确定了缓解模块（即基因簇），可用于定位通过成功治疗而纠正的网络。我们将缓解模块应用于使用来自下丘脑视前区的 C57 小鼠的数据集，该区域与代谢疾病有关，但特征很少。我们鉴定了视前区兴奋性和抑制性神经元的标记，并使用 RNA 范围验证了它们在视前区的表达。这些研究共同在下丘脑神经元中建立了一个缓解模块，可用于定义大脑中对葡萄糖稳态校正做出反应的关键细胞类型和标记物。</w:t>
      </w:r>
    </w:p>
    <w:p>
      <w:pPr>
        <w:spacing w:before="120"/>
      </w:pPr>
      <w:r>
        <w:rPr>
          <w:rFonts w:ascii="Times New Roman" w:hAnsi="Times New Roman" w:eastAsia="宋体"/>
          <w:b/>
          <w:sz w:val="21"/>
        </w:rPr>
        <w:t>English Abstract:</w:t>
      </w:r>
    </w:p>
    <w:p>
      <w:r>
        <w:rPr>
          <w:rFonts w:ascii="Times New Roman" w:hAnsi="Times New Roman" w:eastAsia="宋体"/>
          <w:sz w:val="21"/>
        </w:rPr>
        <w:t>Diabetes is characterized by widespread dysfunction throughout the body due to chronic hyperglycemia. To offset the beta cell failure and insulin resistance through potentially intact mechanisms in the individual, the central nervous system is an intriguing target for restoring glycemic control. While the current generation of diabetes therapeutics operate, at least in part, by re-tuning the function of dynamic neural circuits that maintain energy balance, neurological markers for remission have not been established for metabolic disease in many parts of the brain that are involved in energy balance and glucose homeostasis. These remission modules could be then applied to lesser established brain regions and expedite the discovery of diabetes-related functions in additional regions. To meet this goal, we used a previously published hypothalamic single cell sequencing dataset from ob/ob mice in remission from diabetes due to FGF1 treatment and identified remission modules (i.e. clusters of genes) that can be used to locate the networks that are corrected with successful treatment. We applied the remission modules to a dataset using C57 mice from the preoptic area of the hypothalamus, a region with links to metabolic disease but little characterization. We identified markers in both excitatory and inhibitory neurons in the preoptic area and validated their expression in the preoptic area using RNA scope. Together, these studies establish a remission module in hypothalamic neurons that can be used to define key cell types and markers in the brain that are responsive to correction of glucose homeostasis.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内生孢子附属物的时空表达和冷冻电镜对副炭疽杆菌中 Ena1C 介导的 S-ENA 锚定的见解</w:t>
      </w:r>
    </w:p>
    <w:p>
      <w:r>
        <w:rPr>
          <w:rFonts w:ascii="Times New Roman" w:hAnsi="Times New Roman" w:eastAsia="宋体"/>
          <w:b/>
          <w:color w:val="003264"/>
          <w:sz w:val="24"/>
        </w:rPr>
        <w:t>Spatiotemporal expression of endospore appendages and cryo-EM insights into Ena1C-mediated S-ENA anchoring in Bacillus paranthracis</w:t>
      </w:r>
    </w:p>
    <w:p>
      <w:r>
        <w:rPr>
          <w:rFonts w:ascii="Times New Roman" w:hAnsi="Times New Roman" w:eastAsia="宋体"/>
          <w:sz w:val="21"/>
        </w:rPr>
        <w:t>作者: Ephrem Debebe Zegeye, Mike Sleutel, Unni Lise Jonsmoen, Jingqi Chen, Luiza P. Morawska, Yohannes Beyene Mekonnen, Oscar P. Kuipers, Han Remaut, Marina Aspholm</w:t>
        <w:br/>
      </w:r>
      <w:r>
        <w:rPr>
          <w:rFonts w:ascii="Times New Roman" w:hAnsi="Times New Roman" w:eastAsia="宋体"/>
          <w:sz w:val="21"/>
        </w:rPr>
        <w:t xml:space="preserve">时间: 2026-02-03 | </w:t>
      </w:r>
      <w:r>
        <w:t xml:space="preserve">链接: </w:t>
      </w:r>
      <w:hyperlink r:id="rId209">
        <w:r>
          <w:rPr>
            <w:rFonts w:ascii="Times New Roman" w:hAnsi="Times New Roman" w:eastAsia="宋体"/>
            <w:color w:val="0000FF"/>
            <w:sz w:val="21"/>
            <w:u w:val="single"/>
          </w:rPr>
          <w:t>https://doi.org/10.1038/s41598-026-38321-0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许多蜡样芽孢杆菌组物种的内生孢子都装饰有被称为内生孢子附属物（ENA）的高弹性纤维结构，其精确的生物学功能仍然知之甚少。结构和遗传学研究已确定 ena1A、ena1B 和 ena1C 对于形成副炭疽杆菌中更长、更粗和最丰富的交错 (S)-ENA 纤维至关重要，而 ena3A 编码更短、更细、梯状 (L)-ENA 的主要亚基。在这里，我们研究了 S-和 L-ENA 蛋白的时空表达动态以及 Ena1C 在 S-ENA 生物发生中的具体作用。使用延时荧光显微镜，我们观察到 ena 基因表达的严格时间调控，在孢子变得相亮之前没有检测到 ENA 亚基的产生。 ENAs 表达在孢子形成后期达到峰值，荧光集中在发育中的孢子周围，直至其释放；值得注意的是，S-ENA 亚基的表达开始时间比 L-ENA 亚基早约一小时。结合冷冻电镜、负染透射电子显微镜和遗传分析，我们发现 Ena1C 形成了将 S-ENA 束缚到孢子表面所需的九聚环状结构。这些发现为纤维生物发生过程中 ENAs 表达的调节提供了新的见解，并强调了它们与孢子衣和外孢子发育的时间协调。</w:t>
      </w:r>
    </w:p>
    <w:p>
      <w:pPr>
        <w:spacing w:before="120"/>
      </w:pPr>
      <w:r>
        <w:rPr>
          <w:rFonts w:ascii="Times New Roman" w:hAnsi="Times New Roman" w:eastAsia="宋体"/>
          <w:b/>
          <w:sz w:val="21"/>
        </w:rPr>
        <w:t>English Abstract:</w:t>
      </w:r>
    </w:p>
    <w:p>
      <w:r>
        <w:rPr>
          <w:rFonts w:ascii="Times New Roman" w:hAnsi="Times New Roman" w:eastAsia="宋体"/>
          <w:sz w:val="21"/>
        </w:rPr>
        <w:t>The endospores of many Bacillus cereus group species are decorated with highly resilient fibrous structures known as endospore appendages (ENAs), whose precise biological functions remain poorly understood. Structural and genetic studies have identified ena1A, ena1B, and ena1C as essential for forming the longer, thicker, and most abundant staggered (S)-ENA fibers in Bacillus paranthracis, whereas ena3A encodes the major subunit of the shorter, thinner, ladder-like (L)-ENAs. Here, we investigated the spatiotemporal expression dynamics of S- and L-ENA proteins and the specific role of Ena1C in S-ENA biogenesis. Using time-lapse fluorescence microscopy, we observed strict temporal regulation of ena gene expression, with no detectable ENA subunit production before spores became phase-bright. ENAs expression peaked during late sporulation phase, with fluorescence localized around the developing spore until its release; notably, S-ENA subunit expression began approximately one hour earlier than that of L-ENA subunits. Combining cryo-EM, negative-stain transmission electron microscopy, and genetic analyses, we show that Ena1C forms a nonameric ring-like structure required for tethering S-ENA to the spore surface. These findings provide new insights into the regulation of ENAs’ expression during fiber biogenesis and highlight their temporal coordination with spore coat and exosporium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受众细分和信息传递方法，以获得公众支持和参与沿海社会生态系统管理</w:t>
      </w:r>
    </w:p>
    <w:p>
      <w:r>
        <w:rPr>
          <w:rFonts w:ascii="Times New Roman" w:hAnsi="Times New Roman" w:eastAsia="宋体"/>
          <w:b/>
          <w:color w:val="003264"/>
          <w:sz w:val="24"/>
        </w:rPr>
        <w:t>Audience segmentation and messaging approach to gain public support and involvement in coastal social-ecological system management</w:t>
      </w:r>
    </w:p>
    <w:p>
      <w:r>
        <w:rPr>
          <w:rFonts w:ascii="Times New Roman" w:hAnsi="Times New Roman" w:eastAsia="宋体"/>
          <w:sz w:val="21"/>
        </w:rPr>
        <w:t>作者: Takuro Uehara, Takeshi Hidaka, Sawako Tachibana</w:t>
        <w:br/>
      </w:r>
      <w:r>
        <w:rPr>
          <w:rFonts w:ascii="Times New Roman" w:hAnsi="Times New Roman" w:eastAsia="宋体"/>
          <w:sz w:val="21"/>
        </w:rPr>
        <w:t xml:space="preserve">时间: 2026-02-03 | </w:t>
      </w:r>
      <w:r>
        <w:t xml:space="preserve">链接: </w:t>
      </w:r>
      <w:hyperlink r:id="rId210">
        <w:r>
          <w:rPr>
            <w:rFonts w:ascii="Times New Roman" w:hAnsi="Times New Roman" w:eastAsia="宋体"/>
            <w:color w:val="0000FF"/>
            <w:sz w:val="21"/>
            <w:u w:val="single"/>
          </w:rPr>
          <w:t>https://doi.org/10.1038/s41598-026-38402-0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获得公众的支持和参与对于实施有效的社会生态系统（SES）管理至关重要。早期的研究侧重于总体水平，即按平均值衡量；然而，我们的目的是解决公众的异质性，确定他们对政策的支持，并确定他们对社会经济地位管理的参与。因此，我们在沿海 SES 管理中应用了受众细分和消息传递方法，以解决日本濑户内海 (SIS) 部分地区的寡营养化问题。在我们的实验研究中，基于有关沿海社会经济地位问题和管理的公众舆论的单项自我分类措施应用了受众细分，并评估了两种消息传递条件对细分的影响。居住在沿海社会经济地位地区的受访者被招募（N = 1800）并随机分为三组：没有信息传递的对照组和有“寡营养化的负面后果”或“公众集体参与”信息传递的两组。确定了四个主要部分：惊慌、担忧、谨慎和漠不关心。这些群体表现出鲜明的个人特征，政策支持和参与程度不断下降。例如，“脱离-不屑一顾”群体普遍年龄较小，身体和心理上与海洋距离较远，对问题的认识较少，相关行为较少（如食用当地海鲜），对海洋的价值观较低。这些知识为决策者提供了目标决策的信息。两种消息传递条件对不同细分市场的影响不同，建议政策制定者应根据目标细分市场选择消息传递条件。我们的研究强调了受众细分和有针对性的信息传递对于使政策制定者能够有效接触公共部门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Gaining public support and involvement is essential for implementing effective social-ecological system (SES) management. Earlier studies focused on an aggregate level, i.e., measured by average; however, we aimed to address public heterogeneity, determine their support for policy, and identify their involvement in SES management. Accordingly, we applied audience segmentation and a messaging approach in coastal SES management to address oligotrophication in part of the Seto Inland Sea (SIS), Japan. In our experimental study, audience segmentation was applied based on a single-item self-categorization measure regarding public opinion about coastal SES issues and management, and the impact of two messaging conditions on the segments was assessed. Respondents living in coastal SES areas were recruited (N = 1800) and randomly divided into three groups: a control group without messaging and two groups with either “Negative consequences of oligotrophication” or “Collective public involvement” messaging. Four primary segments were identified: alarmed, concerned, cautious, and disengaged-dismissive. The groups exhibited distinctive personal characteristics and decreasing levels of policy support and involvement. For example, those in segment “Disengaged- Dismissive” were generally younger and physically and psychologically distant from the sea, showed less recognition of the problems, and exhibited infrequent related behaviors (e.g., consuming local seafood), with lower values of the sea. Such knowledge informs policymakers in targeting decisions. The two messaging conditions comprised varied impacts on different segments, suggesting that policymakers should select messaging conditions based on the target segment. Our study highlighted the importance of audience segmentation and targeted messaging in enabling policymakers to effectively reach the public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UncerTrans：用于早期行动预测的不确定性感知时间转换器</w:t>
      </w:r>
    </w:p>
    <w:p>
      <w:r>
        <w:rPr>
          <w:rFonts w:ascii="Times New Roman" w:hAnsi="Times New Roman" w:eastAsia="宋体"/>
          <w:b/>
          <w:color w:val="003264"/>
          <w:sz w:val="24"/>
        </w:rPr>
        <w:t>UncerTrans: uncertainty-aware temporal transformer for early action prediction</w:t>
      </w:r>
    </w:p>
    <w:p>
      <w:r>
        <w:rPr>
          <w:rFonts w:ascii="Times New Roman" w:hAnsi="Times New Roman" w:eastAsia="宋体"/>
          <w:sz w:val="21"/>
        </w:rPr>
        <w:t>作者: Xianfeng Zhai, Yaxiong Liu</w:t>
        <w:br/>
      </w:r>
      <w:r>
        <w:rPr>
          <w:rFonts w:ascii="Times New Roman" w:hAnsi="Times New Roman" w:eastAsia="宋体"/>
          <w:sz w:val="21"/>
        </w:rPr>
        <w:t xml:space="preserve">时间: 2026-02-03 | </w:t>
      </w:r>
      <w:r>
        <w:t xml:space="preserve">链接: </w:t>
      </w:r>
      <w:hyperlink r:id="rId211">
        <w:r>
          <w:rPr>
            <w:rFonts w:ascii="Times New Roman" w:hAnsi="Times New Roman" w:eastAsia="宋体"/>
            <w:color w:val="0000FF"/>
            <w:sz w:val="21"/>
            <w:u w:val="single"/>
          </w:rPr>
          <w:t>https://doi.org/10.1038/s41598-026-38107-4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动作预测旨在通过观察动作执行的初始阶段来预测完整的动作意图，这对于人机协作和智能监控等安全关键应用至关重要。现有方法主要侧重于提高预测精度，但忽略了早期观测中固有的不确定性，导致系统无法区分可靠的预测和不确定的猜测。本文提出了 UncerTrans 框架，将 Temporal Transformer 与 Monte Carlo Dropout 相结合，以实现准确且值得信赖的早期动作预测。时间变换器通过分层时间注意机制和时间衰减位置编码从极短的观察序列中提取判别特征。 Monte Carlo Dropout 在推理过程中通过多次随机前向传播生成预测分布，以量化模型的认知不确定性。自适应采样策略旨在根据初始不确定性动态调整采样频率，平衡预测质量和计算效率。在 EPIC-KITCHENS-100 数据集上的实验表明，UncerTrans 在仅 10% 的观测比下即可达到 65.5% 的准确率，预期校准误差仅为 0.089，显着优于基线方法。通过选择性拒绝高不确定性预测，系统可以将剩余预测的准确率提高到84.2%。研究表明，有效的不确定性量化依赖于高质量的特征提取，两者的结合使早期预测系统能够根据置信度采取差异化策略，为实际部署提供技术基础。</w:t>
      </w:r>
    </w:p>
    <w:p>
      <w:pPr>
        <w:spacing w:before="120"/>
      </w:pPr>
      <w:r>
        <w:rPr>
          <w:rFonts w:ascii="Times New Roman" w:hAnsi="Times New Roman" w:eastAsia="宋体"/>
          <w:b/>
          <w:sz w:val="21"/>
        </w:rPr>
        <w:t>English Abstract:</w:t>
      </w:r>
    </w:p>
    <w:p>
      <w:r>
        <w:rPr>
          <w:rFonts w:ascii="Times New Roman" w:hAnsi="Times New Roman" w:eastAsia="宋体"/>
          <w:sz w:val="21"/>
        </w:rPr>
        <w:t>Early action prediction aims to predict complete action intentions by observing the initial stages of action execution, which is crucial for safety-critical applications such as human-robot collaboration and intelligent monitoring. Existing methods primarily focus on improving prediction accuracy but neglect the inherent uncertainty in early observations, leading to systems that cannot distinguish between reliable predictions and uncertain guesses. This paper proposes the UncerTrans framework, which combines Temporal Transformer with Monte Carlo Dropout to achieve accurate and trustworthy early action prediction. Temporal Transformer extracts discriminative features from extremely short observation sequences through hierarchical temporal attention mechanisms and temporal decay positional encoding. Monte Carlo Dropout generates prediction distributions through multiple random forward propagations during inference to quantify the model’s epistemic uncertainty. An adaptive sampling strategy is designed to dynamically adjust sampling frequency based on initial uncertainty, balancing prediction quality and computational efficiency. Experiments on the EPIC-KITCHENS-100 dataset demonstrate that UncerTrans achieves 65.5% accuracy with only 10% observation ratio and an Expected Calibration Error of merely 0.089, significantly outperforming baseline methods. Through selective rejection of high-uncertainty predictions, the system can improve the accuracy of remaining predictions to 84.2%. The research demonstrates that effective uncertainty quantification relies on high-quality feature extraction, and the combination of both components enables early prediction systems to adopt differentiated strategies based on confidence levels, providing a technical foundation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壳聚糖-聚(3,4-乙烯二氧噻吩)-聚(苯乙烯磺酸)-AuNPs 复合材料用于使用等离子体图像传感器检测丙酮</w:t>
      </w:r>
    </w:p>
    <w:p>
      <w:r>
        <w:rPr>
          <w:rFonts w:ascii="Times New Roman" w:hAnsi="Times New Roman" w:eastAsia="宋体"/>
          <w:b/>
          <w:color w:val="003264"/>
          <w:sz w:val="24"/>
        </w:rPr>
        <w:t>Chitosan-poly(3,4-ethylenedioxythiophene)-poly(styrenesulfonate)-AuNPs composite for acetone detection using plasmonic image sensor</w:t>
      </w:r>
    </w:p>
    <w:p>
      <w:r>
        <w:rPr>
          <w:rFonts w:ascii="Times New Roman" w:hAnsi="Times New Roman" w:eastAsia="宋体"/>
          <w:sz w:val="21"/>
        </w:rPr>
        <w:t>作者: Amir Reza Sadrolhosseini, Ali Bizhanifar, Ladan Akbari, Seyedeh Mehri Hamidi</w:t>
        <w:br/>
      </w:r>
      <w:r>
        <w:rPr>
          <w:rFonts w:ascii="Times New Roman" w:hAnsi="Times New Roman" w:eastAsia="宋体"/>
          <w:sz w:val="21"/>
        </w:rPr>
        <w:t xml:space="preserve">时间: 2026-02-03 | </w:t>
      </w:r>
      <w:r>
        <w:t xml:space="preserve">链接: </w:t>
      </w:r>
      <w:hyperlink r:id="rId212">
        <w:r>
          <w:rPr>
            <w:rFonts w:ascii="Times New Roman" w:hAnsi="Times New Roman" w:eastAsia="宋体"/>
            <w:color w:val="0000FF"/>
            <w:sz w:val="21"/>
            <w:u w:val="single"/>
          </w:rPr>
          <w:t>https://doi.org/10.1038/s41598-026-38050-4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丙酮有较多的医疗和工业应用，其检测在医疗和工业领域间接测量某些量、控制人体安全方面发挥着重要作用。在这项研究中，开发了一种基于壳聚糖、聚(3,4-乙撑二氧噻吩)-聚(苯乙烯磺酸)(PEDOT:PSS)和金纳米粒子的表面等离子体共振图像传感器，用于检测丙酮。使用激光烧蚀技术制造了金纳米颗粒，并使用壳聚糖-PEDOT: PSS 和壳聚糖-PEDOT: PSS-金纳米颗粒复合材料通过表面等离子共振图像传感器检测纯丙酮蒸气形式。将传感器的响应与丙酮与甲醇和乙醇混合时的传感器响应进行比较。因此，传感器对纯丙酮的响应大于传感器对甲醇或乙醇存在的响应。当传感层与纯甲醇和乙醇接触时，传感器的响应非常微不足道。</w:t>
      </w:r>
    </w:p>
    <w:p>
      <w:pPr>
        <w:spacing w:before="120"/>
      </w:pPr>
      <w:r>
        <w:rPr>
          <w:rFonts w:ascii="Times New Roman" w:hAnsi="Times New Roman" w:eastAsia="宋体"/>
          <w:b/>
          <w:sz w:val="21"/>
        </w:rPr>
        <w:t>English Abstract:</w:t>
      </w:r>
    </w:p>
    <w:p>
      <w:r>
        <w:rPr>
          <w:rFonts w:ascii="Times New Roman" w:hAnsi="Times New Roman" w:eastAsia="宋体"/>
          <w:sz w:val="21"/>
        </w:rPr>
        <w:t>Since acetone has more medical and industrial applications, its detection plays a significant role in indirectly measuring some quantities and controlling human safety in medical and industrial areas. In this research, a surface plasmon resonance image sensor was developed based on chitosan, poly(3,4-ethylenedioxythiophene)-poly(styrenesulfonate) (PEDOT:PSS), and gold nanoparticles for the detection of acetone. The gold nanoparticles have been fabricated using the laser ablation technique, and chitosan-PEDOT: PSS and chitosan-PEDOT: PSS-gold-nanoparticles composite were used to detect the pure acetone vapor form using a surface plasmon resonance image sensor. The response of the sensor was compared with the sensor’s response when acetone was mixed with methanol and ethanol. Consequently, the sensor’s response to pure acetone was greater than the sensor’s response in the presence of methanol or ethanol. The sensor’s response is very insignificant when the sensing layer is contacted with pure methanol and ethanol.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12:42 ---</w:t>
      </w:r>
    </w:p>
    <w:p>
      <w:pPr>
        <w:pStyle w:val="Heading2"/>
      </w:pPr>
      <w:r/>
      <w:r>
        <w:rPr>
          <w:rFonts w:ascii="Times New Roman" w:hAnsi="Times New Roman" w:eastAsia="宋体"/>
          <w:b/>
          <w:color w:val="000000"/>
          <w:sz w:val="24"/>
        </w:rPr>
        <w:t>基于深度学习的多目标优化拓扑法诺共振逆向设计</w:t>
      </w:r>
    </w:p>
    <w:p>
      <w:r>
        <w:rPr>
          <w:rFonts w:ascii="Times New Roman" w:hAnsi="Times New Roman" w:eastAsia="宋体"/>
          <w:b/>
          <w:color w:val="003264"/>
          <w:sz w:val="24"/>
        </w:rPr>
        <w:t>Inverse design of topological Fano resonance via deep learning based multi-objective optimization</w:t>
      </w:r>
    </w:p>
    <w:p>
      <w:r>
        <w:rPr>
          <w:rFonts w:ascii="Times New Roman" w:hAnsi="Times New Roman" w:eastAsia="宋体"/>
          <w:sz w:val="21"/>
        </w:rPr>
        <w:t>作者: Xu Liu, Zhongyi Guo, Kai Guo</w:t>
        <w:br/>
      </w:r>
      <w:r>
        <w:rPr>
          <w:rFonts w:ascii="Times New Roman" w:hAnsi="Times New Roman" w:eastAsia="宋体"/>
          <w:sz w:val="21"/>
        </w:rPr>
        <w:t xml:space="preserve">时间: 2026-01-20 | </w:t>
      </w:r>
      <w:r>
        <w:t xml:space="preserve">链接: </w:t>
      </w:r>
      <w:hyperlink r:id="rId214">
        <w:r>
          <w:rPr>
            <w:rFonts w:ascii="Times New Roman" w:hAnsi="Times New Roman" w:eastAsia="宋体"/>
            <w:color w:val="0000FF"/>
            <w:sz w:val="21"/>
            <w:u w:val="single"/>
          </w:rPr>
          <w:t>https://doi.org/10.1364/ol.584145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拓扑系统复杂的物理机制以及法诺共振的显着敏感性和内在不对称性，实现特定的高质量拓扑法诺共振的结构设计尤其具有挑战性。在这封信中，我们提出了一个将深度学习与多目标粒子群优化（MOPSO）相结合的框架，以实现拓扑系统中高 Q Fano 共振的按需结构设计。在我们的框架中，残差和全连接神经网络作为代理模型来预测 Fano 谱和品质因数，分别达到 97.04% 和 98.96% 的准确率。该框架的有效性通过设计频率为 98、100 和 102 THz 的拓扑 Fano 共振得到证明。我们的结果可能为拓扑光子晶体的多性能优化和逆向设计提供通用途径。</w:t>
      </w:r>
    </w:p>
    <w:p>
      <w:pPr>
        <w:spacing w:before="120"/>
      </w:pPr>
      <w:r>
        <w:rPr>
          <w:rFonts w:ascii="Times New Roman" w:hAnsi="Times New Roman" w:eastAsia="宋体"/>
          <w:b/>
          <w:sz w:val="21"/>
        </w:rPr>
        <w:t>English Abstract:</w:t>
      </w:r>
    </w:p>
    <w:p>
      <w:r>
        <w:rPr>
          <w:rFonts w:ascii="Times New Roman" w:hAnsi="Times New Roman" w:eastAsia="宋体"/>
          <w:sz w:val="21"/>
        </w:rPr>
        <w:t>Due to the complicated physical mechanisms of topological systems and the pronounced sensitivity and intrinsic asymmetry of Fano resonance, achieving structural designs for specific high-quality topological Fano resonances is particularly challenging. In this Letter, we propose a framework that integrates deep learning with multi-objective particle swarm optimization (MOPSO) to achieve the on-demand structural design of high-Q Fano resonance in a topological system. In our framework, the residual and fully connected neural networks serve as surrogate models to predict the Fano spectrum and the quality factor, achieving accuracies of 97.04% and 98.96%, respectively. The effectiveness of the framework is demonstrated by designing topological Fano resonance at frequencies of 98, 100, and 102 THz. Our results may offer a versatile route for multi-performance optimization and inverse design of topological photonic crystals.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12:42 ---</w:t>
      </w:r>
    </w:p>
    <w:p>
      <w:pPr>
        <w:pStyle w:val="Heading1"/>
      </w:pPr>
      <w:r>
        <w:rPr>
          <w:rFonts w:ascii="Times New Roman" w:hAnsi="Times New Roman" w:eastAsia="宋体"/>
          <w:b/>
          <w:color w:val="000000"/>
          <w:sz w:val="32"/>
        </w:rPr>
        <w:t>Nature Methods</w:t>
      </w:r>
    </w:p>
    <w:p>
      <w:pPr>
        <w:jc w:val="center"/>
      </w:pPr>
      <w:r>
        <w:t>--- 更新: 12:48 ---</w:t>
      </w:r>
    </w:p>
    <w:p>
      <w:pPr>
        <w:pStyle w:val="Heading2"/>
      </w:pPr>
      <w:r/>
      <w:r>
        <w:rPr>
          <w:rFonts w:ascii="Times New Roman" w:hAnsi="Times New Roman" w:eastAsia="宋体"/>
          <w:b/>
          <w:color w:val="000000"/>
          <w:sz w:val="24"/>
        </w:rPr>
        <w:t>连接组学的不确定性量化</w:t>
      </w:r>
    </w:p>
    <w:p>
      <w:r>
        <w:rPr>
          <w:rFonts w:ascii="Times New Roman" w:hAnsi="Times New Roman" w:eastAsia="宋体"/>
          <w:b/>
          <w:color w:val="003264"/>
          <w:sz w:val="24"/>
        </w:rPr>
        <w:t>Uncertainty quantification for connectomics</w:t>
      </w:r>
    </w:p>
    <w:p>
      <w:r>
        <w:rPr>
          <w:rFonts w:ascii="Times New Roman" w:hAnsi="Times New Roman" w:eastAsia="宋体"/>
          <w:sz w:val="21"/>
        </w:rPr>
        <w:t>作者: Jan Funke</w:t>
        <w:br/>
      </w:r>
      <w:r>
        <w:rPr>
          <w:rFonts w:ascii="Times New Roman" w:hAnsi="Times New Roman" w:eastAsia="宋体"/>
          <w:sz w:val="21"/>
        </w:rPr>
        <w:t xml:space="preserve">时间: 2025-12-08 | </w:t>
      </w:r>
      <w:r>
        <w:t xml:space="preserve">链接: </w:t>
      </w:r>
      <w:hyperlink r:id="rId216">
        <w:r>
          <w:rPr>
            <w:rFonts w:ascii="Times New Roman" w:hAnsi="Times New Roman" w:eastAsia="宋体"/>
            <w:color w:val="0000FF"/>
            <w:sz w:val="21"/>
            <w:u w:val="single"/>
          </w:rPr>
          <w:t>https://doi.org/10.1038/s41592-025-02945-3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随着连接组学数据集规模和数量的增长，未来的重建方法将必须在最少或没有人类监督的情况下工作。为此，我们需要能够量化数据和建模不确定性的方法，以评估我们可以在连接体下游分析中进行的信任水平。</w:t>
      </w:r>
    </w:p>
    <w:p>
      <w:pPr>
        <w:spacing w:before="120"/>
      </w:pPr>
      <w:r>
        <w:rPr>
          <w:rFonts w:ascii="Times New Roman" w:hAnsi="Times New Roman" w:eastAsia="宋体"/>
          <w:b/>
          <w:sz w:val="21"/>
        </w:rPr>
        <w:t>English Abstract:</w:t>
      </w:r>
    </w:p>
    <w:p>
      <w:r>
        <w:rPr>
          <w:rFonts w:ascii="Times New Roman" w:hAnsi="Times New Roman" w:eastAsia="宋体"/>
          <w:sz w:val="21"/>
        </w:rPr>
        <w:t>As connectomics datasets grow in size and quantity, future reconstruction methods will have to work with minimal or no human supervision. For that, we will need methods that can quantify data and model uncertainty in order to assess the level of trust we can put in the downstream analysis of connectomes.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超越电子显微镜的连接组学</w:t>
      </w:r>
    </w:p>
    <w:p>
      <w:r>
        <w:rPr>
          <w:rFonts w:ascii="Times New Roman" w:hAnsi="Times New Roman" w:eastAsia="宋体"/>
          <w:b/>
          <w:color w:val="003264"/>
          <w:sz w:val="24"/>
        </w:rPr>
        <w:t>Connectomics beyond electron microscopy</w:t>
      </w:r>
    </w:p>
    <w:p>
      <w:r>
        <w:rPr>
          <w:rFonts w:ascii="Times New Roman" w:hAnsi="Times New Roman" w:eastAsia="宋体"/>
          <w:sz w:val="21"/>
        </w:rPr>
        <w:t>作者: Ramin Khajeh, Wei-Chung Allen Lee</w:t>
        <w:br/>
      </w:r>
      <w:r>
        <w:rPr>
          <w:rFonts w:ascii="Times New Roman" w:hAnsi="Times New Roman" w:eastAsia="宋体"/>
          <w:sz w:val="21"/>
        </w:rPr>
        <w:t xml:space="preserve">时间: 2025-12-08 | </w:t>
      </w:r>
      <w:r>
        <w:t xml:space="preserve">链接: </w:t>
      </w:r>
      <w:hyperlink r:id="rId217">
        <w:r>
          <w:rPr>
            <w:rFonts w:ascii="Times New Roman" w:hAnsi="Times New Roman" w:eastAsia="宋体"/>
            <w:color w:val="0000FF"/>
            <w:sz w:val="21"/>
            <w:u w:val="single"/>
          </w:rPr>
          <w:t>https://doi.org/10.1038/s41592-025-02943-5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连接组学是在纳米级分辨率下对神经回路进行全面绘图，历来依赖于电子显微镜 (EM)，包括透射 (TEM) 和扫描 (SEM)。然而，随着连接组学向更大的脑容量和整个哺乳动物大脑扩展，出现了巨大的技术挑战。在这里，我们重点介绍一些有希望的关键挑战和先进方法，特别是那些集成三维、多分辨率和时间分辨成像以捕获远距离和局部布线（低至超分子分辨率）的方法。</w:t>
      </w:r>
    </w:p>
    <w:p>
      <w:pPr>
        <w:spacing w:before="120"/>
      </w:pPr>
      <w:r>
        <w:rPr>
          <w:rFonts w:ascii="Times New Roman" w:hAnsi="Times New Roman" w:eastAsia="宋体"/>
          <w:b/>
          <w:sz w:val="21"/>
        </w:rPr>
        <w:t>English Abstract:</w:t>
      </w:r>
    </w:p>
    <w:p>
      <w:r>
        <w:rPr>
          <w:rFonts w:ascii="Times New Roman" w:hAnsi="Times New Roman" w:eastAsia="宋体"/>
          <w:sz w:val="21"/>
        </w:rPr>
        <w:t>Connectomics, the comprehensive mapping of neural circuits at nanoscale resolution, has historically relied on electron microscopy (EM), both transmission (TEM) and scanning (SEM). However, as connectomics scales towards larger brain volumes and whole mammalian brains, substantial technical challenges emerge. Here, we highlight key challenges and advancing approaches that hold promise, particularly those that integrate three-dimensional, multi-resolution and time-resolved imaging to capture both long-range and local wiring, down to supramolecular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年度最佳方法：EM 连接组学</w:t>
      </w:r>
    </w:p>
    <w:p>
      <w:r>
        <w:rPr>
          <w:rFonts w:ascii="Times New Roman" w:hAnsi="Times New Roman" w:eastAsia="宋体"/>
          <w:b/>
          <w:color w:val="003264"/>
          <w:sz w:val="24"/>
        </w:rPr>
        <w:t>Method of the Year: EM connectomics</w:t>
      </w:r>
    </w:p>
    <w:p>
      <w:r>
        <w:rPr>
          <w:rFonts w:ascii="Times New Roman" w:hAnsi="Times New Roman" w:eastAsia="宋体"/>
          <w:sz w:val="21"/>
        </w:rPr>
        <w:t>作者: Vivien Marx</w:t>
        <w:br/>
      </w:r>
      <w:r>
        <w:rPr>
          <w:rFonts w:ascii="Times New Roman" w:hAnsi="Times New Roman" w:eastAsia="宋体"/>
          <w:sz w:val="21"/>
        </w:rPr>
        <w:t xml:space="preserve">时间: 2025-12-08 | </w:t>
      </w:r>
      <w:r>
        <w:t xml:space="preserve">链接: </w:t>
      </w:r>
      <w:hyperlink r:id="rId218">
        <w:r>
          <w:rPr>
            <w:rFonts w:ascii="Times New Roman" w:hAnsi="Times New Roman" w:eastAsia="宋体"/>
            <w:color w:val="0000FF"/>
            <w:sz w:val="21"/>
            <w:u w:val="single"/>
          </w:rPr>
          <w:t>https://doi.org/10.1038/s41592-025-02906-w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使用电子显微镜，科学家以单神经元分辨率绘制了秀丽隐杆线虫神经系统和果蝇大脑的图谱。连接组学研究更大的大脑需要新的方法策略。</w:t>
      </w:r>
    </w:p>
    <w:p>
      <w:pPr>
        <w:spacing w:before="120"/>
      </w:pPr>
      <w:r>
        <w:rPr>
          <w:rFonts w:ascii="Times New Roman" w:hAnsi="Times New Roman" w:eastAsia="宋体"/>
          <w:b/>
          <w:sz w:val="21"/>
        </w:rPr>
        <w:t>English Abstract:</w:t>
      </w:r>
    </w:p>
    <w:p>
      <w:r>
        <w:rPr>
          <w:rFonts w:ascii="Times New Roman" w:hAnsi="Times New Roman" w:eastAsia="宋体"/>
          <w:sz w:val="21"/>
        </w:rPr>
        <w:t>Using electron microscopy, scientists mapped a Caenorhabditis elegans nervous system and Drosophila brain at single-neuron resolution. Connectomics work on bigger brains takes new methods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功能连接组学的过去和未来</w:t>
      </w:r>
    </w:p>
    <w:p>
      <w:r>
        <w:rPr>
          <w:rFonts w:ascii="Times New Roman" w:hAnsi="Times New Roman" w:eastAsia="宋体"/>
          <w:b/>
          <w:color w:val="003264"/>
          <w:sz w:val="24"/>
        </w:rPr>
        <w:t>The past and future of functional connectomics</w:t>
      </w:r>
    </w:p>
    <w:p>
      <w:r>
        <w:rPr>
          <w:rFonts w:ascii="Times New Roman" w:hAnsi="Times New Roman" w:eastAsia="宋体"/>
          <w:sz w:val="21"/>
        </w:rPr>
        <w:t>作者: R. Clay Reid</w:t>
        <w:br/>
      </w:r>
      <w:r>
        <w:rPr>
          <w:rFonts w:ascii="Times New Roman" w:hAnsi="Times New Roman" w:eastAsia="宋体"/>
          <w:sz w:val="21"/>
        </w:rPr>
        <w:t xml:space="preserve">时间: 2025-12-08 | </w:t>
      </w:r>
      <w:r>
        <w:t xml:space="preserve">链接: </w:t>
      </w:r>
      <w:hyperlink r:id="rId219">
        <w:r>
          <w:rPr>
            <w:rFonts w:ascii="Times New Roman" w:hAnsi="Times New Roman" w:eastAsia="宋体"/>
            <w:color w:val="0000FF"/>
            <w:sz w:val="21"/>
            <w:u w:val="single"/>
          </w:rPr>
          <w:t>https://doi.org/10.1038/s41592-025-02971-1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功能连接组学是一种新方法，涉及神经元活动的钙成像，然后对相同神经元进行相关电子显微镜连接组学，将神经元建立的连接与其体内功能联系起来。我相信这种研究结构和功能的组合方法将继续应用于越来越大的网络，包括整个神经系统。</w:t>
      </w:r>
    </w:p>
    <w:p>
      <w:pPr>
        <w:spacing w:before="120"/>
      </w:pPr>
      <w:r>
        <w:rPr>
          <w:rFonts w:ascii="Times New Roman" w:hAnsi="Times New Roman" w:eastAsia="宋体"/>
          <w:b/>
          <w:sz w:val="21"/>
        </w:rPr>
        <w:t>English Abstract:</w:t>
      </w:r>
    </w:p>
    <w:p>
      <w:r>
        <w:rPr>
          <w:rFonts w:ascii="Times New Roman" w:hAnsi="Times New Roman" w:eastAsia="宋体"/>
          <w:sz w:val="21"/>
        </w:rPr>
        <w:t>Functional connectomics is a new approach, involving calcium imaging of neuronal activity followed by correlated electron microscopy connectomics of the same neurons, that relates connections made by neurons to their in vivo function. I believe that this combined approach for studying structure and function will continue with ever-larger networks, including entire nervous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 RNA 成像的 PRISM</w:t>
      </w:r>
    </w:p>
    <w:p>
      <w:r>
        <w:rPr>
          <w:rFonts w:ascii="Times New Roman" w:hAnsi="Times New Roman" w:eastAsia="宋体"/>
          <w:b/>
          <w:color w:val="003264"/>
          <w:sz w:val="24"/>
        </w:rPr>
        <w:t>A PRISM for spatial RNA imaging</w:t>
      </w:r>
    </w:p>
    <w:p>
      <w:r>
        <w:rPr>
          <w:rFonts w:ascii="Times New Roman" w:hAnsi="Times New Roman" w:eastAsia="宋体"/>
          <w:sz w:val="21"/>
        </w:rPr>
        <w:t>作者: Aparna Anantharaman</w:t>
        <w:br/>
      </w:r>
      <w:r>
        <w:rPr>
          <w:rFonts w:ascii="Times New Roman" w:hAnsi="Times New Roman" w:eastAsia="宋体"/>
          <w:sz w:val="21"/>
        </w:rPr>
        <w:t xml:space="preserve">时间: 2025-12-08 | </w:t>
      </w:r>
      <w:r>
        <w:t xml:space="preserve">链接: </w:t>
      </w:r>
      <w:hyperlink r:id="rId220">
        <w:r>
          <w:rPr>
            <w:rFonts w:ascii="Times New Roman" w:hAnsi="Times New Roman" w:eastAsia="宋体"/>
            <w:color w:val="0000FF"/>
            <w:sz w:val="21"/>
            <w:u w:val="single"/>
          </w:rPr>
          <w:t>https://doi.org/10.1038/s41592-025-02985-9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年度方法：基于电子显微镜的连接组学</w:t>
      </w:r>
    </w:p>
    <w:p>
      <w:r>
        <w:rPr>
          <w:rFonts w:ascii="Times New Roman" w:hAnsi="Times New Roman" w:eastAsia="宋体"/>
          <w:b/>
          <w:color w:val="003264"/>
          <w:sz w:val="24"/>
        </w:rPr>
        <w:t>Method of the Year 2025: electron microscopy-based connectomics</w:t>
      </w:r>
    </w:p>
    <w:p>
      <w:r>
        <w:rPr>
          <w:rFonts w:ascii="Times New Roman" w:hAnsi="Times New Roman" w:eastAsia="宋体"/>
          <w:sz w:val="21"/>
        </w:rPr>
        <w:t>作者: Unknown</w:t>
        <w:br/>
      </w:r>
      <w:r>
        <w:rPr>
          <w:rFonts w:ascii="Times New Roman" w:hAnsi="Times New Roman" w:eastAsia="宋体"/>
          <w:sz w:val="21"/>
        </w:rPr>
        <w:t xml:space="preserve">时间: 2025-12-08 | </w:t>
      </w:r>
      <w:r>
        <w:t xml:space="preserve">链接: </w:t>
      </w:r>
      <w:hyperlink r:id="rId221">
        <w:r>
          <w:rPr>
            <w:rFonts w:ascii="Times New Roman" w:hAnsi="Times New Roman" w:eastAsia="宋体"/>
            <w:color w:val="0000FF"/>
            <w:sz w:val="21"/>
            <w:u w:val="single"/>
          </w:rPr>
          <w:t>https://doi.org/10.1038/s41592-025-02988-6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相互连接的神经元组成的大型网络是大脑功能和行为的基础。方法论的进步使得能够重建各种生物体的大规模甚至全脑连接组。</w:t>
      </w:r>
    </w:p>
    <w:p>
      <w:pPr>
        <w:spacing w:before="120"/>
      </w:pPr>
      <w:r>
        <w:rPr>
          <w:rFonts w:ascii="Times New Roman" w:hAnsi="Times New Roman" w:eastAsia="宋体"/>
          <w:b/>
          <w:sz w:val="21"/>
        </w:rPr>
        <w:t>English Abstract:</w:t>
      </w:r>
    </w:p>
    <w:p>
      <w:r>
        <w:rPr>
          <w:rFonts w:ascii="Times New Roman" w:hAnsi="Times New Roman" w:eastAsia="宋体"/>
          <w:sz w:val="21"/>
        </w:rPr>
        <w:t>A large network of interconnected neurons serves as the basis of brain function and of behavior. Methodological advances have enabled the reconstruction of large-scale and even whole-brain connectomes of various 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FACED 2.0 可实现体内大规模电压和钙成像</w:t>
      </w:r>
    </w:p>
    <w:p>
      <w:r>
        <w:rPr>
          <w:rFonts w:ascii="Times New Roman" w:hAnsi="Times New Roman" w:eastAsia="宋体"/>
          <w:b/>
          <w:color w:val="003264"/>
          <w:sz w:val="24"/>
        </w:rPr>
        <w:t>FACED 2.0 enables large-scale voltage and calcium imaging in vivo</w:t>
      </w:r>
    </w:p>
    <w:p>
      <w:r>
        <w:rPr>
          <w:rFonts w:ascii="Times New Roman" w:hAnsi="Times New Roman" w:eastAsia="宋体"/>
          <w:sz w:val="21"/>
        </w:rPr>
        <w:t>作者: Jian Zhong, Ryan G. Natan, Qinrong Zhang, Justin S. J. Wong, Christoph Miehl, Krishnashish Bose, Xiaoyu Lu, François St-Pierre, Su Guo, Brent Doiron, Kevin K. Tsia, Na Ji</w:t>
        <w:br/>
      </w:r>
      <w:r>
        <w:rPr>
          <w:rFonts w:ascii="Times New Roman" w:hAnsi="Times New Roman" w:eastAsia="宋体"/>
          <w:sz w:val="21"/>
        </w:rPr>
        <w:t xml:space="preserve">时间: 2025-12-09 | </w:t>
      </w:r>
      <w:r>
        <w:t xml:space="preserve">链接: </w:t>
      </w:r>
      <w:hyperlink r:id="rId222">
        <w:r>
          <w:rPr>
            <w:rFonts w:ascii="Times New Roman" w:hAnsi="Times New Roman" w:eastAsia="宋体"/>
            <w:color w:val="0000FF"/>
            <w:sz w:val="21"/>
            <w:u w:val="single"/>
          </w:rPr>
          <w:t>https://doi.org/10.1038/s41592-025-02925-7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和高时空分辨率监测神经元活动对于理解大脑内的信息处理至关重要。在这里，我们优化了具有全光学兆赫线扫描速率的千赫帧速率双光子荧光显微镜，以实现亚细胞分辨率下大面积和体积的超快成像。将该技术应用于体内电压和钙成像，我们展示了同时记录小鼠视觉皮层 200 多个神经元的电压活动和 14,000 多个神经元的钙活动，以及幼虫斑马鱼大脑的体积钙成像。</w:t>
      </w:r>
    </w:p>
    <w:p>
      <w:pPr>
        <w:spacing w:before="120"/>
      </w:pPr>
      <w:r>
        <w:rPr>
          <w:rFonts w:ascii="Times New Roman" w:hAnsi="Times New Roman" w:eastAsia="宋体"/>
          <w:b/>
          <w:sz w:val="21"/>
        </w:rPr>
        <w:t>English Abstract:</w:t>
      </w:r>
    </w:p>
    <w:p>
      <w:r>
        <w:rPr>
          <w:rFonts w:ascii="Times New Roman" w:hAnsi="Times New Roman" w:eastAsia="宋体"/>
          <w:sz w:val="21"/>
        </w:rPr>
        <w:t>Abstract Monitoring neuronal activity at large scale and high spatiotemporal resolution is crucial for understanding information processing within the brain. Here we optimized a kilohertz-frame-rate two-photon fluorescence microscope with an all-optical megahertz line-scan rate to achieve ultrafast imaging across large areas and volumes at subcellular resolution. Applying this technique to in vivo voltage and calcium imaging, we demonstrated simultaneous recording of voltage activity over 200 neurons and calcium activity over 14,000 neurons from the mouse visual cortex, as well as volumetric calcium imaging of the larval zebrafish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通过自监督重建结构照明显微镜实现生物友好的高精度超分辨率成像</w:t>
      </w:r>
    </w:p>
    <w:p>
      <w:r>
        <w:rPr>
          <w:rFonts w:ascii="Times New Roman" w:hAnsi="Times New Roman" w:eastAsia="宋体"/>
          <w:b/>
          <w:color w:val="003264"/>
          <w:sz w:val="24"/>
        </w:rPr>
        <w:t>Bio-friendly and high-precision super-resolution imaging through self-supervised reconstruction structured illumination microscopy</w:t>
      </w:r>
    </w:p>
    <w:p>
      <w:r>
        <w:rPr>
          <w:rFonts w:ascii="Times New Roman" w:hAnsi="Times New Roman" w:eastAsia="宋体"/>
          <w:sz w:val="21"/>
        </w:rPr>
        <w:t>作者: Jiahao Liu, Xue Dong, Huaide Lu, Tao Liu, Wei Liu, Xinyao Hu, Quan Meng, Amin Jiang, Tao Jiang, Xiaohan Geng, Haosen Liu, Jun Cheng, Edmund Y. Lam, Yan-Jun Liu, Shan Tan, Dong Li</w:t>
        <w:br/>
      </w:r>
      <w:r>
        <w:rPr>
          <w:rFonts w:ascii="Times New Roman" w:hAnsi="Times New Roman" w:eastAsia="宋体"/>
          <w:sz w:val="21"/>
        </w:rPr>
        <w:t xml:space="preserve">时间: 2025-12-12 | </w:t>
      </w:r>
      <w:r>
        <w:t xml:space="preserve">链接: </w:t>
      </w:r>
      <w:hyperlink r:id="rId223">
        <w:r>
          <w:rPr>
            <w:rFonts w:ascii="Times New Roman" w:hAnsi="Times New Roman" w:eastAsia="宋体"/>
            <w:color w:val="0000FF"/>
            <w:sz w:val="21"/>
            <w:u w:val="single"/>
          </w:rPr>
          <w:t>https://doi.org/10.1038/s41592-025-02966-y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自监督重建结构照明显微镜 (SSR-SIM) 是一种 SIM 重建方法，通过包含光调制先验和重建伪影信息来改进图像重建，同时消除对地面真实图像的需求。这些改进允许对敏感细胞过程进行长期成像。</w:t>
      </w:r>
    </w:p>
    <w:p>
      <w:pPr>
        <w:spacing w:before="120"/>
      </w:pPr>
      <w:r>
        <w:rPr>
          <w:rFonts w:ascii="Times New Roman" w:hAnsi="Times New Roman" w:eastAsia="宋体"/>
          <w:b/>
          <w:sz w:val="21"/>
        </w:rPr>
        <w:t>English Abstract:</w:t>
      </w:r>
    </w:p>
    <w:p>
      <w:r>
        <w:rPr>
          <w:rFonts w:ascii="Times New Roman" w:hAnsi="Times New Roman" w:eastAsia="宋体"/>
          <w:sz w:val="21"/>
        </w:rPr>
        <w:t>Self-supervised reconstruction structured illumination microscopy (SSR-SIM) is a reconstruction approach for SIM that improves image reconstruction by including light modulation priors and information on reconstruction artifacts, while simultaneously eliminating the need for ground-truth images. The improvements allow long-term imaging of sensitive cellular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 RNA 结合蛋白降解以改善动物细胞中 mRNA 实时成像</w:t>
      </w:r>
    </w:p>
    <w:p>
      <w:r>
        <w:rPr>
          <w:rFonts w:ascii="Times New Roman" w:hAnsi="Times New Roman" w:eastAsia="宋体"/>
          <w:b/>
          <w:color w:val="003264"/>
          <w:sz w:val="24"/>
        </w:rPr>
        <w:t>Targeted RNA-binding protein degradation to improve mRNA live imaging in animal cells</w:t>
      </w:r>
    </w:p>
    <w:p>
      <w:r>
        <w:rPr>
          <w:rFonts w:ascii="Times New Roman" w:hAnsi="Times New Roman" w:eastAsia="宋体"/>
          <w:sz w:val="21"/>
        </w:rPr>
        <w:t>作者: Gal Haimovich</w:t>
        <w:br/>
      </w:r>
      <w:r>
        <w:rPr>
          <w:rFonts w:ascii="Times New Roman" w:hAnsi="Times New Roman" w:eastAsia="宋体"/>
          <w:sz w:val="21"/>
        </w:rPr>
        <w:t xml:space="preserve">时间: 2025-12-17 | </w:t>
      </w:r>
      <w:r>
        <w:t xml:space="preserve">链接: </w:t>
      </w:r>
      <w:hyperlink r:id="rId224">
        <w:r>
          <w:rPr>
            <w:rFonts w:ascii="Times New Roman" w:hAnsi="Times New Roman" w:eastAsia="宋体"/>
            <w:color w:val="0000FF"/>
            <w:sz w:val="21"/>
            <w:u w:val="single"/>
          </w:rPr>
          <w:t>https://doi.org/10.1038/s41592-025-02869-y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活细胞 mRNA 成像的黄金标准系统刚刚通过降解而得到升级。这一进展提高了信噪比，并可能有助于更好地理解 mRNA 运输和定位。</w:t>
      </w:r>
    </w:p>
    <w:p>
      <w:pPr>
        <w:spacing w:before="120"/>
      </w:pPr>
      <w:r>
        <w:rPr>
          <w:rFonts w:ascii="Times New Roman" w:hAnsi="Times New Roman" w:eastAsia="宋体"/>
          <w:b/>
          <w:sz w:val="21"/>
        </w:rPr>
        <w:t>English Abstract:</w:t>
      </w:r>
    </w:p>
    <w:p>
      <w:r>
        <w:rPr>
          <w:rFonts w:ascii="Times New Roman" w:hAnsi="Times New Roman" w:eastAsia="宋体"/>
          <w:sz w:val="21"/>
        </w:rPr>
        <w:t>The gold standard system for mRNA imaging in live cells just got upgraded by being degraded. This development improves signal-to-noise ratios and may lead to a better understanding of mRNA transport and localization.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用于三色 RNA 成像的正交 RNA 调节去稳定结构域，RNA 扰动最小</w:t>
      </w:r>
    </w:p>
    <w:p>
      <w:r>
        <w:rPr>
          <w:rFonts w:ascii="Times New Roman" w:hAnsi="Times New Roman" w:eastAsia="宋体"/>
          <w:b/>
          <w:color w:val="003264"/>
          <w:sz w:val="24"/>
        </w:rPr>
        <w:t>Orthogonal RNA-regulated destabilization domains for three-color RNA imaging with minimal RNA perturbation</w:t>
      </w:r>
    </w:p>
    <w:p>
      <w:r>
        <w:rPr>
          <w:rFonts w:ascii="Times New Roman" w:hAnsi="Times New Roman" w:eastAsia="宋体"/>
          <w:sz w:val="21"/>
        </w:rPr>
        <w:t>作者: Tien G. Pham, Omoyemi Ajayi, Jiaze He, Irina Sagarbarria, Jeanne A. Hardy, Jiahui Wu</w:t>
        <w:br/>
      </w:r>
      <w:r>
        <w:rPr>
          <w:rFonts w:ascii="Times New Roman" w:hAnsi="Times New Roman" w:eastAsia="宋体"/>
          <w:sz w:val="21"/>
        </w:rPr>
        <w:t xml:space="preserve">时间: 2025-12-17 | </w:t>
      </w:r>
      <w:r>
        <w:t xml:space="preserve">链接: </w:t>
      </w:r>
      <w:hyperlink r:id="rId225">
        <w:r>
          <w:rPr>
            <w:rFonts w:ascii="Times New Roman" w:hAnsi="Times New Roman" w:eastAsia="宋体"/>
            <w:color w:val="0000FF"/>
            <w:sz w:val="21"/>
            <w:u w:val="single"/>
          </w:rPr>
          <w:t>https://doi.org/10.1038/s41592-025-02905-x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这项工作提出了两个不同的 RNA 调节的不稳定结构域，支持单个 mRNA 分子的三色活细胞成像，其中之一对 RNA 稳定性的影响最小。</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two distinct RNA-regulated destabilization domains that support three-color live-cell imaging of single mRNA molecules, one of which shows minimal impact on RNA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分析细胞迁移数据的方法：基础知识和实用指南</w:t>
      </w:r>
    </w:p>
    <w:p>
      <w:r>
        <w:rPr>
          <w:rFonts w:ascii="Times New Roman" w:hAnsi="Times New Roman" w:eastAsia="宋体"/>
          <w:b/>
          <w:color w:val="003264"/>
          <w:sz w:val="24"/>
        </w:rPr>
        <w:t>Methods to analyze cell migration data: fundamentals and practical guidelines</w:t>
      </w:r>
    </w:p>
    <w:p>
      <w:r>
        <w:rPr>
          <w:rFonts w:ascii="Times New Roman" w:hAnsi="Times New Roman" w:eastAsia="宋体"/>
          <w:sz w:val="21"/>
        </w:rPr>
        <w:t>作者: Pei-Hsun Wu, Jude M. Phillip, Wenxuan Du, Andre Forjaz, Praful R. Nair, Denis Wirtz</w:t>
        <w:br/>
      </w:r>
      <w:r>
        <w:rPr>
          <w:rFonts w:ascii="Times New Roman" w:hAnsi="Times New Roman" w:eastAsia="宋体"/>
          <w:sz w:val="21"/>
        </w:rPr>
        <w:t xml:space="preserve">时间: 2025-12-18 | </w:t>
      </w:r>
      <w:r>
        <w:t xml:space="preserve">链接: </w:t>
      </w:r>
      <w:hyperlink r:id="rId226">
        <w:r>
          <w:rPr>
            <w:rFonts w:ascii="Times New Roman" w:hAnsi="Times New Roman" w:eastAsia="宋体"/>
            <w:color w:val="0000FF"/>
            <w:sz w:val="21"/>
            <w:u w:val="single"/>
          </w:rPr>
          <w:t>https://doi.org/10.1038/s41592-025-02935-5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本综述描述了从细胞迁移测定中提取定量数据的数据分析原理。它还强调了先进的图像分析工具，并为感兴趣的用户提供实用指导。</w:t>
      </w:r>
    </w:p>
    <w:p>
      <w:pPr>
        <w:spacing w:before="120"/>
      </w:pPr>
      <w:r>
        <w:rPr>
          <w:rFonts w:ascii="Times New Roman" w:hAnsi="Times New Roman" w:eastAsia="宋体"/>
          <w:b/>
          <w:sz w:val="21"/>
        </w:rPr>
        <w:t>English Abstract:</w:t>
      </w:r>
    </w:p>
    <w:p>
      <w:r>
        <w:rPr>
          <w:rFonts w:ascii="Times New Roman" w:hAnsi="Times New Roman" w:eastAsia="宋体"/>
          <w:sz w:val="21"/>
        </w:rPr>
        <w:t>This Review describes the principles of data analysis for extracting quantitative data from cell migration assays. It also highlights advanced image analysis tools and offers practical guidance for interested users.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SpaceBar 通过基于成像的空间转录组学实现单细胞分辨率克隆追踪</w:t>
      </w:r>
    </w:p>
    <w:p>
      <w:r>
        <w:rPr>
          <w:rFonts w:ascii="Times New Roman" w:hAnsi="Times New Roman" w:eastAsia="宋体"/>
          <w:b/>
          <w:color w:val="003264"/>
          <w:sz w:val="24"/>
        </w:rPr>
        <w:t>SpaceBar enables single-cell-resolution clone tracing with imaging-based spatial transcriptomics</w:t>
      </w:r>
    </w:p>
    <w:p>
      <w:r>
        <w:rPr>
          <w:rFonts w:ascii="Times New Roman" w:hAnsi="Times New Roman" w:eastAsia="宋体"/>
          <w:sz w:val="21"/>
        </w:rPr>
        <w:t>作者: Grant Kinsler, Caitlin Fagan, Haiyin Li, Jessica Kaster, Maggie Dunne, Robert J. Vander Velde, Ryan H. Boe, Sydney Shaffer, Meenhard Herlyn, Arjun Raj, Yael Heyman</w:t>
        <w:br/>
      </w:r>
      <w:r>
        <w:rPr>
          <w:rFonts w:ascii="Times New Roman" w:hAnsi="Times New Roman" w:eastAsia="宋体"/>
          <w:sz w:val="21"/>
        </w:rPr>
        <w:t xml:space="preserve">时间: 2025-12-18 | </w:t>
      </w:r>
      <w:r>
        <w:t xml:space="preserve">链接: </w:t>
      </w:r>
      <w:hyperlink r:id="rId227">
        <w:r>
          <w:rPr>
            <w:rFonts w:ascii="Times New Roman" w:hAnsi="Times New Roman" w:eastAsia="宋体"/>
            <w:color w:val="0000FF"/>
            <w:sz w:val="21"/>
            <w:u w:val="single"/>
          </w:rPr>
          <w:t>https://doi.org/10.1038/s41592-025-02968-w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SpaceBar 是一种细胞条形码策略，用于同时分析细胞克隆和空间身份。</w:t>
      </w:r>
    </w:p>
    <w:p>
      <w:pPr>
        <w:spacing w:before="120"/>
      </w:pPr>
      <w:r>
        <w:rPr>
          <w:rFonts w:ascii="Times New Roman" w:hAnsi="Times New Roman" w:eastAsia="宋体"/>
          <w:b/>
          <w:sz w:val="21"/>
        </w:rPr>
        <w:t>English Abstract:</w:t>
      </w:r>
    </w:p>
    <w:p>
      <w:r>
        <w:rPr>
          <w:rFonts w:ascii="Times New Roman" w:hAnsi="Times New Roman" w:eastAsia="宋体"/>
          <w:sz w:val="21"/>
        </w:rPr>
        <w:t>SpaceBar is a cellular barcoding strategy for simultaneous analysis of cell clonal and spatial identities.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无标记显微镜图像中细胞上下文相关的计算机细胞器定位</w:t>
      </w:r>
    </w:p>
    <w:p>
      <w:r>
        <w:rPr>
          <w:rFonts w:ascii="Times New Roman" w:hAnsi="Times New Roman" w:eastAsia="宋体"/>
          <w:b/>
          <w:color w:val="003264"/>
          <w:sz w:val="24"/>
        </w:rPr>
        <w:t>Cell context-dependent in silico organelle localization in label-free microscopy images</w:t>
      </w:r>
    </w:p>
    <w:p>
      <w:r>
        <w:rPr>
          <w:rFonts w:ascii="Times New Roman" w:hAnsi="Times New Roman" w:eastAsia="宋体"/>
          <w:sz w:val="21"/>
        </w:rPr>
        <w:t>作者: Nitsan Elmalam, Assaf Zaritsky</w:t>
        <w:br/>
      </w:r>
      <w:r>
        <w:rPr>
          <w:rFonts w:ascii="Times New Roman" w:hAnsi="Times New Roman" w:eastAsia="宋体"/>
          <w:sz w:val="21"/>
        </w:rPr>
        <w:t xml:space="preserve">时间: 2025-12-19 | </w:t>
      </w:r>
      <w:r>
        <w:t xml:space="preserve">链接: </w:t>
      </w:r>
      <w:hyperlink r:id="rId228">
        <w:r>
          <w:rPr>
            <w:rFonts w:ascii="Times New Roman" w:hAnsi="Times New Roman" w:eastAsia="宋体"/>
            <w:color w:val="0000FF"/>
            <w:sz w:val="21"/>
            <w:u w:val="single"/>
          </w:rPr>
          <w:t>https://doi.org/10.1038/s41592-025-02960-4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CELTIC 是一种用于计算机细胞器定位的上下文相关深度学习模型，它使用生物学先验来实现从无标记图像中对细胞器荧光进行广义和协调的预测。</w:t>
      </w:r>
    </w:p>
    <w:p>
      <w:pPr>
        <w:spacing w:before="120"/>
      </w:pPr>
      <w:r>
        <w:rPr>
          <w:rFonts w:ascii="Times New Roman" w:hAnsi="Times New Roman" w:eastAsia="宋体"/>
          <w:b/>
          <w:sz w:val="21"/>
        </w:rPr>
        <w:t>English Abstract:</w:t>
      </w:r>
    </w:p>
    <w:p>
      <w:r>
        <w:rPr>
          <w:rFonts w:ascii="Times New Roman" w:hAnsi="Times New Roman" w:eastAsia="宋体"/>
          <w:sz w:val="21"/>
        </w:rPr>
        <w:t>CELTIC is a context-dependent deep learning model for in silico organelle localization that uses biological priors to enable the generalized and harmonized prediction of organelle fluorescence from label-free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高分辨率追踪细胞祖先和空间基因表达</w:t>
      </w:r>
    </w:p>
    <w:p>
      <w:r>
        <w:rPr>
          <w:rFonts w:ascii="Times New Roman" w:hAnsi="Times New Roman" w:eastAsia="宋体"/>
          <w:b/>
          <w:color w:val="003264"/>
          <w:sz w:val="24"/>
        </w:rPr>
        <w:t>Tracking cell ancestry and spatial gene expression with high resolution</w:t>
      </w:r>
    </w:p>
    <w:p>
      <w:r>
        <w:rPr>
          <w:rFonts w:ascii="Times New Roman" w:hAnsi="Times New Roman" w:eastAsia="宋体"/>
          <w:sz w:val="21"/>
        </w:rPr>
        <w:t>作者: Unknown</w:t>
        <w:br/>
      </w:r>
      <w:r>
        <w:rPr>
          <w:rFonts w:ascii="Times New Roman" w:hAnsi="Times New Roman" w:eastAsia="宋体"/>
          <w:sz w:val="21"/>
        </w:rPr>
        <w:t xml:space="preserve">时间: 2025-12-22 | </w:t>
      </w:r>
      <w:r>
        <w:t xml:space="preserve">链接: </w:t>
      </w:r>
      <w:hyperlink r:id="rId229">
        <w:r>
          <w:rPr>
            <w:rFonts w:ascii="Times New Roman" w:hAnsi="Times New Roman" w:eastAsia="宋体"/>
            <w:color w:val="0000FF"/>
            <w:sz w:val="21"/>
            <w:u w:val="single"/>
          </w:rPr>
          <w:t>https://doi.org/10.1038/s41592-025-02964-0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SpaceBar，这是一种使用 DNA 条形码来标记单个细胞及其后代的方法，并与基于高分辨率成像的空间转录组学技术无缝集成。这种新方法能够阐明细胞的位置和祖先如何共同影响其在复杂组织中的功能和基因表达。</w:t>
      </w:r>
    </w:p>
    <w:p>
      <w:pPr>
        <w:spacing w:before="120"/>
      </w:pPr>
      <w:r>
        <w:rPr>
          <w:rFonts w:ascii="Times New Roman" w:hAnsi="Times New Roman" w:eastAsia="宋体"/>
          <w:b/>
          <w:sz w:val="21"/>
        </w:rPr>
        <w:t>English Abstract:</w:t>
      </w:r>
    </w:p>
    <w:p>
      <w:r>
        <w:rPr>
          <w:rFonts w:ascii="Times New Roman" w:hAnsi="Times New Roman" w:eastAsia="宋体"/>
          <w:sz w:val="21"/>
        </w:rPr>
        <w:t>We developed SpaceBar, a method that uses DNA barcodes to label both individual cells and their progeny and seamlessly integrates with high-resolution imaging-based spatial transcriptomics technologies. This new approach enables the elucidation of how a cell’s location and ancestry jointly inform its function and gene expression in complex tissues.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用于比较大分子复合物的全自动基准测试套件</w:t>
      </w:r>
    </w:p>
    <w:p>
      <w:r>
        <w:rPr>
          <w:rFonts w:ascii="Times New Roman" w:hAnsi="Times New Roman" w:eastAsia="宋体"/>
          <w:b/>
          <w:color w:val="003264"/>
          <w:sz w:val="24"/>
        </w:rPr>
        <w:t>A fully automated benchmarking suite to compare macromolecular complexes</w:t>
      </w:r>
    </w:p>
    <w:p>
      <w:r>
        <w:rPr>
          <w:rFonts w:ascii="Times New Roman" w:hAnsi="Times New Roman" w:eastAsia="宋体"/>
          <w:sz w:val="21"/>
        </w:rPr>
        <w:t>作者: Gabriel Studer, Xavier Robin, Stefan Bienert, Janani Durairaj, Peter Škrinjar, Gerardo Tauriello, Andrew Mark Waterhouse, Torsten Schwede</w:t>
        <w:br/>
      </w:r>
      <w:r>
        <w:rPr>
          <w:rFonts w:ascii="Times New Roman" w:hAnsi="Times New Roman" w:eastAsia="宋体"/>
          <w:sz w:val="21"/>
        </w:rPr>
        <w:t xml:space="preserve">时间: 2025-12-22 | </w:t>
      </w:r>
      <w:r>
        <w:t xml:space="preserve">链接: </w:t>
      </w:r>
      <w:hyperlink r:id="rId230">
        <w:r>
          <w:rPr>
            <w:rFonts w:ascii="Times New Roman" w:hAnsi="Times New Roman" w:eastAsia="宋体"/>
            <w:color w:val="0000FF"/>
            <w:sz w:val="21"/>
            <w:u w:val="single"/>
          </w:rPr>
          <w:t>https://doi.org/10.1038/s41592-025-02973-z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蛋白质结构预测在基准测试方面有着悠久的历史，例如结构预测的严格评估、连续自动化模型评估和相互作用预测的严格评估。随着基于人工智能的大分子复合物预测方法的兴起，使用大型数据集和稳健、无监督的分数进行基准测试以将预测与参考进行比较已变得至关重要。此外，通过晶体学或低温电子显微镜实验确定的参考结构的尺寸和复杂性不断增加，对结构比较方法提出了挑战。在这里，我们回顾了评分方法的当前技术水平，确定了现有的局限性，并提出了更适合对三级和四级结构、蛋白质-蛋白质界面和蛋白质-配体复合物进行评分的方法。我们的方法旨在有效扩展，从而能够评估大型复杂系统。所有开发都可以在 OpenStructure 的结构基准测试框架中获得。 OpenStructure 是开源软件，可从 https://openstruct.org/ 免费获取。</w:t>
      </w:r>
    </w:p>
    <w:p>
      <w:pPr>
        <w:spacing w:before="120"/>
      </w:pPr>
      <w:r>
        <w:rPr>
          <w:rFonts w:ascii="Times New Roman" w:hAnsi="Times New Roman" w:eastAsia="宋体"/>
          <w:b/>
          <w:sz w:val="21"/>
        </w:rPr>
        <w:t>English Abstract:</w:t>
      </w:r>
    </w:p>
    <w:p>
      <w:r>
        <w:rPr>
          <w:rFonts w:ascii="Times New Roman" w:hAnsi="Times New Roman" w:eastAsia="宋体"/>
          <w:sz w:val="21"/>
        </w:rPr>
        <w:t>Abstract Protein structure prediction has a long history of benchmarking efforts such as critical assessment of structure prediction, continuous automated model evaluation and critical assessment of prediction of interactions. With the rise of artificial intelligence-based methods for prediction of macromolecular complexes, benchmarking with large datasets and robust, unsupervised scores to compare predictions against a reference has become essential. Also, the increasing size and complexity of experimentally determined reference structures by crystallography or cryogenic electron microscopy poses challenges for structure comparison methods. Here we review the current state of the art in scoring methodologies, identify existing limitations and present more suitable approaches for scoring of tertiary and quaternary structures, protein–protein interfaces and protein–ligand complexes. Our methods are designed to scale efficiently, enabling the assessment of large, complex systems. All developments are available in the structure benchmarking framework of OpenStructure. OpenStructure is open source software and available for free at https://openstructure.org/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利用非稳态成像提高 fMRI 的时间 SNR</w:t>
      </w:r>
    </w:p>
    <w:p>
      <w:r>
        <w:rPr>
          <w:rFonts w:ascii="Times New Roman" w:hAnsi="Times New Roman" w:eastAsia="宋体"/>
          <w:b/>
          <w:color w:val="003264"/>
          <w:sz w:val="24"/>
        </w:rPr>
        <w:t>Taking advantage of non-steady-state imaging to increase temporal SNR for fMRI</w:t>
      </w:r>
    </w:p>
    <w:p>
      <w:r>
        <w:rPr>
          <w:rFonts w:ascii="Times New Roman" w:hAnsi="Times New Roman" w:eastAsia="宋体"/>
          <w:sz w:val="21"/>
        </w:rPr>
        <w:t>作者: Alexander J. S. Beckett, David A. Feinberg</w:t>
        <w:br/>
      </w:r>
      <w:r>
        <w:rPr>
          <w:rFonts w:ascii="Times New Roman" w:hAnsi="Times New Roman" w:eastAsia="宋体"/>
          <w:sz w:val="21"/>
        </w:rPr>
        <w:t xml:space="preserve">时间: 2025-12-23 | </w:t>
      </w:r>
      <w:r>
        <w:t xml:space="preserve">链接: </w:t>
      </w:r>
      <w:hyperlink r:id="rId231">
        <w:r>
          <w:rPr>
            <w:rFonts w:ascii="Times New Roman" w:hAnsi="Times New Roman" w:eastAsia="宋体"/>
            <w:color w:val="0000FF"/>
            <w:sz w:val="21"/>
            <w:u w:val="single"/>
          </w:rPr>
          <w:t>https://doi.org/10.1038/s41592-025-02992-w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一种称为 SASS 的技术通过利用收集功能图像时达到稳定状态所需的时间来提高功能 MRI 的时间信噪比。</w:t>
      </w:r>
    </w:p>
    <w:p>
      <w:pPr>
        <w:spacing w:before="120"/>
      </w:pPr>
      <w:r>
        <w:rPr>
          <w:rFonts w:ascii="Times New Roman" w:hAnsi="Times New Roman" w:eastAsia="宋体"/>
          <w:b/>
          <w:sz w:val="21"/>
        </w:rPr>
        <w:t>English Abstract:</w:t>
      </w:r>
    </w:p>
    <w:p>
      <w:r>
        <w:rPr>
          <w:rFonts w:ascii="Times New Roman" w:hAnsi="Times New Roman" w:eastAsia="宋体"/>
          <w:sz w:val="21"/>
        </w:rPr>
        <w:t>A technique called SASS increases temporal signal-to-noise ratio for functional MRI by taking advantage of the time it takes to reach steady state when collecting functional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谷氨酸指示剂具有更高的灵敏度和定制的失活率</w:t>
      </w:r>
    </w:p>
    <w:p>
      <w:r>
        <w:rPr>
          <w:rFonts w:ascii="Times New Roman" w:hAnsi="Times New Roman" w:eastAsia="宋体"/>
          <w:b/>
          <w:color w:val="003264"/>
          <w:sz w:val="24"/>
        </w:rPr>
        <w:t>Glutamate indicators with increased sensitivity and tailored deactivation rates</w:t>
      </w:r>
    </w:p>
    <w:p>
      <w:r>
        <w:rPr>
          <w:rFonts w:ascii="Times New Roman" w:hAnsi="Times New Roman" w:eastAsia="宋体"/>
          <w:sz w:val="21"/>
        </w:rPr>
        <w:t>作者: Abhi Aggarwal, Adrian Negrean, Yang Chen, Rishyashring Iyer, Daniel Reep, Anyi Liu, Anirudh Palutla, Michael E. Xie, Bryan J. MacLennan, Kenta M. Hagihara, Lucas W. Kinsey, Julianna L. Sun, Pantong Yao, Jihong Zheng, Arthur Tsang, Getahun Tsegaye, Yonghai Zhang, Ronak H. Patel, Benjamin J. Arthur, Julien Hiblot, Philipp Leippe, Miroslaw Tarnawski, Jonathan S. Marvin, Jason D. Vevea, Srinivas C. Turaga, Alison G. Tebo, Matteo Carandini, L. Federico Rossi, David Kleinfeld, Arthur Konnerth, Karel Svoboda, Glenn C. Turner, Jeremy P. Hasseman, Kaspar Podgorski</w:t>
        <w:br/>
      </w:r>
      <w:r>
        <w:rPr>
          <w:rFonts w:ascii="Times New Roman" w:hAnsi="Times New Roman" w:eastAsia="宋体"/>
          <w:sz w:val="21"/>
        </w:rPr>
        <w:t xml:space="preserve">时间: 2025-12-23 | </w:t>
      </w:r>
      <w:r>
        <w:t xml:space="preserve">链接: </w:t>
      </w:r>
      <w:hyperlink r:id="rId232">
        <w:r>
          <w:rPr>
            <w:rFonts w:ascii="Times New Roman" w:hAnsi="Times New Roman" w:eastAsia="宋体"/>
            <w:color w:val="0000FF"/>
            <w:sz w:val="21"/>
            <w:u w:val="single"/>
          </w:rPr>
          <w:t>https://doi.org/10.1038/s41592-025-02965-z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摘要：了解神经元如何整合来自数千个输入突触的信号需要同时监测多个位点的神经传递的方法。荧光蛋白谷氨酸指示剂 iGluSnFR 能够实现突触信号传导的可视化，但此类测量的灵敏度、规模和速度受到现有变体的限制。在这里，我们开发了两种高度敏感的第四代 iGluSnFR 变体，具有快速激活和定制的失活率：用于跟踪快速动态的 iGluSnFR4f 和用于记录大量突触的 iGluSnFR4s。这些指标以高空间特异性和体内单囊泡敏感性检测谷氨酸。我们用它们记录小鼠多个实验环境中突触传递的自然模式，包括皮质层 1-4 和海马 CA1 的双光子成像，以及中脑的光度测定。 iGluSnFR4 变体扩展了谷氨酸成像的速度、灵敏度和可扩展性，从而能够直接观察完整大脑中神经网络的信息流。</w:t>
      </w:r>
    </w:p>
    <w:p>
      <w:pPr>
        <w:spacing w:before="120"/>
      </w:pPr>
      <w:r>
        <w:rPr>
          <w:rFonts w:ascii="Times New Roman" w:hAnsi="Times New Roman" w:eastAsia="宋体"/>
          <w:b/>
          <w:sz w:val="21"/>
        </w:rPr>
        <w:t>English Abstract:</w:t>
      </w:r>
    </w:p>
    <w:p>
      <w:r>
        <w:rPr>
          <w:rFonts w:ascii="Times New Roman" w:hAnsi="Times New Roman" w:eastAsia="宋体"/>
          <w:sz w:val="21"/>
        </w:rPr>
        <w:t>Abstract Understanding how neurons integrate signals from thousands of input synapses requires methods to monitor neurotransmission across many sites simultaneously. The fluorescent protein glutamate indicator iGluSnFR enables visualization of synaptic signaling, but the sensitivity, scale and speed of such measurements are limited by existing variants. Here we developed two highly sensitive fourth-generation iGluSnFR variants with fast activation and tailored deactivation rates: iGluSnFR4f for tracking rapid dynamics, and iGluSnFR4s for recording from large populations of synapses. These indicators detect glutamate with high spatial specificity and single-vesicle sensitivity in vivo. We used them to record natural patterns of synaptic transmission across multiple experimental contexts in mice, including two-photon imaging in cortical layers 1–4 and hippocampal CA1, and photometry in the midbrain. The iGluSnFR4 variants extend the speed, sensitivity and scalability of glutamate imaging, enabling direct observation of information flow through neural networks in the intact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DynamicAtlas：果蝇发育的形态动力学图谱</w:t>
      </w:r>
    </w:p>
    <w:p>
      <w:r>
        <w:rPr>
          <w:rFonts w:ascii="Times New Roman" w:hAnsi="Times New Roman" w:eastAsia="宋体"/>
          <w:b/>
          <w:color w:val="003264"/>
          <w:sz w:val="24"/>
        </w:rPr>
        <w:t>DynamicAtlas: a morphodynamic atlas for Drosophila development</w:t>
      </w:r>
    </w:p>
    <w:p>
      <w:r>
        <w:rPr>
          <w:rFonts w:ascii="Times New Roman" w:hAnsi="Times New Roman" w:eastAsia="宋体"/>
          <w:sz w:val="21"/>
        </w:rPr>
        <w:t>作者: Matthew F. Lefebvre, Vishank Jain-Sharma, Nikolas Claussen, Noah P. Mitchell, Marion K. Raich, Hannah J. Gustafson, Friederike E. Streichan, Andreas R. Bausch, Sebastian J. Streichan</w:t>
        <w:br/>
      </w:r>
      <w:r>
        <w:rPr>
          <w:rFonts w:ascii="Times New Roman" w:hAnsi="Times New Roman" w:eastAsia="宋体"/>
          <w:sz w:val="21"/>
        </w:rPr>
        <w:t xml:space="preserve">时间: 2025-12-24 | </w:t>
      </w:r>
      <w:r>
        <w:t xml:space="preserve">链接: </w:t>
      </w:r>
      <w:hyperlink r:id="rId233">
        <w:r>
          <w:rPr>
            <w:rFonts w:ascii="Times New Roman" w:hAnsi="Times New Roman" w:eastAsia="宋体"/>
            <w:color w:val="0000FF"/>
            <w:sz w:val="21"/>
            <w:u w:val="single"/>
          </w:rPr>
          <w:t>https://doi.org/10.1038/s41592-025-02897-8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生物体通过基因表达和力学的相互作用来形成其形状。虽然静态样本图谱表征了细胞命运和基因调控，但了解动态形状变化需要实时成像。在这里，我们展示 DynamicAtlas：来自 500 个果蝇胚胎（野生型和 18 个突变体）的实时和静态数据集的“形态动力学图集”，与共同的形态时间线对齐。令人惊讶的是，表征野生型表面组织流揭示了独特的“形态动力学模块”——整体运动模式静止的时间段——对应于关键的发育阶段。突变分析显示，静态流动模式取决于打破背腹轴空间对称性的基因。温度扰动表明形态动力学模块随着累积的组织变形而变化，而不是随着时间的推移而变化。将我们的方法扩展到胚胎果蝇中肠，我们发现了动态三维表面的协变测量的模块。 DynamicAtlas 为研究生命系统中的形状形成提供了一个高分辨率框架。</w:t>
      </w:r>
    </w:p>
    <w:p>
      <w:pPr>
        <w:spacing w:before="120"/>
      </w:pPr>
      <w:r>
        <w:rPr>
          <w:rFonts w:ascii="Times New Roman" w:hAnsi="Times New Roman" w:eastAsia="宋体"/>
          <w:b/>
          <w:sz w:val="21"/>
        </w:rPr>
        <w:t>English Abstract:</w:t>
      </w:r>
    </w:p>
    <w:p>
      <w:r>
        <w:rPr>
          <w:rFonts w:ascii="Times New Roman" w:hAnsi="Times New Roman" w:eastAsia="宋体"/>
          <w:sz w:val="21"/>
        </w:rPr>
        <w:t>Abstract Living organisms develop their shape through the interplay of gene expression and mechanics. While atlases of static samples characterize cell fates and gene regulation, understanding dynamic shape changes requires live imaging. Here we present DynamicAtlas: a ‘morphodynamic atlas’ of live and static datasets from 500 Drosophila melanogaster embryos (wild type and 18 mutants), aligned to a common morphological timeline. Surprisingly, characterizing wild-type surface tissue flows reveals distinct ‘morphodynamic modules’—time periods in which the global pattern of motion is stationary—corresponding to key developmental stages. Mutant analysis shows stationary flow patterns depend on genes that break spatial symmetry along the dorsal–ventral axis. Temperature perturbations indicate that morphodynamic modules change in response to accumulated tissue deformation, rather than elapsed time. Extending our approach to the embryonic Drosophila midgut, we find modules in covariant measures of the dynamic three-dimensional surface. DynamicAtlas provides a high-resolution framework for studying shape formation across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SmartEM：机器学习引导的电子显微镜</w:t>
      </w:r>
    </w:p>
    <w:p>
      <w:r>
        <w:rPr>
          <w:rFonts w:ascii="Times New Roman" w:hAnsi="Times New Roman" w:eastAsia="宋体"/>
          <w:b/>
          <w:color w:val="003264"/>
          <w:sz w:val="24"/>
        </w:rPr>
        <w:t>SmartEM: machine learning-guided electron microscopy</w:t>
      </w:r>
    </w:p>
    <w:p>
      <w:r>
        <w:rPr>
          <w:rFonts w:ascii="Times New Roman" w:hAnsi="Times New Roman" w:eastAsia="宋体"/>
          <w:sz w:val="21"/>
        </w:rPr>
        <w:t>作者: Yaron Meirovitch, Ishaan Singh Chandok, Core Francisco Park, Pavel Potocek, Lu Mi, Shashata Sawmya, Yicong Li, Thomas L. Athey, Vladislav Susoy, Neha Karlupia, Yuelong Wu, Daniel R. Berger, Richard Schalek, Caitlyn A. Bishop, Daniel Xenes, Hannah Martinez, Jordan Matelsky, Brock A. Wester, Hanspeter Pfister, Remco Schoenmakers, Maurice Peemen, Jeff W. Lichtman, Aravinthan D. T. Samuel, Nir Shavit</w:t>
        <w:br/>
      </w:r>
      <w:r>
        <w:rPr>
          <w:rFonts w:ascii="Times New Roman" w:hAnsi="Times New Roman" w:eastAsia="宋体"/>
          <w:sz w:val="21"/>
        </w:rPr>
        <w:t xml:space="preserve">时间: 2025-12-29 | </w:t>
      </w:r>
      <w:r>
        <w:t xml:space="preserve">链接: </w:t>
      </w:r>
      <w:hyperlink r:id="rId234">
        <w:r>
          <w:rPr>
            <w:rFonts w:ascii="Times New Roman" w:hAnsi="Times New Roman" w:eastAsia="宋体"/>
            <w:color w:val="0000FF"/>
            <w:sz w:val="21"/>
            <w:u w:val="single"/>
          </w:rPr>
          <w:t>https://doi.org/10.1038/s41592-025-02929-3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SmartEM 是一种“智能”管道，用于基于电子显微镜的连接组学数据采集。为了有效地对大型数据集进行成像，该方法涉及以短像素停留时间进行成像并识别有问题的区域，然后以更长的停留时间进行成像，从而获得更高的质量。</w:t>
      </w:r>
    </w:p>
    <w:p>
      <w:pPr>
        <w:spacing w:before="120"/>
      </w:pPr>
      <w:r>
        <w:rPr>
          <w:rFonts w:ascii="Times New Roman" w:hAnsi="Times New Roman" w:eastAsia="宋体"/>
          <w:b/>
          <w:sz w:val="21"/>
        </w:rPr>
        <w:t>English Abstract:</w:t>
      </w:r>
    </w:p>
    <w:p>
      <w:r>
        <w:rPr>
          <w:rFonts w:ascii="Times New Roman" w:hAnsi="Times New Roman" w:eastAsia="宋体"/>
          <w:sz w:val="21"/>
        </w:rPr>
        <w:t>SmartEM is a ‘smart’ pipeline for electron microscopy-based data acquisition for connectomics. In order to efficiently image large datasets, the approach involves imaging at short pixel dwell times and identifying problematic regions that are then imaged with longer dwell times and therefore higher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当前和未来十年的 3D 牵引力显微镜指南</w:t>
      </w:r>
    </w:p>
    <w:p>
      <w:r>
        <w:rPr>
          <w:rFonts w:ascii="Times New Roman" w:hAnsi="Times New Roman" w:eastAsia="宋体"/>
          <w:b/>
          <w:color w:val="003264"/>
          <w:sz w:val="24"/>
        </w:rPr>
        <w:t>Guidance for 3D traction force microscopy today and in the next decade</w:t>
      </w:r>
    </w:p>
    <w:p>
      <w:r>
        <w:rPr>
          <w:rFonts w:ascii="Times New Roman" w:hAnsi="Times New Roman" w:eastAsia="宋体"/>
          <w:sz w:val="21"/>
        </w:rPr>
        <w:t>作者: Jorge Barrasa-Fano, Apeksha Shapeti, Alejandro Apolinar-Fernández, Laurens Kimps, Bart Smeets, José Antonio Sanz-Herrera, Hans Van Oosterwyck</w:t>
        <w:br/>
      </w:r>
      <w:r>
        <w:rPr>
          <w:rFonts w:ascii="Times New Roman" w:hAnsi="Times New Roman" w:eastAsia="宋体"/>
          <w:sz w:val="21"/>
        </w:rPr>
        <w:t xml:space="preserve">时间: 2025-12-29 | </w:t>
      </w:r>
      <w:r>
        <w:t xml:space="preserve">链接: </w:t>
      </w:r>
      <w:hyperlink r:id="rId235">
        <w:r>
          <w:rPr>
            <w:rFonts w:ascii="Times New Roman" w:hAnsi="Times New Roman" w:eastAsia="宋体"/>
            <w:color w:val="0000FF"/>
            <w:sz w:val="21"/>
            <w:u w:val="single"/>
          </w:rPr>
          <w:t>https://doi.org/10.1038/s41592-025-02934-6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本视角展望了 3DTFM 的未来，并为其应用的实验和计算策略提供了实用指南。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This Perspective envisions the future of 3DTFM and provides practical guidelines for experimental and computation strategies for its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人工智能引导电子显微镜加速大脑绘图</w:t>
      </w:r>
    </w:p>
    <w:p>
      <w:r>
        <w:rPr>
          <w:rFonts w:ascii="Times New Roman" w:hAnsi="Times New Roman" w:eastAsia="宋体"/>
          <w:b/>
          <w:color w:val="003264"/>
          <w:sz w:val="24"/>
        </w:rPr>
        <w:t>AI-guided electron microscopy accelerates brain mapping</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36">
        <w:r>
          <w:rPr>
            <w:rFonts w:ascii="Times New Roman" w:hAnsi="Times New Roman" w:eastAsia="宋体"/>
            <w:color w:val="0000FF"/>
            <w:sz w:val="21"/>
            <w:u w:val="single"/>
          </w:rPr>
          <w:t>https://doi.org/10.1038/s41592-025-02930-w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martEM，这是一种将机器学习直接集成到电子显微镜图像采集过程中的方法。通过以特定方式分配成像时间（首先快速扫描，然后以较慢的速度仅重新扫描关键区域），我们能够在不牺牲准确性的情况下将神经回路的映射速度加快七倍。</w:t>
      </w:r>
    </w:p>
    <w:p>
      <w:pPr>
        <w:spacing w:before="120"/>
      </w:pPr>
      <w:r>
        <w:rPr>
          <w:rFonts w:ascii="Times New Roman" w:hAnsi="Times New Roman" w:eastAsia="宋体"/>
          <w:b/>
          <w:sz w:val="21"/>
        </w:rPr>
        <w:t>English Abstract:</w:t>
      </w:r>
    </w:p>
    <w:p>
      <w:r>
        <w:rPr>
          <w:rFonts w:ascii="Times New Roman" w:hAnsi="Times New Roman" w:eastAsia="宋体"/>
          <w:sz w:val="21"/>
        </w:rPr>
        <w:t>We developed SmartEM, a method that integrates machine learning directly into the image acquisition process of an electron microscope. By allocating imaging time in a specific manner — scanning quickly at first, then rescanning only critical areas more slowly — we are able to accelerate the mapping of neural circuits up to sevenfold without sacrificing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人工智能支持的超分辨率显微镜：纳米级细胞成像的革命</w:t>
      </w:r>
    </w:p>
    <w:p>
      <w:r>
        <w:rPr>
          <w:rFonts w:ascii="Times New Roman" w:hAnsi="Times New Roman" w:eastAsia="宋体"/>
          <w:b/>
          <w:color w:val="003264"/>
          <w:sz w:val="24"/>
        </w:rPr>
        <w:t>AI-empowered super-resolution microscopy: a revolution in nanoscale cellular imaging</w:t>
      </w:r>
    </w:p>
    <w:p>
      <w:r>
        <w:rPr>
          <w:rFonts w:ascii="Times New Roman" w:hAnsi="Times New Roman" w:eastAsia="宋体"/>
          <w:sz w:val="21"/>
        </w:rPr>
        <w:t>作者: Sen Li, Xiangjie Meng, Bo Zhou, Wenfeng Tian, Liangyi Chen, Yang Zhang</w:t>
        <w:br/>
      </w:r>
      <w:r>
        <w:rPr>
          <w:rFonts w:ascii="Times New Roman" w:hAnsi="Times New Roman" w:eastAsia="宋体"/>
          <w:sz w:val="21"/>
        </w:rPr>
        <w:t xml:space="preserve">时间: 2025-12-31 | </w:t>
      </w:r>
      <w:r>
        <w:t xml:space="preserve">链接: </w:t>
      </w:r>
      <w:hyperlink r:id="rId237">
        <w:r>
          <w:rPr>
            <w:rFonts w:ascii="Times New Roman" w:hAnsi="Times New Roman" w:eastAsia="宋体"/>
            <w:color w:val="0000FF"/>
            <w:sz w:val="21"/>
            <w:u w:val="single"/>
          </w:rPr>
          <w:t>https://doi.org/10.1038/s41592-025-02871-4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这篇综述全面讨论了如何使用机器学习和计算机视觉方法来改进超分辨率显微镜，以深入了解亚细胞生物学。</w:t>
      </w:r>
    </w:p>
    <w:p>
      <w:pPr>
        <w:spacing w:before="120"/>
      </w:pPr>
      <w:r>
        <w:rPr>
          <w:rFonts w:ascii="Times New Roman" w:hAnsi="Times New Roman" w:eastAsia="宋体"/>
          <w:b/>
          <w:sz w:val="21"/>
        </w:rPr>
        <w:t>English Abstract:</w:t>
      </w:r>
    </w:p>
    <w:p>
      <w:r>
        <w:rPr>
          <w:rFonts w:ascii="Times New Roman" w:hAnsi="Times New Roman" w:eastAsia="宋体"/>
          <w:sz w:val="21"/>
        </w:rPr>
        <w:t>This Review provides a comprehensive discussion of how methods in machine learning and computer vision have been used to improve super-resolution microscopy to gain insights into subcellular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回顾年份 2025</w:t>
      </w:r>
    </w:p>
    <w:p>
      <w:r>
        <w:rPr>
          <w:rFonts w:ascii="Times New Roman" w:hAnsi="Times New Roman" w:eastAsia="宋体"/>
          <w:b/>
          <w:color w:val="003264"/>
          <w:sz w:val="24"/>
        </w:rPr>
        <w:t>Year in review 2025</w:t>
      </w:r>
    </w:p>
    <w:p>
      <w:r>
        <w:rPr>
          <w:rFonts w:ascii="Times New Roman" w:hAnsi="Times New Roman" w:eastAsia="宋体"/>
          <w:sz w:val="21"/>
        </w:rPr>
        <w:t>作者: Unknown</w:t>
        <w:br/>
      </w:r>
      <w:r>
        <w:rPr>
          <w:rFonts w:ascii="Times New Roman" w:hAnsi="Times New Roman" w:eastAsia="宋体"/>
          <w:sz w:val="21"/>
        </w:rPr>
        <w:t xml:space="preserve">时间: 2026-01-12 | </w:t>
      </w:r>
      <w:r>
        <w:t xml:space="preserve">链接: </w:t>
      </w:r>
      <w:hyperlink r:id="rId238">
        <w:r>
          <w:rPr>
            <w:rFonts w:ascii="Times New Roman" w:hAnsi="Times New Roman" w:eastAsia="宋体"/>
            <w:color w:val="0000FF"/>
            <w:sz w:val="21"/>
            <w:u w:val="single"/>
          </w:rPr>
          <w:t>https://doi.org/10.1038/s41592-025-02997-5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我们重点介绍 NatureMethods 团队在 2025 年发表的一些最受欢迎的论文，反映了一些趋势和新技术的发展。</w:t>
      </w:r>
    </w:p>
    <w:p>
      <w:pPr>
        <w:spacing w:before="120"/>
      </w:pPr>
      <w:r>
        <w:rPr>
          <w:rFonts w:ascii="Times New Roman" w:hAnsi="Times New Roman" w:eastAsia="宋体"/>
          <w:b/>
          <w:sz w:val="21"/>
        </w:rPr>
        <w:t>English Abstract:</w:t>
      </w:r>
    </w:p>
    <w:p>
      <w:r>
        <w:rPr>
          <w:rFonts w:ascii="Times New Roman" w:hAnsi="Times New Roman" w:eastAsia="宋体"/>
          <w:sz w:val="21"/>
        </w:rPr>
        <w:t>We highlight some of the Nature Methods team’s favorite papers published in 2025, reflecting on some trends and new technology developments.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DBiTplus 在同一组织切片上集成基于成像和基于测序的空间组学绘图</w:t>
      </w:r>
    </w:p>
    <w:p>
      <w:r>
        <w:rPr>
          <w:rFonts w:ascii="Times New Roman" w:hAnsi="Times New Roman" w:eastAsia="宋体"/>
          <w:b/>
          <w:color w:val="003264"/>
          <w:sz w:val="24"/>
        </w:rPr>
        <w:t>Integration of imaging-based and sequencing-based spatial omics mapping on the same tissue section via DBiTplus</w:t>
      </w:r>
    </w:p>
    <w:p>
      <w:r>
        <w:rPr>
          <w:rFonts w:ascii="Times New Roman" w:hAnsi="Times New Roman" w:eastAsia="宋体"/>
          <w:sz w:val="21"/>
        </w:rPr>
        <w:t>作者: Archibald Enninful, Zhaojun Zhang, Dmytro Klymyshyn, Matthew Ingalls, Mingyu Yang, Hailing Zong, Zhiliang Bai, Negin Farzad, Graham Su, Alev Baysoy, Jungmin Nam, Yao Lu, Shuozhen Bao, Siyan Deng, Nancy R. Zhang, Oliver Braubach, Mina L. Xu, Zongming Ma, Rong Fan</w:t>
        <w:br/>
      </w:r>
      <w:r>
        <w:rPr>
          <w:rFonts w:ascii="Times New Roman" w:hAnsi="Times New Roman" w:eastAsia="宋体"/>
          <w:sz w:val="21"/>
        </w:rPr>
        <w:t xml:space="preserve">时间: 2026-01-15 | </w:t>
      </w:r>
      <w:r>
        <w:t xml:space="preserve">链接: </w:t>
      </w:r>
      <w:hyperlink r:id="rId239">
        <w:r>
          <w:rPr>
            <w:rFonts w:ascii="Times New Roman" w:hAnsi="Times New Roman" w:eastAsia="宋体"/>
            <w:color w:val="0000FF"/>
            <w:sz w:val="21"/>
            <w:u w:val="single"/>
          </w:rPr>
          <w:t>https://doi.org/10.1038/s41592-025-02948-0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同一组织切片中绘制转录组和蛋白质组的空间图谱可以深刻推进我们对细胞异质性和功能的理解。在这里，我们介绍了组织测序+中的确定性条形码（DBiTplus），这是一种综合多模式空间组学方法，将基于测序的空间转录组学和同一切片上的多重蛋白质成像相结合，实现了单细胞分辨率的细胞分型和生物途径的转录组范围内的询问。 DBiTplus 利用空间条形码和 RNase H 介导的 cDNA 检索，保留组织结构以进行多重蛋白质成像。我们开发了计算管道来整合这些模式，从而允许成像引导的反卷积生成单细胞解析的空间转录组图谱。我们在不同的样本中展示了 DBiTplus，包括冷冻小鼠胚胎、福尔马林固定石蜡包埋的人类淋巴结和淋巴瘤组织，强调了它与具有挑战性的临床样本的兼容性。 DBiTplus 揭示了人类淋巴瘤发生、进展和转化的机制。因此，DBiTplus 是一个统一的工作流程，用于在转录组规模上以逐个细胞的方式进行空间解析的单细胞图谱和无偏见的生物机制探索。</w:t>
      </w:r>
    </w:p>
    <w:p>
      <w:pPr>
        <w:spacing w:before="120"/>
      </w:pPr>
      <w:r>
        <w:rPr>
          <w:rFonts w:ascii="Times New Roman" w:hAnsi="Times New Roman" w:eastAsia="宋体"/>
          <w:b/>
          <w:sz w:val="21"/>
        </w:rPr>
        <w:t>English Abstract:</w:t>
      </w:r>
    </w:p>
    <w:p>
      <w:r>
        <w:rPr>
          <w:rFonts w:ascii="Times New Roman" w:hAnsi="Times New Roman" w:eastAsia="宋体"/>
          <w:sz w:val="21"/>
        </w:rPr>
        <w:t>Abstract Spatially mapping the transcriptome and proteome in the same tissue section can profoundly advance our understanding of cellular heterogeneity and function. Here we present Deterministic Barcoding in Tissue sequencing plus (DBiTplus), an integrative multimodal spatial omics approach combining sequencing-based spatial transcriptomics and multiplexed protein imaging on the same section, enabling both single-cell-resolution cell typing and transcriptome-wide interrogation of biological pathways. DBiTplus utilizes spatial barcoding and RNase H-mediated cDNA retrieval, preserving tissue architecture for multiplexed protein imaging. We developed computational pipelines to integrate these modalities, allowing imaging-guided deconvolution to generate single-cell-resolved spatial transcriptome atlases. We demonstrate DBiTplus across diverse samples including frozen mouse embryos, and formalin-fixed paraffin-embedded human lymph nodes and lymphoma tissues, highlighting its compatibility with challenging clinical specimens. DBiTplus uncovered mechanisms of lymphomagenesis, progression and transformation in human lymphomas. Thus, DBiTplus is a unified workflow for spatially resolved single-cell atlasing and unbiased exploration of biological mechanisms in a cell-by-cell manner at transcriptome scale.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12:50 ---</w:t>
      </w:r>
    </w:p>
    <w:p>
      <w:pPr>
        <w:pStyle w:val="Heading2"/>
      </w:pPr>
      <w:r/>
      <w:r>
        <w:rPr>
          <w:rFonts w:ascii="Times New Roman" w:hAnsi="Times New Roman" w:eastAsia="宋体"/>
          <w:b/>
          <w:color w:val="000000"/>
          <w:sz w:val="24"/>
        </w:rPr>
        <w:t>学习连续变量系统的量子态</w:t>
      </w:r>
    </w:p>
    <w:p>
      <w:r>
        <w:rPr>
          <w:rFonts w:ascii="Times New Roman" w:hAnsi="Times New Roman" w:eastAsia="宋体"/>
          <w:b/>
          <w:color w:val="003264"/>
          <w:sz w:val="24"/>
        </w:rPr>
        <w:t>Learning quantum states of continuous-variable systems</w:t>
      </w:r>
    </w:p>
    <w:p>
      <w:r>
        <w:rPr>
          <w:rFonts w:ascii="Times New Roman" w:hAnsi="Times New Roman" w:eastAsia="宋体"/>
          <w:sz w:val="21"/>
        </w:rPr>
        <w:t>作者: Francesco A. Mele, Antonio A. Mele, Lennart Bittel, Jens Eisert, Vittorio Giovannetti, Ludovico Lami, Lorenzo Leone, Salvatore F. E. Oliviero</w:t>
        <w:br/>
      </w:r>
      <w:r>
        <w:rPr>
          <w:rFonts w:ascii="Times New Roman" w:hAnsi="Times New Roman" w:eastAsia="宋体"/>
          <w:sz w:val="21"/>
        </w:rPr>
        <w:t xml:space="preserve">时间: 2025-11-26 | </w:t>
      </w:r>
      <w:r>
        <w:t xml:space="preserve">链接: </w:t>
      </w:r>
      <w:hyperlink r:id="rId240">
        <w:r>
          <w:rPr>
            <w:rFonts w:ascii="Times New Roman" w:hAnsi="Times New Roman" w:eastAsia="宋体"/>
            <w:color w:val="0000FF"/>
            <w:sz w:val="21"/>
            <w:u w:val="single"/>
          </w:rPr>
          <w:t>https://doi.org/10.1038/s41567-025-03086-2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测量是概率性的，通常只能提供有关底层量子态的部分信息。获得未知量子态的完整经典描述需要分析几种不同的测量结果，这项任务称为量子态断层扫描。在这里，我们分析了连续变量系统（例如玻色子和量子光学系统）的层析成像的最终可实现的性能。我们证明，这些系统的断层扫描在时间资源方面效率极低，比量子位等有限维系统的断层扫描低得多。断层扫描所需的最小状态副本数量不仅与模式数量成指数关系，而且即使对于低能状态，它也会与原始状态与其估计的经典描述之间的轨迹距离误差成不利比例。从更积极的角度来看，我们通过在指定误差范围内的第一和第二时刻的知识近似高斯状态时建立轨迹距离误差的界限来证明高斯状态的层析成像是有效的。最后，我们证明通过高斯酉和一些局部非高斯演化制备的非高斯态层析成像是有效的并且在实验上是可行的。</w:t>
      </w:r>
    </w:p>
    <w:p>
      <w:pPr>
        <w:spacing w:before="120"/>
      </w:pPr>
      <w:r>
        <w:rPr>
          <w:rFonts w:ascii="Times New Roman" w:hAnsi="Times New Roman" w:eastAsia="宋体"/>
          <w:b/>
          <w:sz w:val="21"/>
        </w:rPr>
        <w:t>English Abstract:</w:t>
      </w:r>
    </w:p>
    <w:p>
      <w:r>
        <w:rPr>
          <w:rFonts w:ascii="Times New Roman" w:hAnsi="Times New Roman" w:eastAsia="宋体"/>
          <w:sz w:val="21"/>
        </w:rPr>
        <w:t>Abstract Quantum measurements are probabilistic and, in general, provide only partial information about the underlying quantum state. Obtaining a full classical description of an unknown quantum state requires the analysis of several different measurements, a task known as quantum-state tomography. Here we analyse the ultimate achievable performance in the tomography of continuous-variable systems, such as bosonic and quantum optical systems. We prove that tomography of these systems is extremely inefficient in terms of time resources, much more so than tomography of finite-dimensional systems such as qubits. Not only does the minimum number of state copies needed for tomography scale exponentially with the number of modes, but, even for low-energy states, it also scales unfavourably with the trace-distance error between the original state and its estimated classical description. On a more positive note, we prove that the tomography of Gaussian states is efficient by establishing a bound on the trace-distance error made when approximating a Gaussian state from knowledge of the first and second moments within a specified error bound. Last, we demonstrate that the tomography of non-Gaussian states prepared through Gaussian unitaries and a few local non-Gaussian evolutions is efficient and experimentally feasible.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Hubbard 模型转化为动量混合 Hatsugai-Kohmoto 模型</w:t>
      </w:r>
    </w:p>
    <w:p>
      <w:r>
        <w:rPr>
          <w:rFonts w:ascii="Times New Roman" w:hAnsi="Times New Roman" w:eastAsia="宋体"/>
          <w:b/>
          <w:color w:val="003264"/>
          <w:sz w:val="24"/>
        </w:rPr>
        <w:t>Twisting the Hubbard model into the momentum-mixing Hatsugai–Kohmoto model</w:t>
      </w:r>
    </w:p>
    <w:p>
      <w:r>
        <w:rPr>
          <w:rFonts w:ascii="Times New Roman" w:hAnsi="Times New Roman" w:eastAsia="宋体"/>
          <w:sz w:val="21"/>
        </w:rPr>
        <w:t>作者: Peizhi Mai, Jinchao Zhao, Gaurav Tenkila, Nico A. Hackner, Dhruv Kush, Derek Pan, Philip W. Phillips</w:t>
        <w:br/>
      </w:r>
      <w:r>
        <w:rPr>
          <w:rFonts w:ascii="Times New Roman" w:hAnsi="Times New Roman" w:eastAsia="宋体"/>
          <w:sz w:val="21"/>
        </w:rPr>
        <w:t xml:space="preserve">时间: 2025-11-27 | </w:t>
      </w:r>
      <w:r>
        <w:t xml:space="preserve">链接: </w:t>
      </w:r>
      <w:hyperlink r:id="rId241">
        <w:r>
          <w:rPr>
            <w:rFonts w:ascii="Times New Roman" w:hAnsi="Times New Roman" w:eastAsia="宋体"/>
            <w:color w:val="0000FF"/>
            <w:sz w:val="21"/>
            <w:u w:val="single"/>
          </w:rPr>
          <w:t>https://doi.org/10.1038/s41567-025-03095-1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哈伯德模型是研究具有强电子-电子相互作用的材料（例如铜酸盐超导体）的标准理论工具。不幸的是，相互作用驱动的现象，例如进入强相关莫特绝缘体相的转变，很难用现有的理论技术来处理。然而，完全可解的 Hatsugai-Kohmoto 模型显示出类似的莫特物理学。在这里，我们展示了如何将 Hatsugai-Kohmoto 模型连续变形为 Hubbard 模型。诀窍是系统地重新引入原始 Hatsugai-Kohmoto 模型忽略的所有动量混合。这可以通过将 n 个动量分组到一个单元中并将它们杂交来实现，从而产生动量混合 Hatsugai-Kohmoto 模型。我们仅从十个混合动量中将一维 Hubbard 模型的 Bethe ansatz 基态能量恢复到 1% 以内。总体而言，收敛比例为 1/n2，这与标准有限簇技术的逆线性行为相反。我们对方形晶格的结果再现了最先进的模拟中的所有已知特征，并且仅具有一些混合动量。因此，我们相信动量混合 Hatsugai-Kohmoto 模型为强相关量子物质提供了另一种工具。哈伯德模型描述了强相关电子系统的物理现象，但很难求解。现在，已经确定了一种系统有效地将可精确求解的 Hatsugai-Kohmoto 模型与 Hubbard 模型联系起来的方案。</w:t>
      </w:r>
    </w:p>
    <w:p>
      <w:pPr>
        <w:spacing w:before="120"/>
      </w:pPr>
      <w:r>
        <w:rPr>
          <w:rFonts w:ascii="Times New Roman" w:hAnsi="Times New Roman" w:eastAsia="宋体"/>
          <w:b/>
          <w:sz w:val="21"/>
        </w:rPr>
        <w:t>English Abstract:</w:t>
      </w:r>
    </w:p>
    <w:p>
      <w:r>
        <w:rPr>
          <w:rFonts w:ascii="Times New Roman" w:hAnsi="Times New Roman" w:eastAsia="宋体"/>
          <w:sz w:val="21"/>
        </w:rPr>
        <w:t>The Hubbard model is a standard theoretical tool for studying materials with strong electron–electron interactions, such as cuprate superconductors. Unfortunately, interaction-driven phenomena, such as a transition into the strongly correlated Mott insulator phase, are difficult to treat with established theoretical techniques. However, the exactly solvable Hatsugai–Kohmoto model displays similar Mott physics. Here we show how the Hatsugai–Kohmoto model can be deformed continuously into the Hubbard model. The trick is to systematically reintroduce all the momentum mixing that the original Hatsugai–Kohmoto model omits. This can be accomplished by grouping n momenta into a cell and hybridizing them, resulting in the momentum-mixing Hatsugai–Kohmoto model. We recover the Bethe ansatz ground-state energy of the one-dimensional Hubbard model to within 1% from only ten mixed momenta. Overall, the convergence scales as 1/n2 as opposed to the inverse linear behaviour of standard finite-cluster techniques. Our results for a square lattice reproduce all the known features from state-of-the-art simulations also with only a few mixed momenta. Consequently, we believe that the momentum-mixing Hatsugai–Kohmoto model offers an alternative tool for strongly correlated quantum matter. The Hubbard model describes the physics of strongly correlated electron systems, but is difficult to solve. Now, a scheme to systematically and efficiently relate the exactly solvable Hatsugai–Kohmoto model to the Hubbard model has been identified.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有效界面张力产生的蛋白质模式形态和动力学</w:t>
      </w:r>
    </w:p>
    <w:p>
      <w:r>
        <w:rPr>
          <w:rFonts w:ascii="Times New Roman" w:hAnsi="Times New Roman" w:eastAsia="宋体"/>
          <w:b/>
          <w:color w:val="003264"/>
          <w:sz w:val="24"/>
        </w:rPr>
        <w:t>Protein pattern morphology and dynamics emerging from effective interfacial tension</w:t>
      </w:r>
    </w:p>
    <w:p>
      <w:r>
        <w:rPr>
          <w:rFonts w:ascii="Times New Roman" w:hAnsi="Times New Roman" w:eastAsia="宋体"/>
          <w:sz w:val="21"/>
        </w:rPr>
        <w:t>作者: Henrik Weyer, Tobias A. Roth, Erwin Frey</w:t>
        <w:br/>
      </w:r>
      <w:r>
        <w:rPr>
          <w:rFonts w:ascii="Times New Roman" w:hAnsi="Times New Roman" w:eastAsia="宋体"/>
          <w:sz w:val="21"/>
        </w:rPr>
        <w:t xml:space="preserve">时间: 2025-12-02 | </w:t>
      </w:r>
      <w:r>
        <w:t xml:space="preserve">链接: </w:t>
      </w:r>
      <w:hyperlink r:id="rId242">
        <w:r>
          <w:rPr>
            <w:rFonts w:ascii="Times New Roman" w:hAnsi="Times New Roman" w:eastAsia="宋体"/>
            <w:color w:val="0000FF"/>
            <w:sz w:val="21"/>
            <w:u w:val="single"/>
          </w:rPr>
          <w:t>https://doi.org/10.1038/s41567-025-03101-6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对于分裂和极化等细胞功能，NTPase 循环驱动的蛋白质模式形成是一种中心空间控制策略。远离平衡状态，没有一般理论将微观反应网络和参数与这些蛋白质系统中的模式类型和动力学联系起来。在这里，我们发现了一种产生有效界面张力的通用机制，组织非平衡稳态模式的宏观结构。也就是说，通过循环蛋白质附着和分离来维持蛋白质密度界面会产生曲率依赖性蛋白质重新分布，从而拉直界面。我们为界面连接和网格图案开发了非平衡诺依曼角定律和高原顶点条件，从而引入了“图灵混合物”和“图灵泡沫”的概念。与液体泡沫和混合物相比，这些非平衡图案可以通过中断类似平衡的粗化过程来选择固有波长。大肠杆菌 Min 蛋白系统体外实验的数据验证了顶点条件并支持波长动力学。我们的研究表明，与热力学关系相对应的界面定律如何从活跃系统中的不同物理过程中产生。它允许设计特定的图案形态，具有作为合成细胞中的空间控制策略的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For cellular functions such as division and polarization, protein pattern formation driven by NTPase cycles is a central spatial control strategy. Operating far from equilibrium, no general theory links microscopic reaction networks and parameters to the pattern type and dynamics in these protein systems. Here we discover a generic mechanism giving rise to an effective interfacial tension organizing the macroscopic structure of non-equilibrium steady-state patterns. Namely, maintaining protein-density interfaces by cyclic protein attachment and detachment produces curvature-dependent protein redistribution, which straightens the interface. We develop a non-equilibrium Neumann angle law and Plateau vertex conditions for interface junctions and mesh patterns, thus introducing the concepts of ‘Turing mixtures’ and ‘Turing foams’. In contrast to liquid foams and mixtures, these non-equilibrium patterns can select an intrinsic wavelength by interrupting an equilibrium-like coarsening process. Data from in vitro experiments with the Escherichia coli Min protein system verify the vertex conditions and support the wavelength dynamics. Our study shows how interface laws with correspondence to thermodynamic relations can arise from distinct physical processes in active systems. It allows the design of specific pattern morphologies with potential applications as spatial control strategies in synthetic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电调谐光拓扑</w:t>
      </w:r>
    </w:p>
    <w:p>
      <w:r>
        <w:rPr>
          <w:rFonts w:ascii="Times New Roman" w:hAnsi="Times New Roman" w:eastAsia="宋体"/>
          <w:b/>
          <w:color w:val="003264"/>
          <w:sz w:val="24"/>
        </w:rPr>
        <w:t>Electrically tuned light topology</w:t>
      </w:r>
    </w:p>
    <w:p>
      <w:r>
        <w:rPr>
          <w:rFonts w:ascii="Times New Roman" w:hAnsi="Times New Roman" w:eastAsia="宋体"/>
          <w:sz w:val="21"/>
        </w:rPr>
        <w:t>作者: Shai Tsesses, Aviv Karnieli</w:t>
        <w:br/>
      </w:r>
      <w:r>
        <w:rPr>
          <w:rFonts w:ascii="Times New Roman" w:hAnsi="Times New Roman" w:eastAsia="宋体"/>
          <w:sz w:val="21"/>
        </w:rPr>
        <w:t xml:space="preserve">时间: 2025-12-03 | </w:t>
      </w:r>
      <w:r>
        <w:t xml:space="preserve">链接: </w:t>
      </w:r>
      <w:hyperlink r:id="rId243">
        <w:r>
          <w:rPr>
            <w:rFonts w:ascii="Times New Roman" w:hAnsi="Times New Roman" w:eastAsia="宋体"/>
            <w:color w:val="0000FF"/>
            <w:sz w:val="21"/>
            <w:u w:val="single"/>
          </w:rPr>
          <w:t>https://doi.org/10.1038/s41567-025-03116-z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控制拓扑光子准粒子是其在设备中实现的先决条件。现在，它们的精确操纵已经通过基于材料介电指数操纵的合成规范场得到了证明。</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photonic quasiparticles is a prerequisite for their implementation in devices. Now, their precise manipulation has been demonstrated using synthetic gauge fields based on the manipulation of the material’s dielectric index.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激子-极化子的扭转引起的非厄米拓扑</w:t>
      </w:r>
    </w:p>
    <w:p>
      <w:r>
        <w:rPr>
          <w:rFonts w:ascii="Times New Roman" w:hAnsi="Times New Roman" w:eastAsia="宋体"/>
          <w:b/>
          <w:color w:val="003264"/>
          <w:sz w:val="24"/>
        </w:rPr>
        <w:t>Twist-induced non-Hermitian topology of exciton–polaritons</w:t>
      </w:r>
    </w:p>
    <w:p>
      <w:r>
        <w:rPr>
          <w:rFonts w:ascii="Times New Roman" w:hAnsi="Times New Roman" w:eastAsia="宋体"/>
          <w:sz w:val="21"/>
        </w:rPr>
        <w:t>作者: Jie Liang, Hao Zheng, Feng Jin, Ruiqi Bao, Kevin Dini, Jiahao Ren, Yuxi Liu, Mateusz Król, Elena A. Ostrovskaya, Eliezer Estrecho, Baile Zhang, Timothy C. H. Liew, Rui Su</w:t>
        <w:br/>
      </w:r>
      <w:r>
        <w:rPr>
          <w:rFonts w:ascii="Times New Roman" w:hAnsi="Times New Roman" w:eastAsia="宋体"/>
          <w:sz w:val="21"/>
        </w:rPr>
        <w:t xml:space="preserve">时间: 2025-12-04 | </w:t>
      </w:r>
      <w:r>
        <w:t xml:space="preserve">链接: </w:t>
      </w:r>
      <w:hyperlink r:id="rId244">
        <w:r>
          <w:rPr>
            <w:rFonts w:ascii="Times New Roman" w:hAnsi="Times New Roman" w:eastAsia="宋体"/>
            <w:color w:val="0000FF"/>
            <w:sz w:val="21"/>
            <w:u w:val="single"/>
          </w:rPr>
          <w:t>https://doi.org/10.1038/s41567-025-03115-0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强耦合的光-物质系统可以增强对拓扑现象的操纵。现在，可调谐的非厄米效应通过扭转自由度引起的激子极化激元得到了证明。</w:t>
      </w:r>
    </w:p>
    <w:p>
      <w:pPr>
        <w:spacing w:before="120"/>
      </w:pPr>
      <w:r>
        <w:rPr>
          <w:rFonts w:ascii="Times New Roman" w:hAnsi="Times New Roman" w:eastAsia="宋体"/>
          <w:b/>
          <w:sz w:val="21"/>
        </w:rPr>
        <w:t>English Abstract:</w:t>
      </w:r>
    </w:p>
    <w:p>
      <w:r>
        <w:rPr>
          <w:rFonts w:ascii="Times New Roman" w:hAnsi="Times New Roman" w:eastAsia="宋体"/>
          <w:sz w:val="21"/>
        </w:rPr>
        <w:t>Strongly coupled light–matter systems could offer enhanced manipulation of topological phenomena. Now, tunable non-Hermitian effects are demonstrated with exciton–polaritons induced by a twist degree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用于机器学习的多模波传播的任意控制</w:t>
      </w:r>
    </w:p>
    <w:p>
      <w:r>
        <w:rPr>
          <w:rFonts w:ascii="Times New Roman" w:hAnsi="Times New Roman" w:eastAsia="宋体"/>
          <w:b/>
          <w:color w:val="003264"/>
          <w:sz w:val="24"/>
        </w:rPr>
        <w:t>Arbitrary control over multimode wave propagation for machine learning</w:t>
      </w:r>
    </w:p>
    <w:p>
      <w:r>
        <w:rPr>
          <w:rFonts w:ascii="Times New Roman" w:hAnsi="Times New Roman" w:eastAsia="宋体"/>
          <w:sz w:val="21"/>
        </w:rPr>
        <w:t>作者: Tatsuhiro Onodera, Martin M. Stein, Benjamin A. Ash, Mandar M. Sohoni, Melissa Bosch, Ryotatsu Yanagimoto, Marc Jankowski, Timothy P. McKenna, Tianyu Wang, Gennady Shvets, Maxim R. Shcherbakov, Logan G. Wright, Peter L. McMahon</w:t>
        <w:br/>
      </w:r>
      <w:r>
        <w:rPr>
          <w:rFonts w:ascii="Times New Roman" w:hAnsi="Times New Roman" w:eastAsia="宋体"/>
          <w:sz w:val="21"/>
        </w:rPr>
        <w:t xml:space="preserve">时间: 2025-12-08 | </w:t>
      </w:r>
      <w:r>
        <w:t xml:space="preserve">链接: </w:t>
      </w:r>
      <w:hyperlink r:id="rId245">
        <w:r>
          <w:rPr>
            <w:rFonts w:ascii="Times New Roman" w:hAnsi="Times New Roman" w:eastAsia="宋体"/>
            <w:color w:val="0000FF"/>
            <w:sz w:val="21"/>
            <w:u w:val="single"/>
          </w:rPr>
          <w:t>https://doi.org/10.1038/s41567-025-03094-2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与基于单模波导连接的分立元件的架构相比，受控多模波传播可以实现更节省空间的光子处理器。人们可以雕刻光子处理器的连续基板，以通过二维多模干涉来执行计算，而不是定义离散元件。在这里，我们设计并演示了一种具有折射率的装置，可以在空间中快速重新编程，从而可以任意控制波传播。该器件是一种二维可编程波导，采用平行电光调制平板波导的折射率，具有约 10 4 个可编程空间自由度。我们在单次传递中对多达 49 维向量的基准任务实施了神经网络推理，无需数字预处理或后处理。理论和数值分析进一步表明，二维可编程波导不仅可以提供器件面积的恒定因子减小，而且还具有缩放优势，所需面积以N 1.5 而非N 2 的形式增长。</w:t>
      </w:r>
    </w:p>
    <w:p>
      <w:pPr>
        <w:spacing w:before="120"/>
      </w:pPr>
      <w:r>
        <w:rPr>
          <w:rFonts w:ascii="Times New Roman" w:hAnsi="Times New Roman" w:eastAsia="宋体"/>
          <w:b/>
          <w:sz w:val="21"/>
        </w:rPr>
        <w:t>English Abstract:</w:t>
      </w:r>
    </w:p>
    <w:p>
      <w:r>
        <w:rPr>
          <w:rFonts w:ascii="Times New Roman" w:hAnsi="Times New Roman" w:eastAsia="宋体"/>
          <w:sz w:val="21"/>
        </w:rPr>
        <w:t>Abstract Controlled multimode wave propagation can enable more space-efficient photonic processors than architectures based on discrete components connected by single-mode waveguides. Instead of defining discrete elements, one can sculpt the continuous substrate of a photonic processor to perform computations through multimode interference in two dimensions. Here we designed and demonstrated a device with a refractive index that can be rapidly reprogrammed across space, allowing arbitrary control of wave propagation. The device, a two-dimensional programmable waveguide, uses parallel electro-optic modulation of the refractive index of a slab waveguide with about 10 4 programmable spatial degrees of freedom. We implemented neural network inference on benchmark tasks with up to 49-dimensional vectors in a single pass, without digital pre-processing or post-processing. Theoretical and numerical analyses further indicated that two-dimensional programmable waveguides may offer not only a constant-factor reduction in device area but also a scaling benefit, with the area required growing as N 1.5 rather than N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类粒子手性向列涡结的聚变与裂变</w:t>
      </w:r>
    </w:p>
    <w:p>
      <w:r>
        <w:rPr>
          <w:rFonts w:ascii="Times New Roman" w:hAnsi="Times New Roman" w:eastAsia="宋体"/>
          <w:b/>
          <w:color w:val="003264"/>
          <w:sz w:val="24"/>
        </w:rPr>
        <w:t>Fusion and fission of particle-like chiral nematic vortex knots</w:t>
      </w:r>
    </w:p>
    <w:p>
      <w:r>
        <w:rPr>
          <w:rFonts w:ascii="Times New Roman" w:hAnsi="Times New Roman" w:eastAsia="宋体"/>
          <w:sz w:val="21"/>
        </w:rPr>
        <w:t>作者: Darian Hall, Jung-Shen Benny Tai, Louis H. Kauffman, Ivan I. Smalyukh</w:t>
        <w:br/>
      </w:r>
      <w:r>
        <w:rPr>
          <w:rFonts w:ascii="Times New Roman" w:hAnsi="Times New Roman" w:eastAsia="宋体"/>
          <w:sz w:val="21"/>
        </w:rPr>
        <w:t xml:space="preserve">时间: 2025-12-15 | </w:t>
      </w:r>
      <w:r>
        <w:t xml:space="preserve">链接: </w:t>
      </w:r>
      <w:hyperlink r:id="rId246">
        <w:r>
          <w:rPr>
            <w:rFonts w:ascii="Times New Roman" w:hAnsi="Times New Roman" w:eastAsia="宋体"/>
            <w:color w:val="0000FF"/>
            <w:sz w:val="21"/>
            <w:u w:val="single"/>
          </w:rPr>
          <w:t>https://doi.org/10.1038/s41567-025-03107-0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许多物理系统中都发现涡结正在衰减。在这里，我们描述了拓扑保护的涡结，它保持稳定并经历融合和裂变并保持拓扑不变量。主体介质是手性向列液晶，表现出分子排列的固有手性，而涡线的核心是结构上的非手性区域，其中分子扭曲无法定义。我们可以通过施加电脉冲在这些涡结的融合和裂变之间可逆地切换。这揭示了结理论中概念的物理体现，​​例如结的连接和和带手术。我们的研究结果证明了从组成分子到宿主介质以及能量稳定的手性涡结的层级水平上手性效应的相互作用。这种新兴的物理行为可能使得电光和光子学中的应用成为可能，其中涡结的聚变和裂变过程可用于控制光。</w:t>
      </w:r>
    </w:p>
    <w:p>
      <w:pPr>
        <w:spacing w:before="120"/>
      </w:pPr>
      <w:r>
        <w:rPr>
          <w:rFonts w:ascii="Times New Roman" w:hAnsi="Times New Roman" w:eastAsia="宋体"/>
          <w:b/>
          <w:sz w:val="21"/>
        </w:rPr>
        <w:t>English Abstract:</w:t>
      </w:r>
    </w:p>
    <w:p>
      <w:r>
        <w:rPr>
          <w:rFonts w:ascii="Times New Roman" w:hAnsi="Times New Roman" w:eastAsia="宋体"/>
          <w:sz w:val="21"/>
        </w:rPr>
        <w:t>Abstract Vortex knots have been seen decaying in many physical systems. Here we describe topologically protected vortex knots, which remain stable and undergo fusion and fission and conserve a topological invariant. The host medium, a chiral nematic liquid crystal, exhibits intrinsic chirality of molecular alignment, whereas cores of the vortex lines are structurally achiral regions in which a molecular twist cannot be defined. We can reversibly switch between fusion and fission of these vortex knots by applying electric pulses. This reveals the physical embodiments of concepts in knot theory, such as connected sums of knots and band surgeries. Our findings demonstrate the interplay of chirality effects at hierarchical levels from constituent molecules to the host medium and the energetically stable chiral vortex knots. This emergent physical behaviour may enable applications in electro-optics and photonics in which such fusion and fission processes of vortex knots can be used for controlling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轨道角动量和手性的相互作用</w:t>
      </w:r>
    </w:p>
    <w:p>
      <w:r>
        <w:rPr>
          <w:rFonts w:ascii="Times New Roman" w:hAnsi="Times New Roman" w:eastAsia="宋体"/>
          <w:b/>
          <w:color w:val="003264"/>
          <w:sz w:val="24"/>
        </w:rPr>
        <w:t>Interplay of orbital angular momentum and chirality</w:t>
      </w:r>
    </w:p>
    <w:p>
      <w:r>
        <w:rPr>
          <w:rFonts w:ascii="Times New Roman" w:hAnsi="Times New Roman" w:eastAsia="宋体"/>
          <w:sz w:val="21"/>
        </w:rPr>
        <w:t>作者: Dongjin Oh, Hendrik Bentmann, Riccardo Comin</w:t>
        <w:br/>
      </w:r>
      <w:r>
        <w:rPr>
          <w:rFonts w:ascii="Times New Roman" w:hAnsi="Times New Roman" w:eastAsia="宋体"/>
          <w:sz w:val="21"/>
        </w:rPr>
        <w:t xml:space="preserve">时间: 2025-12-29 | </w:t>
      </w:r>
      <w:r>
        <w:t xml:space="preserve">链接: </w:t>
      </w:r>
      <w:hyperlink r:id="rId247">
        <w:r>
          <w:rPr>
            <w:rFonts w:ascii="Times New Roman" w:hAnsi="Times New Roman" w:eastAsia="宋体"/>
            <w:color w:val="0000FF"/>
            <w:sz w:val="21"/>
            <w:u w:val="single"/>
          </w:rPr>
          <w:t>https://doi.org/10.1038/s41567-025-03113-2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轨道角动量纹理可以驱动轨道电流并实现轨道电子学中的应用。该视角展示了偏振相关的角度分辨光电子能谱如何可视化动量空间中的轨道纹理。</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textures can drive orbital currents and enable applications in orbitronics. This Perspective shows how polarization-dependent angle-resolved photoemission spectroscopy can visualize orbital textures in momentum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空间纹理电子流体的实验证据</w:t>
      </w:r>
    </w:p>
    <w:p>
      <w:r>
        <w:rPr>
          <w:rFonts w:ascii="Times New Roman" w:hAnsi="Times New Roman" w:eastAsia="宋体"/>
          <w:b/>
          <w:color w:val="003264"/>
          <w:sz w:val="24"/>
        </w:rPr>
        <w:t>Experimental evidence of a spatially textured electron fluid</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48">
        <w:r>
          <w:rPr>
            <w:rFonts w:ascii="Times New Roman" w:hAnsi="Times New Roman" w:eastAsia="宋体"/>
            <w:color w:val="0000FF"/>
            <w:sz w:val="21"/>
            <w:u w:val="single"/>
          </w:rPr>
          <w:t>https://doi.org/10.1038/s41567-025-03133-y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大多数金属中，自由电子形成均匀且各向同性的流体。然而，当电子与晶体主体的振动强烈相互作用时，人们认为会形成周期性调制的电子流体（称为液体电荷密度波）。现在可以使用超快电子衍射来观察这种状态。</w:t>
      </w:r>
    </w:p>
    <w:p>
      <w:pPr>
        <w:spacing w:before="120"/>
      </w:pPr>
      <w:r>
        <w:rPr>
          <w:rFonts w:ascii="Times New Roman" w:hAnsi="Times New Roman" w:eastAsia="宋体"/>
          <w:b/>
          <w:sz w:val="21"/>
        </w:rPr>
        <w:t>English Abstract:</w:t>
      </w:r>
    </w:p>
    <w:p>
      <w:r>
        <w:rPr>
          <w:rFonts w:ascii="Times New Roman" w:hAnsi="Times New Roman" w:eastAsia="宋体"/>
          <w:sz w:val="21"/>
        </w:rPr>
        <w:t>In most metals, free electrons form a homogeneous and isotropic fluid. However, a periodically modulated electronic fluid — known as a liquid charge density wave — is thought to form when electrons interact strongly with the vibrations of the crystalline host. This state is now observed using ultrafast electron diffraction.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自诱导超辐射玛斯汀</w:t>
      </w:r>
    </w:p>
    <w:p>
      <w:r>
        <w:rPr>
          <w:rFonts w:ascii="Times New Roman" w:hAnsi="Times New Roman" w:eastAsia="宋体"/>
          <w:b/>
          <w:color w:val="003264"/>
          <w:sz w:val="24"/>
        </w:rPr>
        <w:t>Self-induced superradiant masing</w:t>
      </w:r>
    </w:p>
    <w:p>
      <w:r>
        <w:rPr>
          <w:rFonts w:ascii="Times New Roman" w:hAnsi="Times New Roman" w:eastAsia="宋体"/>
          <w:sz w:val="21"/>
        </w:rPr>
        <w:t>作者: Wenzel Kersten, Nikolaus de Zordo, Oliver Diekmann, Elena S. Redchenko, Andrew N. Kanagin, Andreas Angerer, William J. Munro, Kae Nemoto, Igor E. Mazets, Stefan Rotter, Thomas Pohl, Jörg Schmiedmayer</w:t>
        <w:br/>
      </w:r>
      <w:r>
        <w:rPr>
          <w:rFonts w:ascii="Times New Roman" w:hAnsi="Times New Roman" w:eastAsia="宋体"/>
          <w:sz w:val="21"/>
        </w:rPr>
        <w:t xml:space="preserve">时间: 2026-01-02 | </w:t>
      </w:r>
      <w:r>
        <w:t xml:space="preserve">链接: </w:t>
      </w:r>
      <w:hyperlink r:id="rId249">
        <w:r>
          <w:rPr>
            <w:rFonts w:ascii="Times New Roman" w:hAnsi="Times New Roman" w:eastAsia="宋体"/>
            <w:color w:val="0000FF"/>
            <w:sz w:val="21"/>
            <w:u w:val="single"/>
          </w:rPr>
          <w:t>https://doi.org/10.1038/s41567-025-03123-0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腔量子电动力学，特别是超辐射中，发射器通常被认为是独立的，仅通过共模共享的光相互作用。尽管这种光子介导的相互作用会导致广泛的集体光学效应，但发射体群内的直接偶极子相互作用通常被视为退相干的来源。在这里，我们报告了直接自旋-自旋相互作用作为驱动金刚石中与超导微波腔耦合的氮空位中心自旋混合系统的超辐射动力学的作用。在最初的快速超辐射爆发之后，我们观察到一系列后续发射脉冲，然后是长达一毫秒的准连续玛斯。我们证明这种行为是由谱孔重新填充引起的，其中自旋反转被重新分配到与腔谐振的自旋超辐射窗口中。我们报告的测量结果排除了其他与空腔相关的效应，并进行了微观模拟，证实观察到的行为是由自旋之间的偶极子相互作用驱动的。这些发现为探索致密无序系统中复杂的自旋-自旋相互作用开辟了道路，并为纯粹由微波驱动的自旋控制驱动的超窄线宽固态超辐射微波激射器提供了可能性。</w:t>
      </w:r>
    </w:p>
    <w:p>
      <w:pPr>
        <w:spacing w:before="120"/>
      </w:pPr>
      <w:r>
        <w:rPr>
          <w:rFonts w:ascii="Times New Roman" w:hAnsi="Times New Roman" w:eastAsia="宋体"/>
          <w:b/>
          <w:sz w:val="21"/>
        </w:rPr>
        <w:t>English Abstract:</w:t>
      </w:r>
    </w:p>
    <w:p>
      <w:r>
        <w:rPr>
          <w:rFonts w:ascii="Times New Roman" w:hAnsi="Times New Roman" w:eastAsia="宋体"/>
          <w:sz w:val="21"/>
        </w:rPr>
        <w:t>Abstract In cavity quantum electrodynamics and particularly superradiance, emitters are typically assumed to be independent, interacting only through light shared via a common mode. Although such photon-mediated interactions lead to a wide range of collective optical effects, direct dipole–dipole interactions within the emitter ensemble are generally viewed as a source of decoherence. Here we report the role of direct spin–spin interactions as a drive for the superradiant dynamics of a hybrid system of nitrogen-vacancy centre spins in a diamond coupled to a superconducting microwave cavity. After an initial fast superradiant burst, we observe a train of subsequent emission pulses followed by quasi-continuous masing for up to one millisecond. We show that this behaviour arises from spectral hole refilling, where spin inversion is redistributed into the superradiant window of spins resonant with the cavity. We report measurements that exclude other cavity-related effects and perform microscopic simulations that confirm that the observed behaviour is driven by dipole–dipole interactions between the spins. These findings open pathways for exploring complex spin–spin interactions in dense disordered systems and offer possibilities for ultranarrow-linewidth solid-state superradiant masers powered purely by microwave-driven spin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斑马鱼胚胎中几何驱动的不对称细胞分裂模式细胞周期和合子基因组激活</w:t>
      </w:r>
    </w:p>
    <w:p>
      <w:r>
        <w:rPr>
          <w:rFonts w:ascii="Times New Roman" w:hAnsi="Times New Roman" w:eastAsia="宋体"/>
          <w:b/>
          <w:color w:val="003264"/>
          <w:sz w:val="24"/>
        </w:rPr>
        <w:t>Geometry-driven asymmetric cell divisions pattern cell cycles and zygotic genome activation in the zebrafish embryo</w:t>
      </w:r>
    </w:p>
    <w:p>
      <w:r>
        <w:rPr>
          <w:rFonts w:ascii="Times New Roman" w:hAnsi="Times New Roman" w:eastAsia="宋体"/>
          <w:sz w:val="21"/>
        </w:rPr>
        <w:t>作者: Nikhil Mishra, Yuting Irene Li, Edouard Hannezo, Carl-Philipp Heisenberg</w:t>
        <w:br/>
      </w:r>
      <w:r>
        <w:rPr>
          <w:rFonts w:ascii="Times New Roman" w:hAnsi="Times New Roman" w:eastAsia="宋体"/>
          <w:sz w:val="21"/>
        </w:rPr>
        <w:t xml:space="preserve">时间: 2026-01-05 | </w:t>
      </w:r>
      <w:r>
        <w:t xml:space="preserve">链接: </w:t>
      </w:r>
      <w:hyperlink r:id="rId250">
        <w:r>
          <w:rPr>
            <w:rFonts w:ascii="Times New Roman" w:hAnsi="Times New Roman" w:eastAsia="宋体"/>
            <w:color w:val="0000FF"/>
            <w:sz w:val="21"/>
            <w:u w:val="single"/>
          </w:rPr>
          <w:t>https://doi.org/10.1038/s41567-025-03122-1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早期胚胎几何形状是最不变的物种特异性特征之一，但其在确保发育再现性和稳健性方面的作用仍未得到充分探索。在这里，我们表明，在斑马鱼中，受精卵的几何形状（特别是其曲率和体积）是触发一系列影响发育的事件的关键初始条件。胚胎几何形状引导胚盘中图案化的不对称细胞分裂，产生细胞体积和核质比率的径向梯度。这些梯度产生有丝分裂相波，核质比率决定独立于其他细胞的单个细胞周期周期。我们证明，减少细胞自主性会重塑这些波，强调几何衍生的体积模式在设置细胞周期振荡器的固有周期方面的指导作用。除了组织细胞周期之外，早期胚胎的几何形状在囊胚中转变时对合子基因组激活进行空间模式，这是建立胚胎自主性的关键步骤。破坏胚胎形状会改变合子基因组激活模式并导致异位胚层规范，强调了几何学的发育意义。总之，我们的研究结果揭示了早期胚胎几何形状在协调细胞周期和转录模式中的对称性破坏功能。</w:t>
      </w:r>
    </w:p>
    <w:p>
      <w:pPr>
        <w:spacing w:before="120"/>
      </w:pPr>
      <w:r>
        <w:rPr>
          <w:rFonts w:ascii="Times New Roman" w:hAnsi="Times New Roman" w:eastAsia="宋体"/>
          <w:b/>
          <w:sz w:val="21"/>
        </w:rPr>
        <w:t>English Abstract:</w:t>
      </w:r>
    </w:p>
    <w:p>
      <w:r>
        <w:rPr>
          <w:rFonts w:ascii="Times New Roman" w:hAnsi="Times New Roman" w:eastAsia="宋体"/>
          <w:sz w:val="21"/>
        </w:rPr>
        <w:t>Abstract Early embryo geometry is one of the most invariant species-specific traits, yet its role in ensuring developmental reproducibility and robustness remains underexplored. Here we show that in zebrafish, the geometry of the fertilized egg—specifically its curvature and volume—serves as a critical initial condition triggering a cascade of events that influence development. The embryo geometry guides patterned asymmetric cell divisions in the blastoderm, generating radial gradients of cell volume and nucleocytoplasmic ratio. These gradients generate mitotic phase waves, with the nucleocytoplasmic ratio determining individual cell cycle periods independently of other cells. We demonstrate that reducing cell autonomy reshapes these waves, emphasizing the instructive role of geometry-derived volume patterns in setting the intrinsic period of the cell cycle oscillator. In addition to organizing cell cycles, early embryo geometry spatially patterns zygotic genome activation at the midblastula transition, a key step in establishing embryonic autonomy. Disrupting the embryo shape alters the zygotic genome activation pattern and causes ectopic germ layer specification, underscoring the developmental significance of geometry. Together, our findings reveal a symmetry-breaking function of early embryo geometry in coordinating cell cycle and transcriptional patterning.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胚胎几何形状决定节奏</w:t>
      </w:r>
    </w:p>
    <w:p>
      <w:r>
        <w:rPr>
          <w:rFonts w:ascii="Times New Roman" w:hAnsi="Times New Roman" w:eastAsia="宋体"/>
          <w:b/>
          <w:color w:val="003264"/>
          <w:sz w:val="24"/>
        </w:rPr>
        <w:t>Embryo geometry sets the tempo</w:t>
      </w:r>
    </w:p>
    <w:p>
      <w:r>
        <w:rPr>
          <w:rFonts w:ascii="Times New Roman" w:hAnsi="Times New Roman" w:eastAsia="宋体"/>
          <w:sz w:val="21"/>
        </w:rPr>
        <w:t>作者: Jeremy Sallé, Nicolas Minc</w:t>
        <w:br/>
      </w:r>
      <w:r>
        <w:rPr>
          <w:rFonts w:ascii="Times New Roman" w:hAnsi="Times New Roman" w:eastAsia="宋体"/>
          <w:sz w:val="21"/>
        </w:rPr>
        <w:t xml:space="preserve">时间: 2026-01-05 | </w:t>
      </w:r>
      <w:r>
        <w:t xml:space="preserve">链接: </w:t>
      </w:r>
      <w:hyperlink r:id="rId251">
        <w:r>
          <w:rPr>
            <w:rFonts w:ascii="Times New Roman" w:hAnsi="Times New Roman" w:eastAsia="宋体"/>
            <w:color w:val="0000FF"/>
            <w:sz w:val="21"/>
            <w:u w:val="single"/>
          </w:rPr>
          <w:t>https://doi.org/10.1038/s41567-025-03136-9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斑马鱼卵的几何形状在连续的细胞分裂时会产生细胞大小的梯度。该梯度指定了细胞周期进程、合子基因组激活和细胞命运规范的刻板模式。</w:t>
      </w:r>
    </w:p>
    <w:p>
      <w:pPr>
        <w:spacing w:before="120"/>
      </w:pPr>
      <w:r>
        <w:rPr>
          <w:rFonts w:ascii="Times New Roman" w:hAnsi="Times New Roman" w:eastAsia="宋体"/>
          <w:b/>
          <w:sz w:val="21"/>
        </w:rPr>
        <w:t>English Abstract:</w:t>
      </w:r>
    </w:p>
    <w:p>
      <w:r>
        <w:rPr>
          <w:rFonts w:ascii="Times New Roman" w:hAnsi="Times New Roman" w:eastAsia="宋体"/>
          <w:sz w:val="21"/>
        </w:rPr>
        <w:t>The geometry of the zebrafish egg is shown to generate a gradient in cell size upon successive cell divisions. This gradient specifies stereotyped patterns of cell-cycle progression, zygotic genome activation and cell-fate specification.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魔角扭曲双层石墨烯轨道磁性的光学控制</w:t>
      </w:r>
    </w:p>
    <w:p>
      <w:r>
        <w:rPr>
          <w:rFonts w:ascii="Times New Roman" w:hAnsi="Times New Roman" w:eastAsia="宋体"/>
          <w:b/>
          <w:color w:val="003264"/>
          <w:sz w:val="24"/>
        </w:rPr>
        <w:t>Optical control of orbital magnetism in magic-angle twisted bilayer graphene</w:t>
      </w:r>
    </w:p>
    <w:p>
      <w:r>
        <w:rPr>
          <w:rFonts w:ascii="Times New Roman" w:hAnsi="Times New Roman" w:eastAsia="宋体"/>
          <w:sz w:val="21"/>
        </w:rPr>
        <w:t>作者: Eylon Persky, Léonie Parisot, Minhao He, Jiaqi Cai, Takashi Taniguchi, Kenji Watanabe, Julian May-Mann, Xiaodong Xu, Aharon Kapitulnik</w:t>
        <w:br/>
      </w:r>
      <w:r>
        <w:rPr>
          <w:rFonts w:ascii="Times New Roman" w:hAnsi="Times New Roman" w:eastAsia="宋体"/>
          <w:sz w:val="21"/>
        </w:rPr>
        <w:t xml:space="preserve">时间: 2026-01-06 | </w:t>
      </w:r>
      <w:r>
        <w:t xml:space="preserve">链接: </w:t>
      </w:r>
      <w:hyperlink r:id="rId252">
        <w:r>
          <w:rPr>
            <w:rFonts w:ascii="Times New Roman" w:hAnsi="Times New Roman" w:eastAsia="宋体"/>
            <w:color w:val="0000FF"/>
            <w:sz w:val="21"/>
            <w:u w:val="single"/>
          </w:rPr>
          <w:t>https://doi.org/10.1038/s41567-025-03117-y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扭曲石墨烯结构中的平带具有各种强相关和拓扑现象。对它们进行光学探测和控制可以揭示对称性和动力学等重要信息，但由于与光学波长相比能隙较小，这一直具有挑战性。在这里，我们报告了单层 WSe2 器件上魔角扭曲双层石墨烯中轨道磁性的近红外光学控制以及相关的反常霍尔效应。我们演示了使用圆偏振光对整数莫尔填充附近的反常霍尔效应的滞后和幅度的控制。通过调制光螺旋度，我们观察到各种填充物中横向电阻的周期性调制，表明通过大的逆法拉第效应引起的光诱导轨道磁化。在金属和反常霍尔效应状态之间的转变中，我们还揭示了霍尔电阻率的大且随机的切换，我们将其归因于光调谐的磁域渗透簇。我们的结果证明了莫尔结构中相关性和拓扑的光学操纵的潜力。在莫尔石墨烯中已经看到了强相关性和拓扑结构，但它们的光学控制尚未显示。现在，轨道磁性和反常霍尔效应的光学操纵在魔角扭曲双层石墨烯中得到了证明。</w:t>
      </w:r>
    </w:p>
    <w:p>
      <w:pPr>
        <w:spacing w:before="120"/>
      </w:pPr>
      <w:r>
        <w:rPr>
          <w:rFonts w:ascii="Times New Roman" w:hAnsi="Times New Roman" w:eastAsia="宋体"/>
          <w:b/>
          <w:sz w:val="21"/>
        </w:rPr>
        <w:t>English Abstract:</w:t>
      </w:r>
    </w:p>
    <w:p>
      <w:r>
        <w:rPr>
          <w:rFonts w:ascii="Times New Roman" w:hAnsi="Times New Roman" w:eastAsia="宋体"/>
          <w:sz w:val="21"/>
        </w:rPr>
        <w:t>Flat bands in twisted graphene structures host various strongly correlated and topological phenomena. Optically probing and controlling them can reveal important information such as symmetry and dynamics, but this has been challenging due to the small energy gap compared with optical wavelengths. Here we report on the near-infrared optical control of orbital magnetism and associated anomalous Hall effects in a magic-angle twisted bilayer graphene on a monolayer WSe2 device. We demonstrate control over the hysteresis and amplitude of the anomalous Hall effect near integer moiré fillings using circularly polarized light. By modulating the light helicity, we observe periodic modulation of the transverse resistance in a wide range of fillings, indicating light-induced orbital magnetization through a large inverse Faraday effect. At the transition between metallic and anomalous Hall effect regimes, we also reveal large and random switching of the Hall resistivity, which we attribute to the light-tuned percolating cluster of magnetic domains. Our results demonstrate the potential of the optical manipulation of correlation and topology in moiré structures. Strong correlations and topology have been seen in moiré graphene, but their optical control has not been shown yet. Now, the optical manipulation of orbital magnetism and anomalous Hall effects is demonstrated in magic-angle twisted bilayer graphene.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外尔磁体中磁畴壁耗散滑动动力学引起的涌现电场</w:t>
      </w:r>
    </w:p>
    <w:p>
      <w:r>
        <w:rPr>
          <w:rFonts w:ascii="Times New Roman" w:hAnsi="Times New Roman" w:eastAsia="宋体"/>
          <w:b/>
          <w:color w:val="003264"/>
          <w:sz w:val="24"/>
        </w:rPr>
        <w:t>Emergent electric field induced by dissipative sliding dynamics of domain walls in a Weyl magnet</w:t>
      </w:r>
    </w:p>
    <w:p>
      <w:r>
        <w:rPr>
          <w:rFonts w:ascii="Times New Roman" w:hAnsi="Times New Roman" w:eastAsia="宋体"/>
          <w:sz w:val="21"/>
        </w:rPr>
        <w:t>作者: Rinsuke Yamada, Daichi Kurebayashi, Yukako Fujishiro, Shun Okumura, Daisuke Nakamura, Fehmi S. Yasin, Taro Nakajima, Tomoyuki Yokouchi, Akiko Kikkawa, Yasujiro Taguchi, Yoshinori Tokura, Oleg A. Tretiakov, Max Hirschberger</w:t>
        <w:br/>
      </w:r>
      <w:r>
        <w:rPr>
          <w:rFonts w:ascii="Times New Roman" w:hAnsi="Times New Roman" w:eastAsia="宋体"/>
          <w:sz w:val="21"/>
        </w:rPr>
        <w:t xml:space="preserve">时间: 2026-01-15 | </w:t>
      </w:r>
      <w:r>
        <w:t xml:space="preserve">链接: </w:t>
      </w:r>
      <w:hyperlink r:id="rId253">
        <w:r>
          <w:rPr>
            <w:rFonts w:ascii="Times New Roman" w:hAnsi="Times New Roman" w:eastAsia="宋体"/>
            <w:color w:val="0000FF"/>
            <w:sz w:val="21"/>
            <w:u w:val="single"/>
          </w:rPr>
          <w:t>https://doi.org/10.1038/s41567-025-03124-z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体中拓扑缺陷的动态运动会产生涌现电场，如斯格明子涡流的连续流动所示。然而，人们对这个新兴领域的电动力学仍然知之甚少。在这种背景下，磁畴壁——具有滑动和自旋倾斜两种集体模式的一维拓扑缺陷——提供了一个有前途的探索平台。在这里，我们证明了在振荡电流激励下磁畴壁的耗散运动会产生一个涌现电场。我们对基于磁性 Weyl 半金属 NdAlSi 的介观器件中的外加磁场下的磁畴图案进行成像并量化磁畴壁长度。这些器件表现出异常强的畴壁散射和明显的涌现电场，在复阻抗的虚部中观察到。自旋动力学模拟表明，磁畴壁滑动比自旋倾斜占主导地位，其中磁畴壁运动相对于驱动力的相位延迟会影响出现的电场。我们的研究结果将畴壁动力学建立为研究新兴电磁场的平台，并激发了对磁孤子和传导电子耦合运动的进一步研究。</w:t>
      </w:r>
    </w:p>
    <w:p>
      <w:pPr>
        <w:spacing w:before="120"/>
      </w:pPr>
      <w:r>
        <w:rPr>
          <w:rFonts w:ascii="Times New Roman" w:hAnsi="Times New Roman" w:eastAsia="宋体"/>
          <w:b/>
          <w:sz w:val="21"/>
        </w:rPr>
        <w:t>English Abstract:</w:t>
      </w:r>
    </w:p>
    <w:p>
      <w:r>
        <w:rPr>
          <w:rFonts w:ascii="Times New Roman" w:hAnsi="Times New Roman" w:eastAsia="宋体"/>
          <w:sz w:val="21"/>
        </w:rPr>
        <w:t>The dynamic motion of topological defects in magnets induces an emergent electric field, as exemplified by the continuous flow of skyrmion vortices. However, the electrodynamics underlying this emergent field remains poorly understood. In this context, magnetic domain walls - one dimensional topological defects with two collective modes, sliding and spin tilt - offer a promising platform for exploration. Here, we demonstrate that the dissipative motion of domain walls under oscillatory current excitation generates an emergent electric field. We image domain patterns and quantify domain wall length under applied magnetic fields in mesoscopic devices based on the magnetic Weyl semimetal NdAlSi. These devices exhibit exceptionally strong domain wall scattering and a pronounced emergent electric field, observed in the imaginary component of the complex impedance. Spin dynamics simulations reveal that domain wall sliding dominates over spin tilting, where the phase delay of the domain wall motion with respect to the driving force impacts the emergent electric field. Our findings establish domain-wall dynamics as a platform for studying emergent electromagnetic fields and motivate further investigations on the coupled motion of magnetic solitons and conduction electrons.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用激子场驱动 Floquet 物理</w:t>
      </w:r>
    </w:p>
    <w:p>
      <w:r>
        <w:rPr>
          <w:rFonts w:ascii="Times New Roman" w:hAnsi="Times New Roman" w:eastAsia="宋体"/>
          <w:b/>
          <w:color w:val="003264"/>
          <w:sz w:val="24"/>
        </w:rPr>
        <w:t>Driving Floquet physics with excitonic fields</w:t>
      </w:r>
    </w:p>
    <w:p>
      <w:r>
        <w:rPr>
          <w:rFonts w:ascii="Times New Roman" w:hAnsi="Times New Roman" w:eastAsia="宋体"/>
          <w:sz w:val="21"/>
        </w:rPr>
        <w:t>作者: Vivek Pareek, David R. Bacon, Xing Zhu, Yang-Hao Chan, Fabio Bussolotti, Marcos G. Menezes, Nicholas S. Chan, Joel Pérez Urquizo, Kenji Watanabe, Takashi Taniguchi, Enrico Perfetto, Michael K. L. Man, Julien Madéo, Gianluca Stefanucci, Diana Y. Qiu, Kuan Eng Johnson Goh, Felipe H. da Jornada, Keshav M. Dani</w:t>
        <w:br/>
      </w:r>
      <w:r>
        <w:rPr>
          <w:rFonts w:ascii="Times New Roman" w:hAnsi="Times New Roman" w:eastAsia="宋体"/>
          <w:sz w:val="21"/>
        </w:rPr>
        <w:t xml:space="preserve">时间: 2026-01-19 | </w:t>
      </w:r>
      <w:r>
        <w:t xml:space="preserve">链接: </w:t>
      </w:r>
      <w:hyperlink r:id="rId254">
        <w:r>
          <w:rPr>
            <w:rFonts w:ascii="Times New Roman" w:hAnsi="Times New Roman" w:eastAsia="宋体"/>
            <w:color w:val="0000FF"/>
            <w:sz w:val="21"/>
            <w:u w:val="single"/>
          </w:rPr>
          <w:t>https://doi.org/10.1038/s41567-025-03132-z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Floquet 工程通常受到弱光-物质耦合和加热的限制。现在，研究表明单层半导体中的激子驱动场会产生更强、寿命更长的弗洛奎特效应，并揭示与激子相相关的杂化。</w:t>
      </w:r>
    </w:p>
    <w:p>
      <w:pPr>
        <w:spacing w:before="120"/>
      </w:pPr>
      <w:r>
        <w:rPr>
          <w:rFonts w:ascii="Times New Roman" w:hAnsi="Times New Roman" w:eastAsia="宋体"/>
          <w:b/>
          <w:sz w:val="21"/>
        </w:rPr>
        <w:t>English Abstract:</w:t>
      </w:r>
    </w:p>
    <w:p>
      <w:r>
        <w:rPr>
          <w:rFonts w:ascii="Times New Roman" w:hAnsi="Times New Roman" w:eastAsia="宋体"/>
          <w:sz w:val="21"/>
        </w:rPr>
        <w:t>Floquet engineering is often limited by weak light–matter coupling and heating. Now it is shown that exciton-driven fields in monolayer semiconductors produce stronger, longer-lived Floquet effects and reveal hybridization linked to excitonic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超莫尔晶格中的强相关性和超导性</w:t>
      </w:r>
    </w:p>
    <w:p>
      <w:r>
        <w:rPr>
          <w:rFonts w:ascii="Times New Roman" w:hAnsi="Times New Roman" w:eastAsia="宋体"/>
          <w:b/>
          <w:color w:val="003264"/>
          <w:sz w:val="24"/>
        </w:rPr>
        <w:t>Strong correlations and superconductivity in the supermoiré lattice</w:t>
      </w:r>
    </w:p>
    <w:p>
      <w:r>
        <w:rPr>
          <w:rFonts w:ascii="Times New Roman" w:hAnsi="Times New Roman" w:eastAsia="宋体"/>
          <w:sz w:val="21"/>
        </w:rPr>
        <w:t>作者: Zekang Zhou, Cheng Shen, Kryštof Kolář, Kenji Watanabe, Takashi Taniguchi, Cyprian Lewandowski, Mitali Banerjee</w:t>
        <w:br/>
      </w:r>
      <w:r>
        <w:rPr>
          <w:rFonts w:ascii="Times New Roman" w:hAnsi="Times New Roman" w:eastAsia="宋体"/>
          <w:sz w:val="21"/>
        </w:rPr>
        <w:t xml:space="preserve">时间: 2026-01-20 | </w:t>
      </w:r>
      <w:r>
        <w:t xml:space="preserve">链接: </w:t>
      </w:r>
      <w:hyperlink r:id="rId255">
        <w:r>
          <w:rPr>
            <w:rFonts w:ascii="Times New Roman" w:hAnsi="Times New Roman" w:eastAsia="宋体"/>
            <w:color w:val="0000FF"/>
            <w:sz w:val="21"/>
            <w:u w:val="single"/>
          </w:rPr>
          <w:t>https://doi.org/10.1038/s41567-025-03131-0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莫尔晶格由多个莫尔图案的干涉产生，通过引入新的微带和修改能带色散，极大地重塑了电子能带结构。同时，莫尔平带内强烈的电子相互作用导致各种相关态的出现。然而，超莫尔晶格对具有强相互作用的平带系统的影响在很大程度上仍未被探索。在这里，我们报告了镜面对称破缺的扭曲三层石墨烯中超莫尔晶格的存在，阐明了其在产生迷你平带和迷你狄拉克带中的作用。此外，我们还证明了超莫尔微平带中相互作用引起的对称破缺相，以及由超莫尔晶格实现的超导体-绝缘体跃迁级联。我们的工作表明，镜面对称破缺的 TTG 中可以存在鲁棒的超导性，并强调了超莫尔晶格作为调节扭曲多层系统中电子特性的附加自由度的重要性，揭示了相关的量子相，例如原始莫尔平带中的超导性，并强调了使用超莫尔晶格设计和模拟新型量子相的潜力。</w:t>
      </w:r>
    </w:p>
    <w:p>
      <w:pPr>
        <w:spacing w:before="120"/>
      </w:pPr>
      <w:r>
        <w:rPr>
          <w:rFonts w:ascii="Times New Roman" w:hAnsi="Times New Roman" w:eastAsia="宋体"/>
          <w:b/>
          <w:sz w:val="21"/>
        </w:rPr>
        <w:t>English Abstract:</w:t>
      </w:r>
    </w:p>
    <w:p>
      <w:r>
        <w:rPr>
          <w:rFonts w:ascii="Times New Roman" w:hAnsi="Times New Roman" w:eastAsia="宋体"/>
          <w:sz w:val="21"/>
        </w:rPr>
        <w:t>The supermoir\'e lattice, arising from the interference of multiple moir\'e patterns, dramatically reshapes the electronic band structure by introducing new minibands and modifying band dispersion. Concurrently, strong electronic interactions within moir\'e flat bands lead to the emergence of various correlated states. However, the impact of the supermoir\'e lattice on the flat band systems with strong interactions remains largely unexplored. Here, we report the existence of the supermoir\'e lattice in the mirror-symmetry-broken twisted trilayer graphene, elucidating its role in generating mini-flat bands and mini-Dirac bands. Furthermore, we demonstrate interaction-induced symmetry-broken phases in the supermoir\'e mini-flat bands alongside the cascade of superconductor-insulator transitions enabled by the supermoir\'e lattice. Our work shows that robust superconductivity can exist in the mirror-symmetry-broken TTG and underscores the significance of the supermoir\'e lattice as an additional degree of freedom for tuning the electronic properties in twisted multilayer systems, sheds light on the correlated quantum phases such as superconductivity in the original moir\'e flat bands, and highlights the potential of using the supermoir\'e lattice to design and simulate novel quantum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使用自由电子激光器进行纳米级超快晶格调制</w:t>
      </w:r>
    </w:p>
    <w:p>
      <w:r>
        <w:rPr>
          <w:rFonts w:ascii="Times New Roman" w:hAnsi="Times New Roman" w:eastAsia="宋体"/>
          <w:b/>
          <w:color w:val="003264"/>
          <w:sz w:val="24"/>
        </w:rPr>
        <w:t>Nanoscale ultrafast lattice modulation with a free-electron laser</w:t>
      </w:r>
    </w:p>
    <w:p>
      <w:r>
        <w:rPr>
          <w:rFonts w:ascii="Times New Roman" w:hAnsi="Times New Roman" w:eastAsia="宋体"/>
          <w:sz w:val="21"/>
        </w:rPr>
        <w:t>作者: Haoyuan Li, Nan Wang, Leon Zhang, Sanghoon Song, Yanwen Sun, May-Ling Ng, Takahiro Sato, Dillon Hanlon, Sajal Dahal, Mario D. Balcazar, Vincent Esposito, Selene She, Chance Caleb Ornelas-Skarin, Joan Vila-Comamala, Christian David, Nadia Berndt, Peter R. Miedaner, Zhuquan Zhang, Matthias Ihme, Mariano Trigo, Keith A. Nelson, Jerome B. Hastings, Alexei A. Maznev, Laura Foglia, Samuel Teitelbaum, David A. Reis, Diling Zhu</w:t>
        <w:br/>
      </w:r>
      <w:r>
        <w:rPr>
          <w:rFonts w:ascii="Times New Roman" w:hAnsi="Times New Roman" w:eastAsia="宋体"/>
          <w:sz w:val="21"/>
        </w:rPr>
        <w:t xml:space="preserve">时间: 2026-01-27 | </w:t>
      </w:r>
      <w:r>
        <w:t xml:space="preserve">链接: </w:t>
      </w:r>
      <w:hyperlink r:id="rId256">
        <w:r>
          <w:rPr>
            <w:rFonts w:ascii="Times New Roman" w:hAnsi="Times New Roman" w:eastAsia="宋体"/>
            <w:color w:val="0000FF"/>
            <w:sz w:val="21"/>
            <w:u w:val="single"/>
          </w:rPr>
          <w:t>https://doi.org/10.1038/s41567-025-03161-8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基于光学激光的技术的应用受到激光的长波长的限制。现在，利用全硬 X 射线瞬态光栅光谱技术对纳米长度尺度的声子和热传输进行了观察。</w:t>
      </w:r>
    </w:p>
    <w:p>
      <w:pPr>
        <w:spacing w:before="120"/>
      </w:pPr>
      <w:r>
        <w:rPr>
          <w:rFonts w:ascii="Times New Roman" w:hAnsi="Times New Roman" w:eastAsia="宋体"/>
          <w:b/>
          <w:sz w:val="21"/>
        </w:rPr>
        <w:t>English Abstract:</w:t>
      </w:r>
    </w:p>
    <w:p>
      <w:r>
        <w:rPr>
          <w:rFonts w:ascii="Times New Roman" w:hAnsi="Times New Roman" w:eastAsia="宋体"/>
          <w:sz w:val="21"/>
        </w:rPr>
        <w:t>Applications of optical laser-based techniques are limited by the long wavelengths of the lasers. Now, observations of phonons and thermal transport at nanometre length scales are reported with an all-hard X-ray transient-grating spectroscopy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具有混合赝自旋的共同传播光子拓扑界面态</w:t>
      </w:r>
    </w:p>
    <w:p>
      <w:r>
        <w:rPr>
          <w:rFonts w:ascii="Times New Roman" w:hAnsi="Times New Roman" w:eastAsia="宋体"/>
          <w:b/>
          <w:color w:val="003264"/>
          <w:sz w:val="24"/>
        </w:rPr>
        <w:t>Co-propagating photonic topological interface states with hybridized pseudo-spins</w:t>
      </w:r>
    </w:p>
    <w:p>
      <w:r>
        <w:rPr>
          <w:rFonts w:ascii="Times New Roman" w:hAnsi="Times New Roman" w:eastAsia="宋体"/>
          <w:sz w:val="21"/>
        </w:rPr>
        <w:t>作者: Xilin Feng, Tianwei Wu, Li Ge, Liang Feng</w:t>
        <w:br/>
      </w:r>
      <w:r>
        <w:rPr>
          <w:rFonts w:ascii="Times New Roman" w:hAnsi="Times New Roman" w:eastAsia="宋体"/>
          <w:sz w:val="21"/>
        </w:rPr>
        <w:t xml:space="preserve">时间: 2026-02-02 | </w:t>
      </w:r>
      <w:r>
        <w:t xml:space="preserve">链接: </w:t>
      </w:r>
      <w:hyperlink r:id="rId257">
        <w:r>
          <w:rPr>
            <w:rFonts w:ascii="Times New Roman" w:hAnsi="Times New Roman" w:eastAsia="宋体"/>
            <w:color w:val="0000FF"/>
            <w:sz w:val="21"/>
            <w:u w:val="single"/>
          </w:rPr>
          <w:t>https://doi.org/10.1038/s41567-026-03172-z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拓扑界面状态通常支持单个状态在每个方向上的传播，这限制了它们的适用性。现在，在光子拓扑绝缘体系统中实现了同传播态。</w:t>
      </w:r>
    </w:p>
    <w:p>
      <w:pPr>
        <w:spacing w:before="120"/>
      </w:pPr>
      <w:r>
        <w:rPr>
          <w:rFonts w:ascii="Times New Roman" w:hAnsi="Times New Roman" w:eastAsia="宋体"/>
          <w:b/>
          <w:sz w:val="21"/>
        </w:rPr>
        <w:t>English Abstract:</w:t>
      </w:r>
    </w:p>
    <w:p>
      <w:r>
        <w:rPr>
          <w:rFonts w:ascii="Times New Roman" w:hAnsi="Times New Roman" w:eastAsia="宋体"/>
          <w:sz w:val="21"/>
        </w:rPr>
        <w:t>Topological interface states typically support the propagation of a single state in each direction, which limits their applicability. Now, co-propagating states are achieved in a photonic topological insulator system.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12:51 ---</w:t>
      </w:r>
    </w:p>
    <w:p>
      <w:pPr>
        <w:pStyle w:val="Heading2"/>
      </w:pPr>
      <w:r/>
      <w:r>
        <w:rPr>
          <w:rFonts w:ascii="Times New Roman" w:hAnsi="Times New Roman" w:eastAsia="宋体"/>
          <w:b/>
          <w:color w:val="000000"/>
          <w:sz w:val="24"/>
        </w:rPr>
        <w:t>多关节软外装改善脊髓损伤患者的肩部和肘部运动功能</w:t>
      </w:r>
    </w:p>
    <w:p>
      <w:r>
        <w:rPr>
          <w:rFonts w:ascii="Times New Roman" w:hAnsi="Times New Roman" w:eastAsia="宋体"/>
          <w:b/>
          <w:color w:val="003264"/>
          <w:sz w:val="24"/>
        </w:rPr>
        <w:t>A multi-joint soft exosuit improves shoulder and elbow motor functions in individuals with spinal cord injury</w:t>
      </w:r>
    </w:p>
    <w:p>
      <w:r>
        <w:rPr>
          <w:rFonts w:ascii="Times New Roman" w:hAnsi="Times New Roman" w:eastAsia="宋体"/>
          <w:sz w:val="21"/>
        </w:rPr>
        <w:t>作者: Roberto Ferroni, Gaetano D’Avola, Giorgia Sciarrone, Gabriele Righi, Claudia De Santis, Jacopo Carpaneto, Marta Gandolla, Giulio Del Popolo, Silvestro Micera, Tommaso Proietti</w:t>
        <w:br/>
      </w:r>
      <w:r>
        <w:rPr>
          <w:rFonts w:ascii="Times New Roman" w:hAnsi="Times New Roman" w:eastAsia="宋体"/>
          <w:sz w:val="21"/>
        </w:rPr>
        <w:t xml:space="preserve">时间: 2025-09-22 | </w:t>
      </w:r>
      <w:r>
        <w:t xml:space="preserve">链接: </w:t>
      </w:r>
      <w:hyperlink r:id="rId258">
        <w:r>
          <w:rPr>
            <w:rFonts w:ascii="Times New Roman" w:hAnsi="Times New Roman" w:eastAsia="宋体"/>
            <w:color w:val="0000FF"/>
            <w:sz w:val="21"/>
            <w:u w:val="single"/>
          </w:rPr>
          <w:t>https://doi.org/10.1038/s42256-025-01105-8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推出了一种轻型模块化辅助软外装，可为颈髓损伤患者的肩部和肘部运动提供支持。该设备增强耐力和运动范围，减少肌肉力量并提高临床测试分数。</w:t>
      </w:r>
    </w:p>
    <w:p>
      <w:pPr>
        <w:spacing w:before="120"/>
      </w:pPr>
      <w:r>
        <w:rPr>
          <w:rFonts w:ascii="Times New Roman" w:hAnsi="Times New Roman" w:eastAsia="宋体"/>
          <w:b/>
          <w:sz w:val="21"/>
        </w:rPr>
        <w:t>English Abstract:</w:t>
      </w:r>
    </w:p>
    <w:p>
      <w:r>
        <w:rPr>
          <w:rFonts w:ascii="Times New Roman" w:hAnsi="Times New Roman" w:eastAsia="宋体"/>
          <w:sz w:val="21"/>
        </w:rPr>
        <w:t>A lightweight, modular assistive soft exosuit is introduced, which supports shoulder and elbow movement in individuals with cervical spinal cord injury. The device enhances endurance and range of motion, reduces muscle effort and improves clinical test scores.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迈向超越视觉和语言的以部署为中心的多模式人工智能</w:t>
      </w:r>
    </w:p>
    <w:p>
      <w:r>
        <w:rPr>
          <w:rFonts w:ascii="Times New Roman" w:hAnsi="Times New Roman" w:eastAsia="宋体"/>
          <w:b/>
          <w:color w:val="003264"/>
          <w:sz w:val="24"/>
        </w:rPr>
        <w:t>Towards deployment-centric multimodal AI beyond vision and language</w:t>
      </w:r>
    </w:p>
    <w:p>
      <w:r>
        <w:rPr>
          <w:rFonts w:ascii="Times New Roman" w:hAnsi="Times New Roman" w:eastAsia="宋体"/>
          <w:sz w:val="21"/>
        </w:rPr>
        <w:t>作者: Xianyuan Liu, Jiayang Zhang, Shuo Zhou, Thijs L. van der Plas, Avish Vijayaraghavan, Anastasiia Grishina, Mengdie Zhuang, Daniel Schofield, Christopher Tomlinson, Yuhan Wang, Ruizhe Li, Louisa van Zeeland, Sina Tabakhi, Cyndie Demeocq, Xiang Li, Arunav Das, Orlando Timmerman, Thomas Baldwin-McDonald, Jinge Wu, Peizhen Bai, Zahraa Al Sahili, Omnia Alwazzan, Thao N. Do, Mohammod N. I. Suvon, Angeline Wang, Lucia Cipolina-Kun, Luigi A. Moretti, Lucas Farndale, Nitisha Jain, Natalia Efremova, Yan Ge, Marta Varela, Hak-Keung Lam, Oya Celiktutan, Ben R. Evans, Alejandro Coca-Castro, Honghan Wu, Zahraa S. Abdallah, Chen Chen, Valentin Danchev, Nataliya Tkachenko, Lei Lu, Tingting Zhu, Gregory G. Slabaugh, Roger K. Moore, William K. Cheung, Peter H. Charlton, Haiping Lu</w:t>
        <w:br/>
      </w:r>
      <w:r>
        <w:rPr>
          <w:rFonts w:ascii="Times New Roman" w:hAnsi="Times New Roman" w:eastAsia="宋体"/>
          <w:sz w:val="21"/>
        </w:rPr>
        <w:t xml:space="preserve">时间: 2025-10-21 | </w:t>
      </w:r>
      <w:r>
        <w:t xml:space="preserve">链接: </w:t>
      </w:r>
      <w:hyperlink r:id="rId259">
        <w:r>
          <w:rPr>
            <w:rFonts w:ascii="Times New Roman" w:hAnsi="Times New Roman" w:eastAsia="宋体"/>
            <w:color w:val="0000FF"/>
            <w:sz w:val="21"/>
            <w:u w:val="single"/>
          </w:rPr>
          <w:t>https://doi.org/10.1038/s42256-025-01116-5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多模态人工智能 (AI) 通过机器学习集成不同类型的数据，以改善医疗保健、科学和工程等跨学科的理解、预测和决策。然而，大多数多模态人工智能的进步都集中在视觉和语言数据模型上，它们的可部署性仍然是一个关键挑战。我们提倡以部署为中心的工作流程，该工作流程尽早纳入部署约束，以减少无法部署解决方案的可能性，补充以数据为中心和以模型为中心的方法。我们还强调通过利益相关者参与和跨学科合作，跨多个层次的多模态进行更深入的整合，以扩大视觉和语言之外的研究范围。为了促进这种方法的实施，我们确定了跨学科共同面临的常见多模式人工智能特定挑战，并研究了三个现实世界的用例：流行病应对、自动驾驶汽车设计和气候变化适应，汲取医疗保健、社会科学、工程、科学、可持续发展和金融方面的专业知识。通过促进跨学科对话和开放研究实践，我们的社区可以加速以部署为中心的开发，从而产生广泛的社会影响。多模态人工智能结合了不同类型的数据，以改善医疗保健和工程等领域的决策，但迄今为止的工作主要集中在视觉和语言模型上。为了使这些系统在现实世界中更可用，Liu 等人。与相关学科的专家密切合作，讨论从一开始就考虑到部署的方法的必要性。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Multimodal artificial intelligence (AI) integrates diverse types of data via machine learning to improve understanding, prediction and decision-making across disciplines such as healthcare, science and engineering. However, most multimodal AI advances focus on models for vision and language data, and their deployability remains a key challenge. We advocate a deployment-centric workflow that incorporates deployment constraints early on to reduce the likelihood of undeployable solutions, complementing data-centric and model-centric approaches. We also emphasize deeper integration across multiple levels of multimodality through stakeholder engagement and interdisciplinary collaboration to broaden the research scope beyond vision and language. To facilitate this approach, we identify common multimodal-AI-specific challenges shared across disciplines and examine three real-world use cases: pandemic response, self-driving car design and climate change adaptation, drawing expertise from healthcare, social science, engineering, science, sustainability and finance. By fostering interdisciplinary dialogue and open research practices, our community can accelerate deployment-centric development for broad societal impact. Multimodal AI combines different types of data to improve decision-making in fields such as healthcare and engineering, but work so far has focused on vision and language models. To make these systems more usable in the real world, Liu et al. discuss the need to develop approaches with deployment in mind from the start, working closely with experts across relevant disciplines.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预测抗体和 T 细胞受体互补决定区的构象灵活性</w:t>
      </w:r>
    </w:p>
    <w:p>
      <w:r>
        <w:rPr>
          <w:rFonts w:ascii="Times New Roman" w:hAnsi="Times New Roman" w:eastAsia="宋体"/>
          <w:b/>
          <w:color w:val="003264"/>
          <w:sz w:val="24"/>
        </w:rPr>
        <w:t>Predicting the conformational flexibility of antibody and T cell receptor complementarity-determining regions</w:t>
      </w:r>
    </w:p>
    <w:p>
      <w:r>
        <w:rPr>
          <w:rFonts w:ascii="Times New Roman" w:hAnsi="Times New Roman" w:eastAsia="宋体"/>
          <w:sz w:val="21"/>
        </w:rPr>
        <w:t>作者: Fabian C. Spoendlin, Monica L. Fernández-Quintero, Sai S. R. Raghavan, Hannah L. Turner, Anant Gharpure, Johannes R. Loeffler, Wing K. Wong, Alexander Bujotzek, Guy Georges, Andrew B. Ward, Charlotte M. Deane</w:t>
        <w:br/>
      </w:r>
      <w:r>
        <w:rPr>
          <w:rFonts w:ascii="Times New Roman" w:hAnsi="Times New Roman" w:eastAsia="宋体"/>
          <w:sz w:val="21"/>
        </w:rPr>
        <w:t xml:space="preserve">时间: 2025-10-16 | </w:t>
      </w:r>
      <w:r>
        <w:t xml:space="preserve">链接: </w:t>
      </w:r>
      <w:hyperlink r:id="rId260">
        <w:r>
          <w:rPr>
            <w:rFonts w:ascii="Times New Roman" w:hAnsi="Times New Roman" w:eastAsia="宋体"/>
            <w:color w:val="0000FF"/>
            <w:sz w:val="21"/>
            <w:u w:val="single"/>
          </w:rPr>
          <w:t>https://doi.org/10.1038/s42256-025-01131-6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许多蛋白质具有高度灵活性，它们适应形状的能力对其功能特性至关重要。例如，抗体互补决定区（CDR）环的灵活性影响结合亲和力和特异性，使其成为理解和设计抗原相互作用的关键因素。使用 AlphaFold 等方法，可以通过计算高精度预测单个静态蛋白质结构。然而，结构柔性的可靠预测尚未实现。限制这种预测的一个主要因素是缺乏合适的训练数据。在这里，我们重点预测功能重要的抗体和 T 细胞受体 CDR3 环的结构灵活性。为此，我们通过从蛋白质数据库中存放的所有结构中提取 CDR3 和 CDR3 样环基序来构建 ALL 构象。该数据集包含 120 万个循环结构，代表超过 100,000 个独特序列，并捕获了这些基序的所有实验观察到的构象。使用该数据集，我们开发了 ITsFlexible，一种具有图神经网络架构的深度学习工具。我们训练模型根据抗体结构的输入将 CDR 环二元分类为“刚性”或“灵活”。 ITsFlexible 在我们的晶体结构数据集上优于所有替代方法，并成功推广到分子动力学模拟。我们还使用 ITsFlexible 来预测三个没有解析结构的 CDRH3 环的灵活性，并使用低温电子显微镜通过实验确定了它们的构象。</w:t>
      </w:r>
    </w:p>
    <w:p>
      <w:pPr>
        <w:spacing w:before="120"/>
      </w:pPr>
      <w:r>
        <w:rPr>
          <w:rFonts w:ascii="Times New Roman" w:hAnsi="Times New Roman" w:eastAsia="宋体"/>
          <w:b/>
          <w:sz w:val="21"/>
        </w:rPr>
        <w:t>English Abstract:</w:t>
      </w:r>
    </w:p>
    <w:p>
      <w:r>
        <w:rPr>
          <w:rFonts w:ascii="Times New Roman" w:hAnsi="Times New Roman" w:eastAsia="宋体"/>
          <w:sz w:val="21"/>
        </w:rPr>
        <w:t>Abstract Many proteins are highly flexible and their ability to adapt their shape can be fundamental to their functional properties. For example, the flexibility of antibody complementarity-determining region (CDR) loops influences binding affinity and specificity, making it a key factor in understanding and designing antigen interactions. With methods such as AlphaFold, it is possible to computationally predict a single, static protein structure with high accuracy. However, the reliable prediction of structural flexibility has not yet been achieved. A major factor limiting such predictions is the scarcity of suitable training data. Here we focus on predicting the structural flexibility of functionally important antibody and T cell receptor CDR3 loops. To this end, we constructed ALL-conformations by extracting CDR3s and CDR3-like loop motifs from all structures deposited in the Protein Data Bank. This dataset comprises 1.2 million loop structures representing more than 100,000 unique sequences and captures all experimentally observed conformations of these motifs. Using this dataset, we develop ITsFlexible, a deep learning tool with graph neural network architecture. We trained the model to binary classify CDR loops as ‘rigid’ or ‘flexible’ from inputs of antibody structures. ITsFlexible outperforms all alternative approaches on our crystal structure datasets and successfully generalizes to molecular dynamics simulations. We also used ITsFlexible to predict the flexibility of three CDRH3 loops with no solved structures and experimentally determined their conformations using cryogenic electron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神经网络表示是通用的还是特殊的？</w:t>
      </w:r>
    </w:p>
    <w:p>
      <w:r>
        <w:rPr>
          <w:rFonts w:ascii="Times New Roman" w:hAnsi="Times New Roman" w:eastAsia="宋体"/>
          <w:b/>
          <w:color w:val="003264"/>
          <w:sz w:val="24"/>
        </w:rPr>
        <w:t>Are neural network representations universal or idiosyncratic?</w:t>
      </w:r>
    </w:p>
    <w:p>
      <w:r>
        <w:rPr>
          <w:rFonts w:ascii="Times New Roman" w:hAnsi="Times New Roman" w:eastAsia="宋体"/>
          <w:sz w:val="21"/>
        </w:rPr>
        <w:t>作者: Unknown</w:t>
        <w:br/>
      </w:r>
      <w:r>
        <w:rPr>
          <w:rFonts w:ascii="Times New Roman" w:hAnsi="Times New Roman" w:eastAsia="宋体"/>
          <w:sz w:val="21"/>
        </w:rPr>
        <w:t xml:space="preserve">时间: 2025-10-21 | </w:t>
      </w:r>
      <w:r>
        <w:t xml:space="preserve">链接: </w:t>
      </w:r>
      <w:hyperlink r:id="rId261">
        <w:r>
          <w:rPr>
            <w:rFonts w:ascii="Times New Roman" w:hAnsi="Times New Roman" w:eastAsia="宋体"/>
            <w:color w:val="0000FF"/>
            <w:sz w:val="21"/>
            <w:u w:val="single"/>
          </w:rPr>
          <w:t>https://doi.org/10.1038/s42256-025-01139-y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关于神经网络是否学习通用表示或模型特定表示的问题在 2025 年 8 月的认知计算神经科学会议上举办了一场社区活动，强调了 NeuroAI 基本主题的未来方向。</w:t>
      </w:r>
    </w:p>
    <w:p>
      <w:pPr>
        <w:spacing w:before="120"/>
      </w:pPr>
      <w:r>
        <w:rPr>
          <w:rFonts w:ascii="Times New Roman" w:hAnsi="Times New Roman" w:eastAsia="宋体"/>
          <w:b/>
          <w:sz w:val="21"/>
        </w:rPr>
        <w:t>English Abstract:</w:t>
      </w:r>
    </w:p>
    <w:p>
      <w:r>
        <w:rPr>
          <w:rFonts w:ascii="Times New Roman" w:hAnsi="Times New Roman" w:eastAsia="宋体"/>
          <w:sz w:val="21"/>
        </w:rPr>
        <w:t>Questions over whether neural networks learn universal or model-specific representations framed a community event at the Cognitive Computational Neuroscience conference in August 2025, highlighting future directions on a fundamental topic in NeuroAI.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模拟类人自适应视觉，实现高效灵活的机器视觉感知</w:t>
      </w:r>
    </w:p>
    <w:p>
      <w:r>
        <w:rPr>
          <w:rFonts w:ascii="Times New Roman" w:hAnsi="Times New Roman" w:eastAsia="宋体"/>
          <w:b/>
          <w:color w:val="003264"/>
          <w:sz w:val="24"/>
        </w:rPr>
        <w:t>Emulating human-like adaptive vision for efficient and flexible machine visual perception</w:t>
      </w:r>
    </w:p>
    <w:p>
      <w:r>
        <w:rPr>
          <w:rFonts w:ascii="Times New Roman" w:hAnsi="Times New Roman" w:eastAsia="宋体"/>
          <w:sz w:val="21"/>
        </w:rPr>
        <w:t>作者: Yulin Wang, Yang Yue, Yang Yue, Huanqian Wang, Haojun Jiang, Yizeng Han, Zanlin Ni, Yifan Pu, Minglei Shi, Rui Lu, Qisen Yang, Andrew Zhao, Zhuofan Xia, Shiji Song, Gao Huang</w:t>
        <w:br/>
      </w:r>
      <w:r>
        <w:rPr>
          <w:rFonts w:ascii="Times New Roman" w:hAnsi="Times New Roman" w:eastAsia="宋体"/>
          <w:sz w:val="21"/>
        </w:rPr>
        <w:t xml:space="preserve">时间: 2025-11-06 | </w:t>
      </w:r>
      <w:r>
        <w:t xml:space="preserve">链接: </w:t>
      </w:r>
      <w:hyperlink r:id="rId262">
        <w:r>
          <w:rPr>
            <w:rFonts w:ascii="Times New Roman" w:hAnsi="Times New Roman" w:eastAsia="宋体"/>
            <w:color w:val="0000FF"/>
            <w:sz w:val="21"/>
            <w:u w:val="single"/>
          </w:rPr>
          <w:t>https://doi.org/10.1038/s42256-025-01130-7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具有高度适应性，通过顺序关注与任务相关的区域来有效地采样复杂的环境。相比之下，流行的机器视觉模型一次被动地处理整个场景，导致过多的资源需求随着时空输入分辨率和模型大小而扩展，从而产生阻碍未来进步和实际应用的关键限制。在这里，我们介绍 AdaptiveNN，一个通用框架，旨在实现从“被动”视觉模型到“主动和自适应”视觉模型的转变。 AdaptiveNN 将视觉感知制定为从粗到细的顺序决策过程，逐步识别和关注与任务相关的区域，逐步组合不同注视点的信息，并在足够时主动结束观察。我们建立了一种将表征学习与自我奖励强化学习相结合的理论，从而能够对不可微的 AdaptiveNN 进行端到端训练，而无需对注视位置进行额外的监督。我们根据涵盖 9 项任务的 17 个基准对 AdaptiveNN 进行评估，包括大规模视觉识别、细粒度辨别、视觉搜索、处理来自真实驾驶和医疗场景的图像、语言驱动的具体人工智能以及与人类的并排比较。 AdaptiveNN 在不牺牲准确性的情况下实现了高达 28 倍的推理成本降低，无需重新训练即可灵活适应不同的任务需求和资源预算，并通过其固定模式提供增强的可解释性，展示了一条实现高效、灵活和可解释的计算机视觉的有前途的途径。此外，AdaptiveNN 在许多情况下表现出与人类非常相似的感知行为，揭示了其作为研究视觉认知的有价值工具的潜力。深度学习方法 AdaptiveNN 将机器视觉模型从被动转变为主动，以模仿人类的感知。该方法在不损失准确性的情况下将推理成本降低了 28 倍，同时展示了在线适应和可解释的行为。</w:t>
      </w:r>
    </w:p>
    <w:p>
      <w:pPr>
        <w:spacing w:before="120"/>
      </w:pPr>
      <w:r>
        <w:rPr>
          <w:rFonts w:ascii="Times New Roman" w:hAnsi="Times New Roman" w:eastAsia="宋体"/>
          <w:b/>
          <w:sz w:val="21"/>
        </w:rPr>
        <w:t>English Abstract:</w:t>
      </w:r>
    </w:p>
    <w:p>
      <w:r>
        <w:rPr>
          <w:rFonts w:ascii="Times New Roman" w:hAnsi="Times New Roman" w:eastAsia="宋体"/>
          <w:sz w:val="21"/>
        </w:rPr>
        <w:t>Human vision is highly adaptive, efficiently sampling intricate environments by sequentially fixating on task-relevant regions. In contrast, prevailing machine vision models passively process entire scenes at once, resulting in excessive resource demands scaling with spatial–temporal input resolution and model size, yielding critical limitations impeding both future advancements and real-world application. Here we introduce AdaptiveNN, a general framework aiming to enable the transition from ‘passive’ to ‘active and adaptive’ vision models. AdaptiveNN formulates visual perception as a coarse-to-fine sequential decision-making process, progressively identifying and attending to regions pertinent to the task, incrementally combining information across fixations and actively concluding observation when sufficient. We establish a theory integrating representation learning with self-rewarding reinforcement learning, enabling end-to-end training of the non-differentiable AdaptiveNN without additional supervision on fixation locations. We assess AdaptiveNN on 17 benchmarks spanning 9 tasks, including large-scale visual recognition, fine-grained discrimination, visual search, processing images from real driving and medical scenarios, language-driven embodied artificial intelligence and side-by-side comparisons with humans. AdaptiveNN achieves up to 28 times inference cost reduction without sacrificing accuracy, flexibly adapts to varying task demands and resource budgets without retraining, and provides enhanced interpretability via its fixation patterns, demonstrating a promising avenue towards efficient, flexible and interpretable computer vision. Furthermore, AdaptiveNN exhibits closely human-like perceptual behaviours in many cases, revealing its potential as a valuable tool for investigating visual cognition. A deep learning approach, AdaptiveNN, shifts machine vision models from passive to active to mimic human-like perception. The method achieves inference costs that are up to 28-times lower without accuracy loss, while showcasing online-adaptable and interpretable behaviours.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卷积架构是从头开始与皮质对齐的</w:t>
      </w:r>
    </w:p>
    <w:p>
      <w:r>
        <w:rPr>
          <w:rFonts w:ascii="Times New Roman" w:hAnsi="Times New Roman" w:eastAsia="宋体"/>
          <w:b/>
          <w:color w:val="003264"/>
          <w:sz w:val="24"/>
        </w:rPr>
        <w:t>Convolutional architectures are cortex-aligned de novo</w:t>
      </w:r>
    </w:p>
    <w:p>
      <w:r>
        <w:rPr>
          <w:rFonts w:ascii="Times New Roman" w:hAnsi="Times New Roman" w:eastAsia="宋体"/>
          <w:sz w:val="21"/>
        </w:rPr>
        <w:t>作者: Atlas Kazemian, Eric Elmoznino, Michael F. Bonner</w:t>
        <w:br/>
      </w:r>
      <w:r>
        <w:rPr>
          <w:rFonts w:ascii="Times New Roman" w:hAnsi="Times New Roman" w:eastAsia="宋体"/>
          <w:sz w:val="21"/>
        </w:rPr>
        <w:t xml:space="preserve">时间: 2025-11-13 | </w:t>
      </w:r>
      <w:r>
        <w:t xml:space="preserve">链接: </w:t>
      </w:r>
      <w:hyperlink r:id="rId263">
        <w:r>
          <w:rPr>
            <w:rFonts w:ascii="Times New Roman" w:hAnsi="Times New Roman" w:eastAsia="宋体"/>
            <w:color w:val="0000FF"/>
            <w:sz w:val="21"/>
            <w:u w:val="single"/>
          </w:rPr>
          <w:t>https://doi.org/10.1038/s42256-025-01142-3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深度神经网络模型中皮层对齐表示的出现背后的原因是什么？早期的工作表明，共享架构约束是一个主要因素，但预训练后各种架构的成功引发了关于架构约束重要性的关键问题。在这里，我们表明，在训练最少的广泛网络中，架构归纳偏差起着突出的作用。我们检查了具有不同架构但没有预训练的网络，并量化了它们预测猴子和人类视觉皮层图像表示的能力。我们发现，皮层对齐的表示出现在卷积架构中，该架构结合了两种关键的维度操作：通过池化在空间域中压缩，以及通过增加通道数量在特征域中扩展。我们进一步表明，卷积架构的归纳偏差对于从特征扩展中获得性能增益至关重要——维度操作在其他架构和具有目标病变的卷积模型中相对无效。我们的研究结果表明，卷积网络的架构约束足够接近生物视觉的约束，甚至在通过经验调整突触连接之前，皮质视觉表征的许多方面就可以出现。</w:t>
      </w:r>
    </w:p>
    <w:p>
      <w:pPr>
        <w:spacing w:before="120"/>
      </w:pPr>
      <w:r>
        <w:rPr>
          <w:rFonts w:ascii="Times New Roman" w:hAnsi="Times New Roman" w:eastAsia="宋体"/>
          <w:b/>
          <w:sz w:val="21"/>
        </w:rPr>
        <w:t>English Abstract:</w:t>
      </w:r>
    </w:p>
    <w:p>
      <w:r>
        <w:rPr>
          <w:rFonts w:ascii="Times New Roman" w:hAnsi="Times New Roman" w:eastAsia="宋体"/>
          <w:sz w:val="21"/>
        </w:rPr>
        <w:t>What underlies the emergence of cortex-aligned representations in deep neural network models of vision? Earlier work suggested that shared architectural constraints were a major factor, but the success of widely varied architectures after pre-training raises critical questions about the importance of architectural constraints. Here we show that in wide networks with minimal training, architectural inductive biases have a prominent role. We examined networks with varied architectures but no pre-training and quantified their ability to predict image representations in the visual cortices of monkeys and humans. We found that cortex-aligned representations emerge in convolutional architectures that combine two key manipulations of dimensionality: compression in the spatial domain, through pooling, and expansion in the feature domain by increasing the number of channels. We further show that the inductive biases of convolutional architectures are critical for obtaining performance gains from feature expansion—dimensionality manipulations were relatively ineffective in other architectures and in convolutional models with targeted lesions. Our findings suggest that the architectural constraints of convolutional networks are sufficiently close to the constraints of biological vision to allow many aspects of cortical visual representation to emerge even before synaptic connections have been tuned through experience.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南亚人在语言和视觉模型方面的偏见</w:t>
      </w:r>
    </w:p>
    <w:p>
      <w:r>
        <w:rPr>
          <w:rFonts w:ascii="Times New Roman" w:hAnsi="Times New Roman" w:eastAsia="宋体"/>
          <w:b/>
          <w:color w:val="003264"/>
          <w:sz w:val="24"/>
        </w:rPr>
        <w:t>South Asian biases in language and vision models</w:t>
      </w:r>
    </w:p>
    <w:p>
      <w:r>
        <w:rPr>
          <w:rFonts w:ascii="Times New Roman" w:hAnsi="Times New Roman" w:eastAsia="宋体"/>
          <w:sz w:val="21"/>
        </w:rPr>
        <w:t>作者: Mohammad Nadeem, Shahab Saquib Sohail, Erik Cambria, Shagufta Afreen</w:t>
        <w:br/>
      </w:r>
      <w:r>
        <w:rPr>
          <w:rFonts w:ascii="Times New Roman" w:hAnsi="Times New Roman" w:eastAsia="宋体"/>
          <w:sz w:val="21"/>
        </w:rPr>
        <w:t xml:space="preserve">时间: 2025-11-13 | </w:t>
      </w:r>
      <w:r>
        <w:t xml:space="preserve">链接: </w:t>
      </w:r>
      <w:hyperlink r:id="rId264">
        <w:r>
          <w:rPr>
            <w:rFonts w:ascii="Times New Roman" w:hAnsi="Times New Roman" w:eastAsia="宋体"/>
            <w:color w:val="0000FF"/>
            <w:sz w:val="21"/>
            <w:u w:val="single"/>
          </w:rPr>
          <w:t>https://doi.org/10.1038/s42256-025-01144-1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人工智能模型的偏见主要通过西方视角进行研究，忽视了南亚独特的种姓、宗教、肤色和代表性背景。该评论强调了语言和视觉模型中特定区域的偏见，并呼吁建立基于南亚现实的公平框架。</w:t>
      </w:r>
    </w:p>
    <w:p>
      <w:pPr>
        <w:spacing w:before="120"/>
      </w:pPr>
      <w:r>
        <w:rPr>
          <w:rFonts w:ascii="Times New Roman" w:hAnsi="Times New Roman" w:eastAsia="宋体"/>
          <w:b/>
          <w:sz w:val="21"/>
        </w:rPr>
        <w:t>English Abstract:</w:t>
      </w:r>
    </w:p>
    <w:p>
      <w:r>
        <w:rPr>
          <w:rFonts w:ascii="Times New Roman" w:hAnsi="Times New Roman" w:eastAsia="宋体"/>
          <w:sz w:val="21"/>
        </w:rPr>
        <w:t>Biases in artificial intelligence models have been studied predominantly through Western lenses, overlooking South Asia’s unique contexts of caste, religion, colourism and representation. This Comment highlights region-specific biases in language and vision models and calls for fairness frameworks grounded in South Asian realities.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血细胞形态的深度生成分类</w:t>
      </w:r>
    </w:p>
    <w:p>
      <w:r>
        <w:rPr>
          <w:rFonts w:ascii="Times New Roman" w:hAnsi="Times New Roman" w:eastAsia="宋体"/>
          <w:b/>
          <w:color w:val="003264"/>
          <w:sz w:val="24"/>
        </w:rPr>
        <w:t>Deep generative classification of blood cell morphology</w:t>
      </w:r>
    </w:p>
    <w:p>
      <w:r>
        <w:rPr>
          <w:rFonts w:ascii="Times New Roman" w:hAnsi="Times New Roman" w:eastAsia="宋体"/>
          <w:sz w:val="21"/>
        </w:rPr>
        <w:t>作者: Simon Deltadahl, Julian Gilbey, Christine Van Laer, Nancy Boeckx, Mathie P. G. Leers, Tanya Freeman, Laura Aiken, Timothy Farren, Matthew Smith, Mohamad Zeina, Stephen MacDonald, Daniel Gleghorn, Martijn Schut, Folkert Asselbergs, Sujoy Kar, Sophie Williams, Mickey Koh, Yvonne Henskens, Norbert de Wit, Umberto D’Alessandro, Bubacarr Bah, Ousman Secka, Rajeev Gupta, Sara Trompeter, Christine van Laer, Gordon A. Awandare, Kwabena Sarpong, Lucas Amenga-Etego, Willem H. Ouwehand, James H. F. Rudd, James HF Rudd, Concetta Piazzese, Joseph Taylor, Nicholas Gleadall, Carola-Bibiane Schönlieb, Suthesh Sivapalaratnam, Michael Roberts, Parashkev Nachev</w:t>
        <w:br/>
      </w:r>
      <w:r>
        <w:rPr>
          <w:rFonts w:ascii="Times New Roman" w:hAnsi="Times New Roman" w:eastAsia="宋体"/>
          <w:sz w:val="21"/>
        </w:rPr>
        <w:t xml:space="preserve">时间: 2025-11-19 | </w:t>
      </w:r>
      <w:r>
        <w:t xml:space="preserve">链接: </w:t>
      </w:r>
      <w:hyperlink r:id="rId265">
        <w:r>
          <w:rPr>
            <w:rFonts w:ascii="Times New Roman" w:hAnsi="Times New Roman" w:eastAsia="宋体"/>
            <w:color w:val="0000FF"/>
            <w:sz w:val="21"/>
            <w:u w:val="single"/>
          </w:rPr>
          <w:t>https://doi.org/10.1038/s42256-025-01122-7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通过光学显微镜进行的血细胞形态评估构成了血液学诊断的基石，为了解不同的病理状况提供了重要的见解。由于微妙的形态变化、生物异质性和技术成像因素阻碍了自动化方法，这项复杂的任务需要专家的解释。使用判别模型的传统机器学习方法难以应对领域转移、类内变异和罕见的形态变异，限制了它们的临床实用性。我们推出 CytoDiffusion，一种基于扩散的生成分类器，它忠实地模拟血细胞形态的分布，将准确的分类与强大的异常检测、对分布变化的抵抗力、可解释性、数据效率和不确定性量化相结合，超越了临床专家。我们的方法在异常检测（曲线下面积，0.990 与 0.916）、抗域偏移（0.854 与 0.738 准确度）以及低数据状态下的性能（0.962 与 0.924 平衡准确度）方面优于最先进的判别模型。特别是，CytoDiffusion 生成的合成血细胞图像是血液学家专家无法将其与真实图像区分开来的（准确度，0.523；95% 置信区间：[0.505, 0.542]），证明了对基础分布的良好掌握。此外，我们通过直接可解释的反事实热图增强模型的可解释性。我们的综合评估框架为血液学医学图像分析建立了多维基准，最终提高了临床环境中的诊断准确性。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Abstract Blood cell morphology assessment via light microscopy constitutes a cornerstone of haematological diagnostics, providing crucial insights into diverse pathological conditions. This complex task demands expert interpretation owing to subtle morphological variations, biological heterogeneity and technical imaging factors that obstruct automated approaches. Conventional machine learning methods using discriminative models struggle with domain shifts, intraclass variability and rare morphological variants, constraining their clinical utility. We introduce CytoDiffusion, a diffusion-based generative classifier that faithfully models the distribution of blood cell morphology, combining accurate classification with robust anomaly detection, resistance to distributional shifts, interpretability, data efficiency and uncertainty quantification that surpasses clinical experts. Our approach outperforms state-of-the-art discriminative models in anomaly detection (area under the curve, 0.990 versus 0.916), resistance to domain shifts (0.854 versus 0.738 accuracy) and performance in low-data regimes (0.962 versus 0.924 balanced accuracy). In particular, CytoDiffusion generates synthetic blood cell images that expert haematologists cannot distinguish from real ones (accuracy, 0.523; 95% confidence interval: [0.505, 0.542]), demonstrating good command of the underlying distribution. Furthermore, we enhance model explainability through directly interpretable counterfactual heat maps. Our comprehensive evaluation framework establishes a multidimensional benchmark for medical image analysis in haematology, ultimately enabling improved diagnostic accuracy in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可重用性报告：使用 AlphaTensor-Quantum 优化通用量子电路中的 T 计数</w:t>
      </w:r>
    </w:p>
    <w:p>
      <w:r>
        <w:rPr>
          <w:rFonts w:ascii="Times New Roman" w:hAnsi="Times New Roman" w:eastAsia="宋体"/>
          <w:b/>
          <w:color w:val="003264"/>
          <w:sz w:val="24"/>
        </w:rPr>
        <w:t>Reusability report: Optimizing T count in general quantum circuits with AlphaTensor-Quantum</w:t>
      </w:r>
    </w:p>
    <w:p>
      <w:r>
        <w:rPr>
          <w:rFonts w:ascii="Times New Roman" w:hAnsi="Times New Roman" w:eastAsia="宋体"/>
          <w:sz w:val="21"/>
        </w:rPr>
        <w:t>作者: Remmy Zen, Maximilian Nägele, Florian Marquardt</w:t>
        <w:br/>
      </w:r>
      <w:r>
        <w:rPr>
          <w:rFonts w:ascii="Times New Roman" w:hAnsi="Times New Roman" w:eastAsia="宋体"/>
          <w:sz w:val="21"/>
        </w:rPr>
        <w:t xml:space="preserve">时间: 2025-12-31 | </w:t>
      </w:r>
      <w:r>
        <w:t xml:space="preserve">链接: </w:t>
      </w:r>
      <w:hyperlink r:id="rId266">
        <w:r>
          <w:rPr>
            <w:rFonts w:ascii="Times New Roman" w:hAnsi="Times New Roman" w:eastAsia="宋体"/>
            <w:color w:val="0000FF"/>
            <w:sz w:val="21"/>
            <w:u w:val="single"/>
          </w:rPr>
          <w:t>https://doi.org/10.1038/s42256-025-01166-9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量子计算有潜力解决经典计算机难以解决的问题，可能在药物发现和高能物理等领域得到应用。然而，量子计算的实际实现受到硬件上执行量子电路的复杂性的阻碍。特别是，最小化 T 门的数量对于实现高效的量子算法至关重要。 AlphaTensor-Quantum 1 是一种基于强化学习的方法，旨在通过将问题表述为张量分解任务来优化量子电路的 T 计数。尽管它在基准量子算术电路上表现出了优于现有方法的性能，但迄今为止，其适用性仅限于特定的电路系列，需要针对每个新应用进行单独的、耗时的培训。该报告重现了原始工作的一些关键结果，并扩展了 AlphaTensor-Quantum 的能力，以简化具有不同量子位计数的随机量子电路，从而无需对新电路进行重新训练。我们的实验表明，在 5 到 8 个量子位电路上训练的通用代理比以前的方法对大部分量子电路实现了更大的 T 计数减少。此外，我们证明了在具有不同量子位数的电路上训练的通用智能体优于在固定量子位数上训练的智能体，突出了该方法的通用性及其在更广泛的量子电路优化任务中的潜力。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Quantum computing has the potential to solve problems that are intractable for classical computers, with possible applications in areas such as drug discovery and high-energy physics. However, the practical implementation of quantum computation is hindered by the complexity of executing quantum circuits on hardware. In particular, minimizing the number of T gates is crucial for implementing efficient quantum algorithms. AlphaTensor-Quantum 1 is a reinforcement-learning-based method designed to optimize the T count of quantum circuits by formulating the problem as a tensor decomposition task. Although it has demonstrated superior performance over existing methods on benchmark quantum arithmetic circuits, its applicability has so far been restricted to specific circuit families, requiring separate, time-intensive training for each new application. This report reproduces some of the key results of the original work and extends AlphaTensor-Quantum’s capabilities to simplify random quantum circuits with varying qubit counts, eliminating the need for retraining on new circuits. Our experiments show that a general agent trained on five- to eight-qubit circuits achieves greater T-count reduction than previous methods for a large fraction of quantum circuits. Furthermore, we demonstrate that a general agent trained on circuits with varying qubit numbers outperforms agents trained on fixed qubit numbers, highlighting the method’s generalizability and its potential for broader quantum circuit optimization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通过解释自监督图转换器学习到的细胞状态和生态位相关性来推断空间单细胞级相互作用</w:t>
      </w:r>
    </w:p>
    <w:p>
      <w:r>
        <w:rPr>
          <w:rFonts w:ascii="Times New Roman" w:hAnsi="Times New Roman" w:eastAsia="宋体"/>
          <w:b/>
          <w:color w:val="003264"/>
          <w:sz w:val="24"/>
        </w:rPr>
        <w:t>Inferring spatial single-cell-level interactions through interpreting cell state and niche correlations learned by self-supervised graph transformer</w:t>
      </w:r>
    </w:p>
    <w:p>
      <w:r>
        <w:rPr>
          <w:rFonts w:ascii="Times New Roman" w:hAnsi="Times New Roman" w:eastAsia="宋体"/>
          <w:sz w:val="21"/>
        </w:rPr>
        <w:t>作者: Xiao Xiao, Le Zhang, Hongyu Zhao, Zuoheng Wang</w:t>
        <w:br/>
      </w:r>
      <w:r>
        <w:rPr>
          <w:rFonts w:ascii="Times New Roman" w:hAnsi="Times New Roman" w:eastAsia="宋体"/>
          <w:sz w:val="21"/>
        </w:rPr>
        <w:t xml:space="preserve">时间: 2025-12-31 | </w:t>
      </w:r>
      <w:r>
        <w:t xml:space="preserve">链接: </w:t>
      </w:r>
      <w:hyperlink r:id="rId267">
        <w:r>
          <w:rPr>
            <w:rFonts w:ascii="Times New Roman" w:hAnsi="Times New Roman" w:eastAsia="宋体"/>
            <w:color w:val="0000FF"/>
            <w:sz w:val="21"/>
            <w:u w:val="single"/>
          </w:rPr>
          <w:t>https://doi.org/10.1038/s42256-025-01161-0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肖等人。 GITIII 是一种轻量级且可解释的图形转换器，用于推断空间单细胞水平的相互作用并量化空间转录组学中邻近细胞对接收细胞基因表达的影响。</w:t>
      </w:r>
    </w:p>
    <w:p>
      <w:pPr>
        <w:spacing w:before="120"/>
      </w:pPr>
      <w:r>
        <w:rPr>
          <w:rFonts w:ascii="Times New Roman" w:hAnsi="Times New Roman" w:eastAsia="宋体"/>
          <w:b/>
          <w:sz w:val="21"/>
        </w:rPr>
        <w:t>English Abstract:</w:t>
      </w:r>
    </w:p>
    <w:p>
      <w:r>
        <w:rPr>
          <w:rFonts w:ascii="Times New Roman" w:hAnsi="Times New Roman" w:eastAsia="宋体"/>
          <w:sz w:val="21"/>
        </w:rPr>
        <w:t>Xiao et al. present GITIII, a lightweight and interpretable graph transformer for inferring spatial single-cell-level interactions and quantifying the influence of neighbouring cells on the gene expression of receiver cells in spatial transcriptomics.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具有空间频率动力学的超表面结构发现的电流扩散模型</w:t>
      </w:r>
    </w:p>
    <w:p>
      <w:r>
        <w:rPr>
          <w:rFonts w:ascii="Times New Roman" w:hAnsi="Times New Roman" w:eastAsia="宋体"/>
          <w:b/>
          <w:color w:val="003264"/>
          <w:sz w:val="24"/>
        </w:rPr>
        <w:t>Current-diffusion model for metasurface structure discoveries with spatial-frequency dynamics</w:t>
      </w:r>
    </w:p>
    <w:p>
      <w:r>
        <w:rPr>
          <w:rFonts w:ascii="Times New Roman" w:hAnsi="Times New Roman" w:eastAsia="宋体"/>
          <w:sz w:val="21"/>
        </w:rPr>
        <w:t>作者: Erji Li, Yusong Wang, Lei Jin, Zheng Zong, Enze Zhu, Bao Wang, Qian Wang, Zongyin Yang, Wen-Yan Yin, Zhun Wei</w:t>
        <w:br/>
      </w:r>
      <w:r>
        <w:rPr>
          <w:rFonts w:ascii="Times New Roman" w:hAnsi="Times New Roman" w:eastAsia="宋体"/>
          <w:sz w:val="21"/>
        </w:rPr>
        <w:t xml:space="preserve">时间: 2025-12-31 | </w:t>
      </w:r>
      <w:r>
        <w:t xml:space="preserve">链接: </w:t>
      </w:r>
      <w:hyperlink r:id="rId268">
        <w:r>
          <w:rPr>
            <w:rFonts w:ascii="Times New Roman" w:hAnsi="Times New Roman" w:eastAsia="宋体"/>
            <w:color w:val="0000FF"/>
            <w:sz w:val="21"/>
            <w:u w:val="single"/>
          </w:rPr>
          <w:t>https://doi.org/10.1038/s42256-025-01162-z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由人工智能驱动的超表面设计面临着挑战，例如外推到未探索的性能体系。 MetaAI 是一种物理感知电流扩散框架，旨在推进超材料发现从插值到外推的发展。</w:t>
      </w:r>
    </w:p>
    <w:p>
      <w:pPr>
        <w:spacing w:before="120"/>
      </w:pPr>
      <w:r>
        <w:rPr>
          <w:rFonts w:ascii="Times New Roman" w:hAnsi="Times New Roman" w:eastAsia="宋体"/>
          <w:b/>
          <w:sz w:val="21"/>
        </w:rPr>
        <w:t>English Abstract:</w:t>
      </w:r>
    </w:p>
    <w:p>
      <w:r>
        <w:rPr>
          <w:rFonts w:ascii="Times New Roman" w:hAnsi="Times New Roman" w:eastAsia="宋体"/>
          <w:sz w:val="21"/>
        </w:rPr>
        <w:t>Metasurface design driven by AI faces challenges, such as extrapolation to unexplored performance regimes. MetaAI, a physics-aware current-diffusion framework, is introduced to advance metamaterial discovery from interpolation to extrapolation.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学习逆超表面设计的中间物理状态</w:t>
      </w:r>
    </w:p>
    <w:p>
      <w:r>
        <w:rPr>
          <w:rFonts w:ascii="Times New Roman" w:hAnsi="Times New Roman" w:eastAsia="宋体"/>
          <w:b/>
          <w:color w:val="003264"/>
          <w:sz w:val="24"/>
        </w:rPr>
        <w:t>Learning intermediate physical states for inverse metasurface design</w:t>
      </w:r>
    </w:p>
    <w:p>
      <w:r>
        <w:rPr>
          <w:rFonts w:ascii="Times New Roman" w:hAnsi="Times New Roman" w:eastAsia="宋体"/>
          <w:sz w:val="21"/>
        </w:rPr>
        <w:t>作者: Chun-Teh Chen</w:t>
        <w:br/>
      </w:r>
      <w:r>
        <w:rPr>
          <w:rFonts w:ascii="Times New Roman" w:hAnsi="Times New Roman" w:eastAsia="宋体"/>
          <w:sz w:val="21"/>
        </w:rPr>
        <w:t xml:space="preserve">时间: 2025-12-31 | </w:t>
      </w:r>
      <w:r>
        <w:t xml:space="preserve">链接: </w:t>
      </w:r>
      <w:hyperlink r:id="rId269">
        <w:r>
          <w:rPr>
            <w:rFonts w:ascii="Times New Roman" w:hAnsi="Times New Roman" w:eastAsia="宋体"/>
            <w:color w:val="0000FF"/>
            <w:sz w:val="21"/>
            <w:u w:val="single"/>
          </w:rPr>
          <w:t>https://doi.org/10.1038/s42256-025-01167-8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学习中间表面电流图的深度生成模型，而不是直接布局，为可调和堆叠超表面的逆向设计提供了更稳定的途径。</w:t>
      </w:r>
    </w:p>
    <w:p>
      <w:pPr>
        <w:spacing w:before="120"/>
      </w:pPr>
      <w:r>
        <w:rPr>
          <w:rFonts w:ascii="Times New Roman" w:hAnsi="Times New Roman" w:eastAsia="宋体"/>
          <w:b/>
          <w:sz w:val="21"/>
        </w:rPr>
        <w:t>English Abstract:</w:t>
      </w:r>
    </w:p>
    <w:p>
      <w:r>
        <w:rPr>
          <w:rFonts w:ascii="Times New Roman" w:hAnsi="Times New Roman" w:eastAsia="宋体"/>
          <w:sz w:val="21"/>
        </w:rPr>
        <w:t>Deep generative models that learn intermediate surface-current maps, rather than layouts directly, offer a more stable route to inverse design of tunable and stacked metasurfaces.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12:53 ---</w:t>
      </w:r>
    </w:p>
    <w:p>
      <w:pPr>
        <w:pStyle w:val="Heading2"/>
      </w:pPr>
      <w:r/>
      <w:r>
        <w:rPr>
          <w:rFonts w:ascii="Times New Roman" w:hAnsi="Times New Roman" w:eastAsia="宋体"/>
          <w:b/>
          <w:color w:val="000000"/>
          <w:sz w:val="24"/>
        </w:rPr>
        <w:t>离体机器灌注过程中系统生产用于猪肾移植的人肾类器官</w:t>
      </w:r>
    </w:p>
    <w:p>
      <w:r>
        <w:rPr>
          <w:rFonts w:ascii="Times New Roman" w:hAnsi="Times New Roman" w:eastAsia="宋体"/>
          <w:b/>
          <w:color w:val="003264"/>
          <w:sz w:val="24"/>
        </w:rPr>
        <w:t>Systematic production of human kidney organoids for transplantation in porcine kidneys during ex vivo machine perfusion</w:t>
      </w:r>
    </w:p>
    <w:p>
      <w:r>
        <w:rPr>
          <w:rFonts w:ascii="Times New Roman" w:hAnsi="Times New Roman" w:eastAsia="宋体"/>
          <w:sz w:val="21"/>
        </w:rPr>
        <w:t>作者: Elena Garreta, Daniel Moya-Rull, Alberto Centeno, Andrés Marco, Asier Ullate-Agote, Gaia Amato, Carlos J. Aranda, Roger Oria, Daniel Lozano-Ojalvo, Merel B. F. Pool, Tim L. Hamelink, Idoia Lucía Selfa, Federico González, Carolina Tarantino, Alejandro Montero Salinas, Patricia López San Martín, Priyanka Koshy, Aleix Gavaldà-Navarro, Amaia Vilas-Zornoza, Juan R. Rodríguez-Madoz, Antón Fernández García, Inmaculada Marquez-Leiva, Henri G. D. Leuvenink, Cristobal Belda-Iniesta, Maarten Naesens, Beatriz Dominguez-Gil, Marcelino González-Martín, Javier Rodríguez-Rivera, Jordi Ochando, Felipe Prosper, Cyril Moers, Nuria Montserrat</w:t>
        <w:br/>
      </w:r>
      <w:r>
        <w:rPr>
          <w:rFonts w:ascii="Times New Roman" w:hAnsi="Times New Roman" w:eastAsia="宋体"/>
          <w:sz w:val="21"/>
        </w:rPr>
        <w:t xml:space="preserve">时间: 2025-10-31 | </w:t>
      </w:r>
      <w:r>
        <w:t xml:space="preserve">链接: </w:t>
      </w:r>
      <w:hyperlink r:id="rId270">
        <w:r>
          <w:rPr>
            <w:rFonts w:ascii="Times New Roman" w:hAnsi="Times New Roman" w:eastAsia="宋体"/>
            <w:color w:val="0000FF"/>
            <w:sz w:val="21"/>
            <w:u w:val="single"/>
          </w:rPr>
          <w:t>https://doi.org/10.1038/s41551-025-01542-1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源自人类多能干 (hPS) 细胞的类器官有望用于治疗目的。然而，仍然缺乏在确保差异化保真度的同时克服大规模生产的技术进步。在这里，我们报告了一种使用可扩展、可重复且负担得起的方法维持从 hPS 细胞衍生肾脏类器官（hPSC-肾脏类器官）的程序，该方法允许 hPSC-肾脏类器官分化为不同的肾细胞类型。使用单细胞 RNA 测序、共焦图像分析、代谢测定和 CRISPR-Cas9 工程来生成荧光报告基因，我们表明 hPSC-肾脏类器官在细胞与细胞接触后表现出转录多样性和细胞组成。我们使用常温机器灌注将人肾类器官注入离体猪肾脏，并证明 hPSC 肾类器官的体内移植。我们进一步评估免疫反应，确认该程序的可行性和可行性。我们通过原位杂交、免疫组织化学、共聚焦显微镜、图像分析和定量、体内成像和流式细胞术来鉴定常温机器灌注和体内移植后的人源细胞。这项工作为在临床试验中使用 hPSC 肾类器官进行离体细胞疗法奠定了基础。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Organoids derived from human pluripotent stem (hPS) cells hold promise for therapeutic purposes. However, technological advances to overcome their massive production while ensuring differentiation fidelity are still lacking. Here we report a procedure sustaining the derivation of kidney organoids from hPS cells (hPSC-kidney organoids) using a scalable, reproducible and affordable approach that allows hPSC-kidney organoid differentiation into different renal cell types. Using single-cell RNA sequencing, confocal image analysis, metabolic assays and CRISPR–Cas9 engineering for generation of fluorescent reporters, we show that hPSC-kidney organoids exhibit transcriptional variety and cellular composition following cell-to-cell contact. We infuse human kidney organoids into ex vivo porcine kidneys using normothermic machine perfusion, and demonstrate in vivo engraftment of hPSC-kidney organoids. We further evaluate the immune response, confirming the feasibility and viability of the procedure. We identify cells of human origin after normothermic machine perfusion and in vivo transplantation by means of in situ hybridization, immunohistochemistry, confocal microscopy, image analysis and quantification, in vivo imaging, and flow cytometry. This work provides a foundation for using hPSC-kidney organoids for ex vivo cell-based therapies in clinical trials.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适用于多种临床呼吸系统疾病应用的视觉语言预训练转换器</w:t>
      </w:r>
    </w:p>
    <w:p>
      <w:r>
        <w:rPr>
          <w:rFonts w:ascii="Times New Roman" w:hAnsi="Times New Roman" w:eastAsia="宋体"/>
          <w:b/>
          <w:color w:val="003264"/>
          <w:sz w:val="24"/>
        </w:rPr>
        <w:t>A vision–language pretrained transformer for versatile clinical respiratory disease applications</w:t>
      </w:r>
    </w:p>
    <w:p>
      <w:r>
        <w:rPr>
          <w:rFonts w:ascii="Times New Roman" w:hAnsi="Times New Roman" w:eastAsia="宋体"/>
          <w:sz w:val="21"/>
        </w:rPr>
        <w:t>作者: Liangdi Ma, Hengrui Liang, Yuwei He, Wei Wang, Zeping Yan, Wuchao Li, Rongpin Wang, Yongyi Li, Yuerong Lizhu, Yaou Liu, Yuchen Guo, Jianxing He, Feng Xu</w:t>
        <w:br/>
      </w:r>
      <w:r>
        <w:rPr>
          <w:rFonts w:ascii="Times New Roman" w:hAnsi="Times New Roman" w:eastAsia="宋体"/>
          <w:sz w:val="21"/>
        </w:rPr>
        <w:t xml:space="preserve">时间: 2025-11-06 | </w:t>
      </w:r>
      <w:r>
        <w:t xml:space="preserve">链接: </w:t>
      </w:r>
      <w:hyperlink r:id="rId271">
        <w:r>
          <w:rPr>
            <w:rFonts w:ascii="Times New Roman" w:hAnsi="Times New Roman" w:eastAsia="宋体"/>
            <w:color w:val="0000FF"/>
            <w:sz w:val="21"/>
            <w:u w:val="single"/>
          </w:rPr>
          <w:t>https://doi.org/10.1038/s41551-025-01544-z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多模态预训练 Transformer 使用 154,274 对胸部 CT 扫描及其相应报告，并应用于具有多模态数据的各种临床任务。</w:t>
      </w:r>
    </w:p>
    <w:p>
      <w:pPr>
        <w:spacing w:before="120"/>
      </w:pPr>
      <w:r>
        <w:rPr>
          <w:rFonts w:ascii="Times New Roman" w:hAnsi="Times New Roman" w:eastAsia="宋体"/>
          <w:b/>
          <w:sz w:val="21"/>
        </w:rPr>
        <w:t>English Abstract:</w:t>
      </w:r>
    </w:p>
    <w:p>
      <w:r>
        <w:rPr>
          <w:rFonts w:ascii="Times New Roman" w:hAnsi="Times New Roman" w:eastAsia="宋体"/>
          <w:sz w:val="21"/>
        </w:rPr>
        <w:t>A multimodal pretrained transformer uses 154,274 pairs of chest CT scans and their corresponding reports and is applied to diverse clinical tasks with multimodal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无标记导航系统通过组织 pH 值和前列腺特异性抗原活性对前列腺肿瘤恶性肿瘤进行原位分级</w:t>
      </w:r>
    </w:p>
    <w:p>
      <w:r>
        <w:rPr>
          <w:rFonts w:ascii="Times New Roman" w:hAnsi="Times New Roman" w:eastAsia="宋体"/>
          <w:b/>
          <w:color w:val="003264"/>
          <w:sz w:val="24"/>
        </w:rPr>
        <w:t>Label-free navigation system for grading prostate tumour malignancy in situ via tissue pH and prostate-specific antigen activity</w:t>
      </w:r>
    </w:p>
    <w:p>
      <w:r>
        <w:rPr>
          <w:rFonts w:ascii="Times New Roman" w:hAnsi="Times New Roman" w:eastAsia="宋体"/>
          <w:sz w:val="21"/>
        </w:rPr>
        <w:t>作者: Ziyi Jin, Sihui Chen, Xiaoyan Dong, Zheng Zhao, Huaiyang Zeng, Pengcheng Zhang, Hang Yin, Suhongrui Zhou, Changle Li, Chang He, Jiaqi Huang, Jun Zhang, Jie Cheng, Hairong Zheng, Jinhua Yu, Hui Yang, Hang Wang, Cong Li</w:t>
        <w:br/>
      </w:r>
      <w:r>
        <w:rPr>
          <w:rFonts w:ascii="Times New Roman" w:hAnsi="Times New Roman" w:eastAsia="宋体"/>
          <w:sz w:val="21"/>
        </w:rPr>
        <w:t xml:space="preserve">时间: 2025-11-18 | </w:t>
      </w:r>
      <w:r>
        <w:t xml:space="preserve">链接: </w:t>
      </w:r>
      <w:hyperlink r:id="rId272">
        <w:r>
          <w:rPr>
            <w:rFonts w:ascii="Times New Roman" w:hAnsi="Times New Roman" w:eastAsia="宋体"/>
            <w:color w:val="0000FF"/>
            <w:sz w:val="21"/>
            <w:u w:val="single"/>
          </w:rPr>
          <w:t>https://doi.org/10.1038/s41551-025-01561-y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集成的表面增强拉曼散射导航仪器可以通过同时评估组织酸度和前列腺特异性抗原酶活性来对恶性前列腺肿瘤进行术中分类。</w:t>
      </w:r>
    </w:p>
    <w:p>
      <w:pPr>
        <w:spacing w:before="120"/>
      </w:pPr>
      <w:r>
        <w:rPr>
          <w:rFonts w:ascii="Times New Roman" w:hAnsi="Times New Roman" w:eastAsia="宋体"/>
          <w:b/>
          <w:sz w:val="21"/>
        </w:rPr>
        <w:t>English Abstract:</w:t>
      </w:r>
    </w:p>
    <w:p>
      <w:r>
        <w:rPr>
          <w:rFonts w:ascii="Times New Roman" w:hAnsi="Times New Roman" w:eastAsia="宋体"/>
          <w:sz w:val="21"/>
        </w:rPr>
        <w:t>An integrated surface-enhanced Raman scattering navigation instrument allows the intraoperative classification of malignant-grade prostate tumours by simultaneously assessing tissue acidity and prostate-specific antigen enzymatic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通过孟德尔随机化使用成像和临床数据推断多器官遗传联系</w:t>
      </w:r>
    </w:p>
    <w:p>
      <w:r>
        <w:rPr>
          <w:rFonts w:ascii="Times New Roman" w:hAnsi="Times New Roman" w:eastAsia="宋体"/>
          <w:b/>
          <w:color w:val="003264"/>
          <w:sz w:val="24"/>
        </w:rPr>
        <w:t>Inferring multi-organ genetic connections using imaging and clinical data through Mendelian randomization</w:t>
      </w:r>
    </w:p>
    <w:p>
      <w:r>
        <w:rPr>
          <w:rFonts w:ascii="Times New Roman" w:hAnsi="Times New Roman" w:eastAsia="宋体"/>
          <w:sz w:val="21"/>
        </w:rPr>
        <w:t>作者: Juan Shu, Rong Zheng, Julio Chirinos, Carlos Copana, Bingxuan Li, Zirui Fan, Xiaochen Yang, Yilin Yang, Xiyao Wang, Yujue Li, Bowei Xi, Tengfei Li, Hongtu Zhu, Bingxin Zhao</w:t>
        <w:br/>
      </w:r>
      <w:r>
        <w:rPr>
          <w:rFonts w:ascii="Times New Roman" w:hAnsi="Times New Roman" w:eastAsia="宋体"/>
          <w:sz w:val="21"/>
        </w:rPr>
        <w:t xml:space="preserve">时间: 2025-11-19 | </w:t>
      </w:r>
      <w:r>
        <w:t xml:space="preserve">链接: </w:t>
      </w:r>
      <w:hyperlink r:id="rId273">
        <w:r>
          <w:rPr>
            <w:rFonts w:ascii="Times New Roman" w:hAnsi="Times New Roman" w:eastAsia="宋体"/>
            <w:color w:val="0000FF"/>
            <w:sz w:val="21"/>
            <w:u w:val="single"/>
          </w:rPr>
          <w:t>https://doi.org/10.1038/s41551-025-01554-x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孟德尔随机化用于评估多器官成像特征与临床结果之间的遗传关联，显示各种疾病中器官系统之间的遗传联系。</w:t>
      </w:r>
    </w:p>
    <w:p>
      <w:pPr>
        <w:spacing w:before="120"/>
      </w:pPr>
      <w:r>
        <w:rPr>
          <w:rFonts w:ascii="Times New Roman" w:hAnsi="Times New Roman" w:eastAsia="宋体"/>
          <w:b/>
          <w:sz w:val="21"/>
        </w:rPr>
        <w:t>English Abstract:</w:t>
      </w:r>
    </w:p>
    <w:p>
      <w:r>
        <w:rPr>
          <w:rFonts w:ascii="Times New Roman" w:hAnsi="Times New Roman" w:eastAsia="宋体"/>
          <w:sz w:val="21"/>
        </w:rPr>
        <w:t>Mendelian randomization is used to evaluate genetic associations between multi-organ imaging traits and clinical outcomes, showing genetic links between organ systems in a variety of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非病毒载体作为降低基因治疗遗传毒性风险的希望灯塔</w:t>
      </w:r>
    </w:p>
    <w:p>
      <w:r>
        <w:rPr>
          <w:rFonts w:ascii="Times New Roman" w:hAnsi="Times New Roman" w:eastAsia="宋体"/>
          <w:b/>
          <w:color w:val="003264"/>
          <w:sz w:val="24"/>
        </w:rPr>
        <w:t>Non-viral vectors as beacons of hope for reducing genotoxic risks of gene therapy</w:t>
      </w:r>
    </w:p>
    <w:p>
      <w:r>
        <w:rPr>
          <w:rFonts w:ascii="Times New Roman" w:hAnsi="Times New Roman" w:eastAsia="宋体"/>
          <w:sz w:val="21"/>
        </w:rPr>
        <w:t>作者: Marie-Madeleine Nzila, Ulrike Koehl, Zoltán Ivics</w:t>
        <w:br/>
      </w:r>
      <w:r>
        <w:rPr>
          <w:rFonts w:ascii="Times New Roman" w:hAnsi="Times New Roman" w:eastAsia="宋体"/>
          <w:sz w:val="21"/>
        </w:rPr>
        <w:t xml:space="preserve">时间: 2026-01-05 | </w:t>
      </w:r>
      <w:r>
        <w:t xml:space="preserve">链接: </w:t>
      </w:r>
      <w:hyperlink r:id="rId274">
        <w:r>
          <w:rPr>
            <w:rFonts w:ascii="Times New Roman" w:hAnsi="Times New Roman" w:eastAsia="宋体"/>
            <w:color w:val="0000FF"/>
            <w:sz w:val="21"/>
            <w:u w:val="single"/>
          </w:rPr>
          <w:t>https://doi.org/10.1038/s41551-025-01581-8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前景广阔，但基因和细胞疗法可能会带来基因毒性风险，使临床应用变得复杂。我们描述了这些风险的分子基础，讨论了评估遗传毒性的工具，并强调了非病毒基因组工程技术在更安全的基因组工程方面的优势。</w:t>
      </w:r>
    </w:p>
    <w:p>
      <w:pPr>
        <w:spacing w:before="120"/>
      </w:pPr>
      <w:r>
        <w:rPr>
          <w:rFonts w:ascii="Times New Roman" w:hAnsi="Times New Roman" w:eastAsia="宋体"/>
          <w:b/>
          <w:sz w:val="21"/>
        </w:rPr>
        <w:t>English Abstract:</w:t>
      </w:r>
    </w:p>
    <w:p>
      <w:r>
        <w:rPr>
          <w:rFonts w:ascii="Times New Roman" w:hAnsi="Times New Roman" w:eastAsia="宋体"/>
          <w:sz w:val="21"/>
        </w:rPr>
        <w:t>Although promising, gene and cell therapies can pose genotoxic risks that complicate clinical application. We describe the molecular basis of these risks, discuss tools to assess genotoxicity and highlight the advantages of non-viral genome engineering technologies for safer genome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用于通用无注释病理定位的多模态视觉语言模型</w:t>
      </w:r>
    </w:p>
    <w:p>
      <w:r>
        <w:rPr>
          <w:rFonts w:ascii="Times New Roman" w:hAnsi="Times New Roman" w:eastAsia="宋体"/>
          <w:b/>
          <w:color w:val="003264"/>
          <w:sz w:val="24"/>
        </w:rPr>
        <w:t>A multimodal vision–language model for generalizable annotation-free pathology localization</w:t>
      </w:r>
    </w:p>
    <w:p>
      <w:r>
        <w:rPr>
          <w:rFonts w:ascii="Times New Roman" w:hAnsi="Times New Roman" w:eastAsia="宋体"/>
          <w:sz w:val="21"/>
        </w:rPr>
        <w:t>作者: Hao Yang, Hong-Yu Zhou, Jiarun Liu, Weijian Huang, Cheng Li, Zhihuan Li, Yuanxu Gao, Qiegen Liu, Yong Liang, Qi Yang, Song Wu, Tao Tan, Hairong Zheng, Kang Zhang, Shanshan Wang</w:t>
        <w:br/>
      </w:r>
      <w:r>
        <w:rPr>
          <w:rFonts w:ascii="Times New Roman" w:hAnsi="Times New Roman" w:eastAsia="宋体"/>
          <w:sz w:val="21"/>
        </w:rPr>
        <w:t xml:space="preserve">时间: 2026-01-06 | </w:t>
      </w:r>
      <w:r>
        <w:t xml:space="preserve">链接: </w:t>
      </w:r>
      <w:hyperlink r:id="rId275">
        <w:r>
          <w:rPr>
            <w:rFonts w:ascii="Times New Roman" w:hAnsi="Times New Roman" w:eastAsia="宋体"/>
            <w:color w:val="0000FF"/>
            <w:sz w:val="21"/>
            <w:u w:val="single"/>
          </w:rPr>
          <w:t>https://doi.org/10.1038/s41551-025-01574-7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现有的从临床影像数据定义病理学的深度学习模型依赖于专家注释，缺乏开放临床环境中的泛化能力。在这里，我们提出了一种用于无注释病理定位（AFLoc）的通用视觉语言模型。 AFLoc 的核心优势是基于广泛的多级语义结构的对比学习，它将多粒度医学概念与丰富的图像特征全面结合起来，以适应病理的多样化表达，而不依赖于专家图像注释。我们对 220,000 对图像报告胸部 X 射线图像的数据集进行了初步实验，并在涵盖 34 种胸部病理类型的 8 个外部数据集上进行了验证。结果表明，AFLoc 在无注释定位和分类任务中均优于最先进的方法。此外，我们还评估了 AFLoc 在其他模式上的普遍性，包括组织病理学和视网膜眼底图像。我们证明 AFLoc 表现出强大的泛化能力，甚至在定位五种不同类型的病理图像方面超越了人类基准。这些结果凸显了 AFLoc 在减少注释需求方面的潜力及其在复杂临床环境中的适用性。</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models for defining pathology from clinical imaging data rely on expert annotations and lack generalization capabilities in open clinical environments. Here we present a generalizable vision-language model for Annotation-Free pathology Localization (AFLoc). The core strength of AFLoc is extensive multilevel semantic structure-based contrastive learning, which comprehensively aligns multigranularity medical concepts with abundant image features to adapt to the diverse expressions of pathologies without the reliance on expert image annotations. We conducted primary experiments on a dataset of 220,000 pairs of image-report chest X-ray images and performed validation across 8 external datasets encompassing 34 types of chest pathology. The results demonstrate that AFLoc outperforms state-of-the-art methods in both annotation-free localization and classification tasks. In addition, we assessed the generalizability of AFLoc on other modalities, including histopathology and retinal fundus images. We show that AFLoc exhibits robust generalization capabilities, even surpassing human benchmarks in localizing five different types of pathological image. These results highlight the potential of AFLoc in reducing annotation requirements and its applicability in complex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人体旋转超声和光声断层扫描</w:t>
      </w:r>
    </w:p>
    <w:p>
      <w:r>
        <w:rPr>
          <w:rFonts w:ascii="Times New Roman" w:hAnsi="Times New Roman" w:eastAsia="宋体"/>
          <w:b/>
          <w:color w:val="003264"/>
          <w:sz w:val="24"/>
        </w:rPr>
        <w:t>Rotational ultrasound and photoacoustic tomography of the human body</w:t>
      </w:r>
    </w:p>
    <w:p>
      <w:r>
        <w:rPr>
          <w:rFonts w:ascii="Times New Roman" w:hAnsi="Times New Roman" w:eastAsia="宋体"/>
          <w:sz w:val="21"/>
        </w:rPr>
        <w:t>作者: Yang Zhang, Shuai Na, Jonathan J. Russin, Karteekeya Sastry, Li Lin, Junfu Zheng, Yilin Luo, Xin Tong, Yujin An, Peng Hu, Konstantin Maslov, Tze-Woei Tan, Charles Y. Liu, Lihong V. Wang</w:t>
        <w:br/>
      </w:r>
      <w:r>
        <w:rPr>
          <w:rFonts w:ascii="Times New Roman" w:hAnsi="Times New Roman" w:eastAsia="宋体"/>
          <w:sz w:val="21"/>
        </w:rPr>
        <w:t xml:space="preserve">时间: 2026-01-16 | </w:t>
      </w:r>
      <w:r>
        <w:t xml:space="preserve">链接: </w:t>
      </w:r>
      <w:hyperlink r:id="rId276">
        <w:r>
          <w:rPr>
            <w:rFonts w:ascii="Times New Roman" w:hAnsi="Times New Roman" w:eastAsia="宋体"/>
            <w:color w:val="0000FF"/>
            <w:sz w:val="21"/>
            <w:u w:val="single"/>
          </w:rPr>
          <w:t>https://doi.org/10.1038/s41551-025-01603-5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快速全景旋转超声断层扫描和光声断层扫描集成在一起，可实现混合旋转超声和光声断层扫描，对人体软组织和脉管系统进行三维双对比成像。</w:t>
      </w:r>
    </w:p>
    <w:p>
      <w:pPr>
        <w:spacing w:before="120"/>
      </w:pPr>
      <w:r>
        <w:rPr>
          <w:rFonts w:ascii="Times New Roman" w:hAnsi="Times New Roman" w:eastAsia="宋体"/>
          <w:b/>
          <w:sz w:val="21"/>
        </w:rPr>
        <w:t>English Abstract:</w:t>
      </w:r>
    </w:p>
    <w:p>
      <w:r>
        <w:rPr>
          <w:rFonts w:ascii="Times New Roman" w:hAnsi="Times New Roman" w:eastAsia="宋体"/>
          <w:sz w:val="21"/>
        </w:rPr>
        <w:t>Fast panoramic rotational ultrasound tomography and photoacoustic tomography are integrated for hybrid rotational ultrasound and photoacoustic tomography, for three-dimensional dual-contrast imaging of soft tissue and vasculature across the human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用于人类肝脏恶性肿瘤可视化的无标记组织 NIR-II 自发荧光成像</w:t>
      </w:r>
    </w:p>
    <w:p>
      <w:r>
        <w:rPr>
          <w:rFonts w:ascii="Times New Roman" w:hAnsi="Times New Roman" w:eastAsia="宋体"/>
          <w:b/>
          <w:color w:val="003264"/>
          <w:sz w:val="24"/>
        </w:rPr>
        <w:t>Label-free tissue NIR-II autofluorescence imaging for visualization of human liver malignancy</w:t>
      </w:r>
    </w:p>
    <w:p>
      <w:r>
        <w:rPr>
          <w:rFonts w:ascii="Times New Roman" w:hAnsi="Times New Roman" w:eastAsia="宋体"/>
          <w:sz w:val="21"/>
        </w:rPr>
        <w:t>作者: Haisheng He, Wenwei Zhu, Han Miao, Shangfeng Wang, Zunguo Du, Hongxin Zhang, Jiang Ming, Ben Shi, Hao Wang, Jianping Qi, Yong Fan, Wei Wu, Dongyuan Zhao, Lun-Xiu Qin, Fan Zhang</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https://doi.org/10.1038/s41551-025-01593-4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无标记成像方法可检测人类肝脏恶性肿瘤和邻近组织之间 NIR-II 自发荧光强度的差异。</w:t>
      </w:r>
    </w:p>
    <w:p>
      <w:pPr>
        <w:spacing w:before="120"/>
      </w:pPr>
      <w:r>
        <w:rPr>
          <w:rFonts w:ascii="Times New Roman" w:hAnsi="Times New Roman" w:eastAsia="宋体"/>
          <w:b/>
          <w:sz w:val="21"/>
        </w:rPr>
        <w:t>English Abstract:</w:t>
      </w:r>
    </w:p>
    <w:p>
      <w:r>
        <w:rPr>
          <w:rFonts w:ascii="Times New Roman" w:hAnsi="Times New Roman" w:eastAsia="宋体"/>
          <w:sz w:val="21"/>
        </w:rPr>
        <w:t>A label-free imaging approach detects differences in NIR-II autofluorescence intensity between human liver malignancy and the adjacent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生物医学工程的前景</w:t>
      </w:r>
    </w:p>
    <w:p>
      <w:r>
        <w:rPr>
          <w:rFonts w:ascii="Times New Roman" w:hAnsi="Times New Roman" w:eastAsia="宋体"/>
          <w:b/>
          <w:color w:val="003264"/>
          <w:sz w:val="24"/>
        </w:rPr>
        <w:t>On the horizon in biomedical engineering</w:t>
      </w:r>
    </w:p>
    <w:p>
      <w:r>
        <w:rPr>
          <w:rFonts w:ascii="Times New Roman" w:hAnsi="Times New Roman" w:eastAsia="宋体"/>
          <w:sz w:val="21"/>
        </w:rPr>
        <w:t>作者: Unknown</w:t>
        <w:br/>
      </w:r>
      <w:r>
        <w:rPr>
          <w:rFonts w:ascii="Times New Roman" w:hAnsi="Times New Roman" w:eastAsia="宋体"/>
          <w:sz w:val="21"/>
        </w:rPr>
        <w:t xml:space="preserve">时间: 2026-01-22 | </w:t>
      </w:r>
      <w:r>
        <w:t xml:space="preserve">链接: </w:t>
      </w:r>
      <w:hyperlink r:id="rId278">
        <w:r>
          <w:rPr>
            <w:rFonts w:ascii="Times New Roman" w:hAnsi="Times New Roman" w:eastAsia="宋体"/>
            <w:color w:val="0000FF"/>
            <w:sz w:val="21"/>
            <w:u w:val="single"/>
          </w:rPr>
          <w:t>https://doi.org/10.1038/s41551-026-01611-z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对于生物医学工程来说，这是一个激动人心的时刻，其进步迅速重塑了转化研究和医学的前沿。在这里，我们重点介绍一些我们在未来几年特别兴奋的领域和技术。</w:t>
      </w:r>
    </w:p>
    <w:p>
      <w:pPr>
        <w:spacing w:before="120"/>
      </w:pPr>
      <w:r>
        <w:rPr>
          <w:rFonts w:ascii="Times New Roman" w:hAnsi="Times New Roman" w:eastAsia="宋体"/>
          <w:b/>
          <w:sz w:val="21"/>
        </w:rPr>
        <w:t>English Abstract:</w:t>
      </w:r>
    </w:p>
    <w:p>
      <w:r>
        <w:rPr>
          <w:rFonts w:ascii="Times New Roman" w:hAnsi="Times New Roman" w:eastAsia="宋体"/>
          <w:sz w:val="21"/>
        </w:rPr>
        <w:t>It is an exciting time for biomedical engineering, with advances rapidly reshaping the forefront of translational research and medicine. Here we highlight some areas and technologies that we are particularly excited about for the coming years.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异种学习：基于深度学习的光谱图像分析中跨物种的知识转移</w:t>
      </w:r>
    </w:p>
    <w:p>
      <w:r>
        <w:rPr>
          <w:rFonts w:ascii="Times New Roman" w:hAnsi="Times New Roman" w:eastAsia="宋体"/>
          <w:b/>
          <w:color w:val="003264"/>
          <w:sz w:val="24"/>
        </w:rPr>
        <w:t>Xeno-learning: knowledge transfer across species in deep learning-based spectral image analysis</w:t>
      </w:r>
    </w:p>
    <w:p>
      <w:r>
        <w:rPr>
          <w:rFonts w:ascii="Times New Roman" w:hAnsi="Times New Roman" w:eastAsia="宋体"/>
          <w:sz w:val="21"/>
        </w:rPr>
        <w:t>作者: Jan Sellner, Alexander Studier-Fischer, Ahmad Bin Qasim, Silvia Seidlitz, Nicholas Schreck, Minu Tizabi, Manuel Wiesenfarth, Annette Kopp-Schneider, Janne Heinecke, Jule Brandt, Samuel Knoedler, Caelan Max Haney, Gabriel Salg, Berkin Özdemir, Maximilian Dietrich, Maurice Stephan Michel, Felix Nickel, Karl-Friedrich Kowalewski, Lena Maier-Hein</w:t>
        <w:br/>
      </w:r>
      <w:r>
        <w:rPr>
          <w:rFonts w:ascii="Times New Roman" w:hAnsi="Times New Roman" w:eastAsia="宋体"/>
          <w:sz w:val="21"/>
        </w:rPr>
        <w:t xml:space="preserve">时间: 2026-01-26 | </w:t>
      </w:r>
      <w:r>
        <w:t xml:space="preserve">链接: </w:t>
      </w:r>
      <w:hyperlink r:id="rId279">
        <w:r>
          <w:rPr>
            <w:rFonts w:ascii="Times New Roman" w:hAnsi="Times New Roman" w:eastAsia="宋体"/>
            <w:color w:val="0000FF"/>
            <w:sz w:val="21"/>
            <w:u w:val="single"/>
          </w:rPr>
          <w:t>https://doi.org/10.1038/s41551-025-01585-4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学成像技术，例如高光谱成像与基于机器学习的分析相结合，有可能彻底改变临床手术成像。然而，这些模式面临着缺乏大规模、有代表性的临床数据来训练基于机器学习的算法。虽然通过标准化实验可以获得大量临床前动物数据，并且可以控制病理组织状态的诱导，但从伦理上讲，从患者那里获得类似的数据是不可能的。为了利用这种情况，我们提出了“异种学习”，这是一种受异种移植启发的跨物种知识转移概念。在这里，我们使用来自人类以及猪和大鼠模型的总共 14,013 张高光谱图像表明，尽管不同物种的器官的光谱特征存在很大差异，但病理或手术操作（例如灌注不良或注射造影剂）引起的相对变化是可比的。在一个物种中学到的这种变化可以通过“基于生理学的数据增强”方法转移到新物种，从而实现临床前动物数据的大规模二次利用以供人类应用。由此产生的好处有望使所提出的知识转移概念对该领域的未来发展产生重大影响。</w:t>
      </w:r>
    </w:p>
    <w:p>
      <w:pPr>
        <w:spacing w:before="120"/>
      </w:pPr>
      <w:r>
        <w:rPr>
          <w:rFonts w:ascii="Times New Roman" w:hAnsi="Times New Roman" w:eastAsia="宋体"/>
          <w:b/>
          <w:sz w:val="21"/>
        </w:rPr>
        <w:t>English Abstract:</w:t>
      </w:r>
    </w:p>
    <w:p>
      <w:r>
        <w:rPr>
          <w:rFonts w:ascii="Times New Roman" w:hAnsi="Times New Roman" w:eastAsia="宋体"/>
          <w:sz w:val="21"/>
        </w:rPr>
        <w:t>Abstract Optical imaging techniques, such as hyperspectral imaging combined with machine learning-based analysis, have the potential to revolutionize clinical surgical imaging. However, these modalities face a shortage of large-scale, representative clinical data for training machine learning-based algorithms. While preclinical animal data are abundantly available through standardized experiments and allow for controlled induction of pathological tissue states, it is not ethically possible to obtain similar data from patients. To leverage this situation, we propose ‘xeno-learning’, a cross-species knowledge-transfer concept inspired by xeno-transplantation. Here, using a total of 14,013 hyperspectral images from humans as well as porcine and rat models, we show that, although spectral signatures of organs differ substantially across species, relative changes resulting from pathologies or surgical manipulation such as malperfusion or injection of contrast agent are comparable. Such changes learnt in one species can be transferred to a new species through a ‘physiology-based data augmentation’ method, enabling the large-scale secondary use of preclinical animal data for human application. The resulting benefits promise a high impact of the proposed knowledge-transfer concept on future developments in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人工智能跨物种学习以解决人类临床成像数据稀疏问题</w:t>
      </w:r>
    </w:p>
    <w:p>
      <w:r>
        <w:rPr>
          <w:rFonts w:ascii="Times New Roman" w:hAnsi="Times New Roman" w:eastAsia="宋体"/>
          <w:b/>
          <w:color w:val="003264"/>
          <w:sz w:val="24"/>
        </w:rPr>
        <w:t>AI learns across species to address human clinical imaging data sparsity</w:t>
      </w:r>
    </w:p>
    <w:p>
      <w:r>
        <w:rPr>
          <w:rFonts w:ascii="Times New Roman" w:hAnsi="Times New Roman" w:eastAsia="宋体"/>
          <w:sz w:val="21"/>
        </w:rPr>
        <w:t>作者: Unknown</w:t>
        <w:br/>
      </w:r>
      <w:r>
        <w:rPr>
          <w:rFonts w:ascii="Times New Roman" w:hAnsi="Times New Roman" w:eastAsia="宋体"/>
          <w:sz w:val="21"/>
        </w:rPr>
        <w:t xml:space="preserve">时间: 2026-01-26 | </w:t>
      </w:r>
      <w:r>
        <w:t xml:space="preserve">链接: </w:t>
      </w:r>
      <w:hyperlink r:id="rId280">
        <w:r>
          <w:rPr>
            <w:rFonts w:ascii="Times New Roman" w:hAnsi="Times New Roman" w:eastAsia="宋体"/>
            <w:color w:val="0000FF"/>
            <w:sz w:val="21"/>
            <w:u w:val="single"/>
          </w:rPr>
          <w:t>https://doi.org/10.1038/s41551-025-01586-3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训练人工智能 (AI) 模型所需的人类数据有限，限制了外科应用高光谱成像 (HSI) 的发展。我们开发了异种学习，这是一种人工智能方法，利用跨物种发现的共享生物反应，允许使用动物的实验数据来训练人工智能模型，以应用于人类的 HSI。</w:t>
      </w:r>
    </w:p>
    <w:p>
      <w:pPr>
        <w:spacing w:before="120"/>
      </w:pPr>
      <w:r>
        <w:rPr>
          <w:rFonts w:ascii="Times New Roman" w:hAnsi="Times New Roman" w:eastAsia="宋体"/>
          <w:b/>
          <w:sz w:val="21"/>
        </w:rPr>
        <w:t>English Abstract:</w:t>
      </w:r>
    </w:p>
    <w:p>
      <w:r>
        <w:rPr>
          <w:rFonts w:ascii="Times New Roman" w:hAnsi="Times New Roman" w:eastAsia="宋体"/>
          <w:sz w:val="21"/>
        </w:rPr>
        <w:t>Limited human data, needed to train artificial intelligence (AI) models, has constrained the development of hyperspectral imaging (HSI) for surgical applications. We developed xeno-learning, an AI method that harnesses shared biological responses found across species, allowing experimental data from animals to be used in training AI models for HSI applications in humans.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12:54 ---</w:t>
      </w:r>
    </w:p>
    <w:p>
      <w:pPr>
        <w:pStyle w:val="Heading2"/>
      </w:pPr>
      <w:r/>
      <w:r>
        <w:rPr>
          <w:rFonts w:ascii="Times New Roman" w:hAnsi="Times New Roman" w:eastAsia="宋体"/>
          <w:b/>
          <w:color w:val="000000"/>
          <w:sz w:val="24"/>
        </w:rPr>
        <w:t>对称星暴的正向和逆向问题</w:t>
      </w:r>
    </w:p>
    <w:p>
      <w:r>
        <w:rPr>
          <w:rFonts w:ascii="Times New Roman" w:hAnsi="Times New Roman" w:eastAsia="宋体"/>
          <w:b/>
          <w:color w:val="003264"/>
          <w:sz w:val="24"/>
        </w:rPr>
        <w:t>Forward and inverse problems for symmetric starbursts</w:t>
      </w:r>
    </w:p>
    <w:p>
      <w:r>
        <w:rPr>
          <w:rFonts w:ascii="Times New Roman" w:hAnsi="Times New Roman" w:eastAsia="宋体"/>
          <w:sz w:val="21"/>
        </w:rPr>
        <w:t>作者: Jacob Rubinstein</w:t>
        <w:br/>
      </w:r>
      <w:r>
        <w:rPr>
          <w:rFonts w:ascii="Times New Roman" w:hAnsi="Times New Roman" w:eastAsia="宋体"/>
          <w:sz w:val="21"/>
        </w:rPr>
        <w:t xml:space="preserve">时间: 2026-02-02 | </w:t>
      </w:r>
      <w:r>
        <w:t xml:space="preserve">链接: </w:t>
      </w:r>
      <w:hyperlink r:id="rId281">
        <w:r>
          <w:rPr>
            <w:rFonts w:ascii="Times New Roman" w:hAnsi="Times New Roman" w:eastAsia="宋体"/>
            <w:color w:val="0000FF"/>
            <w:sz w:val="21"/>
            <w:u w:val="single"/>
          </w:rPr>
          <w:t>https://doi.org/10.1364/josaa.582961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视觉星爆是人们在瞳孔放大的情况下观看明亮光源时感知到的图像。它们是由人眼的光学像差产生的。针对两个对称像差函数族考虑星暴问题。第一个是齐次多项式，第二个是像差函数，对于任何整数 q 旋转 2 π / q 时都保持不变。在这两种情况下都给出了星暴的完整几何特征。该理论用于解决根据观测到的星暴估计高阶像差的反演问题。</w:t>
      </w:r>
    </w:p>
    <w:p>
      <w:pPr>
        <w:spacing w:before="120"/>
      </w:pPr>
      <w:r>
        <w:rPr>
          <w:rFonts w:ascii="Times New Roman" w:hAnsi="Times New Roman" w:eastAsia="宋体"/>
          <w:b/>
          <w:sz w:val="21"/>
        </w:rPr>
        <w:t>English Abstract:</w:t>
      </w:r>
    </w:p>
    <w:p>
      <w:r>
        <w:rPr>
          <w:rFonts w:ascii="Times New Roman" w:hAnsi="Times New Roman" w:eastAsia="宋体"/>
          <w:sz w:val="21"/>
        </w:rPr>
        <w:t>Visual starbursts are images perceived by people watching a bright light source with a dilated pupil. They are generated by the optical aberrations of a person’s eye. The problem of starbursts is considered for two families of symmetric aberration functions. The first is homogeneous polynomials, and the second is aberration functions that are invariants under rotation by 2 π / q for any integer q . A complete geometrical characterization of the starbursts is given in both cases. The theory is used to solve the inverse problem of estimating the high-order aberrations from the observed starbursts.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螺旋圆锥相位调制下方位偏振洛伦兹-高斯光束焦点场中能量流的演化</w:t>
      </w:r>
    </w:p>
    <w:p>
      <w:r>
        <w:rPr>
          <w:rFonts w:ascii="Times New Roman" w:hAnsi="Times New Roman" w:eastAsia="宋体"/>
          <w:b/>
          <w:color w:val="003264"/>
          <w:sz w:val="24"/>
        </w:rPr>
        <w:t>Evolution of energy flow in the focal field of azimuthally polarized Lorentz–Gauss beams under helico-conical phase modulation</w:t>
      </w:r>
    </w:p>
    <w:p>
      <w:r>
        <w:rPr>
          <w:rFonts w:ascii="Times New Roman" w:hAnsi="Times New Roman" w:eastAsia="宋体"/>
          <w:sz w:val="21"/>
        </w:rPr>
        <w:t>作者: Shuo Yu, Jinsong Li, Chundi Zheng, Shuo Jia, Hao Wang</w:t>
        <w:br/>
      </w:r>
      <w:r>
        <w:rPr>
          <w:rFonts w:ascii="Times New Roman" w:hAnsi="Times New Roman" w:eastAsia="宋体"/>
          <w:sz w:val="21"/>
        </w:rPr>
        <w:t xml:space="preserve">时间: 2026-02-02 | </w:t>
      </w:r>
      <w:r>
        <w:t xml:space="preserve">链接: </w:t>
      </w:r>
      <w:hyperlink r:id="rId334">
        <w:r>
          <w:rPr>
            <w:rFonts w:ascii="Times New Roman" w:hAnsi="Times New Roman" w:eastAsia="宋体"/>
            <w:color w:val="0000FF"/>
            <w:sz w:val="21"/>
            <w:u w:val="single"/>
          </w:rPr>
          <w:t>https://doi.org/10.1364/josaa.585628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螺旋圆锥调制下洛伦兹-高斯光束中能量流分布的演变。基于Richards-Wolf矢量衍射理论，我们推导了方位偏振洛伦兹-高斯光束的电磁场表达式。通过坡印廷矢量获得纵向和横向能量流分布。随后，应用螺旋锥形调制来系统地研究各种参数对能量流分布的影响。通过多个参数的协调调制，实现了纵向和横向能量流分量的多向扩散。这种能量流分布可以在多向光信息传输和相关领域提供潜在的应用。</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the evolution of energy flow distribution in Lorentz–Gauss beams under helico-conical modulation. Based on the Richards–Wolf vector diffraction theory, we derived the electromagnetic field expressions for azimuthally polarized Lorentz–Gauss beams. The longitudinal and transverse energy flow distributions were obtained via the Poynting vector. Subsequently, helico-conical modulation was applied to systematically examine the influence of various parameters on the energy flow distribution. Through coordinated modulation of multiple parameters, we achieved multi-directional spreading of both longitudinal and transverse energy flow components. Such energy flow distributions may offer potential applications in multi-directional optical information transfer and related fields.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12:56 ---</w:t>
      </w:r>
    </w:p>
    <w:p>
      <w:pPr>
        <w:pStyle w:val="Heading2"/>
      </w:pPr>
      <w:r/>
      <w:r>
        <w:rPr>
          <w:rFonts w:ascii="Times New Roman" w:hAnsi="Times New Roman" w:eastAsia="宋体"/>
          <w:b/>
          <w:color w:val="000000"/>
          <w:sz w:val="24"/>
        </w:rPr>
        <w:t>束缚于单个外尔点的光子循环轨道</w:t>
      </w:r>
    </w:p>
    <w:p>
      <w:r>
        <w:rPr>
          <w:rFonts w:ascii="Times New Roman" w:hAnsi="Times New Roman" w:eastAsia="宋体"/>
          <w:b/>
          <w:color w:val="003264"/>
          <w:sz w:val="24"/>
        </w:rPr>
        <w:t>Photonic cyclic orbit bound to a single Weyl point</w:t>
      </w:r>
    </w:p>
    <w:p>
      <w:r>
        <w:rPr>
          <w:rFonts w:ascii="Times New Roman" w:hAnsi="Times New Roman" w:eastAsia="宋体"/>
          <w:sz w:val="21"/>
        </w:rPr>
        <w:t>作者: Anonymous</w:t>
        <w:br/>
      </w:r>
      <w:r>
        <w:rPr>
          <w:rFonts w:ascii="Times New Roman" w:hAnsi="Times New Roman" w:eastAsia="宋体"/>
          <w:sz w:val="21"/>
        </w:rPr>
        <w:t xml:space="preserve">时间: 2026-01-27 | </w:t>
      </w:r>
      <w:r>
        <w:t xml:space="preserve">链接: </w:t>
      </w:r>
      <w:hyperlink r:id="rId282">
        <w:r>
          <w:rPr>
            <w:rFonts w:ascii="Times New Roman" w:hAnsi="Times New Roman" w:eastAsia="宋体"/>
            <w:color w:val="0000FF"/>
            <w:sz w:val="21"/>
            <w:u w:val="single"/>
          </w:rPr>
          <w:t>https://doi.org/10.1103/bpjc-8kz7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二聚体投影接触和单一费米气体的时钟偏移</w:t>
      </w:r>
    </w:p>
    <w:p>
      <w:r>
        <w:rPr>
          <w:rFonts w:ascii="Times New Roman" w:hAnsi="Times New Roman" w:eastAsia="宋体"/>
          <w:b/>
          <w:color w:val="003264"/>
          <w:sz w:val="24"/>
        </w:rPr>
        <w:t>Dimer-projection contact and the clock shift of a unitary Fermi gas</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3">
        <w:r>
          <w:rPr>
            <w:rFonts w:ascii="Times New Roman" w:hAnsi="Times New Roman" w:eastAsia="宋体"/>
            <w:color w:val="0000FF"/>
            <w:sz w:val="21"/>
            <w:u w:val="single"/>
          </w:rPr>
          <w:t>https://doi.org/10.1103/44rc-34n1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短程关联的动态是强相互作用费米气体的一个核心挑战。在超冷气体中，这些相关性通过接触参数进行量化，但迄今为止的测量仅限于平衡系统或相对缓慢的全局动态。在这里，我们介绍了一种快速光谱技术，该技术基于将相互作用态投影到具有低位二聚体态的替代散射通道上。我们演示了微秒时间尺度上的接触测量——比逆费米能量更快。使用宽$s$波Feshbach共振附近的$^{40}$K，我们表明二聚体投影特征的强度与从射频光谱高频尾部提取的接触参数成比例，这与耦合通道计算一致。对光谱的分析进一步表明，二聚体特征对酉费米气体的时钟移位做出了主要贡献，从而实现了对该数量的第一个实验限制。观察到的与普遍预测的偏差凸显了多渠道效应的重要性。我们的结果为研究接触相关器、流体动力吸引子和量子临界行为开辟了新途径。</w:t>
      </w:r>
    </w:p>
    <w:p>
      <w:pPr>
        <w:spacing w:before="120"/>
      </w:pPr>
      <w:r>
        <w:rPr>
          <w:rFonts w:ascii="Times New Roman" w:hAnsi="Times New Roman" w:eastAsia="宋体"/>
          <w:b/>
          <w:sz w:val="21"/>
        </w:rPr>
        <w:t>English Abstract:</w:t>
      </w:r>
    </w:p>
    <w:p>
      <w:r>
        <w:rPr>
          <w:rFonts w:ascii="Times New Roman" w:hAnsi="Times New Roman" w:eastAsia="宋体"/>
          <w:sz w:val="21"/>
        </w:rPr>
        <w:t>Understanding the dynamics of short-range correlations is a central challenge in strongly interacting Fermi gases. In ultracold gases, these correlations are quantified by the contact parameter, yet measurements to date have been limited to equilibrium systems or relatively slow, global dynamics. Here, we introduce a rapid spectroscopic technique based on projection of the interacting state onto an alternate scattering channel with a low-lying dimer state. We demonstrate contact measurements on the microsecond timescale -- faster than the inverse Fermi energy. Using $^{40}$K near a broad $s$-wave Feshbach resonance, we show that the strength of the dimer-projection feature scales proportionally with the contact parameter extracted from the high-frequency tail of radio-frequency spectroscopy, in agreement with coupled-channels calculations. Analysis of the spectra further reveals that the dimer feature provides the dominant contribution to the clock shift of the unitary Fermi gas, allowing the first experimental bound on this quantity. The observed deviations from universal predictions highlight the importance of multichannel effects. Our results open new avenues for studying contact correlators, hydrodynamic attractors, and quantum critical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采用厘米级扭摆的全光学阿托牛顿力传感</w:t>
      </w:r>
    </w:p>
    <w:p>
      <w:r>
        <w:rPr>
          <w:rFonts w:ascii="Times New Roman" w:hAnsi="Times New Roman" w:eastAsia="宋体"/>
          <w:b/>
          <w:color w:val="003264"/>
          <w:sz w:val="24"/>
        </w:rPr>
        <w:t>All-optically operated atto-Newton force sensing with a centimeter-milligram-scale torsion pendulum</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4">
        <w:r>
          <w:rPr>
            <w:rFonts w:ascii="Times New Roman" w:hAnsi="Times New Roman" w:eastAsia="宋体"/>
            <w:color w:val="0000FF"/>
            <w:sz w:val="21"/>
            <w:u w:val="single"/>
          </w:rPr>
          <w:t>https://doi.org/10.1103/2qrz-5b94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毫米波介电光晕镜对暗光子暗物质的新限制</w:t>
      </w:r>
    </w:p>
    <w:p>
      <w:r>
        <w:rPr>
          <w:rFonts w:ascii="Times New Roman" w:hAnsi="Times New Roman" w:eastAsia="宋体"/>
          <w:b/>
          <w:color w:val="003264"/>
          <w:sz w:val="24"/>
        </w:rPr>
        <w:t>New constraints on dark photon dark matter with a millimeter-wave dielectric haloscope</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5">
        <w:r>
          <w:rPr>
            <w:rFonts w:ascii="Times New Roman" w:hAnsi="Times New Roman" w:eastAsia="宋体"/>
            <w:color w:val="0000FF"/>
            <w:sz w:val="21"/>
            <w:u w:val="single"/>
          </w:rPr>
          <w:t>https://doi.org/10.1103/yk7n-lrpj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具有铁磁势垒的自旋轨道耦合混合纳米线中的自旋分裂超导</w:t>
      </w:r>
    </w:p>
    <w:p>
      <w:r>
        <w:rPr>
          <w:rFonts w:ascii="Times New Roman" w:hAnsi="Times New Roman" w:eastAsia="宋体"/>
          <w:b/>
          <w:color w:val="003264"/>
          <w:sz w:val="24"/>
        </w:rPr>
        <w:t>Spin-split superconductivity in spin-orbit coupled hybrid nanowires with ferromagnetic barriers</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6">
        <w:r>
          <w:rPr>
            <w:rFonts w:ascii="Times New Roman" w:hAnsi="Times New Roman" w:eastAsia="宋体"/>
            <w:color w:val="0000FF"/>
            <w:sz w:val="21"/>
            <w:u w:val="single"/>
          </w:rPr>
          <w:t>https://doi.org/10.1103/k8sv-lp1j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我们报告了基于半导体 InAs 纳米线的混合约瑟夫森结的输运研究，该纳米线具有完全重叠的外延铁磁绝缘体 EuS 和超导 Al 部分壳。电流偏置测量揭示了一个磁滞超导窗口，在铁磁绝缘体的矫顽场附近有相当大的超电流，并伴有多次安德烈夫反射。隧道光谱显示了一个以三个峰为特征的超导间隙，我们将其归因于交换分裂超导体之间的隧道效应。理论模型再现了观察到的特征，并表明由相当大的自旋轨道耦合驱动的自旋混合对于它们的形成至关重要。我们的结果证明了通过铁磁绝缘体的邻近感应超导性，并为探索自旋三重态配对建立了一个新平台。</w:t>
      </w:r>
    </w:p>
    <w:p>
      <w:pPr>
        <w:spacing w:before="120"/>
      </w:pPr>
      <w:r>
        <w:rPr>
          <w:rFonts w:ascii="Times New Roman" w:hAnsi="Times New Roman" w:eastAsia="宋体"/>
          <w:b/>
          <w:sz w:val="21"/>
        </w:rPr>
        <w:t>English Abstract:</w:t>
      </w:r>
    </w:p>
    <w:p>
      <w:r>
        <w:rPr>
          <w:rFonts w:ascii="Times New Roman" w:hAnsi="Times New Roman" w:eastAsia="宋体"/>
          <w:sz w:val="21"/>
        </w:rPr>
        <w:t>We report transport studies of hybrid Josephson junctions based on semiconducting InAs nanowires with fully overlapping epitaxial ferromagnetic insulator EuS and superconducting Al partial shells. Current-biased measurements reveal a hysteretic superconducting window with a sizable supercurrent near the coercive field of the ferromagnetic insulator, accompanied by multiple Andreev reflections. Tunneling spectroscopy shows a superconducting gap characterized by three peaks, which we attribute to tunneling between exchange-split superconductors. A theoretical model reproduces the observed features and indicates that spin mixing, driven by sizable spin-orbit coupling, is essential to their formation. Our results demonstrate proximity-induced superconductivity through a ferromagnetic insulator and establish a new platform for exploring spin-triplet pairing.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石墨烯中圆形 p-n 结周围磁传输的纳米级成像</w:t>
      </w:r>
    </w:p>
    <w:p>
      <w:r>
        <w:rPr>
          <w:rFonts w:ascii="Times New Roman" w:hAnsi="Times New Roman" w:eastAsia="宋体"/>
          <w:b/>
          <w:color w:val="003264"/>
          <w:sz w:val="24"/>
        </w:rPr>
        <w:t>Nanoscale imaging of magnetotransport around a circular p-n junction in graphene</w:t>
      </w:r>
    </w:p>
    <w:p>
      <w:r>
        <w:rPr>
          <w:rFonts w:ascii="Times New Roman" w:hAnsi="Times New Roman" w:eastAsia="宋体"/>
          <w:sz w:val="21"/>
        </w:rPr>
        <w:t>作者: Anonymous</w:t>
        <w:br/>
      </w:r>
      <w:r>
        <w:rPr>
          <w:rFonts w:ascii="Times New Roman" w:hAnsi="Times New Roman" w:eastAsia="宋体"/>
          <w:sz w:val="21"/>
        </w:rPr>
        <w:t xml:space="preserve">时间: 2026-01-29 | </w:t>
      </w:r>
      <w:r>
        <w:t xml:space="preserve">链接: </w:t>
      </w:r>
      <w:hyperlink r:id="rId287">
        <w:r>
          <w:rPr>
            <w:rFonts w:ascii="Times New Roman" w:hAnsi="Times New Roman" w:eastAsia="宋体"/>
            <w:color w:val="0000FF"/>
            <w:sz w:val="21"/>
            <w:u w:val="single"/>
          </w:rPr>
          <w:t>https://doi.org/10.1103/3ml4-gr6h</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在薄膜铌酸锂中实现的片上电光可调窄线宽布里渊微型激光器</w:t>
      </w:r>
    </w:p>
    <w:p>
      <w:r>
        <w:rPr>
          <w:rFonts w:ascii="Times New Roman" w:hAnsi="Times New Roman" w:eastAsia="宋体"/>
          <w:b/>
          <w:color w:val="003264"/>
          <w:sz w:val="24"/>
        </w:rPr>
        <w:t>On-chip electro-optically tunable narrow linewidth Brillouin microlasers implemented in thin film lithium niobate</w:t>
      </w:r>
    </w:p>
    <w:p>
      <w:r>
        <w:rPr>
          <w:rFonts w:ascii="Times New Roman" w:hAnsi="Times New Roman" w:eastAsia="宋体"/>
          <w:sz w:val="21"/>
        </w:rPr>
        <w:t>作者: Anonymous</w:t>
        <w:br/>
      </w:r>
      <w:r>
        <w:rPr>
          <w:rFonts w:ascii="Times New Roman" w:hAnsi="Times New Roman" w:eastAsia="宋体"/>
          <w:sz w:val="21"/>
        </w:rPr>
        <w:t xml:space="preserve">时间: 2026-01-29 | </w:t>
      </w:r>
      <w:r>
        <w:t xml:space="preserve">链接: </w:t>
      </w:r>
      <w:hyperlink r:id="rId288">
        <w:r>
          <w:rPr>
            <w:rFonts w:ascii="Times New Roman" w:hAnsi="Times New Roman" w:eastAsia="宋体"/>
            <w:color w:val="0000FF"/>
            <w:sz w:val="21"/>
            <w:u w:val="single"/>
          </w:rPr>
          <w:t>https://doi.org/10.1103/nw4m-s6xy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圆偏振激光场中 Xe 原子电子关联动力学的非偶极效应</w:t>
      </w:r>
    </w:p>
    <w:p>
      <w:r>
        <w:rPr>
          <w:rFonts w:ascii="Times New Roman" w:hAnsi="Times New Roman" w:eastAsia="宋体"/>
          <w:b/>
          <w:color w:val="003264"/>
          <w:sz w:val="24"/>
        </w:rPr>
        <w:t>Nondipole effects on electron correlation dynamics of Xe atoms in circularly polarized laser fields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289">
        <w:r>
          <w:rPr>
            <w:rFonts w:ascii="Times New Roman" w:hAnsi="Times New Roman" w:eastAsia="宋体"/>
            <w:color w:val="0000FF"/>
            <w:sz w:val="21"/>
            <w:u w:val="single"/>
          </w:rPr>
          <w:t>https://doi.org/10.1103/55pk-rxzg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交织受挫向下转换过程的无可争议的贝尔定理</w:t>
      </w:r>
    </w:p>
    <w:p>
      <w:r>
        <w:rPr>
          <w:rFonts w:ascii="Times New Roman" w:hAnsi="Times New Roman" w:eastAsia="宋体"/>
          <w:b/>
          <w:color w:val="003264"/>
          <w:sz w:val="24"/>
        </w:rPr>
        <w:t>Unquestionable Bell theorem for interwoven frustrated down conversion processes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290">
        <w:r>
          <w:rPr>
            <w:rFonts w:ascii="Times New Roman" w:hAnsi="Times New Roman" w:eastAsia="宋体"/>
            <w:color w:val="0000FF"/>
            <w:sz w:val="21"/>
            <w:u w:val="single"/>
          </w:rPr>
          <w:t>https://doi.org/10.1103/h2l1-fcz9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交织的受阻参数下变频 (PDC) 过程会产生基于路径标识的干扰效应 [Phys.莱特牧师。 118, 080401(2017)]。在这封信中，我们展示了过程的贝尔非经典性：当局部测量由最终局部 PDC 过程的开关控制时，对 Clauser-Horne 不等式的适当违反。需要这种非标准方法，因为如果仅将局部相移用于测量设置，如 Sci 中报告的实验中所做的那样。副词。 1794年（2025年）11日，存在干扰的局部现实模型，我们也在这封信中介绍了该模型。然而，所报道的相消干涉足够深，足以违反使用开关时的不等式，因此我们的结果在理论和实验上为新干涉测量的非经典性奠定了坚实的基础。基于路径同一性的干扰的贝尔分析的开关方法形成了寻找新的高度违反直觉的量子现象的新平台。</w:t>
      </w:r>
    </w:p>
    <w:p>
      <w:pPr>
        <w:spacing w:before="120"/>
      </w:pPr>
      <w:r>
        <w:rPr>
          <w:rFonts w:ascii="Times New Roman" w:hAnsi="Times New Roman" w:eastAsia="宋体"/>
          <w:b/>
          <w:sz w:val="21"/>
        </w:rPr>
        <w:t>English Abstract:</w:t>
      </w:r>
    </w:p>
    <w:p>
      <w:r>
        <w:rPr>
          <w:rFonts w:ascii="Times New Roman" w:hAnsi="Times New Roman" w:eastAsia="宋体"/>
          <w:sz w:val="21"/>
        </w:rPr>
        <w:t>Interwoven frustrated parametric down conversion (PDC) processes produce interference effects based on path identity [Phys. Rev. Lett. 118, 080401 (2017)]. In this letter we show Bell nonclassicality of the processes: a proper violation of the Clauser-Horne inequality when the local measurements are controlled by on-off switching of the final local PDC processes. Such a non-standard approach is needed because if only the local phase shifts are used for the measurement settings, as done in the experiment reported in Sci. Adv. 11, 1794 (2025), there exists a local realistic model of the interference, which we also present in this letter. Nevertheless, the reported destructive interference is deep enough to violate the inequality when using on-off switching, so our result establishes a firm footing for non-classicality of the new interferometry, in both theory and experiment. The on-off approach to Bell analysis of path-identity-based interference forms a new platform for seeking new highly counterintuitive quantum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色散光子时间晶体中的宽带偶极子吸收</w:t>
      </w:r>
    </w:p>
    <w:p>
      <w:r>
        <w:rPr>
          <w:rFonts w:ascii="Times New Roman" w:hAnsi="Times New Roman" w:eastAsia="宋体"/>
          <w:b/>
          <w:color w:val="003264"/>
          <w:sz w:val="24"/>
        </w:rPr>
        <w:t>Broadband dipole absorption in dispersive photonic time crystals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1">
        <w:r>
          <w:rPr>
            <w:rFonts w:ascii="Times New Roman" w:hAnsi="Times New Roman" w:eastAsia="宋体"/>
            <w:color w:val="0000FF"/>
            <w:sz w:val="21"/>
            <w:u w:val="single"/>
          </w:rPr>
          <w:t>https://doi.org/10.1103/gttv-6lqc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独立控制谷值电流的瞬时光学选择规则</w:t>
      </w:r>
    </w:p>
    <w:p>
      <w:r>
        <w:rPr>
          <w:rFonts w:ascii="Times New Roman" w:hAnsi="Times New Roman" w:eastAsia="宋体"/>
          <w:b/>
          <w:color w:val="003264"/>
          <w:sz w:val="24"/>
        </w:rPr>
        <w:t>Instantaneous optical selection rule for independent control of valley currents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2">
        <w:r>
          <w:rPr>
            <w:rFonts w:ascii="Times New Roman" w:hAnsi="Times New Roman" w:eastAsia="宋体"/>
            <w:color w:val="0000FF"/>
            <w:sz w:val="21"/>
            <w:u w:val="single"/>
          </w:rPr>
          <w:t>https://doi.org/10.1103/nmbq-w5dm</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超表面的声轨道角动量霍尔效应</w:t>
      </w:r>
    </w:p>
    <w:p>
      <w:r>
        <w:rPr>
          <w:rFonts w:ascii="Times New Roman" w:hAnsi="Times New Roman" w:eastAsia="宋体"/>
          <w:b/>
          <w:color w:val="003264"/>
          <w:sz w:val="24"/>
        </w:rPr>
        <w:t>Acoustic orbital angular momentum Hall effect at metasurfaces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3">
        <w:r>
          <w:rPr>
            <w:rFonts w:ascii="Times New Roman" w:hAnsi="Times New Roman" w:eastAsia="宋体"/>
            <w:color w:val="0000FF"/>
            <w:sz w:val="21"/>
            <w:u w:val="single"/>
          </w:rPr>
          <w:t>https://doi.org/10.1103/wh12-sm3t</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激光驱动从块状晶体到层状材料的结构转变</w:t>
      </w:r>
    </w:p>
    <w:p>
      <w:r>
        <w:rPr>
          <w:rFonts w:ascii="Times New Roman" w:hAnsi="Times New Roman" w:eastAsia="宋体"/>
          <w:b/>
          <w:color w:val="003264"/>
          <w:sz w:val="24"/>
        </w:rPr>
        <w:t>Laser-driven structural transformation from a bulk crystal a layered material</w:t>
      </w:r>
    </w:p>
    <w:p>
      <w:r>
        <w:rPr>
          <w:rFonts w:ascii="Times New Roman" w:hAnsi="Times New Roman" w:eastAsia="宋体"/>
          <w:sz w:val="21"/>
        </w:rPr>
        <w:t>作者: Anonymous</w:t>
        <w:br/>
      </w:r>
      <w:r>
        <w:rPr>
          <w:rFonts w:ascii="Times New Roman" w:hAnsi="Times New Roman" w:eastAsia="宋体"/>
          <w:sz w:val="21"/>
        </w:rPr>
        <w:t xml:space="preserve">时间: 2026-02-03 | </w:t>
      </w:r>
      <w:r>
        <w:t xml:space="preserve">链接: </w:t>
      </w:r>
      <w:hyperlink r:id="rId294">
        <w:r>
          <w:rPr>
            <w:rFonts w:ascii="Times New Roman" w:hAnsi="Times New Roman" w:eastAsia="宋体"/>
            <w:color w:val="0000FF"/>
            <w:sz w:val="21"/>
            <w:u w:val="single"/>
          </w:rPr>
          <w:t>https://doi.org/10.1103/fv5l-rjyv</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X</w:t>
      </w:r>
    </w:p>
    <w:p>
      <w:pPr>
        <w:jc w:val="center"/>
      </w:pPr>
      <w:r>
        <w:t>--- 更新: 12:57 ---</w:t>
      </w:r>
    </w:p>
    <w:p>
      <w:pPr>
        <w:pStyle w:val="Heading2"/>
      </w:pPr>
      <w:r/>
      <w:r>
        <w:rPr>
          <w:rFonts w:ascii="Times New Roman" w:hAnsi="Times New Roman" w:eastAsia="宋体"/>
          <w:b/>
          <w:color w:val="000000"/>
          <w:sz w:val="24"/>
        </w:rPr>
        <w:t>准二维 Ruddlesden-Popper 混合钙钛矿超晶格中的各向异性热传输</w:t>
      </w:r>
    </w:p>
    <w:p>
      <w:r>
        <w:rPr>
          <w:rFonts w:ascii="Times New Roman" w:hAnsi="Times New Roman" w:eastAsia="宋体"/>
          <w:b/>
          <w:color w:val="003264"/>
          <w:sz w:val="24"/>
        </w:rPr>
        <w:t>Anisotropic Thermal Transport in Quasi-2D Ruddlesden-Popper Hybrid Perovskite Superlattices</w:t>
      </w:r>
    </w:p>
    <w:p>
      <w:r>
        <w:rPr>
          <w:rFonts w:ascii="Times New Roman" w:hAnsi="Times New Roman" w:eastAsia="宋体"/>
          <w:sz w:val="21"/>
        </w:rPr>
        <w:t>作者: Du Chen, Thu T. M. Chu, Yanyan Li, Shunran Li, Qixuan Hu, Jee Yung Park, Tyler Wang, Luoqi Dai, Ming Lu, Mengxia Liu, Letian Dou, Xiaotong Li, Yi Xia, Peijun Guo</w:t>
        <w:br/>
      </w:r>
      <w:r>
        <w:rPr>
          <w:rFonts w:ascii="Times New Roman" w:hAnsi="Times New Roman" w:eastAsia="宋体"/>
          <w:sz w:val="21"/>
        </w:rPr>
        <w:t xml:space="preserve">时间: 2025-12-22 | </w:t>
      </w:r>
      <w:r>
        <w:t xml:space="preserve">链接: </w:t>
      </w:r>
      <w:hyperlink r:id="rId295">
        <w:r>
          <w:rPr>
            <w:rFonts w:ascii="Times New Roman" w:hAnsi="Times New Roman" w:eastAsia="宋体"/>
            <w:color w:val="0000FF"/>
            <w:sz w:val="21"/>
            <w:u w:val="single"/>
          </w:rPr>
          <w:t>https://doi.org/10.1103/kh5d-jrxw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混合金属卤化物钙钛矿（2D-MHP）已成为重要的溶液加工半导体，具有良好的光学和电子性能，可用于光伏、光电子和自旋电子学的多种应用。准二维层状结构的特点是有机和无机亚晶格之间存在较大的声阻抗失配，预计将导致沿横向和面内方向的独特且各向异性的热传输特性。在这里，我们介绍了无传感器振动泵可见光探针（VPVP）方法，该方法能够准确量化各种典型单晶 2D-MHP 中的各向异性热传输特性。具体来说，使用 VPVP 光谱和 VPVP 显微镜，我们测量了具有系统变化的 Pb-I 八面体层厚度以及有机间隔物类型和长度的 2D-MHP 的各向异性热扩散率，揭示了这些结构参数如何以不同的方式改变跨平面和面内热传输特性。虽然扩散界面散射在决定跨平面热传输中起着重要作用，但面内热传输主要由互连无机层内的声子传输决定。结合四声子散射的密度泛函理论可以进一步深入了解 2D-MHP 中的低导热率和适度的导热各向异性。我们的工作展示了一种新的全光学和非接触方法，该方法需要最少的样品制备，并允许直接可视化跨平面和面内热传输，可能与样品环境兼容。所展示的 VPVP 方法可以增进对 2D-MHP 以及 2D-MHP 之外的广泛混合和聚合物半导体中热传输的理解。</w:t>
      </w:r>
    </w:p>
    <w:p>
      <w:pPr>
        <w:spacing w:before="120"/>
      </w:pPr>
      <w:r>
        <w:rPr>
          <w:rFonts w:ascii="Times New Roman" w:hAnsi="Times New Roman" w:eastAsia="宋体"/>
          <w:b/>
          <w:sz w:val="21"/>
        </w:rPr>
        <w:t>English Abstract:</w:t>
      </w:r>
    </w:p>
    <w:p>
      <w:r>
        <w:rPr>
          <w:rFonts w:ascii="Times New Roman" w:hAnsi="Times New Roman" w:eastAsia="宋体"/>
          <w:sz w:val="21"/>
        </w:rPr>
        <w:t>Two-dimensional hybrid metal-halide perovskites (2D-MHPs) have emerged as important solution-processed semiconductors with favorable optical and electronic properties for diverse applications in photovoltaics, optoelectronics, and spintronics. The quasi-2D layered structures, featuring large acoustic impedance mismatches between the organic and inorganic sublattices, are expected to result in distinct and anisotropic thermal transport properties along the cross-plane and in-plane directions. Here, we introduce transducer-free vibrational-pump-visible-probe (VPVP) approaches that enable accurate quantification of anisotropic thermal transport properties in various archetypical single-crystalline 2D-MHPs. Specifically, using VPVP spectroscopy and VPVP microscopy, we measure the anisotropic thermal diffusivities of 2D-MHPs with systematically varied Pb-I octahedral layer thicknesses, as well as organic spacer types and lengths, revealing how these structural parameters alter the cross-plane and in-plane thermal transport properties in distinct ways. While diffuse interface scattering plays an important role in dictating cross-plane thermal transport, in-plane thermal transport is primarily determined by phonon transport within interconnected inorganic layers. Density functional theory incorporating four-phonon scatterings provides further insight into the low thermal conductivity and modest thermal conduction anisotropy in 2D-MHPs. Our work demonstrates a new all-optical and noncontact method, which requires minimal sample preparation and allows direct visualization of cross-plane and in-plane thermal transport, potentially compatible with sample environments. The demonstrated VPVP approaches can advance understanding of thermal transport in 2D-MHPs as well as wide-ranging hybrid and polymeric semiconductors beyond 2D-MHPs.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具有顶点校正的超准粒子输运：电子声子相互作用的自洽梯形式主义</w:t>
      </w:r>
    </w:p>
    <w:p>
      <w:r>
        <w:rPr>
          <w:rFonts w:ascii="Times New Roman" w:hAnsi="Times New Roman" w:eastAsia="宋体"/>
          <w:b/>
          <w:color w:val="003264"/>
          <w:sz w:val="24"/>
        </w:rPr>
        <w:t>Beyond-Quasiparticle Transport with Vertex Correction: Self-Consistent Ladder Formalism for Electron-Phonon Interactions</w:t>
      </w:r>
    </w:p>
    <w:p>
      <w:r>
        <w:rPr>
          <w:rFonts w:ascii="Times New Roman" w:hAnsi="Times New Roman" w:eastAsia="宋体"/>
          <w:sz w:val="21"/>
        </w:rPr>
        <w:t>作者: Jae-Mo Lihm, Samuel Poncé</w:t>
        <w:br/>
      </w:r>
      <w:r>
        <w:rPr>
          <w:rFonts w:ascii="Times New Roman" w:hAnsi="Times New Roman" w:eastAsia="宋体"/>
          <w:sz w:val="21"/>
        </w:rPr>
        <w:t xml:space="preserve">时间: 2026-01-13 | </w:t>
      </w:r>
      <w:r>
        <w:t xml:space="preserve">链接: </w:t>
      </w:r>
      <w:hyperlink r:id="rId296">
        <w:r>
          <w:rPr>
            <w:rFonts w:ascii="Times New Roman" w:hAnsi="Times New Roman" w:eastAsia="宋体"/>
            <w:color w:val="0000FF"/>
            <w:sz w:val="21"/>
            <w:u w:val="single"/>
          </w:rPr>
          <w:t>https://doi.org/10.1103/mtjf-ylf7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我们提出了一个自洽的多体框架，用于从第一原理计算声子限制电子传输，结合超准粒子效应和顶点校正。使用最近开发的第一原理 sc G D 0 方法，我们计算具有非微扰效应的谱函数，例如展宽、卫星和能量相关重整化。我们表明，sc G D 0 谱函数在模型哈密顿量和真实材料中优于一次性 G 0 D 0 和累积量近似，消除了非物理谱扭结并正确预测了声子发射连续谱。在此基础上，我们引入了传输的自洽梯形形式，它捕获了由于电子-声子相互作用而产生的顶点校正。这种方法统一并改进了第一原理声子限制输运的两种最先进的方法：气泡近似和玻尔兹曼输运方程。此外，作为电荷守恒近似，它可以对光导率和介电函数进行一致的计算。我们根据稀极化子极限下模型哈密顿量的数值精确结果验证了所开发的方法，并将其应用于实际材料。我们的结果显示与本征半导体Si和ZnO以及SrVO 3 金属的实验直流电导率定量一致，并且与Si和ZnO的实验太赫兹光学和介电性质非常一致。这项工作统一了研究输运的第一原理和多体方法，为将多体理论应用于具有强电子声子相互作用的材料开辟了新的方向。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self-consistent many-body framework for computing phonon-limited electronic transport from first principles, incorporating both beyond-quasiparticle effects and vertex corrections. Using the recently developed first-principles sc G D 0 method, we calculate spectral functions with nonperturbative effects such as broadening, satellites, and energy-dependent renormalization. We show that the sc G D 0 spectral functions outperform one-shot G 0 D 0 and cumulant approximations in model Hamiltonians and real materials, eliminating unphysical spectral kinks and correctly predicting the phonon emission continuum. Building on this, we introduce the self-consistent ladder formalism for transport, which captures vertex corrections due to electron-phonon interactions. This approach unifies and improves upon the two state-of-the-art approaches for first-principles phonon-limited transport: the bubble approximation and the Boltzmann transport equation. Moreover, as a charge-conserving approximation, it enables consistent calculations of the optical conductivity and dielectric function. We validate the developed method against numerically exact results for model Hamiltonians in the dilute polaronic limit and apply it to real materials. Our results show quantitative agreement with the experimental dc conductivities in intrinsic semiconductors Si and ZnO and the SrVO 3 metal, as well as excellent agreement with the experimental THz optical and dielectric properties of Si and ZnO. This work unifies first-principles and many-body approaches for studying transport, opening new directions for applying many-body theory to materials with strong electron-phonon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具有交织密度波序的三层镍酸盐中的晶格电荷耦合</w:t>
      </w:r>
    </w:p>
    <w:p>
      <w:r>
        <w:rPr>
          <w:rFonts w:ascii="Times New Roman" w:hAnsi="Times New Roman" w:eastAsia="宋体"/>
          <w:b/>
          <w:color w:val="003264"/>
          <w:sz w:val="24"/>
        </w:rPr>
        <w:t>Lattice-Charge Coupling in a Trilayer Nickelate with Intertwined Density Wave Order</w:t>
      </w:r>
    </w:p>
    <w:p>
      <w:r>
        <w:rPr>
          <w:rFonts w:ascii="Times New Roman" w:hAnsi="Times New Roman" w:eastAsia="宋体"/>
          <w:sz w:val="21"/>
        </w:rPr>
        <w:t>作者: Xun Jia, Yao Shen, Harrison LaBollita, Xinglong Chen, Junjie Zhang, Yu Li, Hengdi Zhao, Mercouri G. Kanatzidis, Matthew Krogstad, Hong Zheng, Ayman H. Said, Ahmet Alatas, Stephan Rosenkranz, Daniel Phelan, Mark P. M. Dean, M. R. Norman, J. F. Mitchell, Antia S. Botana, Yue Cao</w:t>
        <w:br/>
      </w:r>
      <w:r>
        <w:rPr>
          <w:rFonts w:ascii="Times New Roman" w:hAnsi="Times New Roman" w:eastAsia="宋体"/>
          <w:sz w:val="21"/>
        </w:rPr>
        <w:t xml:space="preserve">时间: 2026-01-23 | </w:t>
      </w:r>
      <w:r>
        <w:t xml:space="preserve">链接: </w:t>
      </w:r>
      <w:hyperlink r:id="rId297">
        <w:r>
          <w:rPr>
            <w:rFonts w:ascii="Times New Roman" w:hAnsi="Times New Roman" w:eastAsia="宋体"/>
            <w:color w:val="0000FF"/>
            <w:sz w:val="21"/>
            <w:u w:val="single"/>
          </w:rPr>
          <w:t>https://doi.org/10.1103/s5j9-cbg7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缠绕的电荷和自旋相关性在各种过渡金属氧化物中普遍存在，并且通常被认为与非常规超导性密切相关。理论上，设想由强电子相关性驱动，通常发现交织有序与晶格强烈耦合，如明显的声子软化所表明的那样。最近，在几种 Ruddlesden-Popper (RP) 镍酸盐，特别是三层镍酸盐 RE 4 Ni 3 O 10 ( RE = Pr , La) 中发现了电荷和自旋密度波（CDW 和 SDW）以及超导性。交织顺序的本质和晶格电荷耦合的作用是有关这些材料的争论的核心。使用非弹性 X 射线散射，我们绘制了 RE 4 Ni 3 O 10 中的低能声子色散，发现在很宽的温度范围内 CDW 波矢量附近没有软化的证据，这与铜酸盐超导体中经常观察到的明显异常形成鲜明对比。电子磁化率的计算揭示了观察到的 SDW 有序向量处的峰值，但 CDW 波向量处没有峰值。我们的实验和理论研究结果强调了自旋自由度的关键作用，并为理解 RP 镍酸盐超导体及其他超导体中的超导性和密度波跃迁之间的相互作用奠定了基础。</w:t>
      </w:r>
    </w:p>
    <w:p>
      <w:pPr>
        <w:spacing w:before="120"/>
      </w:pPr>
      <w:r>
        <w:rPr>
          <w:rFonts w:ascii="Times New Roman" w:hAnsi="Times New Roman" w:eastAsia="宋体"/>
          <w:b/>
          <w:sz w:val="21"/>
        </w:rPr>
        <w:t>English Abstract:</w:t>
      </w:r>
    </w:p>
    <w:p>
      <w:r>
        <w:rPr>
          <w:rFonts w:ascii="Times New Roman" w:hAnsi="Times New Roman" w:eastAsia="宋体"/>
          <w:sz w:val="21"/>
        </w:rPr>
        <w:t>Intertwined charge and spin correlations are ubiquitous in a wide range of transition metal oxides and are often perceived as intimately related to unconventional superconductivity. Theoretically envisioned as driven by strong electronic correlations, the intertwined order is usually found to be strongly coupled to the lattice as signaled by pronounced phonon softening. Recently, both charge and spin density waves (CDW and SDW) and superconductivity have been discovered in several Ruddlesden-Popper (RP) nickelates, in particular trilayer nickelates R E 4 Ni 3 O 10 ( R E = Pr , La). The nature of the intertwined order and the role of lattice-charge coupling are at the heart of the debate about these materials. Using inelastic x-ray scattering, we mapped the low-energy phonon dispersions in R E 4 Ni 3 O 10 and found no evidence of softening near the CDW wave vector over a wide temperature range, which contrasts with the pronounced anomalies frequently observed in cuprate superconductors. Calculations of the electronic susceptibility revealed a peak at the observed SDW ordering vector but not at the CDW wave vector. Our experimental and theoretical findings highlight the crucial role of the spin degree of freedom and establish a foundation for understanding the interplay between superconductivity and density-wave transitions in RP nickelate superconductors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超导电路中四组激励的耗散</w:t>
      </w:r>
    </w:p>
    <w:p>
      <w:r>
        <w:rPr>
          <w:rFonts w:ascii="Times New Roman" w:hAnsi="Times New Roman" w:eastAsia="宋体"/>
          <w:b/>
          <w:color w:val="003264"/>
          <w:sz w:val="24"/>
        </w:rPr>
        <w:t>Dissipating quartets of excitations in a superconducting circuit</w:t>
      </w:r>
    </w:p>
    <w:p>
      <w:r>
        <w:rPr>
          <w:rFonts w:ascii="Times New Roman" w:hAnsi="Times New Roman" w:eastAsia="宋体"/>
          <w:sz w:val="21"/>
        </w:rPr>
        <w:t>作者: Anonymous</w:t>
        <w:br/>
      </w:r>
      <w:r>
        <w:rPr>
          <w:rFonts w:ascii="Times New Roman" w:hAnsi="Times New Roman" w:eastAsia="宋体"/>
          <w:sz w:val="21"/>
        </w:rPr>
        <w:t xml:space="preserve">时间: 2025-12-10 | </w:t>
      </w:r>
      <w:r>
        <w:t xml:space="preserve">链接: </w:t>
      </w:r>
      <w:hyperlink r:id="rId298">
        <w:r>
          <w:rPr>
            <w:rFonts w:ascii="Times New Roman" w:hAnsi="Times New Roman" w:eastAsia="宋体"/>
            <w:color w:val="0000FF"/>
            <w:sz w:val="21"/>
            <w:u w:val="single"/>
          </w:rPr>
          <w:t>https://doi.org/10.1103/bjpc-8xcf</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十年中，玻色子量子位的自主稳定已成为一种有前途的硬件高效保护量子信息的方法。然而，将这些技术应用于比薛定格猫代码更复杂的编码需要对高阶波混合过程进行精确控制。挑战在于启用特定的多光子耗散通道，同时避免意外的非线性相互作用。在这项工作中，我们利用由近无克尔约瑟夫森元件实现的真正的六波混合过程来强制高阻抗超导谐振器中四组激励的耗散。由于杂散引起的残余非线性由于我们电路中的电感，该耗散通道仅在谐振器保持特定数量的光子时才有效，将其应用于谐振器的第四激发态，我们显示出状态衰减率的一个数量级增强，同时仅略微影响较低能态的弛豫和相干性，因为可以通过电路设计的简单修改来大大减少杂散电感，并且我们的方法可以适应激活更高阶的耗散通道，这些结果为动态稳定铺平了道路。四分量薛定格猫量子位，甚至更复杂的玻色子量子位。</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 autonomous stabilization of bosonic qubits has emerged as a promising approach for hardware-efficient protection of quantum information. However, applying these techniques to more complex encodings than the Schr\"odinger cat code requires exquisite control of high-order wave mixing processes. The challenge is to enable specific multiphotonic dissipation channels while avoiding unintended non-linear interactions. In this work, we leverage a genuine six-wave mixing process enabled by a near Kerr-free Josephson element to enforce dissipation of quartets of excitations in a high-impedance superconducting resonator. Owing to residual non-linearities stemming from stray inductances in our circuit, this dissipation channel is only effective when the resonator holds a specific number of photons. Applying it to the fourth excited state of the resonator, we show an order of magnitude enhancement of the state decay rate while only marginally impacting the relaxation and coherence of lower energy states. Given that stray inductances could be strongly reduced through simple modifications in circuit design and that our methods can be adapted to activate even higher-order dissipation channels, these results pave the way toward the dynamical stabilization of four-component Schr\"odinger cat qubits and even more complex bosonic qubits.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半填充扭曲过渡金属二硫化物中具有费米弧和费米口袋的赝能隙</w:t>
      </w:r>
    </w:p>
    <w:p>
      <w:r>
        <w:rPr>
          <w:rFonts w:ascii="Times New Roman" w:hAnsi="Times New Roman" w:eastAsia="宋体"/>
          <w:b/>
          <w:color w:val="003264"/>
          <w:sz w:val="24"/>
        </w:rPr>
        <w:t>Pseudogap with Fermi Arcs and Fermi Pockets in Half-Filled Twisted Transition Metal Dichalcogenides</w:t>
      </w:r>
    </w:p>
    <w:p>
      <w:r>
        <w:rPr>
          <w:rFonts w:ascii="Times New Roman" w:hAnsi="Times New Roman" w:eastAsia="宋体"/>
          <w:sz w:val="21"/>
        </w:rPr>
        <w:t>作者: Yong-Yue Zong, Zhao-Long Gu, Jian-Xin Li</w:t>
        <w:br/>
      </w:r>
      <w:r>
        <w:rPr>
          <w:rFonts w:ascii="Times New Roman" w:hAnsi="Times New Roman" w:eastAsia="宋体"/>
          <w:sz w:val="21"/>
        </w:rPr>
        <w:t xml:space="preserve">时间: 2026-01-06 | </w:t>
      </w:r>
      <w:r>
        <w:t xml:space="preserve">链接: </w:t>
      </w:r>
      <w:hyperlink r:id="rId299">
        <w:r>
          <w:rPr>
            <w:rFonts w:ascii="Times New Roman" w:hAnsi="Times New Roman" w:eastAsia="宋体"/>
            <w:color w:val="0000FF"/>
            <w:sz w:val="21"/>
            <w:u w:val="single"/>
          </w:rPr>
          <w:t>https://doi.org/10.1103/kmn8-y59j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扭曲过渡金属二硫属化物是实现具有高可调性的强相关物理的新平台。最近的运输实验[A. Ghiotto 报道了通过调整固定在半填充的扭曲 WS e 2 (tWS e 2 ) 中的位移场，莫特绝缘体的带宽驱动演变为奇怪的金属行为。然而，整个过程中涉及的相关态的性质和相关的莫特物理仍有待确定。在这里，我们从理论上揭示了应用于 tWS e 2 的半填充莫尔哈伯德模型的基态演化，从具有费米弧的赝能隙态过渡到 120° Néel 有序莫特绝缘体，然后过渡到另一个具有费米口袋的赝能隙态，并最终通过 Lifshitz 跃迁过渡到费米液体。赝能隙相可以通过费米表面部分上准粒子权重的消失来确定，其余部分形成不连续的费米弧或具有明确准粒子的袋。我们证明了费米弧或袋是由电子关联驱动的电子能带结构重建的结果，其标志是单粒子格林函数的极点和零点共存。通过进一步计算电阻率的温度依赖性，我们将在 tWSe 2 中实验观察到的以线性 T 电阻率为特征的奇怪金属的基态归因于第二赝能隙态。这项工作揭示了莫特内斯莫尔系统的基本方面，并将通过角分辨光电子能谱和扫描隧道显微镜刺激对传输之外的基础物理的直接探索。</w:t>
      </w:r>
    </w:p>
    <w:p>
      <w:pPr>
        <w:spacing w:before="120"/>
      </w:pPr>
      <w:r>
        <w:rPr>
          <w:rFonts w:ascii="Times New Roman" w:hAnsi="Times New Roman" w:eastAsia="宋体"/>
          <w:b/>
          <w:sz w:val="21"/>
        </w:rPr>
        <w:t>English Abstract:</w:t>
      </w:r>
    </w:p>
    <w:p>
      <w:r>
        <w:rPr>
          <w:rFonts w:ascii="Times New Roman" w:hAnsi="Times New Roman" w:eastAsia="宋体"/>
          <w:sz w:val="21"/>
        </w:rPr>
        <w:t>Twisted transition metal dichalcogenides are a new platform for realizing strongly correlated physics with high tunability. Recent transport experiments [A. Ghiotto , ] have reported the bandwidth-driven evolution of a Mott insulator to a strange metal behavior via the tuning of a displacement field in twisted WS e 2 ( tWS e 2 ) fixed at half filling. However, the nature of the correlated states and the related Mott physics involved in the whole process remain to be determined. Here, we unveil theoretically the evolution of the ground state of the half-filled moiré Hubbard model as applied to tWS e 2 , transiting from a pseudogap state with Fermi arcs to a 120° Néel ordered Mott insulator, then to another pseudogap state with Fermi pockets, and eventually to a Fermi liquid via a Lifshitz transition. The pseudogap phases are definitely identified by the vanishing of quasiparticle weights over parts of the Fermi surface, with the remaining parts forming disconnected Fermi arcs or pockets with well-defined quasiparticles. We demonstrate that the Fermi arc or pocket results from the electronic band structure reconstruction driven by electron correlations, marked by the coexistence of the poles and zeros of the single-particle Green’s function. We ascribe the ground state of the strange metal featured by the linear- T resistivity observed experimentally in tWSe 2 to the second pseudogap state by further calculating the temperature dependence of resistivity. This work reveals the fundamental aspects of the Mottness in moiré system and will stimulate the direct probes of the underlying physics beyond transports via the angle-resolved photoemission spectroscopy and scanning tunneling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揭示超快状态下的实时化学位移</w:t>
      </w:r>
    </w:p>
    <w:p>
      <w:r>
        <w:rPr>
          <w:rFonts w:ascii="Times New Roman" w:hAnsi="Times New Roman" w:eastAsia="宋体"/>
          <w:b/>
          <w:color w:val="003264"/>
          <w:sz w:val="24"/>
        </w:rPr>
        <w:t>Unraveling real-time chemical shifts in the ultrafast regime</w:t>
      </w:r>
    </w:p>
    <w:p>
      <w:r>
        <w:rPr>
          <w:rFonts w:ascii="Times New Roman" w:hAnsi="Times New Roman" w:eastAsia="宋体"/>
          <w:sz w:val="21"/>
        </w:rPr>
        <w:t>作者: Anonymous</w:t>
        <w:br/>
      </w:r>
      <w:r>
        <w:rPr>
          <w:rFonts w:ascii="Times New Roman" w:hAnsi="Times New Roman" w:eastAsia="宋体"/>
          <w:sz w:val="21"/>
        </w:rPr>
        <w:t xml:space="preserve">时间: 2025-12-11 | </w:t>
      </w:r>
      <w:r>
        <w:t xml:space="preserve">链接: </w:t>
      </w:r>
      <w:hyperlink r:id="rId300">
        <w:r>
          <w:rPr>
            <w:rFonts w:ascii="Times New Roman" w:hAnsi="Times New Roman" w:eastAsia="宋体"/>
            <w:color w:val="0000FF"/>
            <w:sz w:val="21"/>
            <w:u w:val="single"/>
          </w:rPr>
          <w:t>https://doi.org/10.1103/y6dt-1sfw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 X 射线光电子能谱 (XPS) 依赖于光电子结合能和局部化学环境之间的直接映射，平衡系统的静电部分电荷模型很好地表征了这种映射。然而，由于缺乏能够以高光谱和时间分辨率访问多个原子位点的 X 射线源，以及缺乏解释观察到的信号的简单理论程序，该技术向非平衡系统的扩展受到阻碍。在这项工作中，我们采用多位点 XPS 和窄带飞秒 X 射线探针来揭示多原子分子氟甲烷 (CH$_{3}$F) 的不同超快解离过程。我们证明 XPS 可以实时跟踪 C-F 和 C-H 键的裂解，尽管这些通道的结合能接近。此外，我们应用部分电荷模型来描述这些动态，并通过先进的从头计算和实验数据验证这种扩展。这些结果通过关联来自多个原子位点的实时信息并通过可行的理论模型解释测量结果，使该技术能够应用于更高复杂性的非平衡系统。</w:t>
      </w:r>
    </w:p>
    <w:p>
      <w:pPr>
        <w:spacing w:before="120"/>
      </w:pPr>
      <w:r>
        <w:rPr>
          <w:rFonts w:ascii="Times New Roman" w:hAnsi="Times New Roman" w:eastAsia="宋体"/>
          <w:b/>
          <w:sz w:val="21"/>
        </w:rPr>
        <w:t>English Abstract:</w:t>
      </w:r>
    </w:p>
    <w:p>
      <w:r>
        <w:rPr>
          <w:rFonts w:ascii="Times New Roman" w:hAnsi="Times New Roman" w:eastAsia="宋体"/>
          <w:sz w:val="21"/>
        </w:rPr>
        <w:t>Traditional x-ray photoelectron spectroscopy (XPS) relies upon a direct mapping between the photoelectron binding energies and the local chemical environment, which is well-characterized by an electrostatic partial charges model for systems in equilibrium. However, the extension of this technique to out-of-equilibrium systems has been hampered by the lack of x-ray sources capable of accessing multiple atomic sites with high spectral and temporal resolution, as well as the lack of simple theoretical procedures to interpret the observed signals. In this work we employ multi-site XPS with a narrowband femtosecond x-ray probe to unravel different ultrafast dissociation processes of a polyatomic molecule, fluoromethane (CH$_{3}$F). We show that XPS can follow the cleavage of both the C-F and C-H bonds in real time, despite these channels lying close in binding energy. Additionally, we apply the partial charges model to describe these dynamics, and verify this extension with both advanced ab-initio calculations and experimental data. These results enable the application of this technique to out-of-equilibrium systems of higher complexity, by correlating real-time information from multiple atomic sites and interpreting the measurements through a viable theoretical modelling.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部分填充 Kagome 平带中的向列序和轨道选择性莫特态</w:t>
      </w:r>
    </w:p>
    <w:p>
      <w:r>
        <w:rPr>
          <w:rFonts w:ascii="Times New Roman" w:hAnsi="Times New Roman" w:eastAsia="宋体"/>
          <w:b/>
          <w:color w:val="003264"/>
          <w:sz w:val="24"/>
        </w:rPr>
        <w:t>Nematic Order and Orbital Selective Mott State in a Partially Filled Kagome Flat Band</w:t>
      </w:r>
    </w:p>
    <w:p>
      <w:r>
        <w:rPr>
          <w:rFonts w:ascii="Times New Roman" w:hAnsi="Times New Roman" w:eastAsia="宋体"/>
          <w:sz w:val="21"/>
        </w:rPr>
        <w:t>作者: Caiyun Chen, Jiangchang Zheng, Yuman He, Siqi Wu, Xuzhe Ying, Soumya Sankar, Luanjing Li, Yizhou Wei, Xi Dai, Hoi Chun Po, Berthold Jäck</w:t>
        <w:br/>
      </w:r>
      <w:r>
        <w:rPr>
          <w:rFonts w:ascii="Times New Roman" w:hAnsi="Times New Roman" w:eastAsia="宋体"/>
          <w:sz w:val="21"/>
        </w:rPr>
        <w:t xml:space="preserve">时间: 2026-01-13 | </w:t>
      </w:r>
      <w:r>
        <w:t xml:space="preserve">链接: </w:t>
      </w:r>
      <w:hyperlink r:id="rId301">
        <w:r>
          <w:rPr>
            <w:rFonts w:ascii="Times New Roman" w:hAnsi="Times New Roman" w:eastAsia="宋体"/>
            <w:color w:val="0000FF"/>
            <w:sz w:val="21"/>
            <w:u w:val="single"/>
          </w:rPr>
          <w:t>https://doi.org/10.1103/c93j-k53f</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占据电子平带 (FB) 的电荷载流子之间的库仑相互作用可以产生令人着迷的现象，例如量子临界性、莫特-哈伯德态和不同 FB 填充分数下的非常规超导性。因此，寻找具有可调节载流子填充和强相互作用的新型FB材料是一个中心研究主题，以拓宽我们对强相互作用量子系统的基本理解并实现具有新颖功能的材料。在这项工作中，我们提出了从依赖于温度的扫描隧道显微镜测量中获得的实验证据，这些证据出现在Co 1 − x Fe x Sn的部分占据的kagome FB中，其填充可以通过Fe掺杂水平x来控制。在高温（T ≥ 16 K）下，我们发现旋转对称性在广泛的掺杂范围 0.05 &lt; x &lt; 0.25 上被打破的证据。与模型计算的比较表明，强库仑相互作用（U &gt; 100 meV）混合了两个 3 d 轨道衍生 FB 的状态并赋予向列序参数。引入相敏锁定测量作为不可压缩态的局部扫描隧道显微镜探针，我们还在具有理想 Fe 掺杂 ( x = 0.17 ) 的部分填充的 kagome 平坦带中找到了哈伯德带的直接证据。哈伯德模型计算的结果表明，在半填充的戈薇平带中存在轨道选择性莫特态。与掺杂相关的测量表明，轨道选择性莫特态在电子和空穴掺杂后下降到相关金属相，其特征是光谱间隙突然崩溃。我们的观察表明，kagome FBs 的电子基态敏感地取决于不同温度下的几何挫败、强库仑斥力、轨道简并性和填充分数之间的复杂相互作用。更广泛地说，我们的研究将 kagome 晶格材料建立为新颖量子态的独特平台，这些量子态由拓扑非平凡 FB 中的强电子相关性产生。</w:t>
      </w:r>
    </w:p>
    <w:p>
      <w:pPr>
        <w:spacing w:before="120"/>
      </w:pPr>
      <w:r>
        <w:rPr>
          <w:rFonts w:ascii="Times New Roman" w:hAnsi="Times New Roman" w:eastAsia="宋体"/>
          <w:b/>
          <w:sz w:val="21"/>
        </w:rPr>
        <w:t>English Abstract:</w:t>
      </w:r>
    </w:p>
    <w:p>
      <w:r>
        <w:rPr>
          <w:rFonts w:ascii="Times New Roman" w:hAnsi="Times New Roman" w:eastAsia="宋体"/>
          <w:sz w:val="21"/>
        </w:rPr>
        <w:t>Coulomb interactions among charge carriers that occupy an electronic flat band (FB) can give rise to captivating phenomena such as quantum criticality, Mott-Hubbard states, and unconventional superconductivity at different FB filling fractions. Consequently, the search for new FB materials with tunable charge carrier filling and strong interactions is a central research theme to broaden our fundamental understanding of strongly interacting quantum systems and to realize materials with novel functionalities. In this work, we present experimental evidence obtained from temperature-dependent scanning tunneling microscopy measurements for various strongly correlated states that appear in partially occupied kagome FBs of Co 1 − x Fe x Sn whose filling can be controlled by the Fe-doping level x . At elevated temperatures ( T ≥ 16 K ), we find evidence for rotation symmetry breaking across a broad doping range 0.05 &lt; x &lt; 0.25 . Comparison with model calculations reveals that strong Coulomb interactions ( U &gt; 100 meV ) blend the states of two 3 d -orbital-derived FBs and impart a nematic order parameter. Introducing phase-sensitive lock-in measurements as a local scanning tunneling microscopy probe of incompressible states, we also find direct evidence for Hubbard bands in the partially filled kagome flat bands of samples with ideal Fe doping ( x = 0.17 ). Results from Hubbard model calculations suggest the presence of an orbital-selective Mott state in a half-filled kagome flat band. Doping-dependent measurements show that the orbital-selective Mott state descends into a correlated metal phase upon electron and hole doping, marked by a sudden collapse of the spectral gap. Our observations demonstrate that the electronic ground state of the kagome FBs sensitively depends on the complex interplay between geometric frustration, strong Coulomb repulsion, orbital degeneracy, and filling fraction at different temperatures. More broadly, our research establishes kagome lattice materials as a unique platform for novel quantum states that arise from strong electronic correlations in a topologically nontrivial FB.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对玻色子热霍尔传输的外在贡献</w:t>
      </w:r>
    </w:p>
    <w:p>
      <w:r>
        <w:rPr>
          <w:rFonts w:ascii="Times New Roman" w:hAnsi="Times New Roman" w:eastAsia="宋体"/>
          <w:b/>
          <w:color w:val="003264"/>
          <w:sz w:val="24"/>
        </w:rPr>
        <w:t>Extrinsic contribution to bosonic thermal Hall transport</w:t>
      </w:r>
    </w:p>
    <w:p>
      <w:r>
        <w:rPr>
          <w:rFonts w:ascii="Times New Roman" w:hAnsi="Times New Roman" w:eastAsia="宋体"/>
          <w:sz w:val="21"/>
        </w:rPr>
        <w:t>作者: Anonymous</w:t>
        <w:br/>
      </w:r>
      <w:r>
        <w:rPr>
          <w:rFonts w:ascii="Times New Roman" w:hAnsi="Times New Roman" w:eastAsia="宋体"/>
          <w:sz w:val="21"/>
        </w:rPr>
        <w:t xml:space="preserve">时间: 2025-12-12 | </w:t>
      </w:r>
      <w:r>
        <w:t xml:space="preserve">链接: </w:t>
      </w:r>
      <w:hyperlink r:id="rId302">
        <w:r>
          <w:rPr>
            <w:rFonts w:ascii="Times New Roman" w:hAnsi="Times New Roman" w:eastAsia="宋体"/>
            <w:color w:val="0000FF"/>
            <w:sz w:val="21"/>
            <w:u w:val="single"/>
          </w:rPr>
          <w:t>https://doi.org/10.1103/grzx-v6sj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子和磁子等玻色子激发主导着磁绝缘体的低温输运。与电子霍尔响应类似，电荷中性玻色子的热霍尔效应（THE）已被提议作为探测其波函数拓扑性质的有力工具。例如，完全洁净系统的THE的内在贡献直接受贝里曲率分布的控制，并且许多关于拓扑磁子和声子绝缘体的实验都是以这种方式解释的。然而，任何材料中都不可避免地存在无序，并且人们对无序对THE的贡献仍然知之甚少。在这里，我们开发了一个关于外在侧跳对玻色子THE贡献的严格动力学理论。我们表明，外在 THE 可以与内在 THE 具有相同的数量级，但敏感地取决于局部缺陷的类型。我们研究了不同类型的杂质，并表明，THE 甚至可以作为系统中纯粹的杂质引起的效应而出现，而系统的内在贡献正在消失。作为副产品，我们还将电子 AHE 的现有结果推广到超出局部势散射标准假设的一般类型杂质。我们讨论了我们的结果对于正确解释测量结果的重要性。</w:t>
      </w:r>
    </w:p>
    <w:p>
      <w:pPr>
        <w:spacing w:before="120"/>
      </w:pPr>
      <w:r>
        <w:rPr>
          <w:rFonts w:ascii="Times New Roman" w:hAnsi="Times New Roman" w:eastAsia="宋体"/>
          <w:b/>
          <w:sz w:val="21"/>
        </w:rPr>
        <w:t>English Abstract:</w:t>
      </w:r>
    </w:p>
    <w:p>
      <w:r>
        <w:rPr>
          <w:rFonts w:ascii="Times New Roman" w:hAnsi="Times New Roman" w:eastAsia="宋体"/>
          <w:sz w:val="21"/>
        </w:rPr>
        <w:t>Bosonic excitations like phonons and magnons dominate the low-temperature transport of magnetic insulators. Similar to electronic Hall responses, the thermal Hall effect (THE) of charge neutral bosons has been proposed as a powerful tool for probing topological properties of their wavefunctions. For example, the intrinsic contribution of the THE of a perfectly clean system is directly governed by the distribution of Berry curvature, and many experiments on topological magnon and phonon insulators have been interpreted in this way. However, disorder is inevitably present in any material and its contribution to the THE has remained poorly understood. Here we develop a rigorous kinetic theory of the extrinsic side-jump contribution to the THE of bosons. We show that the extrinsic THE can be of the same order as the intrinsic one but sensitively depends on the type of local imperfection. We study different types of impurities and show that a THE can even arise as a pure impurity-induced effect in a system with a vanishing intrinsic contribution. As a side product, we also generalize existing results for the electronic AHE to general types of impurities beyond the standard assumption of local potential scattering. We discuss the importance of our results for the correct interpretation of THE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超导电路中驱动引起的不需要的状态转变的表征</w:t>
      </w:r>
    </w:p>
    <w:p>
      <w:r>
        <w:rPr>
          <w:rFonts w:ascii="Times New Roman" w:hAnsi="Times New Roman" w:eastAsia="宋体"/>
          <w:b/>
          <w:color w:val="003264"/>
          <w:sz w:val="24"/>
        </w:rPr>
        <w:t>Characterization of Drive-Induced Unwanted State Transitions in Superconducting Circuits</w:t>
      </w:r>
    </w:p>
    <w:p>
      <w:r>
        <w:rPr>
          <w:rFonts w:ascii="Times New Roman" w:hAnsi="Times New Roman" w:eastAsia="宋体"/>
          <w:sz w:val="21"/>
        </w:rPr>
        <w:t>作者: W. Dai, S. Hazra, D. K. Weiss, P. D. Kurilovich, T. Connolly, H. K. Babla, S. Singh, V. R. Joshi, A. Z. Ding, P. D. Parakh, J. Venkatraman, X. Xiao, L. Frunzio, M. H. Devoret</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https://doi.org/10.1103/zdpg-mhpc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波驱动器对于在超导量子电路中实现控制和读出操作至关重要。然而，增加驱动强度最终会导致不必要的状态转换，从而限制此类操作的速度和保真度。在这项工作中，我们系统地研究了固定频率量子位中的此类转变，该固定频率量子位受到跨越 9 GHz 频率范围的微波驱动。我们确定了这些转变的物理起源，并将它们分为三类：（1）与寄生两能级系统（TLS）的共振能量交换，由驱动引起的交流斯塔克位移激活，（2）多光子跃迁到非计算状态，这是电路哈密顿量固有的，以及（3）非弹性散射过程，其中驱动引起超导电路中的状态转变，同时将多余的能量转移到寄生电磁模式或TLS材料缺陷。我们证明，Floquet 稳态模拟辅以物理设备的电磁模拟，可以准确预测观察到的不涉及 TLS 的转变。我们的结果提供了这些转换的全面分类，并通过驱动频率的明智选择以及改进的电路设计提供缓解策略。</w:t>
      </w:r>
    </w:p>
    <w:p>
      <w:pPr>
        <w:spacing w:before="120"/>
      </w:pPr>
      <w:r>
        <w:rPr>
          <w:rFonts w:ascii="Times New Roman" w:hAnsi="Times New Roman" w:eastAsia="宋体"/>
          <w:b/>
          <w:sz w:val="21"/>
        </w:rPr>
        <w:t>English Abstract:</w:t>
      </w:r>
    </w:p>
    <w:p>
      <w:r>
        <w:rPr>
          <w:rFonts w:ascii="Times New Roman" w:hAnsi="Times New Roman" w:eastAsia="宋体"/>
          <w:sz w:val="21"/>
        </w:rPr>
        <w:t>Microwave drives are essential for implementing control and readout operations in superconducting quantum circuits. However, increasing the drive strength eventually leads to unwanted state transitions which limit the speed and fidelity of such operations. In this work, we systematically investigate such transitions in a fixed-frequency qubit subjected to microwave drives spanning a 9-GHz frequency range. We identify the physical origins of these transitions and classify them into three categories: (1) resonant energy exchange with parasitic two-level systems (TLSs), activated by drive-induced ac-Stark shifts, (2) multiphoton transitions to noncomputational states, intrinsic to the circuit Hamiltonian, and (3) inelastic scattering processes in which the drive causes a state transition in the superconducting circuit, while transferring excess energy to a spurious electromagnetic mode or TLS material defect. We show that the Floquet steady-state simulation, complemented by an electromagnetic simulation of the physical device, accurately predicts the observed transitions that do not involve TLS. Our results provide a comprehensive classification of these transitions and offer mitigation strategies through informed choices of drive frequency as well as improved circuit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自立式 GaN 微桥的深度弹性应变工程</w:t>
      </w:r>
    </w:p>
    <w:p>
      <w:r>
        <w:rPr>
          <w:rFonts w:ascii="Times New Roman" w:hAnsi="Times New Roman" w:eastAsia="宋体"/>
          <w:b/>
          <w:color w:val="003264"/>
          <w:sz w:val="24"/>
        </w:rPr>
        <w:t>Deep Elastic Strain Engineering of Free-Standing GaN Microbridge</w:t>
      </w:r>
    </w:p>
    <w:p>
      <w:r>
        <w:rPr>
          <w:rFonts w:ascii="Times New Roman" w:hAnsi="Times New Roman" w:eastAsia="宋体"/>
          <w:sz w:val="21"/>
        </w:rPr>
        <w:t>作者: Sufeng Fan, Heyi Wang, Chang-Ti Chou, Juzheng Chen, Ying Han, Jingzhuo Zhou, Xiaocui Li, Jyh-Pin Chou, Ju Li, Yang Lu</w:t>
        <w:br/>
      </w:r>
      <w:r>
        <w:rPr>
          <w:rFonts w:ascii="Times New Roman" w:hAnsi="Times New Roman" w:eastAsia="宋体"/>
          <w:sz w:val="21"/>
        </w:rPr>
        <w:t xml:space="preserve">时间: 2026-01-23 | </w:t>
      </w:r>
      <w:r>
        <w:t xml:space="preserve">链接: </w:t>
      </w:r>
      <w:hyperlink r:id="rId304">
        <w:r>
          <w:rPr>
            <w:rFonts w:ascii="Times New Roman" w:hAnsi="Times New Roman" w:eastAsia="宋体"/>
            <w:color w:val="0000FF"/>
            <w:sz w:val="21"/>
            <w:u w:val="single"/>
          </w:rPr>
          <w:t>https://doi.org/10.1103/x76f-2vj8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镓（GaN）作为直接带隙半导体在高效蓝光发光二极管和激光二极管的历史发展中发挥了核心作用，其中通过添加铟（In）来缩小其固有的宽带隙，从而通过改变化学成分来调节光的颜色。然而，这种合金化方法不允许带隙和发射颜色的动态和可逆调制。在这里，我们证明了可以在微制造的单晶GaN微桥中引入超大拉伸弹性应变，并为通过深度弹性应变工程连续调节其能带结构和光电性能提供了前所未有的机会。通过阴极发光 (CL) 以及扫描电子显微镜内的应变 GaN 器件对弹性应变引起的能带隙调制进行了表征和量化。深度应变 (&gt; 5%) GaN 微桥的 CL 发射显示带隙从 ~ 3.4 大幅降低至 2.96 eV（波长 ~ 365 至 420 nm），使其光发射从不可见或紫外光转移到蓝色可见光区域。实验结果与带隙随应变增加的变化的计算结果非常吻合。这种动态、可逆且可控的应变工程将促进电力电子和光电子领域的新型器件应用。</w:t>
      </w:r>
    </w:p>
    <w:p>
      <w:pPr>
        <w:spacing w:before="120"/>
      </w:pPr>
      <w:r>
        <w:rPr>
          <w:rFonts w:ascii="Times New Roman" w:hAnsi="Times New Roman" w:eastAsia="宋体"/>
          <w:b/>
          <w:sz w:val="21"/>
        </w:rPr>
        <w:t>English Abstract:</w:t>
      </w:r>
    </w:p>
    <w:p>
      <w:r>
        <w:rPr>
          <w:rFonts w:ascii="Times New Roman" w:hAnsi="Times New Roman" w:eastAsia="宋体"/>
          <w:sz w:val="21"/>
        </w:rPr>
        <w:t>Gallium nitride (GaN) as a direct band gap semiconductor played a central role in the historical development of efficient blue light-emitting diode and laser diode, in which its intrinsic wide band gap shrinks through the addition of indium (In), thus tuning the color of the light by changing the chemistry. This alloying approach, however, does not allow for dynamic and reversible modulation of the band gap and emission color. Here we show that ultralarge tensile elastic strain can be introduced in microfabricated single crystal GaN microbridges and offer an unprecedented opportunity to modulate its band structure and optoelectronic properties continuously through deep elastic strain engineering. The elastic strain-induced energy band gap modulation was characterized and quantified by cathodoluminescence (CL) as well as via strained GaN devices inside a scanning electron microscope. The CL emission of deeply strained ( &gt; 5 % ) GaN microbridges has shown substantial band gap reduction from ∼ 3.4 to 2.96 eV ( ∼ 365 to 420 nm in wavelength), making its optical emission shift from invisible or UV to the blue visible regime. Experimental results agree well with calculation of the change in band gap with increased strain. This dynamic, reversible, and well-controllable strain engineering would facilitate novel device applications in power electronics and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扭曲晶体平带中的可编程量子反常霍尔绝缘体</w:t>
      </w:r>
    </w:p>
    <w:p>
      <w:r>
        <w:rPr>
          <w:rFonts w:ascii="Times New Roman" w:hAnsi="Times New Roman" w:eastAsia="宋体"/>
          <w:b/>
          <w:color w:val="003264"/>
          <w:sz w:val="24"/>
        </w:rPr>
        <w:t>Programmable Quantum Anomalous Hall Insulator in Twisted Crystalline Flatbands</w:t>
      </w:r>
    </w:p>
    <w:p>
      <w:r>
        <w:rPr>
          <w:rFonts w:ascii="Times New Roman" w:hAnsi="Times New Roman" w:eastAsia="宋体"/>
          <w:sz w:val="21"/>
        </w:rPr>
        <w:t>作者: Wenxuan Wang, Yijie Wang, Zaizhe Zhang, Zihao Huo, Gengdong Zhou, Shu Zhang, Kenji Watanabe, Takashi Taniguchi, Xiaoxia Yang, Qing Dai, X. C. Xie, Kaihui Liu, Zhida Song, Xiaobo Lu</w:t>
        <w:br/>
      </w:r>
      <w:r>
        <w:rPr>
          <w:rFonts w:ascii="Times New Roman" w:hAnsi="Times New Roman" w:eastAsia="宋体"/>
          <w:sz w:val="21"/>
        </w:rPr>
        <w:t xml:space="preserve">时间: 2026-01-26 | </w:t>
      </w:r>
      <w:r>
        <w:t xml:space="preserve">链接: </w:t>
      </w:r>
      <w:hyperlink r:id="rId305">
        <w:r>
          <w:rPr>
            <w:rFonts w:ascii="Times New Roman" w:hAnsi="Times New Roman" w:eastAsia="宋体"/>
            <w:color w:val="0000FF"/>
            <w:sz w:val="21"/>
            <w:u w:val="single"/>
          </w:rPr>
          <w:t>https://doi.org/10.1103/7m1b-hxy8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凝聚态物质中的同位旋味道可以不断破缺，形成各种对称破缺的量子态。在莫尔晶体中，不同同位旋构型之间的竞争可以通过扭转角度和堆叠顺序来有效调节。在这里，我们报告扭曲双菱面体三层石墨烯作为一种新的扭曲晶体平带系统，表现出丰富的莫尔依赖拓扑现象。在具有小扭转角的器件中，已经观察到在整数莫尔填充 v = 1 时具有陈数 C = 3 的可编程陈绝缘体。我们进一步揭示了一种奇异的隐藏秩序，它可以淬灭陈绝缘体以及不同对称破缺相之间的多个一阶跃迁。有趣的是，在扭转角稍大的器件中，在分数莫尔填充（包括 v = 1 / 4 、 1 / 3 和 1 / 2 ）处观察到了多个 C = 1 的陈绝缘体，而 v = 1 处的陈绝缘体则不存在。我们的研究证明，菱面体多层石墨烯的扭曲平带可以作为研究可调谐高陈绝缘体以及用于量子存储和计算的新设备的新平台。</w:t>
      </w:r>
    </w:p>
    <w:p>
      <w:pPr>
        <w:spacing w:before="120"/>
      </w:pPr>
      <w:r>
        <w:rPr>
          <w:rFonts w:ascii="Times New Roman" w:hAnsi="Times New Roman" w:eastAsia="宋体"/>
          <w:b/>
          <w:sz w:val="21"/>
        </w:rPr>
        <w:t>English Abstract:</w:t>
      </w:r>
    </w:p>
    <w:p>
      <w:r>
        <w:rPr>
          <w:rFonts w:ascii="Times New Roman" w:hAnsi="Times New Roman" w:eastAsia="宋体"/>
          <w:sz w:val="21"/>
        </w:rPr>
        <w:t>The isospin flavors in condensed matters can be continuously broken, forming various symmetry-broken quantum states. In moiré crystals, the competition between different isospin configurations can be effectively tuned by the twist angles and stacking orders. Here we report twisted double rhombohedral-trilayer-graphene as a new twisted crystalline flatband system showing rich moiré dependent topological phenomena. In devices with small twist angles, programmable Chern insulators with Chern number C = 3 at integer moiré filling v = 1 have been observed. We have further revealed an exotic hidden order which can quench the Chern insulator as well as multiple first-order transitions between different symmetry-broken phases. Interestly, in the device with a slightly larger twist angle, multiple Chern insulators with C = 1 at fractional moiré fillings including v = 1 / 4 , 1 / 3 , and 1 / 2 have been observed, whereas the Chern insulator at v = 1 is absent. Our study demonstrated the twisted flatbands form rhombohedral-multilayer-graphene as a new platform to study tunable high Chern insulators as well as new devices for quantum storage and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频率编码光子陈绝缘体中的量化霍尔漂移</w:t>
      </w:r>
    </w:p>
    <w:p>
      <w:r>
        <w:rPr>
          <w:rFonts w:ascii="Times New Roman" w:hAnsi="Times New Roman" w:eastAsia="宋体"/>
          <w:b/>
          <w:color w:val="003264"/>
          <w:sz w:val="24"/>
        </w:rPr>
        <w:t>Quantized Hall drift in a frequency-encoded photonic Chern insulator</w:t>
      </w:r>
    </w:p>
    <w:p>
      <w:r>
        <w:rPr>
          <w:rFonts w:ascii="Times New Roman" w:hAnsi="Times New Roman" w:eastAsia="宋体"/>
          <w:sz w:val="21"/>
        </w:rPr>
        <w:t>作者: Anonymous</w:t>
        <w:br/>
      </w:r>
      <w:r>
        <w:rPr>
          <w:rFonts w:ascii="Times New Roman" w:hAnsi="Times New Roman" w:eastAsia="宋体"/>
          <w:sz w:val="21"/>
        </w:rPr>
        <w:t xml:space="preserve">时间: 2026-01-07 | </w:t>
      </w:r>
      <w:r>
        <w:t xml:space="preserve">链接: </w:t>
      </w:r>
      <w:hyperlink r:id="rId306">
        <w:r>
          <w:rPr>
            <w:rFonts w:ascii="Times New Roman" w:hAnsi="Times New Roman" w:eastAsia="宋体"/>
            <w:color w:val="0000FF"/>
            <w:sz w:val="21"/>
            <w:u w:val="single"/>
          </w:rPr>
          <w:t>https://doi.org/10.1103/2dyh-yhrb</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探索调制一维准晶中二维材料的光致相</w:t>
      </w:r>
    </w:p>
    <w:p>
      <w:r>
        <w:rPr>
          <w:rFonts w:ascii="Times New Roman" w:hAnsi="Times New Roman" w:eastAsia="宋体"/>
          <w:b/>
          <w:color w:val="003264"/>
          <w:sz w:val="24"/>
        </w:rPr>
        <w:t>Exploring light-induced phases of 2D materials in a modulated 1D quasicrystal</w:t>
      </w:r>
    </w:p>
    <w:p>
      <w:r>
        <w:rPr>
          <w:rFonts w:ascii="Times New Roman" w:hAnsi="Times New Roman" w:eastAsia="宋体"/>
          <w:sz w:val="21"/>
        </w:rPr>
        <w:t>作者: Anonymous</w:t>
        <w:br/>
      </w:r>
      <w:r>
        <w:rPr>
          <w:rFonts w:ascii="Times New Roman" w:hAnsi="Times New Roman" w:eastAsia="宋体"/>
          <w:sz w:val="21"/>
        </w:rPr>
        <w:t xml:space="preserve">时间: 2026-01-09 | </w:t>
      </w:r>
      <w:r>
        <w:t xml:space="preserve">链接: </w:t>
      </w:r>
      <w:hyperlink r:id="rId307">
        <w:r>
          <w:rPr>
            <w:rFonts w:ascii="Times New Roman" w:hAnsi="Times New Roman" w:eastAsia="宋体"/>
            <w:color w:val="0000FF"/>
            <w:sz w:val="21"/>
            <w:u w:val="single"/>
          </w:rPr>
          <w:t>https://doi.org/10.1103/37vk-qz71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诱导量子相提供了简单而强大的材料特性调整的潜力。例如，预计用偏振光简单地照射整数量子霍尔体系中的二维材料即可驱动量子相变。由于激光强度和材料纯度的技术限制，这种现象很大程度上超出了当前固态实验的前沿。然而，将二维整数量子霍尔系统与一维准晶体联系起来的哈珀-霍夫施塔特映射使得能够使用驱动准周期光学晶格中的量子气体来观察相同的偏振相关光致相变。我们报告了此类实验的结果。我们观察到局域-离域相变的交错相图作为驱动偏振和振幅的函数。椭圆偏振驱动可以稳定具有多重分形波函数的扩展临界相；我们在异常偏振相关的次扩散传输中观察到这种现象的特征。在这种情况下，增加准周期势的强度可以增强而不是抑制传输。这些实验展示了一种合成奇异多重分形态并探索不同维度的光诱导量子相的简单方法。</w:t>
      </w:r>
    </w:p>
    <w:p>
      <w:pPr>
        <w:spacing w:before="120"/>
      </w:pPr>
      <w:r>
        <w:rPr>
          <w:rFonts w:ascii="Times New Roman" w:hAnsi="Times New Roman" w:eastAsia="宋体"/>
          <w:b/>
          <w:sz w:val="21"/>
        </w:rPr>
        <w:t>English Abstract:</w:t>
      </w:r>
    </w:p>
    <w:p>
      <w:r>
        <w:rPr>
          <w:rFonts w:ascii="Times New Roman" w:hAnsi="Times New Roman" w:eastAsia="宋体"/>
          <w:sz w:val="21"/>
        </w:rPr>
        <w:t>Light-induced quantum phases offer the potential for simple and powerful tuning of material properties. For example, simply illuminating 2D materials in the integer quantum Hall regime with polarized light is predicted to drive quantum phase transitions. Such phenomena are largely beyond the current frontier of solid state experiments due to technical limitations on laser intensity and material purity. However, the Harper-Hofstadter mapping which relates a two-dimensional integer quantum Hall system to a 1D quasicrystal enables the same polarization-dependent light-induced phase transitions to be observed using a quantum gas in a driven quasiperiodic optical lattice. We report results of such an experiment. We observe an interlaced phase diagram of localization-delocalization phase transitions as a function of drive polarization and amplitude. Elliptically polarized driving can stabilize an extended critical phase featuring multifractal wavefunctions; we observe signatures of this phenomenon in anomalous polarization-dependent subdiffusive transport. In this regime, increasing the strength of the quasiperiodic potential can enhance rather than suppress transport. These experiments demonstrate a simple method for synthesizing exotic multifractal states and exploring light-induced quantum phases across different dimensionalities.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晶格孤子分数拓扑泵浦的量子理论</w:t>
      </w:r>
    </w:p>
    <w:p>
      <w:r>
        <w:rPr>
          <w:rFonts w:ascii="Times New Roman" w:hAnsi="Times New Roman" w:eastAsia="宋体"/>
          <w:b/>
          <w:color w:val="003264"/>
          <w:sz w:val="24"/>
        </w:rPr>
        <w:t>Quantum theory of fractional topological pumping of lattice solitons</w:t>
      </w:r>
    </w:p>
    <w:p>
      <w:r>
        <w:rPr>
          <w:rFonts w:ascii="Times New Roman" w:hAnsi="Times New Roman" w:eastAsia="宋体"/>
          <w:sz w:val="21"/>
        </w:rPr>
        <w:t>作者: Anonymous</w:t>
        <w:br/>
      </w:r>
      <w:r>
        <w:rPr>
          <w:rFonts w:ascii="Times New Roman" w:hAnsi="Times New Roman" w:eastAsia="宋体"/>
          <w:sz w:val="21"/>
        </w:rPr>
        <w:t xml:space="preserve">时间: 2026-01-26 | </w:t>
      </w:r>
      <w:r>
        <w:t xml:space="preserve">链接: </w:t>
      </w:r>
      <w:hyperlink r:id="rId308">
        <w:r>
          <w:rPr>
            <w:rFonts w:ascii="Times New Roman" w:hAnsi="Times New Roman" w:eastAsia="宋体"/>
            <w:color w:val="0000FF"/>
            <w:sz w:val="21"/>
            <w:u w:val="single"/>
          </w:rPr>
          <w:t>https://doi.org/10.1103/hhgy-9rd4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拓扑系统的标志之一是粒子传输的鲁棒量化。它是整数值量子霍尔电导率的起源，也是量子信息技术的潜在工具。最近使用光子波导阵列构建并由（晶格平移不变量）Aubry-Andr'e-Harper (AAH) 模型描述的拓扑泵实验已经证明了晶格孤子的整数和分数传输。在这些系统中，背景介质通过克尔非线性介导光子之间的相互作用，并导致自束缚多光子态的形成。在增加相互作用强度时，观察到从泵循环中具有整数传输的相通过分数传输的不同相到没有传输的相的一系列转变。我们在这里根据质心 (COM) 运动的有效哈密顿量提出自束缚多粒子态拓扑泵的量子描述，这允许引入有效的能带结构 $E_\mu(K)$，其中 $K$ 是 COM 动量，并根据广义对称性对拓扑相进行分类。我们提供了强相互作用极限下少数粒子的有效哈密顿量的显式解析表达式，并给出了更一般情况下的数值结果。我们确定了一个拓扑不变量，即有效的单粒子陈数，它完全控制着孤子输运。增加 AAH 模型中的相互作用强度会导致 COM 带的连续合并，这是观察到的拓扑相变序列的起源，也是某些相互作用强度的拓扑量子化的潜在崩溃。</w:t>
      </w:r>
    </w:p>
    <w:p>
      <w:pPr>
        <w:spacing w:before="120"/>
      </w:pPr>
      <w:r>
        <w:rPr>
          <w:rFonts w:ascii="Times New Roman" w:hAnsi="Times New Roman" w:eastAsia="宋体"/>
          <w:b/>
          <w:sz w:val="21"/>
        </w:rPr>
        <w:t>English Abstract:</w:t>
      </w:r>
    </w:p>
    <w:p>
      <w:r>
        <w:rPr>
          <w:rFonts w:ascii="Times New Roman" w:hAnsi="Times New Roman" w:eastAsia="宋体"/>
          <w:sz w:val="21"/>
        </w:rPr>
        <w:t>One of the hallmarks of topological systems is the robust quantization of particle transport. It is the origin of the integer-valued quantum Hall conductivity and a potential tool for quantum information technology. Recent experiments on topological pumps constructed by using arrays of photonic waveguides and described by the (lattice-translational invariant) Aubry-Andr\'e-Harper (AAH) model, have demonstrated both integer and fractional transport of lattice solitons. In these systems, a background medium mediates interactions between photons via a Kerr nonlinearity and leads to the formation of self-bound multi-photon states. Upon increasing the interaction strength a sequence of transitions was observed from a phase with integer transport in a pump cycle through different phases of fractional transport to a phase with no transport. We here present a quantum description of topological pumps of self-bound many-particle states in terms of an effective Hamiltonian of their center-of-mass (COM) motion, which allows to introduce an effective band structure $E_\mu(K)$ with $K$ being the COM momentum, and to classify topological phases in terms of generalized symmetries. We provide an explicit analytic expression of the effective Hamiltonian for few particles in the strong interaction limit and present numerical results in the more general case. We identify a topological invariant, an effective single-particle Chern number, which fully governs the soliton transport. Increasing the interaction strength in the AAH model leads to a successive merging of COM bands, which is the origin of the observed sequence of topological phase transitions and also the potential breakdown of topological quantization for some interaction strength.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使用磁振子模拟 2D 材料</w:t>
      </w:r>
    </w:p>
    <w:p>
      <w:r>
        <w:rPr>
          <w:rFonts w:ascii="Times New Roman" w:hAnsi="Times New Roman" w:eastAsia="宋体"/>
          <w:b/>
          <w:color w:val="003264"/>
          <w:sz w:val="24"/>
        </w:rPr>
        <w:t>Emulating 2D materials with magnons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309">
        <w:r>
          <w:rPr>
            <w:rFonts w:ascii="Times New Roman" w:hAnsi="Times New Roman" w:eastAsia="宋体"/>
            <w:color w:val="0000FF"/>
            <w:sz w:val="21"/>
            <w:u w:val="single"/>
          </w:rPr>
          <w:t>https://doi.org/10.1103/t7tm-nxyl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中的自旋波（磁振子）由于其独特的状态和可调谐潜力而受到越来越多的关注。然而，这些系统的许多有趣的特征，包括狄拉克点和拓扑状态，都在高频下出现，而实验探针是有限的。在这里，我们研究了通过在垂直磁化薄膜中形成六边形孔阵列图案而形成的晶体。通过模拟，我们发现波能带结构模仿了石墨烯的能带结构，但还具有一些类似 kagome 的特征，并包含一些平带。令人惊讶的是，它的性质可以使用 9 频带紧束缚哈密顿量来理解。这种与 2D 材料的清晰类比使得 2D 中的带隙工程、沿 1D 相边界的拓扑磁振子以及 0D 点缺陷处的光谱隔离模式成为可能。有趣的是，一维相边界允许通过量子谷霍尔绝缘体的波角模拟来获得谷自由度。这些方法可以扩展到其他磁波系统，但由于模型的简单性，它可​​能更通用，类似于电子、声子、光子和冷原子系统的现有结果。这一发现将二维材料中的自旋波物理学带到了更容易通过实验获得的尺度，对其进行了增强，并概述了控制波角态的一些原则。</w:t>
      </w:r>
    </w:p>
    <w:p>
      <w:pPr>
        <w:spacing w:before="120"/>
      </w:pPr>
      <w:r>
        <w:rPr>
          <w:rFonts w:ascii="Times New Roman" w:hAnsi="Times New Roman" w:eastAsia="宋体"/>
          <w:b/>
          <w:sz w:val="21"/>
        </w:rPr>
        <w:t>English Abstract:</w:t>
      </w:r>
    </w:p>
    <w:p>
      <w:r>
        <w:rPr>
          <w:rFonts w:ascii="Times New Roman" w:hAnsi="Times New Roman" w:eastAsia="宋体"/>
          <w:sz w:val="21"/>
        </w:rPr>
        <w:t>Spin waves (magnons) in 2D materials have received increasing interest due to their unique states and potential for tunability. However, many interesting features of these systems, including Dirac points and topological states, occur at high frequencies, where experimental probes are limited. Here, we study a crystal formed by patterning a hexagonal array of holes in a perpendicularly magnetized thin film. Through simulation, we find that the magnonic band structure imitates that of graphene, but additionally has some kagome-like character and includes a few flat bands. Surprisingly, its nature can be understood using a 9-band tight-binding Hamiltonian. This clear analogy to 2D materials enables band-gap engineering in 2D, topological magnons along 1D phase boundaries, and spectrally isolated modes at 0D point defects. Interestingly, the 1D phase boundaries allow access to the valley degree of freedom through a magnonic analog of the quantum valley-Hall insulator. These approaches can be extended to other magnonic systems, but are potentially more general due to the simplicity of the model, which resembles existing results from electron, phonon, photon, and cold atom systems. This finding brings the physics of spin waves in 2D materials to more experimentally accessible scales, augments it, and outlines a few principles for controlling magnonic states.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13:05 ---</w:t>
      </w:r>
    </w:p>
    <w:p>
      <w:pPr>
        <w:pStyle w:val="Heading2"/>
      </w:pPr>
      <w:r/>
      <w:r>
        <w:rPr>
          <w:rFonts w:ascii="Times New Roman" w:hAnsi="Times New Roman" w:eastAsia="宋体"/>
          <w:b/>
          <w:color w:val="000000"/>
          <w:sz w:val="24"/>
        </w:rPr>
        <w:t>Ostα/β 的结构揭示了独特的折叠和胆汁酸转运机制</w:t>
      </w:r>
    </w:p>
    <w:p>
      <w:r>
        <w:rPr>
          <w:rFonts w:ascii="Times New Roman" w:hAnsi="Times New Roman" w:eastAsia="宋体"/>
          <w:b/>
          <w:color w:val="003264"/>
          <w:sz w:val="24"/>
        </w:rPr>
        <w:t>Structures of Ostα/β reveal a unique fold and bile acid transport mechanism</w:t>
      </w:r>
    </w:p>
    <w:p>
      <w:r>
        <w:rPr>
          <w:rFonts w:ascii="Times New Roman" w:hAnsi="Times New Roman" w:eastAsia="宋体"/>
          <w:sz w:val="21"/>
        </w:rPr>
        <w:t>作者: Xuemei Yang, Nana Cui, Tianyu Li, Xinheng He, Heng Zhang, Canrong Wu, Yang Li, Xiong Ma, H. Eric Xu</w:t>
        <w:br/>
      </w:r>
      <w:r>
        <w:rPr>
          <w:rFonts w:ascii="Times New Roman" w:hAnsi="Times New Roman" w:eastAsia="宋体"/>
          <w:sz w:val="21"/>
        </w:rPr>
        <w:t xml:space="preserve">时间: 2026-01-28 | </w:t>
      </w:r>
      <w:r>
        <w:t xml:space="preserve">链接: </w:t>
      </w:r>
      <w:hyperlink r:id="rId310">
        <w:r>
          <w:rPr>
            <w:rFonts w:ascii="Times New Roman" w:hAnsi="Times New Roman" w:eastAsia="宋体"/>
            <w:color w:val="0000FF"/>
            <w:sz w:val="21"/>
            <w:u w:val="single"/>
          </w:rPr>
          <w:t>https://doi.org/10.1038/s41586-025-10029-7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 Ostα/β 的低温电子显微镜结构揭示了一种独特的转运途径，该途径具有通过两亲性螺旋门控导管连接的两个底物结合位点，电生理学研究证明了电压敏感的双向转运，显示了其在体内的流出作用。</w:t>
      </w:r>
    </w:p>
    <w:p>
      <w:pPr>
        <w:spacing w:before="120"/>
      </w:pPr>
      <w:r>
        <w:rPr>
          <w:rFonts w:ascii="Times New Roman" w:hAnsi="Times New Roman" w:eastAsia="宋体"/>
          <w:b/>
          <w:sz w:val="21"/>
        </w:rPr>
        <w:t>English Abstract:</w:t>
      </w:r>
    </w:p>
    <w:p>
      <w:r>
        <w:rPr>
          <w:rFonts w:ascii="Times New Roman" w:hAnsi="Times New Roman" w:eastAsia="宋体"/>
          <w:sz w:val="21"/>
        </w:rPr>
        <w:t>Cryogenic electron microscopy structures of human Ostα/β uncover a unique transport pathway featuring two substrate-binding sites connected by an amphipathic helix-gated conduit, and electrophysiological studies demonstrate voltage-sensitive, bidirectional transport, showing its efflux role in vivo.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 ≈ 5.7 处发射 X 射线的原星团揭示了快速的结构生长</w:t>
      </w:r>
    </w:p>
    <w:p>
      <w:r>
        <w:rPr>
          <w:rFonts w:ascii="Times New Roman" w:hAnsi="Times New Roman" w:eastAsia="宋体"/>
          <w:b/>
          <w:color w:val="003264"/>
          <w:sz w:val="24"/>
        </w:rPr>
        <w:t>An X-ray-emitting protocluster at z ≈ 5.7 reveals rapid structure growth</w:t>
      </w:r>
    </w:p>
    <w:p>
      <w:r>
        <w:rPr>
          <w:rFonts w:ascii="Times New Roman" w:hAnsi="Times New Roman" w:eastAsia="宋体"/>
          <w:sz w:val="21"/>
        </w:rPr>
        <w:t>作者: Ákos Bogdán, Gerrit Schellenberger, Qiong Li, Christopher J. Conselice</w:t>
        <w:br/>
      </w:r>
      <w:r>
        <w:rPr>
          <w:rFonts w:ascii="Times New Roman" w:hAnsi="Times New Roman" w:eastAsia="宋体"/>
          <w:sz w:val="21"/>
        </w:rPr>
        <w:t xml:space="preserve">时间: 2026-01-28 | </w:t>
      </w:r>
      <w:r>
        <w:t xml:space="preserve">链接: </w:t>
      </w:r>
      <w:hyperlink r:id="rId311">
        <w:r>
          <w:rPr>
            <w:rFonts w:ascii="Times New Roman" w:hAnsi="Times New Roman" w:eastAsia="宋体"/>
            <w:color w:val="0000FF"/>
            <w:sz w:val="21"/>
            <w:u w:val="single"/>
          </w:rPr>
          <w:t>https://doi.org/10.1038/s41586-025-09973-1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星系团是宇宙中质量最大的引力束缚结构，可作为大规模结构组装的示踪剂1。研究它们的祖先，原星团，揭示了星团形成的最早阶段。然而，检测原星系团的要求很高：它们的成员星系是松散束缚的，并且新兴的热星系团内介质（ICM）可能仅处于病毒化的初始阶段2、3-4。最近的詹姆斯·韦伯太空望远镜 (JWST) 观测通过识别 z ≳ 5 星系 5、6、7、8-9 的过密度，找到了几个候选原星系团。然而，这些候选者都没有被 X 射线观测发现，而 X 射线观测提供了揭示热 ICM 的有力方法。在这里，我们报告了钱德拉和 JWST 对原星团 JADES-ID1 的联合检测，其 z ≈ 5.68，距离大爆炸仅 10 亿年。我们测量辐射热X射线光度 Lbol=(1.5−0.6+0.5)×1044ergs−1\documentclass[12pt]{minimal} \usepackage{amsmath} \usepackage{wasysym} \usepackage{amsfonts} \usepackage{amssymb} \usepackage{amsbsy} \usepackage{mathrsfs} \usepackage{upgreek} \setlength{\oddsidemargin}{-69pt} \begin{document}$${L}_{{\rm{bol}}}=(1.{5}_{-0.6}^{+0.5})\times 1{0}^{44}\,{\rm{erg}}\,{{\rm{s}}}^{-1}$$\end{document} 并推断总引力质量为M500=(1.8−0.7+0.6)×1013M⊙\documentclass[12pt]{minimal} \usepackage{amsmath} \usepackage{wasysym} \usepackage{amsfonts} \usepackage{amssymb} \usepackage{amsbsy} \usepackage{mathrsfs} \usepackage{upgreek} \setlength{\oddsidemargin}{-69pt} \begin{document}$${M}_{500}=(1.{8}_{-0.7}^{+0.6})\times 1{0}^{13}\,{M}_{\odot }$$\end{document}，使该系统成为当今最大质量星系团的祖先。对扩展的冲击加热气体的检测表明，早在 z ≈ 5.7 时，大量的 ICM 加热就可能在大质量晕中发生。此外，鉴于调查量有限，从统计上来说，发现如此巨大的星团是不可能的10，这意味着在早期宇宙的某些区域，大规模结构的形成一定比标准宇宙学模型预测的要快。在大爆炸后仅仅十亿年，在 z = 5.68 处发现了一个原星团，这表明早期宇宙的某些区域中大规模结构的形成速度一定比之前认为的要快。</w:t>
      </w:r>
    </w:p>
    <w:p>
      <w:pPr>
        <w:spacing w:before="120"/>
      </w:pPr>
      <w:r>
        <w:rPr>
          <w:rFonts w:ascii="Times New Roman" w:hAnsi="Times New Roman" w:eastAsia="宋体"/>
          <w:b/>
          <w:sz w:val="21"/>
        </w:rPr>
        <w:t>English Abstract:</w:t>
      </w:r>
    </w:p>
    <w:p>
      <w:r>
        <w:rPr>
          <w:rFonts w:ascii="Times New Roman" w:hAnsi="Times New Roman" w:eastAsia="宋体"/>
          <w:sz w:val="21"/>
        </w:rPr>
        <w:t>Galaxy clusters are the most massive gravitationally bound structures in the universe and serve as tracers of the assembly of large-scale structure1. Studying their progenitors, protoclusters, sheds light on the earliest stages of cluster formation. However, detecting protoclusters is demanding: their member galaxies are loosely bound and the emerging hot intracluster medium (ICM) may only be in the initial stages of virialization2, 3–4. Recent James Webb Space Telescope (JWST) observations located several protocluster candidates by identifying overdensities of z ≳ 5 galaxies5, 6, 7, 8–9. However, none of these candidates was detected by X-ray observations, which offer a powerful way to unveil the hot ICM. Here we report the combined Chandra and JWST detection of a protocluster, JADES-ID1, at z ≈ 5.68, merely one billion years after the Big Bang. We measure a bolometric X-ray luminosity of Lbol=(1.5−0.6+0.5)×1044ergs−1\documentclass[12pt]{minimal} \usepackage{amsmath} \usepackage{wasysym} \usepackage{amsfonts} \usepackage{amssymb} \usepackage{amsbsy} \usepackage{mathrsfs} \usepackage{upgreek} \setlength{\oddsidemargin}{-69pt} \begin{document}$${L}_{{\rm{bol}}}=(1.{5}_{-0.6}^{+0.5})\times 1{0}^{44}\,{\rm{erg}}\,{{\rm{s}}}^{-1}$$\end{document} and infer a total gravitating mass of M500=(1.8−0.7+0.6)×1013M⊙\documentclass[12pt]{minimal} \usepackage{amsmath} \usepackage{wasysym} \usepackage{amsfonts} \usepackage{amssymb} \usepackage{amsbsy} \usepackage{mathrsfs} \usepackage{upgreek} \setlength{\oddsidemargin}{-69pt} \begin{document}$${M}_{500}=(1.{8}_{-0.7}^{+0.6})\times 1{0}^{13}\,{M}_{\odot }$$\end{document}, making this system a progenitor of today’s most massive galaxy clusters. The detection of extended, shock-heated gas indicates that substantial ICM heating can occur in massive halos as early as z ≈ 5.7. Also, given the limited survey volume, the discovery of such a massive cluster is statistically unlikely10, implying that the formation of the large-scale structure must have occurred more rapidly in some regions of the early universe than standard cosmological models predict. Discovery of a protocluster at z = 5.68, merely one billion years after the Big Bang, suggests that large-scale structure must have formed more rapidly in some regions of the early universe than previously thought.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莫尔条纹 WSe2 中的带宽调谐莫特跃迁和超导性</w:t>
      </w:r>
    </w:p>
    <w:p>
      <w:r>
        <w:rPr>
          <w:rFonts w:ascii="Times New Roman" w:hAnsi="Times New Roman" w:eastAsia="宋体"/>
          <w:b/>
          <w:color w:val="003264"/>
          <w:sz w:val="24"/>
        </w:rPr>
        <w:t>Bandwidth-tuned Mott transition and superconductivity in moiré WSe2</w:t>
      </w:r>
    </w:p>
    <w:p>
      <w:r>
        <w:rPr>
          <w:rFonts w:ascii="Times New Roman" w:hAnsi="Times New Roman" w:eastAsia="宋体"/>
          <w:sz w:val="21"/>
        </w:rPr>
        <w:t>作者: Yiyu Xia, Zhongdong Han, Jiacheng Zhu, Yichi Zhang, Patrick Knüppel, Kenji Watanabe, Takashi Taniguchi, Kin Fai Mak, Jie Shan</w:t>
        <w:br/>
      </w:r>
      <w:r>
        <w:rPr>
          <w:rFonts w:ascii="Times New Roman" w:hAnsi="Times New Roman" w:eastAsia="宋体"/>
          <w:sz w:val="21"/>
        </w:rPr>
        <w:t xml:space="preserve">时间: 2026-01-28 | </w:t>
      </w:r>
      <w:r>
        <w:t xml:space="preserve">链接: </w:t>
      </w:r>
      <w:hyperlink r:id="rId312">
        <w:r>
          <w:rPr>
            <w:rFonts w:ascii="Times New Roman" w:hAnsi="Times New Roman" w:eastAsia="宋体"/>
            <w:color w:val="0000FF"/>
            <w:sz w:val="21"/>
            <w:u w:val="single"/>
          </w:rPr>
          <w:t>https://doi.org/10.1038/s41586-025-10049-3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强相关材料中高转变温度（T c ）超导的出现仍然是物理学中未解决的主要问题。铜酸盐等高温材料通常很复杂且不易调节，这使得理论建模变得困难。尽管哈伯德模型（晶格上电子相互作用的简单理论模型）被认为捕获了高温 c 材料的基本物理特性 1-5，但获得该模型的精确解（特别是在中等相关性的相关范围内）具有挑战性 6 。最近演示了莫尔 WSe 2 中的鲁棒超导性（参考文献 7,8），其中低能电子带可以通过哈伯德模型描述并且高度可调 9-11 ，为研究高温 c 问题提供了一个新平台。在这里，我们通过扭转角将莫尔条纹 WSe 2 双层调整到中等相关状态，并通过静电门控、电传输和磁光测量来绘制每个莫尔晶胞一个孔 (ν = 1) 周围的相图。我们观察到一系列高温现象，包括 ν = 1 时的反铁磁绝缘体、电子和空穴掺杂的超导圆顶，以及不寻常的金属态，例如奇怪的金属 12-14 。扭转角度依赖性研究进一步表明，最高 T c 总是出现在莫特跃迁附近 3,15 。我们的结果表明强相关性是莫尔纹WSe 2 超导性的关键，并建立了一种以可控方式研究高温超导性的新材料系统。</w:t>
      </w:r>
    </w:p>
    <w:p>
      <w:pPr>
        <w:spacing w:before="120"/>
      </w:pPr>
      <w:r>
        <w:rPr>
          <w:rFonts w:ascii="Times New Roman" w:hAnsi="Times New Roman" w:eastAsia="宋体"/>
          <w:b/>
          <w:sz w:val="21"/>
        </w:rPr>
        <w:t>English Abstract:</w:t>
      </w:r>
    </w:p>
    <w:p>
      <w:r>
        <w:rPr>
          <w:rFonts w:ascii="Times New Roman" w:hAnsi="Times New Roman" w:eastAsia="宋体"/>
          <w:sz w:val="21"/>
        </w:rPr>
        <w:t>Abstract The emergence of high-transition-temperature ( T c ) superconductivity in strongly correlated materials remains the main unsolved problem in physics. High- T c materials, such as cuprates, are generally complex and not easily tunable, making theoretical modelling difficult. Although the Hubbard model—a simple theoretical model of interacting electrons on a lattice—is believed to capture the essential physics of high- T c materials 1–5 , obtaining accurate solutions of the model, especially in the relevant regime of moderate correlation, is challenging 6 . The recent demonstration of robust superconductivity in moiré WSe 2 (refs. 7,8 ), in which low-energy electronic bands can be described by the Hubbard model and are highly tunable 9–11 , presents a new platform for studying the high- T c problem. Here we tune moiré WSe 2 bilayers to the moderate correlation regime through the twist angle and map the phase diagram around one hole per moiré unit cell ( ν = 1) by electrostatic gating and electrical transport and magneto-optical measurements. We observe a range of high- T c phenomenology, including an antiferromagnetic insulator at ν = 1, superconducting domes on electron and hole doping, and unusual metallic states such as strange metals 12–14 . Twist-angle dependence studies further show that the highest T c always occurs adjacent to the Mott transition 3,15 . Our results indicate strong correlation as the key to superconductivity in moiré WSe 2 and establish a new material system for studying high- T c superconductivity in a controllable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光动力细菌成为活的化学工厂</w:t>
      </w:r>
    </w:p>
    <w:p>
      <w:r>
        <w:rPr>
          <w:rFonts w:ascii="Times New Roman" w:hAnsi="Times New Roman" w:eastAsia="宋体"/>
          <w:b/>
          <w:color w:val="003264"/>
          <w:sz w:val="24"/>
        </w:rPr>
        <w:t>Light-powered bacteria become living chemical factories</w:t>
      </w:r>
    </w:p>
    <w:p>
      <w:r>
        <w:rPr>
          <w:rFonts w:ascii="Times New Roman" w:hAnsi="Times New Roman" w:eastAsia="宋体"/>
          <w:sz w:val="21"/>
        </w:rPr>
        <w:t>作者: Unknown</w:t>
        <w:br/>
      </w:r>
      <w:r>
        <w:rPr>
          <w:rFonts w:ascii="Times New Roman" w:hAnsi="Times New Roman" w:eastAsia="宋体"/>
          <w:sz w:val="21"/>
        </w:rPr>
        <w:t xml:space="preserve">时间: 2026-01-30 | </w:t>
      </w:r>
      <w:r>
        <w:t xml:space="preserve">链接: </w:t>
      </w:r>
      <w:hyperlink r:id="rId313">
        <w:r>
          <w:rPr>
            <w:rFonts w:ascii="Times New Roman" w:hAnsi="Times New Roman" w:eastAsia="宋体"/>
            <w:color w:val="0000FF"/>
            <w:sz w:val="21"/>
            <w:u w:val="single"/>
          </w:rPr>
          <w:t>https://doi.org/10.1038/d41586-026-00275-8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工程大肠杆菌可以为新药和其他化学品的更可持续途径打开大门。</w:t>
      </w:r>
    </w:p>
    <w:p>
      <w:pPr>
        <w:spacing w:before="120"/>
      </w:pPr>
      <w:r>
        <w:rPr>
          <w:rFonts w:ascii="Times New Roman" w:hAnsi="Times New Roman" w:eastAsia="宋体"/>
          <w:b/>
          <w:sz w:val="21"/>
        </w:rPr>
        <w:t>English Abstract:</w:t>
      </w:r>
    </w:p>
    <w:p>
      <w:r>
        <w:rPr>
          <w:rFonts w:ascii="Times New Roman" w:hAnsi="Times New Roman" w:eastAsia="宋体"/>
          <w:sz w:val="21"/>
        </w:rPr>
        <w:t>Engineered Escherichia coli could open the door to more sustainable routes to new drugs and other chemicals.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中国正在押注“光学”计算机芯片——它们会为人工智能提供动力吗？</w:t>
      </w:r>
    </w:p>
    <w:p>
      <w:r>
        <w:rPr>
          <w:rFonts w:ascii="Times New Roman" w:hAnsi="Times New Roman" w:eastAsia="宋体"/>
          <w:b/>
          <w:color w:val="003264"/>
          <w:sz w:val="24"/>
        </w:rPr>
        <w:t>China is betting on ‘optical’ computer chips — will they power AI?</w:t>
      </w:r>
    </w:p>
    <w:p>
      <w:r>
        <w:rPr>
          <w:rFonts w:ascii="Times New Roman" w:hAnsi="Times New Roman" w:eastAsia="宋体"/>
          <w:sz w:val="21"/>
        </w:rPr>
        <w:t>作者: Mohana Basu</w:t>
        <w:br/>
      </w:r>
      <w:r>
        <w:rPr>
          <w:rFonts w:ascii="Times New Roman" w:hAnsi="Times New Roman" w:eastAsia="宋体"/>
          <w:sz w:val="21"/>
        </w:rPr>
        <w:t xml:space="preserve">时间: 2026-01-30 | </w:t>
      </w:r>
      <w:r>
        <w:t xml:space="preserve">链接: </w:t>
      </w:r>
      <w:hyperlink r:id="rId314">
        <w:r>
          <w:rPr>
            <w:rFonts w:ascii="Times New Roman" w:hAnsi="Times New Roman" w:eastAsia="宋体"/>
            <w:color w:val="0000FF"/>
            <w:sz w:val="21"/>
            <w:u w:val="single"/>
          </w:rPr>
          <w:t>https://doi.org/10.1038/d41586-026-00274-9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处理光而不是电的半导体芯片可以提高处理速度并减少能源消耗。</w:t>
      </w:r>
    </w:p>
    <w:p>
      <w:pPr>
        <w:spacing w:before="120"/>
      </w:pPr>
      <w:r>
        <w:rPr>
          <w:rFonts w:ascii="Times New Roman" w:hAnsi="Times New Roman" w:eastAsia="宋体"/>
          <w:b/>
          <w:sz w:val="21"/>
        </w:rPr>
        <w:t>English Abstract:</w:t>
      </w:r>
    </w:p>
    <w:p>
      <w:r>
        <w:rPr>
          <w:rFonts w:ascii="Times New Roman" w:hAnsi="Times New Roman" w:eastAsia="宋体"/>
          <w:sz w:val="21"/>
        </w:rPr>
        <w:t>Semiconductor chips that process light rather than electricity could boost processing speeds and reduce energy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最大的星系调查证实宇宙还不够块状</w:t>
      </w:r>
    </w:p>
    <w:p>
      <w:r>
        <w:rPr>
          <w:rFonts w:ascii="Times New Roman" w:hAnsi="Times New Roman" w:eastAsia="宋体"/>
          <w:b/>
          <w:color w:val="003264"/>
          <w:sz w:val="24"/>
        </w:rPr>
        <w:t>Largest galaxy survey yet confirms that the Universe is not clumpy enough</w:t>
      </w:r>
    </w:p>
    <w:p>
      <w:r>
        <w:rPr>
          <w:rFonts w:ascii="Times New Roman" w:hAnsi="Times New Roman" w:eastAsia="宋体"/>
          <w:sz w:val="21"/>
        </w:rPr>
        <w:t>作者: Unknown</w:t>
        <w:br/>
      </w:r>
      <w:r>
        <w:rPr>
          <w:rFonts w:ascii="Times New Roman" w:hAnsi="Times New Roman" w:eastAsia="宋体"/>
          <w:sz w:val="21"/>
        </w:rPr>
        <w:t xml:space="preserve">时间: 2026-01-30 | </w:t>
      </w:r>
      <w:r>
        <w:t xml:space="preserve">链接: </w:t>
      </w:r>
      <w:hyperlink r:id="rId315">
        <w:r>
          <w:rPr>
            <w:rFonts w:ascii="Times New Roman" w:hAnsi="Times New Roman" w:eastAsia="宋体"/>
            <w:color w:val="0000FF"/>
            <w:sz w:val="21"/>
            <w:u w:val="single"/>
          </w:rPr>
          <w:t>https://doi.org/10.1038/d41586-026-00276-7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暗能量调查的六年结果凸显了标准宇宙学理论中尚未解决的紧张局势。</w:t>
      </w:r>
    </w:p>
    <w:p>
      <w:pPr>
        <w:spacing w:before="120"/>
      </w:pPr>
      <w:r>
        <w:rPr>
          <w:rFonts w:ascii="Times New Roman" w:hAnsi="Times New Roman" w:eastAsia="宋体"/>
          <w:b/>
          <w:sz w:val="21"/>
        </w:rPr>
        <w:t>English Abstract:</w:t>
      </w:r>
    </w:p>
    <w:p>
      <w:r>
        <w:rPr>
          <w:rFonts w:ascii="Times New Roman" w:hAnsi="Times New Roman" w:eastAsia="宋体"/>
          <w:sz w:val="21"/>
        </w:rPr>
        <w:t>The six-year results from the Dark Energy Survey highlight unresolved tensions in standard cosmological theory.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观察太阳像河豚一样膨胀和收缩——一月最佳科学图片</w:t>
      </w:r>
    </w:p>
    <w:p>
      <w:r>
        <w:rPr>
          <w:rFonts w:ascii="Times New Roman" w:hAnsi="Times New Roman" w:eastAsia="宋体"/>
          <w:b/>
          <w:color w:val="003264"/>
          <w:sz w:val="24"/>
        </w:rPr>
        <w:t>See the Sun expand and contract like a pufferfish — January’s best science images</w:t>
      </w:r>
    </w:p>
    <w:p>
      <w:r>
        <w:rPr>
          <w:rFonts w:ascii="Times New Roman" w:hAnsi="Times New Roman" w:eastAsia="宋体"/>
          <w:sz w:val="21"/>
        </w:rPr>
        <w:t>作者: Fred Schwaller</w:t>
        <w:br/>
      </w:r>
      <w:r>
        <w:rPr>
          <w:rFonts w:ascii="Times New Roman" w:hAnsi="Times New Roman" w:eastAsia="宋体"/>
          <w:sz w:val="21"/>
        </w:rPr>
        <w:t xml:space="preserve">时间: 2026-02-02 | </w:t>
      </w:r>
      <w:r>
        <w:t xml:space="preserve">链接: </w:t>
      </w:r>
      <w:hyperlink r:id="rId316">
        <w:r>
          <w:rPr>
            <w:rFonts w:ascii="Times New Roman" w:hAnsi="Times New Roman" w:eastAsia="宋体"/>
            <w:color w:val="0000FF"/>
            <w:sz w:val="21"/>
            <w:u w:val="single"/>
          </w:rPr>
          <w:t>https://doi.org/10.1038/d41586-026-00307-3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用于可扩展量子中继器的长寿命远程离子纠缠</w:t>
      </w:r>
    </w:p>
    <w:p>
      <w:r>
        <w:rPr>
          <w:rFonts w:ascii="Times New Roman" w:hAnsi="Times New Roman" w:eastAsia="宋体"/>
          <w:b/>
          <w:color w:val="003264"/>
          <w:sz w:val="24"/>
        </w:rPr>
        <w:t>Long-lived remote ion-ion entanglement for scalable quantum repeaters</w:t>
      </w:r>
    </w:p>
    <w:p>
      <w:r>
        <w:rPr>
          <w:rFonts w:ascii="Times New Roman" w:hAnsi="Times New Roman" w:eastAsia="宋体"/>
          <w:sz w:val="21"/>
        </w:rPr>
        <w:t>作者: Wen-Zhao Liu, Ya-Bin Zhou, Jiu-Peng Chen, Bin Wang, Ao Teng, Xiao-Wen Han, Guang-Cheng Liu, Zhi-Jiong Zhang, Yi Yang, Feng-Guang Liu, Chao-Hui Xue, Bo-Wen Yang, Jin Yang, Chao Zeng, Du-Ruo Pan, Ming-Yang Zheng, Xingjian Zhang, Shen Cao, Yi-Zheng Zhen, You Xiao, Hao Li, Lixing You, Xiongfeng Ma, Qi Zhao, Feihu Xu, Ye Wang, Yong Wan, Qiang Zhang, Jian-Wei Pan</w:t>
        <w:br/>
      </w:r>
      <w:r>
        <w:rPr>
          <w:rFonts w:ascii="Times New Roman" w:hAnsi="Times New Roman" w:eastAsia="宋体"/>
          <w:sz w:val="21"/>
        </w:rPr>
        <w:t xml:space="preserve">时间: 2026-02-02 | </w:t>
      </w:r>
      <w:r>
        <w:t xml:space="preserve">链接: </w:t>
      </w:r>
      <w:hyperlink r:id="rId317">
        <w:r>
          <w:rPr>
            <w:rFonts w:ascii="Times New Roman" w:hAnsi="Times New Roman" w:eastAsia="宋体"/>
            <w:color w:val="0000FF"/>
            <w:sz w:val="21"/>
            <w:u w:val="single"/>
          </w:rPr>
          <w:t>https://doi.org/10.1038/s41586-026-10177-4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网络集成了量子通信、量子计量和分布式量子计算，可以提供安全高效的信息传输、高分辨率传感和信息处理的指数级加速1。长距离确定性纠缠分布是可扩展量子网络的先决条件2-5。然而，光纤中的指数光子损耗阻碍了有效且确定性的纠缠分布。量子中继器6将纠缠交换4、7、8和纠缠净化9-11与量子存储器相结合，为克服基于光纤的量子网络中的这一限制提供了最有前途的方法。尽管做出了许多开创性的努力12-25，但一个关键的瓶颈仍然存在，因为远程记忆-记忆纠缠发生退相干的速度比长距离建立和净化的速度更快。在这里，我们演示了由 10 公里缠绕光纤连接的两个节点之间的内存-内存纠缠，其存活时间超出了平均纠缠建立时间。这是通过长寿命俘获离子存储器、高效电信接口和高可见度单光子纠缠协议的开发来实现的26,27。作为一个应用，我们报告了原理验证的设备无关量子密钥分配（DI-QKD）演示，在渐近极限下进行了超过 10 公里的有限尺寸分析和超过 101 公里的正密钥率，这两个距离都超出了之前的工作两个数量级以上28-30。我们的工作为量子中继器提供了关键的构建模块，标志着迈向可扩展量子网络的重要一步。</w:t>
      </w:r>
    </w:p>
    <w:p>
      <w:pPr>
        <w:spacing w:before="120"/>
      </w:pPr>
      <w:r>
        <w:rPr>
          <w:rFonts w:ascii="Times New Roman" w:hAnsi="Times New Roman" w:eastAsia="宋体"/>
          <w:b/>
          <w:sz w:val="21"/>
        </w:rPr>
        <w:t>English Abstract:</w:t>
      </w:r>
    </w:p>
    <w:p>
      <w:r>
        <w:rPr>
          <w:rFonts w:ascii="Times New Roman" w:hAnsi="Times New Roman" w:eastAsia="宋体"/>
          <w:sz w:val="21"/>
        </w:rPr>
        <w:t>Quantum networks, integrating quantum communication, quantum metrology, and distributed quantum computing, could provide secure and efficient information transfer, high-resolution sensing, and an exponential speed-up in information processing1. Deterministic entanglement distribution over long distances is a prerequisite for scalable quantum networks2–5. However, the exponential photon loss in optical fibres prohibits efficient and deterministic entanglement distribution. Quantum repeaters6, incorporating entanglement swapping4,7,8 and entanglement purification9–11 with quantum memories, offer the most promising means to overcome this limitation in fibre-based quantum networks. Despite numerous pioneering efforts12–25, a critical bottleneck remains, as remote memory-memory entanglement suffers from decoherence more rapidly than it can be established and purified over long distances. Here, we demonstrate memory-memory entanglement between two nodes connected by 10 km of spooled fibre surviving beyond the average entanglement establishment time. This is enabled by the development of long-lived trapped-ion memories, an efficient telecom interface, and a high-visibility single-photon entanglement protocol26,27. As an application, we report a proof-of-principle device-independent quantum key distributio (DI-QKD) demonstration with finite-size analysis over 10 km and a positive key rate over 101 km in the asymptotic limit, with both distances exceeding previous work by more than two orders of magnitude28–30. Our work provides a critical building block for quantum repeaters and marks an important step toward scalable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许多人没有心理意象。他们的脑子里在想什么？</w:t>
      </w:r>
    </w:p>
    <w:p>
      <w:r>
        <w:rPr>
          <w:rFonts w:ascii="Times New Roman" w:hAnsi="Times New Roman" w:eastAsia="宋体"/>
          <w:b/>
          <w:color w:val="003264"/>
          <w:sz w:val="24"/>
        </w:rPr>
        <w:t>Many people have no mental imagery. What’s going on in their brains?</w:t>
      </w:r>
    </w:p>
    <w:p>
      <w:r>
        <w:rPr>
          <w:rFonts w:ascii="Times New Roman" w:hAnsi="Times New Roman" w:eastAsia="宋体"/>
          <w:sz w:val="21"/>
        </w:rPr>
        <w:t>作者: Elizabeth Quill</w:t>
        <w:br/>
      </w:r>
      <w:r>
        <w:rPr>
          <w:rFonts w:ascii="Times New Roman" w:hAnsi="Times New Roman" w:eastAsia="宋体"/>
          <w:sz w:val="21"/>
        </w:rPr>
        <w:t xml:space="preserve">时间: 2026-02-03 | </w:t>
      </w:r>
      <w:r>
        <w:t xml:space="preserve">链接: </w:t>
      </w:r>
      <w:hyperlink r:id="rId318">
        <w:r>
          <w:rPr>
            <w:rFonts w:ascii="Times New Roman" w:hAnsi="Times New Roman" w:eastAsia="宋体"/>
            <w:color w:val="0000FF"/>
            <w:sz w:val="21"/>
            <w:u w:val="single"/>
          </w:rPr>
          <w:t>https://doi.org/10.1038/d41586-026-00311-7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每日简报：科学家深入研究历史的味道</w:t>
      </w:r>
    </w:p>
    <w:p>
      <w:r>
        <w:rPr>
          <w:rFonts w:ascii="Times New Roman" w:hAnsi="Times New Roman" w:eastAsia="宋体"/>
          <w:b/>
          <w:color w:val="003264"/>
          <w:sz w:val="24"/>
        </w:rPr>
        <w:t>Daily briefing: Scientists delve into the smells of history</w:t>
      </w:r>
    </w:p>
    <w:p>
      <w:r>
        <w:rPr>
          <w:rFonts w:ascii="Times New Roman" w:hAnsi="Times New Roman" w:eastAsia="宋体"/>
          <w:sz w:val="21"/>
        </w:rPr>
        <w:t>作者: Flora Graham</w:t>
        <w:br/>
      </w:r>
      <w:r>
        <w:rPr>
          <w:rFonts w:ascii="Times New Roman" w:hAnsi="Times New Roman" w:eastAsia="宋体"/>
          <w:sz w:val="21"/>
        </w:rPr>
        <w:t xml:space="preserve">时间: 2026-02-02 | </w:t>
      </w:r>
      <w:r>
        <w:t xml:space="preserve">链接: </w:t>
      </w:r>
      <w:hyperlink r:id="rId319">
        <w:r>
          <w:rPr>
            <w:rFonts w:ascii="Times New Roman" w:hAnsi="Times New Roman" w:eastAsia="宋体"/>
            <w:color w:val="0000FF"/>
            <w:sz w:val="21"/>
            <w:u w:val="single"/>
          </w:rPr>
          <w:t>https://doi.org/10.1038/d41586-026-00353-x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研究人员正在努力重现从木乃伊到滑铁卢战役的遗产和历史的气味。另外，本月最佳科学图像以及我们是否已经实现了“通用人工智能”。</w:t>
      </w:r>
    </w:p>
    <w:p>
      <w:pPr>
        <w:spacing w:before="120"/>
      </w:pPr>
      <w:r>
        <w:rPr>
          <w:rFonts w:ascii="Times New Roman" w:hAnsi="Times New Roman" w:eastAsia="宋体"/>
          <w:b/>
          <w:sz w:val="21"/>
        </w:rPr>
        <w:t>English Abstract:</w:t>
      </w:r>
    </w:p>
    <w:p>
      <w:r>
        <w:rPr>
          <w:rFonts w:ascii="Times New Roman" w:hAnsi="Times New Roman" w:eastAsia="宋体"/>
          <w:sz w:val="21"/>
        </w:rPr>
        <w:t>Researchers are working to reproduce the smells of heritage and history, from mummies to the Battle of Waterloo. Plus, the best science images of the month and whether we’ve already achieved ‘artificial general intelligence’.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w:t>
      </w:r>
    </w:p>
    <w:p>
      <w:pPr>
        <w:jc w:val="center"/>
      </w:pPr>
      <w:r>
        <w:t>--- 更新: 13:05 ---</w:t>
      </w:r>
    </w:p>
    <w:p>
      <w:pPr>
        <w:pStyle w:val="Heading2"/>
      </w:pPr>
      <w:r/>
      <w:r>
        <w:rPr>
          <w:rFonts w:ascii="Times New Roman" w:hAnsi="Times New Roman" w:eastAsia="宋体"/>
          <w:b/>
          <w:color w:val="000000"/>
          <w:sz w:val="24"/>
        </w:rPr>
        <w:t>1.43亿年海水锇同位素记录：火山活动和构造的趋势、节奏和动态</w:t>
      </w:r>
    </w:p>
    <w:p>
      <w:r>
        <w:rPr>
          <w:rFonts w:ascii="Times New Roman" w:hAnsi="Times New Roman" w:eastAsia="宋体"/>
          <w:b/>
          <w:color w:val="003264"/>
          <w:sz w:val="24"/>
        </w:rPr>
        <w:t>143–million-year seawater osmium isotopic record: Trends, rhythms, and dynamics of volcanism and tectonics</w:t>
      </w:r>
    </w:p>
    <w:p>
      <w:r>
        <w:rPr>
          <w:rFonts w:ascii="Times New Roman" w:hAnsi="Times New Roman" w:eastAsia="宋体"/>
          <w:sz w:val="21"/>
        </w:rPr>
        <w:t>作者: Hironao Matsumoto, Yasuto Watanabe, Rodolfo Coccioni, Fabrizio Frontalini, Toshihiro Yoshimura, Junichiro Kuroda, Katsuhiko Suzuki</w:t>
        <w:br/>
      </w:r>
      <w:r>
        <w:rPr>
          <w:rFonts w:ascii="Times New Roman" w:hAnsi="Times New Roman" w:eastAsia="宋体"/>
          <w:sz w:val="21"/>
        </w:rPr>
        <w:t xml:space="preserve">时间: 2026-01-22 | </w:t>
      </w:r>
      <w:r>
        <w:t xml:space="preserve">链接: </w:t>
      </w:r>
      <w:hyperlink r:id="rId320">
        <w:r>
          <w:rPr>
            <w:rFonts w:ascii="Times New Roman" w:hAnsi="Times New Roman" w:eastAsia="宋体"/>
            <w:color w:val="0000FF"/>
            <w:sz w:val="21"/>
            <w:u w:val="single"/>
          </w:rPr>
          <w:t>https://doi.org/10.1126/science.adw8301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构造事件和形成大型火成岩省（LIP）的火山脉冲改变了地球的古气候。锇 (Os) 和锶 (Sr) 同位素比是过去大陆风化和 LIP 喷发的关键示踪剂。然而，有限的白垩纪海水 Os 和河流 Os-Sr 数据阻碍了定量重建。在这项研究中，我们提出了从白垩纪至今的长期锇同位素记录，揭示了白垩纪期间约 10 至 2000 万年的周期，与有节奏的 LIP 喷发一致。海水Os-Sr同位素趋势表明，白垩纪晚期[约9000万年前(Ma)]和古近纪(约35 Ma)期间大陆风化模式的转变分别归因于大西洋张开和喜马拉雅山隆起和冰川作用期间冈瓦纳内陆风化的加剧。我们的骨同位素记录强调了其在追踪长期 LIP 周期和识别主要古地理转折点方面的实用性。</w:t>
      </w:r>
    </w:p>
    <w:p>
      <w:pPr>
        <w:spacing w:before="120"/>
      </w:pPr>
      <w:r>
        <w:rPr>
          <w:rFonts w:ascii="Times New Roman" w:hAnsi="Times New Roman" w:eastAsia="宋体"/>
          <w:b/>
          <w:sz w:val="21"/>
        </w:rPr>
        <w:t>English Abstract:</w:t>
      </w:r>
    </w:p>
    <w:p>
      <w:r>
        <w:rPr>
          <w:rFonts w:ascii="Times New Roman" w:hAnsi="Times New Roman" w:eastAsia="宋体"/>
          <w:sz w:val="21"/>
        </w:rPr>
        <w:t>Tectonic events and volcanic pulses forming large igneous provinces (LIPs) have altered Earth’s paleoclimate. Osmium (Os) and strontium (Sr) isotopic ratios are key tracers of past continental weathering and LIP eruptions. However, limited Cretaceous seawater Os and riverine Os–Sr data have hindered quantitative reconstructions. In this study, we present a long-term Os isotopic record from the Cretaceous to the present, revealing ~10– to 20–million-year cycles during the Cretaceous that align with rhythmic LIP eruptions. Seawater Os–Sr isotopic trends indicate transitions in continental weathering patterns during the Late Cretaceous [~90 million years ago (Ma)] and Paleogene (~35 Ma) ascribed to intensified weathering of interior Gondwana during the opening of the Atlantic Ocean and the uplift and glaciation of the Himalaya, respectively. Our Os isotopic record highlights its utility in tracing long-term LIP cycles and identifying major paleogeographic turning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Angela Hessler, Jelena Stajic, Keith T. Smith, Jake S. Yeston, Phil Szuromi, Yikyung Park, Annalisa VanHook, Courtney Malo, Madeleine Seale, Stella M. Hurtley, Mattia Maroso, Sarah H. Ross, Corinne Simonti, Leoma Bere</w:t>
        <w:br/>
      </w:r>
      <w:r>
        <w:rPr>
          <w:rFonts w:ascii="Times New Roman" w:hAnsi="Times New Roman" w:eastAsia="宋体"/>
          <w:sz w:val="21"/>
        </w:rPr>
        <w:t xml:space="preserve">时间: 2026-01-22 | </w:t>
      </w:r>
      <w:r>
        <w:t xml:space="preserve">链接: </w:t>
      </w:r>
      <w:hyperlink r:id="rId321">
        <w:r>
          <w:rPr>
            <w:rFonts w:ascii="Times New Roman" w:hAnsi="Times New Roman" w:eastAsia="宋体"/>
            <w:color w:val="0000FF"/>
            <w:sz w:val="21"/>
            <w:u w:val="single"/>
          </w:rPr>
          <w:t>https://doi.org/10.1126/science.aef5688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玻色-爱因斯坦凝聚体中爱因斯坦-德哈斯效应的观察</w:t>
      </w:r>
    </w:p>
    <w:p>
      <w:r>
        <w:rPr>
          <w:rFonts w:ascii="Times New Roman" w:hAnsi="Times New Roman" w:eastAsia="宋体"/>
          <w:b/>
          <w:color w:val="003264"/>
          <w:sz w:val="24"/>
        </w:rPr>
        <w:t>Observation of the Einstein–de Haas effect in a Bose–Einstein condensate</w:t>
      </w:r>
    </w:p>
    <w:p>
      <w:r>
        <w:rPr>
          <w:rFonts w:ascii="Times New Roman" w:hAnsi="Times New Roman" w:eastAsia="宋体"/>
          <w:sz w:val="21"/>
        </w:rPr>
        <w:t>作者: Hiroki Matsui, Yuki Miyazawa, Ryoto Goto, Chihiro Nakano, Yuki Kawaguchi, Masahito Ueda, Mikio Kozuma</w:t>
        <w:br/>
      </w:r>
      <w:r>
        <w:rPr>
          <w:rFonts w:ascii="Times New Roman" w:hAnsi="Times New Roman" w:eastAsia="宋体"/>
          <w:sz w:val="21"/>
        </w:rPr>
        <w:t xml:space="preserve">时间: 2026-01-22 | </w:t>
      </w:r>
      <w:r>
        <w:t xml:space="preserve">链接: </w:t>
      </w:r>
      <w:hyperlink r:id="rId322">
        <w:r>
          <w:rPr>
            <w:rFonts w:ascii="Times New Roman" w:hAnsi="Times New Roman" w:eastAsia="宋体"/>
            <w:color w:val="0000FF"/>
            <w:sz w:val="21"/>
            <w:u w:val="single"/>
          </w:rPr>
          <w:t>https://doi.org/10.1126/science.adx2872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爱因斯坦-德哈斯效应是一种角动量从微观自旋转移到宏观刚体机械旋转的现象。我们报告了在自旋偶极玻色-爱因斯坦凝聚体中观察到的爱因斯坦-德哈斯效应，其中固有的磁偶极子-偶极子相互作用介导了角动量从原子自旋到量子流体集体循环的相干转移。去偏振的旋量分量显示出环形密度分布，通过物质波干涉测量证实其为量子化涡旋，揭示了自旋和轨道角动量之间的相干转换。这一观察结果为探索手性对称性破缺、自旋结构和质量循环以及偶极量子气体中的巴尼特效应的基态相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The Einstein–de Haas effect is a phenomenon in which angular momentum is transferred from microscopic spins to mechanical rotation of a macroscopic rigid body. We report an observation of the Einstein–de Haas effect in a spinor-dipolar Bose–Einstein condensate, in which the intrinsic magnetic dipole-dipole interaction mediates coherent transfer of angular momentum from atomic spins to collective circulation of a quantum fluid. The depolarized spinor components displayed ring-shaped density distributions that were confirmed as quantized vortices through matter-wave interferometry, revealing a coherent conversion between spin and orbital angular momentum. This observation opens a pathway to exploring ground-state phases with broken chiral symmetry, spin textures, and mass circulation, as well as the Barnett effect in dipolar quantum gases.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FAP 定向免疫疗法靶向调节动脉粥样硬化中的血管平滑肌细胞</w:t>
      </w:r>
    </w:p>
    <w:p>
      <w:r>
        <w:rPr>
          <w:rFonts w:ascii="Times New Roman" w:hAnsi="Times New Roman" w:eastAsia="宋体"/>
          <w:b/>
          <w:color w:val="003264"/>
          <w:sz w:val="24"/>
        </w:rPr>
        <w:t>Targeting modulated vascular smooth muscle cells in atherosclerosis via FAP-directed immunotherapy</w:t>
      </w:r>
    </w:p>
    <w:p>
      <w:r>
        <w:rPr>
          <w:rFonts w:ascii="Times New Roman" w:hAnsi="Times New Roman" w:eastAsia="宋体"/>
          <w:sz w:val="21"/>
        </w:rPr>
        <w:t>作者: Junedh M. Amrute, In-Hyuk Jung, Tracy Yamawaki, Wen-Ling Lin, Andrea Bredemeyer, Johanna Diekmann, Sikander Hayat, Xianglong Zhang, Devin L. Wakefield, Xin Luo, Sidrah Maryam, Gyu Seong Heo, Steven Yang, Chang Jie Mick Lee, Chen Wang, Caroline Chou, Christoph Kuppe, Kevin D. Cook, Atilla Kovacs, Vishnu Chintalgattu, Danielle Pruitt, Jose Barreda, Nathan O. Stitziel, Paul Cheng, Yongjian Liu, Rafael Kramann, Daniel Kreisel, Roger S-Y Foo, Ingrid C. Rulifson, Scott Martin, David Grunert, Melissa Thomas, Jixin Cui, Thomas Quertermous, Frank M. Bengel, Simon Jackson, Chi-Ming Li, Brandon Ason, Kory J. Lavine</w:t>
        <w:br/>
      </w:r>
      <w:r>
        <w:rPr>
          <w:rFonts w:ascii="Times New Roman" w:hAnsi="Times New Roman" w:eastAsia="宋体"/>
          <w:sz w:val="21"/>
        </w:rPr>
        <w:t xml:space="preserve">时间: 2026-01-29 | </w:t>
      </w:r>
      <w:r>
        <w:t xml:space="preserve">链接: </w:t>
      </w:r>
      <w:hyperlink r:id="rId323">
        <w:r>
          <w:rPr>
            <w:rFonts w:ascii="Times New Roman" w:hAnsi="Times New Roman" w:eastAsia="宋体"/>
            <w:color w:val="0000FF"/>
            <w:sz w:val="21"/>
            <w:u w:val="single"/>
          </w:rPr>
          <w:t>https://doi.org/10.1126/science.adx1736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血管平滑肌细胞 (VSMC) 多样化导致动脉粥样硬化性冠状动脉疾病 (CAD)。控制这些细胞状态转变的机制仍不清楚。我们在 27 条人类冠状动脉中应用了多组学单细胞分析、表位作图和空间转录组学，确定成纤维细胞激活蛋白 (FAP) 作为调节 VSMC 的标记物。小鼠谱系追踪表明 FAP + 细胞源自 Myh11 + VSMC，CAD 患者的 FAP PET 成像显示斑块摄取。 FAP + 细胞状态位于富含巨噬细胞的新内膜中。在治疗上，我们开发了一种抗 FAP 双特异性 T 细胞接合剂，它可以减少斑块负担并通过 T 细胞克隆扩张重塑基质免疫微环境。我们的研究提供了人类 CAD 的单细胞和空间图谱，将 FAP 确立为调节 VSMC 的标记，并强调了针对脂质独立靶标的免疫治疗。</w:t>
      </w:r>
    </w:p>
    <w:p>
      <w:pPr>
        <w:spacing w:before="120"/>
      </w:pPr>
      <w:r>
        <w:rPr>
          <w:rFonts w:ascii="Times New Roman" w:hAnsi="Times New Roman" w:eastAsia="宋体"/>
          <w:b/>
          <w:sz w:val="21"/>
        </w:rPr>
        <w:t>English Abstract:</w:t>
      </w:r>
    </w:p>
    <w:p>
      <w:r>
        <w:rPr>
          <w:rFonts w:ascii="Times New Roman" w:hAnsi="Times New Roman" w:eastAsia="宋体"/>
          <w:sz w:val="21"/>
        </w:rPr>
        <w:t>Vascular smooth muscle cell (VSMC) diversification drives atherosclerotic coronary artery disease (CAD). Mechanisms governing these cell state transitions remain unclear. We applied multiomic single-cell profiling, epitope mapping, and spatial transcriptomics across 27 human coronary arteries, identifying fibroblast activation protein (FAP) as a marker of modulated VSMCs. Lineage tracing in mice indicated that FAP + cells originate from Myh11 + VSMCs, and FAP PET imaging in CAD patients showed plaque uptake. FAP + cells states resided in the macrophage-rich neo-intima. Therapeutically, we developed an anti-FAP bispecific T-cell engager, which reduced plaque burden and remodeled the stromal–immune microenvironment through T-cell clonal expansion. Our study delivers a single-cell and spatial atlas of human CAD, establishes FAP as a marker of modulated VSMCs, and highlights immunotherapy for lipid-independent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DNA-蛋白质交联促进 cGAS-STING 驱动的过早衰老和胚胎致死</w:t>
      </w:r>
    </w:p>
    <w:p>
      <w:r>
        <w:rPr>
          <w:rFonts w:ascii="Times New Roman" w:hAnsi="Times New Roman" w:eastAsia="宋体"/>
          <w:b/>
          <w:color w:val="003264"/>
          <w:sz w:val="24"/>
        </w:rPr>
        <w:t>DNA-protein cross-links promote cGAS-STING–driven premature aging and embryonic lethality</w:t>
      </w:r>
    </w:p>
    <w:p>
      <w:r>
        <w:rPr>
          <w:rFonts w:ascii="Times New Roman" w:hAnsi="Times New Roman" w:eastAsia="宋体"/>
          <w:sz w:val="21"/>
        </w:rPr>
        <w:t>作者: Ines Tomaskovic, Cristian Prieto-Garcia, Maria Boskovic, Mateo Glumac, Tsung-Lin Tsai, Thorsten Mosler, Rubina Kazi, Rajeshwari Rathore, Jorge Andrade, Marina Hoffmann, Giulio Giuliani, Anne-Claire Jacomin, Raquel S. Pereira, Elias Knop, Laurens Wachsmuth, Petra Beli, Koraljka Husnjak, Manolis Pasparakis, Andrea Ablasser, Daniela S. Krause, Michael Potente, Stamatis Papathanasiou, Janos Terzic, Ivan Dikic</w:t>
        <w:br/>
      </w:r>
      <w:r>
        <w:rPr>
          <w:rFonts w:ascii="Times New Roman" w:hAnsi="Times New Roman" w:eastAsia="宋体"/>
          <w:sz w:val="21"/>
        </w:rPr>
        <w:t xml:space="preserve">时间: 2026-01-29 | </w:t>
      </w:r>
      <w:r>
        <w:t xml:space="preserve">链接: </w:t>
      </w:r>
      <w:hyperlink r:id="rId324">
        <w:r>
          <w:rPr>
            <w:rFonts w:ascii="Times New Roman" w:hAnsi="Times New Roman" w:eastAsia="宋体"/>
            <w:color w:val="0000FF"/>
            <w:sz w:val="21"/>
            <w:u w:val="single"/>
          </w:rPr>
          <w:t>https://doi.org/10.1126/science.adx9445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DNA-蛋白质交联 (DPC) 是一种剧毒 DNA 损伤，可阻止复制和转录，但其对生物体生理学的影响尚不清楚。我们确定了金属蛋白酶 SPRTN 在预防 DPC 驱动的免疫及其病理后果中的作用。复制和有丝分裂期间 SPRTN 活性的丧失会导致未解决的 DNA 损伤、染色体分离错误、微核形成和胞质 DNA 释放，从而激活环 GMP-AMP 合酶 (cGAS)——干扰素基因刺激剂 (STING) 途径。在 Ruijs-Aalfs 早衰综合征的 Sprtn 敲入小鼠模型中，慢性 cGas-Sting 信号通过炎症和先天免疫反应导致胚胎死亡。幸存的小鼠从胚胎发生开始就表现出衰老表型，并一直持续到成年。 cGas-Sting 的遗传或药理学抑制可挽救胚胎致死性并减轻早衰表型。</w:t>
      </w:r>
    </w:p>
    <w:p>
      <w:pPr>
        <w:spacing w:before="120"/>
      </w:pPr>
      <w:r>
        <w:rPr>
          <w:rFonts w:ascii="Times New Roman" w:hAnsi="Times New Roman" w:eastAsia="宋体"/>
          <w:b/>
          <w:sz w:val="21"/>
        </w:rPr>
        <w:t>English Abstract:</w:t>
      </w:r>
    </w:p>
    <w:p>
      <w:r>
        <w:rPr>
          <w:rFonts w:ascii="Times New Roman" w:hAnsi="Times New Roman" w:eastAsia="宋体"/>
          <w:sz w:val="21"/>
        </w:rPr>
        <w:t>DNA-protein cross-links (DPCs) are highly toxic DNA lesions that block replication and transcription, but their impact on organismal physiology is unclear. We identified a role for the metalloprotease SPRTN in preventing DPC-driven immunity and its pathological consequences. Loss of SPRTN activity during replication and mitosis lead to unresolved DNA damage, chromosome segregation errors, micronuclei formation, and cytosolic DNA release that activates the cyclic GMP-AMP synthase (cGAS)–stimulator of interferon genes (STING) pathway. In a Sprtn knock-in mouse model of Ruijs-Aalfs progeria syndrome, chronic cGas-Sting signaling caused embryonic lethality through inflammation and innate immune responses. Surviving mice displayed aging phenotypes beginning in embryogenesis, which persisted into adulthood. Genetic or pharmacological inhibition of cGas-Sting rescued embryonic lethality and alleviated progeroid phenotypes.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用光控制塑料行为</w:t>
      </w:r>
    </w:p>
    <w:p>
      <w:r>
        <w:rPr>
          <w:rFonts w:ascii="Times New Roman" w:hAnsi="Times New Roman" w:eastAsia="宋体"/>
          <w:b/>
          <w:color w:val="003264"/>
          <w:sz w:val="24"/>
        </w:rPr>
        <w:t>Controlling plastic behavior with light</w:t>
      </w:r>
    </w:p>
    <w:p>
      <w:r>
        <w:rPr>
          <w:rFonts w:ascii="Times New Roman" w:hAnsi="Times New Roman" w:eastAsia="宋体"/>
          <w:sz w:val="21"/>
        </w:rPr>
        <w:t>作者: Jake L. Nicholson, Quentin Michaudel</w:t>
        <w:br/>
      </w:r>
      <w:r>
        <w:rPr>
          <w:rFonts w:ascii="Times New Roman" w:hAnsi="Times New Roman" w:eastAsia="宋体"/>
          <w:sz w:val="21"/>
        </w:rPr>
        <w:t xml:space="preserve">时间: 2026-01-29 | </w:t>
      </w:r>
      <w:r>
        <w:t xml:space="preserve">链接: </w:t>
      </w:r>
      <w:hyperlink r:id="rId325">
        <w:r>
          <w:rPr>
            <w:rFonts w:ascii="Times New Roman" w:hAnsi="Times New Roman" w:eastAsia="宋体"/>
            <w:color w:val="0000FF"/>
            <w:sz w:val="21"/>
            <w:u w:val="single"/>
          </w:rPr>
          <w:t>https://doi.org/10.1126/science.aee7263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在三维 (3D) 打印过程中，热塑性塑料的特性会随着光强度进行空间调节</w:t>
      </w:r>
    </w:p>
    <w:p>
      <w:pPr>
        <w:spacing w:before="120"/>
      </w:pPr>
      <w:r>
        <w:rPr>
          <w:rFonts w:ascii="Times New Roman" w:hAnsi="Times New Roman" w:eastAsia="宋体"/>
          <w:b/>
          <w:sz w:val="21"/>
        </w:rPr>
        <w:t>English Abstract:</w:t>
      </w:r>
    </w:p>
    <w:p>
      <w:r>
        <w:rPr>
          <w:rFonts w:ascii="Times New Roman" w:hAnsi="Times New Roman" w:eastAsia="宋体"/>
          <w:sz w:val="21"/>
        </w:rPr>
        <w:t>Thermoplastic properties are spatially tuned with light intensity during three-dimensional (3D) printing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从序列到功能：连接单分子动力学和分子多样性</w:t>
      </w:r>
    </w:p>
    <w:p>
      <w:r>
        <w:rPr>
          <w:rFonts w:ascii="Times New Roman" w:hAnsi="Times New Roman" w:eastAsia="宋体"/>
          <w:b/>
          <w:color w:val="003264"/>
          <w:sz w:val="24"/>
        </w:rPr>
        <w:t>From sequence to function: Bridging single-molecule kinetics and molecular diversity</w:t>
      </w:r>
    </w:p>
    <w:p>
      <w:r>
        <w:rPr>
          <w:rFonts w:ascii="Times New Roman" w:hAnsi="Times New Roman" w:eastAsia="宋体"/>
          <w:sz w:val="21"/>
        </w:rPr>
        <w:t>作者: A. N. Kapanidis, L. Muras, K. Sreenivasa, J. P. Hazra, J. van Noort, C. Joo, S. Deindl</w:t>
        <w:br/>
      </w:r>
      <w:r>
        <w:rPr>
          <w:rFonts w:ascii="Times New Roman" w:hAnsi="Times New Roman" w:eastAsia="宋体"/>
          <w:sz w:val="21"/>
        </w:rPr>
        <w:t xml:space="preserve">时间: 2026-01-29 | </w:t>
      </w:r>
      <w:r>
        <w:t xml:space="preserve">链接: </w:t>
      </w:r>
      <w:hyperlink r:id="rId326">
        <w:r>
          <w:rPr>
            <w:rFonts w:ascii="Times New Roman" w:hAnsi="Times New Roman" w:eastAsia="宋体"/>
            <w:color w:val="0000FF"/>
            <w:sz w:val="21"/>
            <w:u w:val="single"/>
          </w:rPr>
          <w:t>https://doi.org/10.1126/science.adv4503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学功能从根本上是由核酸和蛋白质序列决定的。除了编码遗传信息之外，核酸还显示出影响结构、动力学和相互作用的复杂物理化学参数。了解序列变异如何塑造这些特性背后的能量景观需要捕获分子多样性和动态行为的方法。单分子技术非常适合这项任务，但传统格式仍然需要大量时间和成本。最近的突破使得高度多元化的方法能够用于观察代表数千个序列或条形码实体的数百万个单个分子的分子动力学。尽管仍在开发中，这些方法已经开始大规模连接序列、结构、动力学和功能，为药物发现、分子诊断和功能基因组学开辟了新的机遇。</w:t>
      </w:r>
    </w:p>
    <w:p>
      <w:pPr>
        <w:spacing w:before="120"/>
      </w:pPr>
      <w:r>
        <w:rPr>
          <w:rFonts w:ascii="Times New Roman" w:hAnsi="Times New Roman" w:eastAsia="宋体"/>
          <w:b/>
          <w:sz w:val="21"/>
        </w:rPr>
        <w:t>English Abstract:</w:t>
      </w:r>
    </w:p>
    <w:p>
      <w:r>
        <w:rPr>
          <w:rFonts w:ascii="Times New Roman" w:hAnsi="Times New Roman" w:eastAsia="宋体"/>
          <w:sz w:val="21"/>
        </w:rPr>
        <w:t>Biological function is fundamentally determined by nucleic acid and protein sequence. Beyond encoding genetic information, nucleic acids also display complex physicochemical parameters that shape structure, dynamics, and interactions. Understanding how sequence variation sculpts the energetic landscapes underlying these properties requires methods that capture both molecular diversity and dynamic behavior. Single-molecule techniques are ideally suited to this task, but conventional formats remain time and cost intensive. Recent breakthroughs have enabled highly multiplexed approaches for observing molecular dynamics across millions of individual molecules representing thousands of sequences or barcoded entities. Though still in development, these methods have begun to bridge sequence, structure, dynamics, and function at scale, opening new opportunities in drug discovery, molecular diagnostics, and functional genomics.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衰老驱动植物器官 DNA 甲基化衰变程序</w:t>
      </w:r>
    </w:p>
    <w:p>
      <w:r>
        <w:rPr>
          <w:rFonts w:ascii="Times New Roman" w:hAnsi="Times New Roman" w:eastAsia="宋体"/>
          <w:b/>
          <w:color w:val="003264"/>
          <w:sz w:val="24"/>
        </w:rPr>
        <w:t>Aging drives a program of DNA methylation decay in plant organs</w:t>
      </w:r>
    </w:p>
    <w:p>
      <w:r>
        <w:rPr>
          <w:rFonts w:ascii="Times New Roman" w:hAnsi="Times New Roman" w:eastAsia="宋体"/>
          <w:sz w:val="21"/>
        </w:rPr>
        <w:t>作者: Dawei Dai, Ken Chen, Jingwen Tao, Ben P. Williams</w:t>
        <w:br/>
      </w:r>
      <w:r>
        <w:rPr>
          <w:rFonts w:ascii="Times New Roman" w:hAnsi="Times New Roman" w:eastAsia="宋体"/>
          <w:sz w:val="21"/>
        </w:rPr>
        <w:t xml:space="preserve">时间: 2026-01-29 | </w:t>
      </w:r>
      <w:r>
        <w:t xml:space="preserve">链接: </w:t>
      </w:r>
      <w:hyperlink r:id="rId327">
        <w:r>
          <w:rPr>
            <w:rFonts w:ascii="Times New Roman" w:hAnsi="Times New Roman" w:eastAsia="宋体"/>
            <w:color w:val="0000FF"/>
            <w:sz w:val="21"/>
            <w:u w:val="single"/>
          </w:rPr>
          <w:t>https://doi.org/10.1126/science.adu2392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植物的寿命和衰老速度各不相同。尽管DNA甲基化的动态变化是哺乳动物衰老的标志，但尚不清楚类似的分子特征是否反映了植物的衰老速度和有机体寿命。在这项工作中，我们发现寿命较短的模式植物拟南芥在衰老过程中表现出表观遗传完整性的丧失，从而导致 DNA 甲基化衰退和转座元件的表达。我们表明，表观遗传衰老的速度可以通过延长或缩短寿命来控制，并且茎尖分生组织免受这些表观遗传变化的影响。我们证明了转录抑制程序在衰老过程中抑制了 DNA 甲基化维持途径，并且该程序的突变体表现出完全不存在表观遗传衰退，而物理衰老不受影响。</w:t>
      </w:r>
    </w:p>
    <w:p>
      <w:pPr>
        <w:spacing w:before="120"/>
      </w:pPr>
      <w:r>
        <w:rPr>
          <w:rFonts w:ascii="Times New Roman" w:hAnsi="Times New Roman" w:eastAsia="宋体"/>
          <w:b/>
          <w:sz w:val="21"/>
        </w:rPr>
        <w:t>English Abstract:</w:t>
      </w:r>
    </w:p>
    <w:p>
      <w:r>
        <w:rPr>
          <w:rFonts w:ascii="Times New Roman" w:hAnsi="Times New Roman" w:eastAsia="宋体"/>
          <w:sz w:val="21"/>
        </w:rPr>
        <w:t>Plants display a wide range of life spans and aging rates. Although dynamic changes to DNA methylation are a hallmark of aging in mammals, it is unclear whether similar molecular signatures reflect rates of aging and organism life span in plants. In this work, we show that the short-lived model plant Arabidopsis thaliana exhibits a loss of epigenetic integrity during aging, which causes DNA methylation decay and the expression of transposable elements. We show that the rate of epigenetic aging can be manipulated by extending or curtailing life span and that shoot apical meristems are protected from these epigenetic changes. We demonstrate that a program of transcriptional repression suppresses DNA methylation maintenance pathways during aging and that mutants of this program display a complete absence of epigenetic decay while physical aging remains unaffected.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Angela Hessler, Stella M. Hurtley, Madeleine Seale, Michael A. Funk, Yevgeniya Nusinovich, Jelena Stajic, Phil Szuromi, Seth Thomas Scanlon, Di Jiang, Bianca Lopez, Marc S. Lavine, L. Bryan Ray, Mattia Maroso, Daniela Neuhofer, Leslie Ferrarelli</w:t>
        <w:br/>
      </w:r>
      <w:r>
        <w:rPr>
          <w:rFonts w:ascii="Times New Roman" w:hAnsi="Times New Roman" w:eastAsia="宋体"/>
          <w:sz w:val="21"/>
        </w:rPr>
        <w:t xml:space="preserve">时间: 2026-01-29 | </w:t>
      </w:r>
      <w:r>
        <w:t xml:space="preserve">链接: </w:t>
      </w:r>
      <w:hyperlink r:id="rId328">
        <w:r>
          <w:rPr>
            <w:rFonts w:ascii="Times New Roman" w:hAnsi="Times New Roman" w:eastAsia="宋体"/>
            <w:color w:val="0000FF"/>
            <w:sz w:val="21"/>
            <w:u w:val="single"/>
          </w:rPr>
          <w:t>https://doi.org/10.1126/science.aef8478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FoldMason 进行大规模多蛋白质结构比对</w:t>
      </w:r>
    </w:p>
    <w:p>
      <w:r>
        <w:rPr>
          <w:rFonts w:ascii="Times New Roman" w:hAnsi="Times New Roman" w:eastAsia="宋体"/>
          <w:b/>
          <w:color w:val="003264"/>
          <w:sz w:val="24"/>
        </w:rPr>
        <w:t>Multiple protein structure alignment at scale with FoldMason</w:t>
      </w:r>
    </w:p>
    <w:p>
      <w:r>
        <w:rPr>
          <w:rFonts w:ascii="Times New Roman" w:hAnsi="Times New Roman" w:eastAsia="宋体"/>
          <w:sz w:val="21"/>
        </w:rPr>
        <w:t>作者: Cameron L. M. Gilchrist, Milot Mirdita, Martin Steinegger</w:t>
        <w:br/>
      </w:r>
      <w:r>
        <w:rPr>
          <w:rFonts w:ascii="Times New Roman" w:hAnsi="Times New Roman" w:eastAsia="宋体"/>
          <w:sz w:val="21"/>
        </w:rPr>
        <w:t xml:space="preserve">时间: 2026-01-29 | </w:t>
      </w:r>
      <w:r>
        <w:t xml:space="preserve">链接: </w:t>
      </w:r>
      <w:hyperlink r:id="rId329">
        <w:r>
          <w:rPr>
            <w:rFonts w:ascii="Times New Roman" w:hAnsi="Times New Roman" w:eastAsia="宋体"/>
            <w:color w:val="0000FF"/>
            <w:sz w:val="21"/>
            <w:u w:val="single"/>
          </w:rPr>
          <w:t>https://doi.org/10.1126/science.ads6733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蛋白质结构在序列之外是保守的，因此多重结构比对 (MSTA) 对于分析关系较远的蛋白质至关重要。计算预测方法极大地扩展了我们可用蛋白质结构的存储库，需要快速准确的 MSTA 方法。我们推出了 FoldMason，这是一种先进的 MSTA 方法，它利用成对结构对准器 Foldseek 和 TM-align 对数十万个蛋白质结构进行多重比对，匹配或超过最先进的 MSTA 方法的比对质量，同时速度提高两个数量级。使用黄病毒科糖蛋白，我们证明了 FoldMason 的 MSTA 支持“暮光区”之外的系统发育分析。 FoldMason 计算置信度分数，提供交互式可视化，并为精确结构预测时代的大规模蛋白质结构分析提供必要的速度和准确性。 FoldMason 是免费的开源软件。</w:t>
      </w:r>
    </w:p>
    <w:p>
      <w:pPr>
        <w:spacing w:before="120"/>
      </w:pPr>
      <w:r>
        <w:rPr>
          <w:rFonts w:ascii="Times New Roman" w:hAnsi="Times New Roman" w:eastAsia="宋体"/>
          <w:b/>
          <w:sz w:val="21"/>
        </w:rPr>
        <w:t>English Abstract:</w:t>
      </w:r>
    </w:p>
    <w:p>
      <w:r>
        <w:rPr>
          <w:rFonts w:ascii="Times New Roman" w:hAnsi="Times New Roman" w:eastAsia="宋体"/>
          <w:sz w:val="21"/>
        </w:rPr>
        <w:t>Protein structure is conserved beyond sequence, making multiple structural alignment (MSTA) essential for analyzing distantly related proteins. Computational prediction methods have vastly extended our repository of available protein structures, requiring fast and accurate MSTA methods. We introduce FoldMason, a progressive MSTA method that leverages the pairwise structural aligners Foldseek and TM-align for the multiple alignment of hundreds of thousands of protein structures, matching or exceeding the alignment quality of state-of-the-art MSTA methods while being two orders of magnitude faster. Using Flaviviridae glycoproteins, we demonstrate that FoldMason’s MSTAs support phylogenetic analysis beyond the “twilight zone.” FoldMason computes confidence scores, offers interactive visualizations, and provides essential speed and accuracy for large-scale protein structure analysis in the era of accurate structure prediction. FoldMason is free, open-source software.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热塑性塑料增材制造 (CRAFT) 中的光刻结晶度调节</w:t>
      </w:r>
    </w:p>
    <w:p>
      <w:r>
        <w:rPr>
          <w:rFonts w:ascii="Times New Roman" w:hAnsi="Times New Roman" w:eastAsia="宋体"/>
          <w:b/>
          <w:color w:val="003264"/>
          <w:sz w:val="24"/>
        </w:rPr>
        <w:t>Lithographic crystallinity regulation in additive fabrication of thermoplastics (CRAFT)</w:t>
      </w:r>
    </w:p>
    <w:p>
      <w:r>
        <w:rPr>
          <w:rFonts w:ascii="Times New Roman" w:hAnsi="Times New Roman" w:eastAsia="宋体"/>
          <w:sz w:val="21"/>
        </w:rPr>
        <w:t>作者: Alex J. Commisso, Eric M. Nagel, Meghan T. Kiker, Elizabeth A. Recker, Adam Bischoff, Michael J. Holzmann, Hayden E. Fowler, Minh Nhat Pham, Chi Phuong H. Nguyen, Esteban Baca, Hernán Villanueva, Nirvana T. Almada, Keldy S. Mason, Claire Jolowsky, Guddi Suman, Keith J. Fritzsching, Bryan Kaehr, Johanna J. Schwartz, Leah N. Appelhans, Brad H. Jones, Caitlin S. Sample, Devin J. Roach, Zachariah A. Page, Samuel C. Leguizamon</w:t>
        <w:br/>
      </w:r>
      <w:r>
        <w:rPr>
          <w:rFonts w:ascii="Times New Roman" w:hAnsi="Times New Roman" w:eastAsia="宋体"/>
          <w:sz w:val="21"/>
        </w:rPr>
        <w:t xml:space="preserve">时间: 2026-01-29 | </w:t>
      </w:r>
      <w:r>
        <w:t xml:space="preserve">链接: </w:t>
      </w:r>
      <w:hyperlink r:id="rId330">
        <w:r>
          <w:rPr>
            <w:rFonts w:ascii="Times New Roman" w:hAnsi="Times New Roman" w:eastAsia="宋体"/>
            <w:color w:val="0000FF"/>
            <w:sz w:val="21"/>
            <w:u w:val="single"/>
          </w:rPr>
          <w:t>https://doi.org/10.1126/science.aeb3637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对于半结晶聚烯烃热塑性塑料，互连有序结晶区域和无序无定形区域之间的平衡对其性能和加工性能至关重要。然而，从注塑成型到三维 (3D) 打印的当代制造策略会导致整体物体无法对结晶度进行空间编码。我们开发了一种基于光的方法，用于制造机械坚固的聚烯烃热塑性塑料，并在 3D 空间中对结晶度进行微观控制。轻剂量控制聚合物立体化学，从而获得一系列材料，从坚固的刚性塑料（例如高密度聚乙烯）到更具延展性的材料（例如低密度聚乙烯），所有这些都只需轻按一下开关即可。利用平版灰度 3D 打印中的这一发现，可以通过对光学和机械特性进行体素级控制来实现快速多材料制造，从而在信息存储、软机器人和能量阻尼方面开辟新途径。</w:t>
      </w:r>
    </w:p>
    <w:p>
      <w:pPr>
        <w:spacing w:before="120"/>
      </w:pPr>
      <w:r>
        <w:rPr>
          <w:rFonts w:ascii="Times New Roman" w:hAnsi="Times New Roman" w:eastAsia="宋体"/>
          <w:b/>
          <w:sz w:val="21"/>
        </w:rPr>
        <w:t>English Abstract:</w:t>
      </w:r>
    </w:p>
    <w:p>
      <w:r>
        <w:rPr>
          <w:rFonts w:ascii="Times New Roman" w:hAnsi="Times New Roman" w:eastAsia="宋体"/>
          <w:sz w:val="21"/>
        </w:rPr>
        <w:t>For semicrystalline polyolefin thermoplastics, the balance between interconnected ordered crystalline and disordered amorphous regions is paramount to their performance and processability. However, contemporary manufacturing strategies, from injection molding to three-dimensional (3D) printing, result in monolithic objects, unable to spatially encode crystallinity. We develop a light-based approach for fabricating mechanically robust polyolefin thermoplastics with microscopic control over crystallinity in 3D space. Light dosage governs polymer stereochemistry giving access to a continuum of materials, from strong rigid plastics, such as high-density polyethylene, to more extensible materials akin to low-density polyethylene, all at the flick of a switch. Leveraging this finding in lithographic grayscale 3D printing enables rapid multimaterial fabrication with voxel-level control over optical and mechanical properties, opening avenues in information storage, soft robotics, and energy damping.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用于酰胺键形成的工程醛脱氢酶</w:t>
      </w:r>
    </w:p>
    <w:p>
      <w:r>
        <w:rPr>
          <w:rFonts w:ascii="Times New Roman" w:hAnsi="Times New Roman" w:eastAsia="宋体"/>
          <w:b/>
          <w:color w:val="003264"/>
          <w:sz w:val="24"/>
        </w:rPr>
        <w:t>Engineered aldehyde dehydrogenases for amide bond formation</w:t>
      </w:r>
    </w:p>
    <w:p>
      <w:r>
        <w:rPr>
          <w:rFonts w:ascii="Times New Roman" w:hAnsi="Times New Roman" w:eastAsia="宋体"/>
          <w:sz w:val="21"/>
        </w:rPr>
        <w:t>作者: Lei Gao, Xiang Qiu, Jun Yang, Kangdelong Hu, Peilin Li, Wei Li, Feng Gao, Fabrice Gallou, Florian Kleinbeck, Xiaoguang Lei</w:t>
        <w:br/>
      </w:r>
      <w:r>
        <w:rPr>
          <w:rFonts w:ascii="Times New Roman" w:hAnsi="Times New Roman" w:eastAsia="宋体"/>
          <w:sz w:val="21"/>
        </w:rPr>
        <w:t xml:space="preserve">时间: 2026-01-29 | </w:t>
      </w:r>
      <w:r>
        <w:t xml:space="preserve">链接: </w:t>
      </w:r>
      <w:hyperlink r:id="rId331">
        <w:r>
          <w:rPr>
            <w:rFonts w:ascii="Times New Roman" w:hAnsi="Times New Roman" w:eastAsia="宋体"/>
            <w:color w:val="0000FF"/>
            <w:sz w:val="21"/>
            <w:u w:val="single"/>
          </w:rPr>
          <w:t>https://doi.org/10.1126/science.adw3365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酰胺键的形成广泛用于药物合成，通常涉及化学计量偶联试剂来激活羧酸底物以进行缩合反应。作为一种替代方法，我们通过为胺创建一个更疏水、更宽敞的催化口袋来捕获硫酯中间体，将醛脱氢酶重新转变为氧化酰胺酶。这种生物催化剂有效地促进了不同醛和胺之间酰胺键的形成。我们还开发了一种两步酶级联，从广泛可用的脂肪醇中合成酰胺。这种生物催化策略使得能够重新设计五种药物分子的合成路线。我们的研究结果强调了氧化酰胺酶通过有效的酰胺键形成促进结构多样的药物分子合成的潜力。</w:t>
      </w:r>
    </w:p>
    <w:p>
      <w:pPr>
        <w:spacing w:before="120"/>
      </w:pPr>
      <w:r>
        <w:rPr>
          <w:rFonts w:ascii="Times New Roman" w:hAnsi="Times New Roman" w:eastAsia="宋体"/>
          <w:b/>
          <w:sz w:val="21"/>
        </w:rPr>
        <w:t>English Abstract:</w:t>
      </w:r>
    </w:p>
    <w:p>
      <w:r>
        <w:rPr>
          <w:rFonts w:ascii="Times New Roman" w:hAnsi="Times New Roman" w:eastAsia="宋体"/>
          <w:sz w:val="21"/>
        </w:rPr>
        <w:t>Amide bond formation is widely used in pharmaceutical synthesis, typically involving stoichiometric coupling reagents to activate carboxylic acid substrates for a condensation reaction. As an alternative approach, we repurposed aldehyde dehydrogenases into oxidative amidases by creating a more hydrophobic and spacious catalytic pocket for amines to capture the thioester intermediate. This biocatalyst efficiently facilitates the formation of amide bonds between diverse aldehydes and amines. We also developed a two-step enzymatic cascade to synthesize amides from broadly available aliphatic alcohols. This biocatalytic strategy enabled the redesign of synthetic routes for five drug molecules. Our findings highlight the potential of oxidative amidases in advancing the synthesis of structurally diverse drug molecules through efficient amide bond 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通过自旋轨道耦合玻色-爱因斯坦凝聚体中的激发探测超固体</w:t>
      </w:r>
    </w:p>
    <w:p>
      <w:r>
        <w:rPr>
          <w:rFonts w:ascii="Times New Roman" w:hAnsi="Times New Roman" w:eastAsia="宋体"/>
          <w:b/>
          <w:color w:val="003264"/>
          <w:sz w:val="24"/>
        </w:rPr>
        <w:t>Probing supersolidity through excitations in a spin-orbit–coupled Bose-Einstein condensate</w:t>
      </w:r>
    </w:p>
    <w:p>
      <w:r>
        <w:rPr>
          <w:rFonts w:ascii="Times New Roman" w:hAnsi="Times New Roman" w:eastAsia="宋体"/>
          <w:sz w:val="21"/>
        </w:rPr>
        <w:t>作者: C. S. Chisholm, S. Hirthe, V. B. Makhalov, R. Ramos, R. Vatré, J. Cabedo, A. Celi, L. Tarruell</w:t>
        <w:br/>
      </w:r>
      <w:r>
        <w:rPr>
          <w:rFonts w:ascii="Times New Roman" w:hAnsi="Times New Roman" w:eastAsia="宋体"/>
          <w:sz w:val="21"/>
        </w:rPr>
        <w:t xml:space="preserve">时间: 2026-01-29 | </w:t>
      </w:r>
      <w:r>
        <w:t xml:space="preserve">链接: </w:t>
      </w:r>
      <w:hyperlink r:id="rId332">
        <w:r>
          <w:rPr>
            <w:rFonts w:ascii="Times New Roman" w:hAnsi="Times New Roman" w:eastAsia="宋体"/>
            <w:color w:val="0000FF"/>
            <w:sz w:val="21"/>
            <w:u w:val="single"/>
          </w:rPr>
          <w:t>https://doi.org/10.1126/science.adv1209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轨道耦合玻色-爱因斯坦凝聚体是设计合成量子多体系统的灵活实验平台。特别是，它们具有所谓的条纹相，这是物质超固态的一个例子。条纹相的特殊激发光谱是其超固体的明确足迹，很难通过实验测量。在这项工作中，我们对条纹进行了原位成像，并直接观察了超流体和晶体激发。我们研究了超流体流体动力学并揭示了条带压缩模式，从而证明该系统具有可压缩的晶体结构。通过该模式的频率软化，我们找到了超固体转变点。我们的结果将自旋轨道耦合超固体确立为研究超固体及其丰富动力学的理想系统。</w:t>
      </w:r>
    </w:p>
    <w:p>
      <w:pPr>
        <w:spacing w:before="120"/>
      </w:pPr>
      <w:r>
        <w:rPr>
          <w:rFonts w:ascii="Times New Roman" w:hAnsi="Times New Roman" w:eastAsia="宋体"/>
          <w:b/>
          <w:sz w:val="21"/>
        </w:rPr>
        <w:t>English Abstract:</w:t>
      </w:r>
    </w:p>
    <w:p>
      <w:r>
        <w:rPr>
          <w:rFonts w:ascii="Times New Roman" w:hAnsi="Times New Roman" w:eastAsia="宋体"/>
          <w:sz w:val="21"/>
        </w:rPr>
        <w:t>Spin-orbit–coupled Bose-Einstein condensates are a flexible experimental platform to engineer synthetic quantum many-body systems. In particular, they host the so-called stripe phase, an instance of a supersolid state of matter. The peculiar excitation spectrum of the stripe phase, a definite footprint of its supersolidity, has been difficult to measure experimentally. In this work, we performed in situ imaging of the stripes and directly observed both superfluid and crystal excitations. We investigated superfluid hydrodynamics and revealed a stripe compression mode, thus demonstrating that the system possesses a compressible crystalline structure. Through the frequency softening of this mode, we located the supersolid transition point. Our results establish spin-orbit–coupled supersolids as ideal systems to investigate supersolidity and its rich dynamics.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5" TargetMode="External"/><Relationship Id="rId11" Type="http://schemas.openxmlformats.org/officeDocument/2006/relationships/hyperlink" Target="https://doi.org/10.1364/oe.583206" TargetMode="External"/><Relationship Id="rId12" Type="http://schemas.openxmlformats.org/officeDocument/2006/relationships/hyperlink" Target="https://doi.org/10.1364/oe.580828" TargetMode="External"/><Relationship Id="rId13" Type="http://schemas.openxmlformats.org/officeDocument/2006/relationships/hyperlink" Target="https://doi.org/10.1364/oe.582128" TargetMode="External"/><Relationship Id="rId14" Type="http://schemas.openxmlformats.org/officeDocument/2006/relationships/hyperlink" Target="https://doi.org/10.1364/oe.581470" TargetMode="External"/><Relationship Id="rId15" Type="http://schemas.openxmlformats.org/officeDocument/2006/relationships/hyperlink" Target="https://doi.org/10.1364/oe.580365" TargetMode="External"/><Relationship Id="rId16" Type="http://schemas.openxmlformats.org/officeDocument/2006/relationships/hyperlink" Target="https://doi.org/10.1364/oe.579191" TargetMode="External"/><Relationship Id="rId17" Type="http://schemas.openxmlformats.org/officeDocument/2006/relationships/hyperlink" Target="https://doi.org/10.1364/oe.585584" TargetMode="External"/><Relationship Id="rId18" Type="http://schemas.openxmlformats.org/officeDocument/2006/relationships/hyperlink" Target="https://doi.org/10.1364/oe.584369" TargetMode="External"/><Relationship Id="rId19" Type="http://schemas.openxmlformats.org/officeDocument/2006/relationships/hyperlink" Target="https://doi.org/10.1364/oe.588166" TargetMode="External"/><Relationship Id="rId20" Type="http://schemas.openxmlformats.org/officeDocument/2006/relationships/hyperlink" Target="https://doi.org/10.1364/oe.584123" TargetMode="External"/><Relationship Id="rId21" Type="http://schemas.openxmlformats.org/officeDocument/2006/relationships/hyperlink" Target="https://doi.org/10.1364/oe.586116" TargetMode="External"/><Relationship Id="rId22" Type="http://schemas.openxmlformats.org/officeDocument/2006/relationships/hyperlink" Target="https://doi.org/10.1364/optica.574860" TargetMode="External"/><Relationship Id="rId23" Type="http://schemas.openxmlformats.org/officeDocument/2006/relationships/hyperlink" Target="https://doi.org/10.1364/optica.578963" TargetMode="External"/><Relationship Id="rId24" Type="http://schemas.openxmlformats.org/officeDocument/2006/relationships/hyperlink" Target="https://doi.org/10.1016/j.optcom.2026.132991" TargetMode="External"/><Relationship Id="rId25" Type="http://schemas.openxmlformats.org/officeDocument/2006/relationships/hyperlink" Target="https://doi.org/10.1364/oe.586863" TargetMode="External"/><Relationship Id="rId26" Type="http://schemas.openxmlformats.org/officeDocument/2006/relationships/hyperlink" Target="https://doi.org/10.1364/boe.581202" TargetMode="External"/><Relationship Id="rId27" Type="http://schemas.openxmlformats.org/officeDocument/2006/relationships/hyperlink" Target="https://doi.org/10.1002/lpor.202501647" TargetMode="External"/><Relationship Id="rId28" Type="http://schemas.openxmlformats.org/officeDocument/2006/relationships/hyperlink" Target="https://doi.org/10.1038/s41377-026-02199-4" TargetMode="External"/><Relationship Id="rId29" Type="http://schemas.openxmlformats.org/officeDocument/2006/relationships/hyperlink" Target="https://doi.org/10.1038/s41566-025-01837-4" TargetMode="External"/><Relationship Id="rId30" Type="http://schemas.openxmlformats.org/officeDocument/2006/relationships/hyperlink" Target="https://doi.org/10.1364/ao.580374" TargetMode="External"/><Relationship Id="rId31" Type="http://schemas.openxmlformats.org/officeDocument/2006/relationships/hyperlink" Target="https://doi.org/10.1038/s41377-026-02188-7" TargetMode="External"/><Relationship Id="rId32" Type="http://schemas.openxmlformats.org/officeDocument/2006/relationships/hyperlink" Target="https://doi.org/10.1021/acsphotonics.5c02864" TargetMode="External"/><Relationship Id="rId33" Type="http://schemas.openxmlformats.org/officeDocument/2006/relationships/hyperlink" Target="https://doi.org/10.1016/j.optlastec.2026.114849" TargetMode="External"/><Relationship Id="rId34" Type="http://schemas.openxmlformats.org/officeDocument/2006/relationships/hyperlink" Target="https://doi.org/10.1364/oe.584928" TargetMode="External"/><Relationship Id="rId35" Type="http://schemas.openxmlformats.org/officeDocument/2006/relationships/hyperlink" Target="https://doi.org/10.1364/oe.588352" TargetMode="External"/><Relationship Id="rId36" Type="http://schemas.openxmlformats.org/officeDocument/2006/relationships/hyperlink" Target="https://doi.org/10.1364/oe.585827" TargetMode="External"/><Relationship Id="rId37" Type="http://schemas.openxmlformats.org/officeDocument/2006/relationships/hyperlink" Target="https://doi.org/10.1364/oe.583281" TargetMode="External"/><Relationship Id="rId38" Type="http://schemas.openxmlformats.org/officeDocument/2006/relationships/hyperlink" Target="https://doi.org/10.1364/oe.582786" TargetMode="External"/><Relationship Id="rId39" Type="http://schemas.openxmlformats.org/officeDocument/2006/relationships/hyperlink" Target="https://doi.org/10.1364/oe.582616" TargetMode="External"/><Relationship Id="rId40" Type="http://schemas.openxmlformats.org/officeDocument/2006/relationships/hyperlink" Target="https://doi.org/10.1364/oe.582795" TargetMode="External"/><Relationship Id="rId41" Type="http://schemas.openxmlformats.org/officeDocument/2006/relationships/hyperlink" Target="https://doi.org/10.1364/oe.584559" TargetMode="External"/><Relationship Id="rId42" Type="http://schemas.openxmlformats.org/officeDocument/2006/relationships/hyperlink" Target="https://arxiv.org/abs/2602.03005v1" TargetMode="External"/><Relationship Id="rId43" Type="http://schemas.openxmlformats.org/officeDocument/2006/relationships/hyperlink" Target="https://arxiv.org/abs/2602.03042v1" TargetMode="External"/><Relationship Id="rId44" Type="http://schemas.openxmlformats.org/officeDocument/2006/relationships/hyperlink" Target="https://arxiv.org/abs/2602.03281v1" TargetMode="External"/><Relationship Id="rId45" Type="http://schemas.openxmlformats.org/officeDocument/2006/relationships/hyperlink" Target="https://arxiv.org/abs/2602.02721v1" TargetMode="External"/><Relationship Id="rId46" Type="http://schemas.openxmlformats.org/officeDocument/2006/relationships/hyperlink" Target="https://arxiv.org/abs/2602.02755v1" TargetMode="External"/><Relationship Id="rId47" Type="http://schemas.openxmlformats.org/officeDocument/2006/relationships/hyperlink" Target="https://arxiv.org/abs/2602.02795v1" TargetMode="External"/><Relationship Id="rId48" Type="http://schemas.openxmlformats.org/officeDocument/2006/relationships/hyperlink" Target="https://arxiv.org/abs/2602.02798v1" TargetMode="External"/><Relationship Id="rId49" Type="http://schemas.openxmlformats.org/officeDocument/2006/relationships/hyperlink" Target="https://arxiv.org/abs/2602.03302v1" TargetMode="External"/><Relationship Id="rId50" Type="http://schemas.openxmlformats.org/officeDocument/2006/relationships/hyperlink" Target="https://arxiv.org/abs/2602.02737v1" TargetMode="External"/><Relationship Id="rId51" Type="http://schemas.openxmlformats.org/officeDocument/2006/relationships/hyperlink" Target="https://arxiv.org/abs/2602.02756v1" TargetMode="External"/><Relationship Id="rId52" Type="http://schemas.openxmlformats.org/officeDocument/2006/relationships/hyperlink" Target="https://arxiv.org/abs/2602.02757v1" TargetMode="External"/><Relationship Id="rId53" Type="http://schemas.openxmlformats.org/officeDocument/2006/relationships/hyperlink" Target="https://arxiv.org/abs/2602.02901v1" TargetMode="External"/><Relationship Id="rId54" Type="http://schemas.openxmlformats.org/officeDocument/2006/relationships/hyperlink" Target="https://arxiv.org/abs/2602.02906v1" TargetMode="External"/><Relationship Id="rId55" Type="http://schemas.openxmlformats.org/officeDocument/2006/relationships/hyperlink" Target="https://arxiv.org/abs/2602.02968v1" TargetMode="External"/><Relationship Id="rId56" Type="http://schemas.openxmlformats.org/officeDocument/2006/relationships/hyperlink" Target="https://arxiv.org/abs/2602.03008v1" TargetMode="External"/><Relationship Id="rId57" Type="http://schemas.openxmlformats.org/officeDocument/2006/relationships/hyperlink" Target="https://arxiv.org/abs/2602.03062v1" TargetMode="External"/><Relationship Id="rId58" Type="http://schemas.openxmlformats.org/officeDocument/2006/relationships/hyperlink" Target="https://arxiv.org/abs/2602.03116v1" TargetMode="External"/><Relationship Id="rId59" Type="http://schemas.openxmlformats.org/officeDocument/2006/relationships/hyperlink" Target="https://arxiv.org/abs/2602.03142v1" TargetMode="External"/><Relationship Id="rId60" Type="http://schemas.openxmlformats.org/officeDocument/2006/relationships/hyperlink" Target="https://arxiv.org/abs/2602.03196v1" TargetMode="External"/><Relationship Id="rId61" Type="http://schemas.openxmlformats.org/officeDocument/2006/relationships/hyperlink" Target="https://arxiv.org/abs/2602.03199v1" TargetMode="External"/><Relationship Id="rId62" Type="http://schemas.openxmlformats.org/officeDocument/2006/relationships/hyperlink" Target="https://arxiv.org/abs/2602.03243v1" TargetMode="External"/><Relationship Id="rId63" Type="http://schemas.openxmlformats.org/officeDocument/2006/relationships/hyperlink" Target="https://arxiv.org/abs/2602.03248v1" TargetMode="External"/><Relationship Id="rId64" Type="http://schemas.openxmlformats.org/officeDocument/2006/relationships/hyperlink" Target="https://arxiv.org/abs/2602.03252v1" TargetMode="External"/><Relationship Id="rId65" Type="http://schemas.openxmlformats.org/officeDocument/2006/relationships/hyperlink" Target="https://arxiv.org/abs/2602.03335v1" TargetMode="External"/><Relationship Id="rId66" Type="http://schemas.openxmlformats.org/officeDocument/2006/relationships/hyperlink" Target="https://arxiv.org/abs/2602.03453v1" TargetMode="External"/><Relationship Id="rId67" Type="http://schemas.openxmlformats.org/officeDocument/2006/relationships/hyperlink" Target="https://arxiv.org/abs/2602.03479v1" TargetMode="External"/><Relationship Id="rId68" Type="http://schemas.openxmlformats.org/officeDocument/2006/relationships/hyperlink" Target="https://arxiv.org/abs/2602.03744v1" TargetMode="External"/><Relationship Id="rId69" Type="http://schemas.openxmlformats.org/officeDocument/2006/relationships/hyperlink" Target="https://arxiv.org/abs/2602.03752v1" TargetMode="External"/><Relationship Id="rId70" Type="http://schemas.openxmlformats.org/officeDocument/2006/relationships/hyperlink" Target="https://arxiv.org/abs/2602.02713v1" TargetMode="External"/><Relationship Id="rId71" Type="http://schemas.openxmlformats.org/officeDocument/2006/relationships/hyperlink" Target="https://arxiv.org/abs/2602.02758v1" TargetMode="External"/><Relationship Id="rId72" Type="http://schemas.openxmlformats.org/officeDocument/2006/relationships/hyperlink" Target="https://arxiv.org/abs/2602.03264v1" TargetMode="External"/><Relationship Id="rId73" Type="http://schemas.openxmlformats.org/officeDocument/2006/relationships/hyperlink" Target="https://arxiv.org/abs/2602.03294v1" TargetMode="External"/><Relationship Id="rId74" Type="http://schemas.openxmlformats.org/officeDocument/2006/relationships/hyperlink" Target="https://arxiv.org/abs/2602.03669v1" TargetMode="External"/><Relationship Id="rId75" Type="http://schemas.openxmlformats.org/officeDocument/2006/relationships/hyperlink" Target="https://arxiv.org/abs/2602.02722v1" TargetMode="External"/><Relationship Id="rId76" Type="http://schemas.openxmlformats.org/officeDocument/2006/relationships/hyperlink" Target="https://arxiv.org/abs/2602.02820v1" TargetMode="External"/><Relationship Id="rId77" Type="http://schemas.openxmlformats.org/officeDocument/2006/relationships/hyperlink" Target="https://arxiv.org/abs/2602.02850v1" TargetMode="External"/><Relationship Id="rId78" Type="http://schemas.openxmlformats.org/officeDocument/2006/relationships/hyperlink" Target="https://arxiv.org/abs/2602.02894v1" TargetMode="External"/><Relationship Id="rId79" Type="http://schemas.openxmlformats.org/officeDocument/2006/relationships/hyperlink" Target="https://arxiv.org/abs/2602.02908v1" TargetMode="External"/><Relationship Id="rId80" Type="http://schemas.openxmlformats.org/officeDocument/2006/relationships/hyperlink" Target="https://arxiv.org/abs/2602.02918v1" TargetMode="External"/><Relationship Id="rId81" Type="http://schemas.openxmlformats.org/officeDocument/2006/relationships/hyperlink" Target="https://arxiv.org/abs/2602.02944v1" TargetMode="External"/><Relationship Id="rId82" Type="http://schemas.openxmlformats.org/officeDocument/2006/relationships/hyperlink" Target="https://arxiv.org/abs/2602.02963v1" TargetMode="External"/><Relationship Id="rId83" Type="http://schemas.openxmlformats.org/officeDocument/2006/relationships/hyperlink" Target="https://arxiv.org/abs/2602.02969v1" TargetMode="External"/><Relationship Id="rId84" Type="http://schemas.openxmlformats.org/officeDocument/2006/relationships/hyperlink" Target="https://arxiv.org/abs/2602.02977v1" TargetMode="External"/><Relationship Id="rId85" Type="http://schemas.openxmlformats.org/officeDocument/2006/relationships/hyperlink" Target="https://arxiv.org/abs/2602.03013v1" TargetMode="External"/><Relationship Id="rId86" Type="http://schemas.openxmlformats.org/officeDocument/2006/relationships/hyperlink" Target="https://arxiv.org/abs/2602.03015v1" TargetMode="External"/><Relationship Id="rId87" Type="http://schemas.openxmlformats.org/officeDocument/2006/relationships/hyperlink" Target="https://arxiv.org/abs/2602.03038v1" TargetMode="External"/><Relationship Id="rId88" Type="http://schemas.openxmlformats.org/officeDocument/2006/relationships/hyperlink" Target="https://arxiv.org/abs/2602.03039v1" TargetMode="External"/><Relationship Id="rId89" Type="http://schemas.openxmlformats.org/officeDocument/2006/relationships/hyperlink" Target="https://arxiv.org/abs/2602.03076v1" TargetMode="External"/><Relationship Id="rId90" Type="http://schemas.openxmlformats.org/officeDocument/2006/relationships/hyperlink" Target="https://arxiv.org/abs/2602.03105v1" TargetMode="External"/><Relationship Id="rId91" Type="http://schemas.openxmlformats.org/officeDocument/2006/relationships/hyperlink" Target="https://arxiv.org/abs/2602.03123v1" TargetMode="External"/><Relationship Id="rId92" Type="http://schemas.openxmlformats.org/officeDocument/2006/relationships/hyperlink" Target="https://arxiv.org/abs/2602.03126v1" TargetMode="External"/><Relationship Id="rId93" Type="http://schemas.openxmlformats.org/officeDocument/2006/relationships/hyperlink" Target="https://arxiv.org/abs/2602.03130v1" TargetMode="External"/><Relationship Id="rId94" Type="http://schemas.openxmlformats.org/officeDocument/2006/relationships/hyperlink" Target="https://arxiv.org/abs/2602.03139v1" TargetMode="External"/><Relationship Id="rId95" Type="http://schemas.openxmlformats.org/officeDocument/2006/relationships/hyperlink" Target="https://arxiv.org/abs/2602.03156v1" TargetMode="External"/><Relationship Id="rId96" Type="http://schemas.openxmlformats.org/officeDocument/2006/relationships/hyperlink" Target="https://arxiv.org/abs/2602.03176v1" TargetMode="External"/><Relationship Id="rId97" Type="http://schemas.openxmlformats.org/officeDocument/2006/relationships/hyperlink" Target="https://arxiv.org/abs/2602.03210v1" TargetMode="External"/><Relationship Id="rId98" Type="http://schemas.openxmlformats.org/officeDocument/2006/relationships/hyperlink" Target="https://arxiv.org/abs/2602.03220v1" TargetMode="External"/><Relationship Id="rId99" Type="http://schemas.openxmlformats.org/officeDocument/2006/relationships/hyperlink" Target="https://arxiv.org/abs/2602.03227v1" TargetMode="External"/><Relationship Id="rId100" Type="http://schemas.openxmlformats.org/officeDocument/2006/relationships/hyperlink" Target="https://arxiv.org/abs/2602.03230v1" TargetMode="External"/><Relationship Id="rId101" Type="http://schemas.openxmlformats.org/officeDocument/2006/relationships/hyperlink" Target="https://arxiv.org/abs/2602.03292v1" TargetMode="External"/><Relationship Id="rId102" Type="http://schemas.openxmlformats.org/officeDocument/2006/relationships/hyperlink" Target="https://arxiv.org/abs/2602.03314v1" TargetMode="External"/><Relationship Id="rId103" Type="http://schemas.openxmlformats.org/officeDocument/2006/relationships/hyperlink" Target="https://arxiv.org/abs/2602.03316v1" TargetMode="External"/><Relationship Id="rId104" Type="http://schemas.openxmlformats.org/officeDocument/2006/relationships/hyperlink" Target="https://arxiv.org/abs/2602.03320v1" TargetMode="External"/><Relationship Id="rId105" Type="http://schemas.openxmlformats.org/officeDocument/2006/relationships/hyperlink" Target="https://arxiv.org/abs/2602.03327v1" TargetMode="External"/><Relationship Id="rId106" Type="http://schemas.openxmlformats.org/officeDocument/2006/relationships/hyperlink" Target="https://arxiv.org/abs/2602.03339v1" TargetMode="External"/><Relationship Id="rId107" Type="http://schemas.openxmlformats.org/officeDocument/2006/relationships/hyperlink" Target="https://arxiv.org/abs/2602.03342v1" TargetMode="External"/><Relationship Id="rId108" Type="http://schemas.openxmlformats.org/officeDocument/2006/relationships/hyperlink" Target="https://arxiv.org/abs/2602.03361v1" TargetMode="External"/><Relationship Id="rId109" Type="http://schemas.openxmlformats.org/officeDocument/2006/relationships/hyperlink" Target="https://arxiv.org/abs/2602.03371v1" TargetMode="External"/><Relationship Id="rId110" Type="http://schemas.openxmlformats.org/officeDocument/2006/relationships/hyperlink" Target="https://arxiv.org/abs/2602.03372v1" TargetMode="External"/><Relationship Id="rId111" Type="http://schemas.openxmlformats.org/officeDocument/2006/relationships/hyperlink" Target="https://arxiv.org/abs/2602.03410v1" TargetMode="External"/><Relationship Id="rId112" Type="http://schemas.openxmlformats.org/officeDocument/2006/relationships/hyperlink" Target="https://arxiv.org/abs/2602.03414v1" TargetMode="External"/><Relationship Id="rId113" Type="http://schemas.openxmlformats.org/officeDocument/2006/relationships/hyperlink" Target="https://arxiv.org/abs/2602.03423v1" TargetMode="External"/><Relationship Id="rId114" Type="http://schemas.openxmlformats.org/officeDocument/2006/relationships/hyperlink" Target="https://arxiv.org/abs/2602.03448v1" TargetMode="External"/><Relationship Id="rId115" Type="http://schemas.openxmlformats.org/officeDocument/2006/relationships/hyperlink" Target="https://arxiv.org/abs/2602.03454v1" TargetMode="External"/><Relationship Id="rId116" Type="http://schemas.openxmlformats.org/officeDocument/2006/relationships/hyperlink" Target="https://arxiv.org/abs/2602.03472v1" TargetMode="External"/><Relationship Id="rId117" Type="http://schemas.openxmlformats.org/officeDocument/2006/relationships/hyperlink" Target="https://arxiv.org/abs/2602.03491v1" TargetMode="External"/><Relationship Id="rId118" Type="http://schemas.openxmlformats.org/officeDocument/2006/relationships/hyperlink" Target="https://arxiv.org/abs/2602.03510v1" TargetMode="External"/><Relationship Id="rId119" Type="http://schemas.openxmlformats.org/officeDocument/2006/relationships/hyperlink" Target="https://arxiv.org/abs/2602.03530v1" TargetMode="External"/><Relationship Id="rId120" Type="http://schemas.openxmlformats.org/officeDocument/2006/relationships/hyperlink" Target="https://arxiv.org/abs/2602.03531v1" TargetMode="External"/><Relationship Id="rId121" Type="http://schemas.openxmlformats.org/officeDocument/2006/relationships/hyperlink" Target="https://arxiv.org/abs/2602.03555v1" TargetMode="External"/><Relationship Id="rId122" Type="http://schemas.openxmlformats.org/officeDocument/2006/relationships/hyperlink" Target="https://arxiv.org/abs/2602.03558v1" TargetMode="External"/><Relationship Id="rId123" Type="http://schemas.openxmlformats.org/officeDocument/2006/relationships/hyperlink" Target="https://arxiv.org/abs/2602.03594v1" TargetMode="External"/><Relationship Id="rId124" Type="http://schemas.openxmlformats.org/officeDocument/2006/relationships/hyperlink" Target="https://arxiv.org/abs/2602.03604v1" TargetMode="External"/><Relationship Id="rId125" Type="http://schemas.openxmlformats.org/officeDocument/2006/relationships/hyperlink" Target="https://arxiv.org/abs/2602.03615v1" TargetMode="External"/><Relationship Id="rId126" Type="http://schemas.openxmlformats.org/officeDocument/2006/relationships/hyperlink" Target="https://arxiv.org/abs/2602.03622v1" TargetMode="External"/><Relationship Id="rId127" Type="http://schemas.openxmlformats.org/officeDocument/2006/relationships/hyperlink" Target="https://arxiv.org/abs/2602.03625v1" TargetMode="External"/><Relationship Id="rId128" Type="http://schemas.openxmlformats.org/officeDocument/2006/relationships/hyperlink" Target="https://arxiv.org/abs/2602.03665v1" TargetMode="External"/><Relationship Id="rId129" Type="http://schemas.openxmlformats.org/officeDocument/2006/relationships/hyperlink" Target="https://arxiv.org/abs/2602.03742v1" TargetMode="External"/><Relationship Id="rId130" Type="http://schemas.openxmlformats.org/officeDocument/2006/relationships/hyperlink" Target="https://arxiv.org/abs/2602.03749v1" TargetMode="External"/><Relationship Id="rId131" Type="http://schemas.openxmlformats.org/officeDocument/2006/relationships/hyperlink" Target="https://arxiv.org/abs/2602.03750v1" TargetMode="External"/><Relationship Id="rId132" Type="http://schemas.openxmlformats.org/officeDocument/2006/relationships/hyperlink" Target="https://arxiv.org/abs/2602.03753v1" TargetMode="External"/><Relationship Id="rId133" Type="http://schemas.openxmlformats.org/officeDocument/2006/relationships/hyperlink" Target="https://arxiv.org/abs/2602.03760v1" TargetMode="External"/><Relationship Id="rId134" Type="http://schemas.openxmlformats.org/officeDocument/2006/relationships/hyperlink" Target="https://arxiv.org/abs/2602.03766v1" TargetMode="External"/><Relationship Id="rId135" Type="http://schemas.openxmlformats.org/officeDocument/2006/relationships/hyperlink" Target="https://arxiv.org/abs/2602.03785v1" TargetMode="External"/><Relationship Id="rId136" Type="http://schemas.openxmlformats.org/officeDocument/2006/relationships/hyperlink" Target="https://arxiv.org/abs/2602.03793v1" TargetMode="External"/><Relationship Id="rId137" Type="http://schemas.openxmlformats.org/officeDocument/2006/relationships/hyperlink" Target="https://arxiv.org/abs/2602.03796v1" TargetMode="External"/><Relationship Id="rId138" Type="http://schemas.openxmlformats.org/officeDocument/2006/relationships/hyperlink" Target="https://arxiv.org/abs/2602.03811v1" TargetMode="External"/><Relationship Id="rId139" Type="http://schemas.openxmlformats.org/officeDocument/2006/relationships/hyperlink" Target="https://arxiv.org/abs/2602.03826v1" TargetMode="External"/><Relationship Id="rId140" Type="http://schemas.openxmlformats.org/officeDocument/2006/relationships/hyperlink" Target="https://arxiv.org/abs/2602.03838v1" TargetMode="External"/><Relationship Id="rId141" Type="http://schemas.openxmlformats.org/officeDocument/2006/relationships/hyperlink" Target="https://arxiv.org/abs/2602.03847v1" TargetMode="External"/><Relationship Id="rId142" Type="http://schemas.openxmlformats.org/officeDocument/2006/relationships/hyperlink" Target="https://doi.org/10.1038/s41467-026-68701-z" TargetMode="External"/><Relationship Id="rId143" Type="http://schemas.openxmlformats.org/officeDocument/2006/relationships/hyperlink" Target="https://doi.org/10.1038/s41467-026-68940-0" TargetMode="External"/><Relationship Id="rId144" Type="http://schemas.openxmlformats.org/officeDocument/2006/relationships/hyperlink" Target="https://doi.org/10.1038/s41467-025-68032-5" TargetMode="External"/><Relationship Id="rId145" Type="http://schemas.openxmlformats.org/officeDocument/2006/relationships/hyperlink" Target="https://doi.org/10.1038/s41467-026-68931-1" TargetMode="External"/><Relationship Id="rId146" Type="http://schemas.openxmlformats.org/officeDocument/2006/relationships/hyperlink" Target="https://doi.org/10.1038/s41467-026-69101-z" TargetMode="External"/><Relationship Id="rId147" Type="http://schemas.openxmlformats.org/officeDocument/2006/relationships/hyperlink" Target="https://doi.org/10.1038/s41467-025-68260-9" TargetMode="External"/><Relationship Id="rId148" Type="http://schemas.openxmlformats.org/officeDocument/2006/relationships/hyperlink" Target="https://doi.org/10.1038/s41467-026-68653-4" TargetMode="External"/><Relationship Id="rId149" Type="http://schemas.openxmlformats.org/officeDocument/2006/relationships/hyperlink" Target="https://doi.org/10.1038/s41467-026-69065-0" TargetMode="External"/><Relationship Id="rId150" Type="http://schemas.openxmlformats.org/officeDocument/2006/relationships/hyperlink" Target="https://doi.org/10.1038/s41467-026-69112-w" TargetMode="External"/><Relationship Id="rId151" Type="http://schemas.openxmlformats.org/officeDocument/2006/relationships/hyperlink" Target="https://doi.org/10.1038/s41467-026-69087-8" TargetMode="External"/><Relationship Id="rId152" Type="http://schemas.openxmlformats.org/officeDocument/2006/relationships/hyperlink" Target="https://doi.org/10.1038/s41467-026-68918-y" TargetMode="External"/><Relationship Id="rId153" Type="http://schemas.openxmlformats.org/officeDocument/2006/relationships/hyperlink" Target="https://doi.org/10.1038/s41467-026-69042-7" TargetMode="External"/><Relationship Id="rId154" Type="http://schemas.openxmlformats.org/officeDocument/2006/relationships/hyperlink" Target="https://doi.org/10.1038/s41467-025-68264-5" TargetMode="External"/><Relationship Id="rId155" Type="http://schemas.openxmlformats.org/officeDocument/2006/relationships/hyperlink" Target="https://doi.org/10.1038/s41467-026-68936-w" TargetMode="External"/><Relationship Id="rId156" Type="http://schemas.openxmlformats.org/officeDocument/2006/relationships/hyperlink" Target="https://doi.org/10.1126/sciadv.aeb3022" TargetMode="External"/><Relationship Id="rId157" Type="http://schemas.openxmlformats.org/officeDocument/2006/relationships/hyperlink" Target="https://doi.org/10.1126/sciadv.adx7204" TargetMode="External"/><Relationship Id="rId158" Type="http://schemas.openxmlformats.org/officeDocument/2006/relationships/hyperlink" Target="https://doi.org/10.1126/sciadv.aea3960" TargetMode="External"/><Relationship Id="rId159" Type="http://schemas.openxmlformats.org/officeDocument/2006/relationships/hyperlink" Target="https://doi.org/10.1126/sciadv.adz4585" TargetMode="External"/><Relationship Id="rId160" Type="http://schemas.openxmlformats.org/officeDocument/2006/relationships/hyperlink" Target="https://doi.org/10.1126/sciadv.adz1565" TargetMode="External"/><Relationship Id="rId161" Type="http://schemas.openxmlformats.org/officeDocument/2006/relationships/hyperlink" Target="https://doi.org/10.1126/sciadv.aea2831" TargetMode="External"/><Relationship Id="rId162" Type="http://schemas.openxmlformats.org/officeDocument/2006/relationships/hyperlink" Target="https://doi.org/10.1126/sciadv.aea4466" TargetMode="External"/><Relationship Id="rId163" Type="http://schemas.openxmlformats.org/officeDocument/2006/relationships/hyperlink" Target="https://doi.org/10.1126/sciadv.aea8571" TargetMode="External"/><Relationship Id="rId164" Type="http://schemas.openxmlformats.org/officeDocument/2006/relationships/hyperlink" Target="https://doi.org/10.1126/sciadv.adx6539" TargetMode="External"/><Relationship Id="rId165" Type="http://schemas.openxmlformats.org/officeDocument/2006/relationships/hyperlink" Target="https://doi.org/10.1126/sciadv.aeb4073" TargetMode="External"/><Relationship Id="rId166" Type="http://schemas.openxmlformats.org/officeDocument/2006/relationships/hyperlink" Target="https://doi.org/10.1126/sciadv.adx2075" TargetMode="External"/><Relationship Id="rId167" Type="http://schemas.openxmlformats.org/officeDocument/2006/relationships/hyperlink" Target="https://doi.org/10.1126/sciadv.ady6978" TargetMode="External"/><Relationship Id="rId168" Type="http://schemas.openxmlformats.org/officeDocument/2006/relationships/hyperlink" Target="https://doi.org/10.1126/sciadv.aed1952" TargetMode="External"/><Relationship Id="rId169" Type="http://schemas.openxmlformats.org/officeDocument/2006/relationships/hyperlink" Target="https://doi.org/10.1126/sciadv.aed2184" TargetMode="External"/><Relationship Id="rId170" Type="http://schemas.openxmlformats.org/officeDocument/2006/relationships/hyperlink" Target="https://doi.org/10.1126/sciadv.aea7983" TargetMode="External"/><Relationship Id="rId171" Type="http://schemas.openxmlformats.org/officeDocument/2006/relationships/hyperlink" Target="https://doi.org/10.1126/sciadv.aeb7242" TargetMode="External"/><Relationship Id="rId172" Type="http://schemas.openxmlformats.org/officeDocument/2006/relationships/hyperlink" Target="https://doi.org/10.1126/sciadv.ady0545" TargetMode="External"/><Relationship Id="rId173" Type="http://schemas.openxmlformats.org/officeDocument/2006/relationships/hyperlink" Target="https://doi.org/10.1126/sciadv.aeb1158" TargetMode="External"/><Relationship Id="rId174" Type="http://schemas.openxmlformats.org/officeDocument/2006/relationships/hyperlink" Target="https://doi.org/10.1126/sciadv.aeb1378" TargetMode="External"/><Relationship Id="rId175" Type="http://schemas.openxmlformats.org/officeDocument/2006/relationships/hyperlink" Target="https://doi.org/10.1126/sciadv.adz8962" TargetMode="External"/><Relationship Id="rId176" Type="http://schemas.openxmlformats.org/officeDocument/2006/relationships/hyperlink" Target="https://doi.org/10.1126/sciadv.aea5236" TargetMode="External"/><Relationship Id="rId177" Type="http://schemas.openxmlformats.org/officeDocument/2006/relationships/hyperlink" Target="https://doi.org/10.1126/sciadv.adx5130" TargetMode="External"/><Relationship Id="rId178" Type="http://schemas.openxmlformats.org/officeDocument/2006/relationships/hyperlink" Target="https://doi.org/10.1126/sciadv.aea5313" TargetMode="External"/><Relationship Id="rId179" Type="http://schemas.openxmlformats.org/officeDocument/2006/relationships/hyperlink" Target="https://doi.org/10.1126/sciadv.adv0423" TargetMode="External"/><Relationship Id="rId180" Type="http://schemas.openxmlformats.org/officeDocument/2006/relationships/hyperlink" Target="https://doi.org/10.1126/sciadv.aeb6329" TargetMode="External"/><Relationship Id="rId181" Type="http://schemas.openxmlformats.org/officeDocument/2006/relationships/hyperlink" Target="https://doi.org/10.1126/sciadv.aeb5769" TargetMode="External"/><Relationship Id="rId182" Type="http://schemas.openxmlformats.org/officeDocument/2006/relationships/hyperlink" Target="https://doi.org/10.1126/sciadv.aec5309" TargetMode="External"/><Relationship Id="rId183" Type="http://schemas.openxmlformats.org/officeDocument/2006/relationships/hyperlink" Target="https://doi.org/10.1126/sciadv.ady8981" TargetMode="External"/><Relationship Id="rId184" Type="http://schemas.openxmlformats.org/officeDocument/2006/relationships/hyperlink" Target="https://doi.org/10.1126/sciadv.adu5874" TargetMode="External"/><Relationship Id="rId185" Type="http://schemas.openxmlformats.org/officeDocument/2006/relationships/hyperlink" Target="https://doi.org/10.1038/s41598-026-37958-1" TargetMode="External"/><Relationship Id="rId186" Type="http://schemas.openxmlformats.org/officeDocument/2006/relationships/hyperlink" Target="https://doi.org/10.1038/s41598-025-31319-0" TargetMode="External"/><Relationship Id="rId187" Type="http://schemas.openxmlformats.org/officeDocument/2006/relationships/hyperlink" Target="https://doi.org/10.1038/s41598-026-37788-1" TargetMode="External"/><Relationship Id="rId188" Type="http://schemas.openxmlformats.org/officeDocument/2006/relationships/hyperlink" Target="https://doi.org/10.1038/s41598-025-27311-3" TargetMode="External"/><Relationship Id="rId189" Type="http://schemas.openxmlformats.org/officeDocument/2006/relationships/hyperlink" Target="https://doi.org/10.1038/s41598-026-38617-1" TargetMode="External"/><Relationship Id="rId190" Type="http://schemas.openxmlformats.org/officeDocument/2006/relationships/hyperlink" Target="https://doi.org/10.1038/s41598-026-38383-0" TargetMode="External"/><Relationship Id="rId191" Type="http://schemas.openxmlformats.org/officeDocument/2006/relationships/hyperlink" Target="https://doi.org/10.1038/s41598-026-36163-4" TargetMode="External"/><Relationship Id="rId192" Type="http://schemas.openxmlformats.org/officeDocument/2006/relationships/hyperlink" Target="https://doi.org/10.1038/s41598-026-36056-6" TargetMode="External"/><Relationship Id="rId193" Type="http://schemas.openxmlformats.org/officeDocument/2006/relationships/hyperlink" Target="https://doi.org/10.1038/s41598-026-38348-3" TargetMode="External"/><Relationship Id="rId194" Type="http://schemas.openxmlformats.org/officeDocument/2006/relationships/hyperlink" Target="https://doi.org/10.1038/s41598-026-35701-4" TargetMode="External"/><Relationship Id="rId195" Type="http://schemas.openxmlformats.org/officeDocument/2006/relationships/hyperlink" Target="https://doi.org/10.1038/s41598-026-37642-4" TargetMode="External"/><Relationship Id="rId196" Type="http://schemas.openxmlformats.org/officeDocument/2006/relationships/hyperlink" Target="https://doi.org/10.1038/s41598-026-37562-3" TargetMode="External"/><Relationship Id="rId197" Type="http://schemas.openxmlformats.org/officeDocument/2006/relationships/hyperlink" Target="https://doi.org/10.1038/s41598-026-37069-x" TargetMode="External"/><Relationship Id="rId198" Type="http://schemas.openxmlformats.org/officeDocument/2006/relationships/hyperlink" Target="https://doi.org/10.1038/s41598-026-36966-5" TargetMode="External"/><Relationship Id="rId199" Type="http://schemas.openxmlformats.org/officeDocument/2006/relationships/hyperlink" Target="https://doi.org/10.1038/s41598-026-35527-0" TargetMode="External"/><Relationship Id="rId200" Type="http://schemas.openxmlformats.org/officeDocument/2006/relationships/hyperlink" Target="https://doi.org/10.1038/s41598-026-35601-7" TargetMode="External"/><Relationship Id="rId201" Type="http://schemas.openxmlformats.org/officeDocument/2006/relationships/hyperlink" Target="https://doi.org/10.1038/s41598-026-37836-w" TargetMode="External"/><Relationship Id="rId202" Type="http://schemas.openxmlformats.org/officeDocument/2006/relationships/hyperlink" Target="https://doi.org/10.1038/s41598-026-38219-x" TargetMode="External"/><Relationship Id="rId203" Type="http://schemas.openxmlformats.org/officeDocument/2006/relationships/hyperlink" Target="https://doi.org/10.1038/s41598-026-38476-w" TargetMode="External"/><Relationship Id="rId204" Type="http://schemas.openxmlformats.org/officeDocument/2006/relationships/hyperlink" Target="https://doi.org/10.1038/s41598-026-38249-5" TargetMode="External"/><Relationship Id="rId205" Type="http://schemas.openxmlformats.org/officeDocument/2006/relationships/hyperlink" Target="https://doi.org/10.1038/s41598-026-38419-5" TargetMode="External"/><Relationship Id="rId206" Type="http://schemas.openxmlformats.org/officeDocument/2006/relationships/hyperlink" Target="https://doi.org/10.1038/s41598-026-37659-9" TargetMode="External"/><Relationship Id="rId207" Type="http://schemas.openxmlformats.org/officeDocument/2006/relationships/hyperlink" Target="https://doi.org/10.1038/s41598-026-37219-1" TargetMode="External"/><Relationship Id="rId208" Type="http://schemas.openxmlformats.org/officeDocument/2006/relationships/hyperlink" Target="https://doi.org/10.1038/s41598-026-37692-8" TargetMode="External"/><Relationship Id="rId209" Type="http://schemas.openxmlformats.org/officeDocument/2006/relationships/hyperlink" Target="https://doi.org/10.1038/s41598-026-38321-0" TargetMode="External"/><Relationship Id="rId210" Type="http://schemas.openxmlformats.org/officeDocument/2006/relationships/hyperlink" Target="https://doi.org/10.1038/s41598-026-38402-0" TargetMode="External"/><Relationship Id="rId211" Type="http://schemas.openxmlformats.org/officeDocument/2006/relationships/hyperlink" Target="https://doi.org/10.1038/s41598-026-38107-4" TargetMode="External"/><Relationship Id="rId212" Type="http://schemas.openxmlformats.org/officeDocument/2006/relationships/hyperlink" Target="https://doi.org/10.1038/s41598-026-38050-4" TargetMode="External"/><Relationship Id="rId213" Type="http://schemas.openxmlformats.org/officeDocument/2006/relationships/hyperlink" Target="https://doi.org/10.1016/j.optcom.2026.132992" TargetMode="External"/><Relationship Id="rId214" Type="http://schemas.openxmlformats.org/officeDocument/2006/relationships/hyperlink" Target="https://doi.org/10.1364/ol.584145" TargetMode="External"/><Relationship Id="rId215" Type="http://schemas.openxmlformats.org/officeDocument/2006/relationships/hyperlink" Target="https://doi.org/10.1364/optica.571318" TargetMode="External"/><Relationship Id="rId216" Type="http://schemas.openxmlformats.org/officeDocument/2006/relationships/hyperlink" Target="https://doi.org/10.1038/s41592-025-02945-3" TargetMode="External"/><Relationship Id="rId217" Type="http://schemas.openxmlformats.org/officeDocument/2006/relationships/hyperlink" Target="https://doi.org/10.1038/s41592-025-02943-5" TargetMode="External"/><Relationship Id="rId218" Type="http://schemas.openxmlformats.org/officeDocument/2006/relationships/hyperlink" Target="https://doi.org/10.1038/s41592-025-02906-w" TargetMode="External"/><Relationship Id="rId219" Type="http://schemas.openxmlformats.org/officeDocument/2006/relationships/hyperlink" Target="https://doi.org/10.1038/s41592-025-02971-1" TargetMode="External"/><Relationship Id="rId220" Type="http://schemas.openxmlformats.org/officeDocument/2006/relationships/hyperlink" Target="https://doi.org/10.1038/s41592-025-02985-9" TargetMode="External"/><Relationship Id="rId221" Type="http://schemas.openxmlformats.org/officeDocument/2006/relationships/hyperlink" Target="https://doi.org/10.1038/s41592-025-02988-6" TargetMode="External"/><Relationship Id="rId222" Type="http://schemas.openxmlformats.org/officeDocument/2006/relationships/hyperlink" Target="https://doi.org/10.1038/s41592-025-02925-7" TargetMode="External"/><Relationship Id="rId223" Type="http://schemas.openxmlformats.org/officeDocument/2006/relationships/hyperlink" Target="https://doi.org/10.1038/s41592-025-02966-y" TargetMode="External"/><Relationship Id="rId224" Type="http://schemas.openxmlformats.org/officeDocument/2006/relationships/hyperlink" Target="https://doi.org/10.1038/s41592-025-02869-y" TargetMode="External"/><Relationship Id="rId225" Type="http://schemas.openxmlformats.org/officeDocument/2006/relationships/hyperlink" Target="https://doi.org/10.1038/s41592-025-02905-x" TargetMode="External"/><Relationship Id="rId226" Type="http://schemas.openxmlformats.org/officeDocument/2006/relationships/hyperlink" Target="https://doi.org/10.1038/s41592-025-02935-5" TargetMode="External"/><Relationship Id="rId227" Type="http://schemas.openxmlformats.org/officeDocument/2006/relationships/hyperlink" Target="https://doi.org/10.1038/s41592-025-02968-w" TargetMode="External"/><Relationship Id="rId228" Type="http://schemas.openxmlformats.org/officeDocument/2006/relationships/hyperlink" Target="https://doi.org/10.1038/s41592-025-02960-4" TargetMode="External"/><Relationship Id="rId229" Type="http://schemas.openxmlformats.org/officeDocument/2006/relationships/hyperlink" Target="https://doi.org/10.1038/s41592-025-02964-0" TargetMode="External"/><Relationship Id="rId230" Type="http://schemas.openxmlformats.org/officeDocument/2006/relationships/hyperlink" Target="https://doi.org/10.1038/s41592-025-02973-z" TargetMode="External"/><Relationship Id="rId231" Type="http://schemas.openxmlformats.org/officeDocument/2006/relationships/hyperlink" Target="https://doi.org/10.1038/s41592-025-02992-w" TargetMode="External"/><Relationship Id="rId232" Type="http://schemas.openxmlformats.org/officeDocument/2006/relationships/hyperlink" Target="https://doi.org/10.1038/s41592-025-02965-z" TargetMode="External"/><Relationship Id="rId233" Type="http://schemas.openxmlformats.org/officeDocument/2006/relationships/hyperlink" Target="https://doi.org/10.1038/s41592-025-02897-8" TargetMode="External"/><Relationship Id="rId234" Type="http://schemas.openxmlformats.org/officeDocument/2006/relationships/hyperlink" Target="https://doi.org/10.1038/s41592-025-02929-3" TargetMode="External"/><Relationship Id="rId235" Type="http://schemas.openxmlformats.org/officeDocument/2006/relationships/hyperlink" Target="https://doi.org/10.1038/s41592-025-02934-6" TargetMode="External"/><Relationship Id="rId236" Type="http://schemas.openxmlformats.org/officeDocument/2006/relationships/hyperlink" Target="https://doi.org/10.1038/s41592-025-02930-w" TargetMode="External"/><Relationship Id="rId237" Type="http://schemas.openxmlformats.org/officeDocument/2006/relationships/hyperlink" Target="https://doi.org/10.1038/s41592-025-02871-4" TargetMode="External"/><Relationship Id="rId238" Type="http://schemas.openxmlformats.org/officeDocument/2006/relationships/hyperlink" Target="https://doi.org/10.1038/s41592-025-02997-5" TargetMode="External"/><Relationship Id="rId239" Type="http://schemas.openxmlformats.org/officeDocument/2006/relationships/hyperlink" Target="https://doi.org/10.1038/s41592-025-02948-0" TargetMode="External"/><Relationship Id="rId240" Type="http://schemas.openxmlformats.org/officeDocument/2006/relationships/hyperlink" Target="https://doi.org/10.1038/s41567-025-03086-2" TargetMode="External"/><Relationship Id="rId241" Type="http://schemas.openxmlformats.org/officeDocument/2006/relationships/hyperlink" Target="https://doi.org/10.1038/s41567-025-03095-1" TargetMode="External"/><Relationship Id="rId242" Type="http://schemas.openxmlformats.org/officeDocument/2006/relationships/hyperlink" Target="https://doi.org/10.1038/s41567-025-03101-6" TargetMode="External"/><Relationship Id="rId243" Type="http://schemas.openxmlformats.org/officeDocument/2006/relationships/hyperlink" Target="https://doi.org/10.1038/s41567-025-03116-z" TargetMode="External"/><Relationship Id="rId244" Type="http://schemas.openxmlformats.org/officeDocument/2006/relationships/hyperlink" Target="https://doi.org/10.1038/s41567-025-03115-0" TargetMode="External"/><Relationship Id="rId245" Type="http://schemas.openxmlformats.org/officeDocument/2006/relationships/hyperlink" Target="https://doi.org/10.1038/s41567-025-03094-2" TargetMode="External"/><Relationship Id="rId246" Type="http://schemas.openxmlformats.org/officeDocument/2006/relationships/hyperlink" Target="https://doi.org/10.1038/s41567-025-03107-0" TargetMode="External"/><Relationship Id="rId247" Type="http://schemas.openxmlformats.org/officeDocument/2006/relationships/hyperlink" Target="https://doi.org/10.1038/s41567-025-03113-2" TargetMode="External"/><Relationship Id="rId248" Type="http://schemas.openxmlformats.org/officeDocument/2006/relationships/hyperlink" Target="https://doi.org/10.1038/s41567-025-03133-y" TargetMode="External"/><Relationship Id="rId249" Type="http://schemas.openxmlformats.org/officeDocument/2006/relationships/hyperlink" Target="https://doi.org/10.1038/s41567-025-03123-0" TargetMode="External"/><Relationship Id="rId250" Type="http://schemas.openxmlformats.org/officeDocument/2006/relationships/hyperlink" Target="https://doi.org/10.1038/s41567-025-03122-1" TargetMode="External"/><Relationship Id="rId251" Type="http://schemas.openxmlformats.org/officeDocument/2006/relationships/hyperlink" Target="https://doi.org/10.1038/s41567-025-03136-9" TargetMode="External"/><Relationship Id="rId252" Type="http://schemas.openxmlformats.org/officeDocument/2006/relationships/hyperlink" Target="https://doi.org/10.1038/s41567-025-03117-y" TargetMode="External"/><Relationship Id="rId253" Type="http://schemas.openxmlformats.org/officeDocument/2006/relationships/hyperlink" Target="https://doi.org/10.1038/s41567-025-03124-z" TargetMode="External"/><Relationship Id="rId254" Type="http://schemas.openxmlformats.org/officeDocument/2006/relationships/hyperlink" Target="https://doi.org/10.1038/s41567-025-03132-z" TargetMode="External"/><Relationship Id="rId255" Type="http://schemas.openxmlformats.org/officeDocument/2006/relationships/hyperlink" Target="https://doi.org/10.1038/s41567-025-03131-0" TargetMode="External"/><Relationship Id="rId256" Type="http://schemas.openxmlformats.org/officeDocument/2006/relationships/hyperlink" Target="https://doi.org/10.1038/s41567-025-03161-8" TargetMode="External"/><Relationship Id="rId257" Type="http://schemas.openxmlformats.org/officeDocument/2006/relationships/hyperlink" Target="https://doi.org/10.1038/s41567-026-03172-z" TargetMode="External"/><Relationship Id="rId258" Type="http://schemas.openxmlformats.org/officeDocument/2006/relationships/hyperlink" Target="https://doi.org/10.1038/s42256-025-01105-8" TargetMode="External"/><Relationship Id="rId259" Type="http://schemas.openxmlformats.org/officeDocument/2006/relationships/hyperlink" Target="https://doi.org/10.1038/s42256-025-01116-5" TargetMode="External"/><Relationship Id="rId260" Type="http://schemas.openxmlformats.org/officeDocument/2006/relationships/hyperlink" Target="https://doi.org/10.1038/s42256-025-01131-6" TargetMode="External"/><Relationship Id="rId261" Type="http://schemas.openxmlformats.org/officeDocument/2006/relationships/hyperlink" Target="https://doi.org/10.1038/s42256-025-01139-y" TargetMode="External"/><Relationship Id="rId262" Type="http://schemas.openxmlformats.org/officeDocument/2006/relationships/hyperlink" Target="https://doi.org/10.1038/s42256-025-01130-7" TargetMode="External"/><Relationship Id="rId263" Type="http://schemas.openxmlformats.org/officeDocument/2006/relationships/hyperlink" Target="https://doi.org/10.1038/s42256-025-01142-3" TargetMode="External"/><Relationship Id="rId264" Type="http://schemas.openxmlformats.org/officeDocument/2006/relationships/hyperlink" Target="https://doi.org/10.1038/s42256-025-01144-1" TargetMode="External"/><Relationship Id="rId265" Type="http://schemas.openxmlformats.org/officeDocument/2006/relationships/hyperlink" Target="https://doi.org/10.1038/s42256-025-01122-7" TargetMode="External"/><Relationship Id="rId266" Type="http://schemas.openxmlformats.org/officeDocument/2006/relationships/hyperlink" Target="https://doi.org/10.1038/s42256-025-01166-9" TargetMode="External"/><Relationship Id="rId267" Type="http://schemas.openxmlformats.org/officeDocument/2006/relationships/hyperlink" Target="https://doi.org/10.1038/s42256-025-01161-0" TargetMode="External"/><Relationship Id="rId268" Type="http://schemas.openxmlformats.org/officeDocument/2006/relationships/hyperlink" Target="https://doi.org/10.1038/s42256-025-01162-z" TargetMode="External"/><Relationship Id="rId269" Type="http://schemas.openxmlformats.org/officeDocument/2006/relationships/hyperlink" Target="https://doi.org/10.1038/s42256-025-01167-8" TargetMode="External"/><Relationship Id="rId270" Type="http://schemas.openxmlformats.org/officeDocument/2006/relationships/hyperlink" Target="https://doi.org/10.1038/s41551-025-01542-1" TargetMode="External"/><Relationship Id="rId271" Type="http://schemas.openxmlformats.org/officeDocument/2006/relationships/hyperlink" Target="https://doi.org/10.1038/s41551-025-01544-z" TargetMode="External"/><Relationship Id="rId272" Type="http://schemas.openxmlformats.org/officeDocument/2006/relationships/hyperlink" Target="https://doi.org/10.1038/s41551-025-01561-y" TargetMode="External"/><Relationship Id="rId273" Type="http://schemas.openxmlformats.org/officeDocument/2006/relationships/hyperlink" Target="https://doi.org/10.1038/s41551-025-01554-x" TargetMode="External"/><Relationship Id="rId274" Type="http://schemas.openxmlformats.org/officeDocument/2006/relationships/hyperlink" Target="https://doi.org/10.1038/s41551-025-01581-8" TargetMode="External"/><Relationship Id="rId275" Type="http://schemas.openxmlformats.org/officeDocument/2006/relationships/hyperlink" Target="https://doi.org/10.1038/s41551-025-01574-7" TargetMode="External"/><Relationship Id="rId276" Type="http://schemas.openxmlformats.org/officeDocument/2006/relationships/hyperlink" Target="https://doi.org/10.1038/s41551-025-01603-5" TargetMode="External"/><Relationship Id="rId277" Type="http://schemas.openxmlformats.org/officeDocument/2006/relationships/hyperlink" Target="https://doi.org/10.1038/s41551-025-01593-4" TargetMode="External"/><Relationship Id="rId278" Type="http://schemas.openxmlformats.org/officeDocument/2006/relationships/hyperlink" Target="https://doi.org/10.1038/s41551-026-01611-z" TargetMode="External"/><Relationship Id="rId279" Type="http://schemas.openxmlformats.org/officeDocument/2006/relationships/hyperlink" Target="https://doi.org/10.1038/s41551-025-01585-4" TargetMode="External"/><Relationship Id="rId280" Type="http://schemas.openxmlformats.org/officeDocument/2006/relationships/hyperlink" Target="https://doi.org/10.1038/s41551-025-01586-3" TargetMode="External"/><Relationship Id="rId281" Type="http://schemas.openxmlformats.org/officeDocument/2006/relationships/hyperlink" Target="https://doi.org/10.1364/josaa.582961" TargetMode="External"/><Relationship Id="rId282" Type="http://schemas.openxmlformats.org/officeDocument/2006/relationships/hyperlink" Target="https://doi.org/10.1103/bpjc-8kz7" TargetMode="External"/><Relationship Id="rId283" Type="http://schemas.openxmlformats.org/officeDocument/2006/relationships/hyperlink" Target="https://doi.org/10.1103/44rc-34n1" TargetMode="External"/><Relationship Id="rId284" Type="http://schemas.openxmlformats.org/officeDocument/2006/relationships/hyperlink" Target="https://doi.org/10.1103/2qrz-5b94" TargetMode="External"/><Relationship Id="rId285" Type="http://schemas.openxmlformats.org/officeDocument/2006/relationships/hyperlink" Target="https://doi.org/10.1103/yk7n-lrpj" TargetMode="External"/><Relationship Id="rId286" Type="http://schemas.openxmlformats.org/officeDocument/2006/relationships/hyperlink" Target="https://doi.org/10.1103/k8sv-lp1j" TargetMode="External"/><Relationship Id="rId287" Type="http://schemas.openxmlformats.org/officeDocument/2006/relationships/hyperlink" Target="https://doi.org/10.1103/3ml4-gr6h" TargetMode="External"/><Relationship Id="rId288" Type="http://schemas.openxmlformats.org/officeDocument/2006/relationships/hyperlink" Target="https://doi.org/10.1103/nw4m-s6xy" TargetMode="External"/><Relationship Id="rId289" Type="http://schemas.openxmlformats.org/officeDocument/2006/relationships/hyperlink" Target="https://doi.org/10.1103/55pk-rxzg" TargetMode="External"/><Relationship Id="rId290" Type="http://schemas.openxmlformats.org/officeDocument/2006/relationships/hyperlink" Target="https://doi.org/10.1103/h2l1-fcz9" TargetMode="External"/><Relationship Id="rId291" Type="http://schemas.openxmlformats.org/officeDocument/2006/relationships/hyperlink" Target="https://doi.org/10.1103/gttv-6lqc" TargetMode="External"/><Relationship Id="rId292" Type="http://schemas.openxmlformats.org/officeDocument/2006/relationships/hyperlink" Target="https://doi.org/10.1103/nmbq-w5dm" TargetMode="External"/><Relationship Id="rId293" Type="http://schemas.openxmlformats.org/officeDocument/2006/relationships/hyperlink" Target="https://doi.org/10.1103/wh12-sm3t" TargetMode="External"/><Relationship Id="rId294" Type="http://schemas.openxmlformats.org/officeDocument/2006/relationships/hyperlink" Target="https://doi.org/10.1103/fv5l-rjyv" TargetMode="External"/><Relationship Id="rId295" Type="http://schemas.openxmlformats.org/officeDocument/2006/relationships/hyperlink" Target="https://doi.org/10.1103/kh5d-jrxw" TargetMode="External"/><Relationship Id="rId296" Type="http://schemas.openxmlformats.org/officeDocument/2006/relationships/hyperlink" Target="https://doi.org/10.1103/mtjf-ylf7" TargetMode="External"/><Relationship Id="rId297" Type="http://schemas.openxmlformats.org/officeDocument/2006/relationships/hyperlink" Target="https://doi.org/10.1103/s5j9-cbg7" TargetMode="External"/><Relationship Id="rId298" Type="http://schemas.openxmlformats.org/officeDocument/2006/relationships/hyperlink" Target="https://doi.org/10.1103/bjpc-8xcf" TargetMode="External"/><Relationship Id="rId299" Type="http://schemas.openxmlformats.org/officeDocument/2006/relationships/hyperlink" Target="https://doi.org/10.1103/kmn8-y59j" TargetMode="External"/><Relationship Id="rId300" Type="http://schemas.openxmlformats.org/officeDocument/2006/relationships/hyperlink" Target="https://doi.org/10.1103/y6dt-1sfw" TargetMode="External"/><Relationship Id="rId301" Type="http://schemas.openxmlformats.org/officeDocument/2006/relationships/hyperlink" Target="https://doi.org/10.1103/c93j-k53f" TargetMode="External"/><Relationship Id="rId302" Type="http://schemas.openxmlformats.org/officeDocument/2006/relationships/hyperlink" Target="https://doi.org/10.1103/grzx-v6sj" TargetMode="External"/><Relationship Id="rId303" Type="http://schemas.openxmlformats.org/officeDocument/2006/relationships/hyperlink" Target="https://doi.org/10.1103/zdpg-mhpc" TargetMode="External"/><Relationship Id="rId304" Type="http://schemas.openxmlformats.org/officeDocument/2006/relationships/hyperlink" Target="https://doi.org/10.1103/x76f-2vj8" TargetMode="External"/><Relationship Id="rId305" Type="http://schemas.openxmlformats.org/officeDocument/2006/relationships/hyperlink" Target="https://doi.org/10.1103/7m1b-hxy8" TargetMode="External"/><Relationship Id="rId306" Type="http://schemas.openxmlformats.org/officeDocument/2006/relationships/hyperlink" Target="https://doi.org/10.1103/2dyh-yhrb" TargetMode="External"/><Relationship Id="rId307" Type="http://schemas.openxmlformats.org/officeDocument/2006/relationships/hyperlink" Target="https://doi.org/10.1103/37vk-qz71" TargetMode="External"/><Relationship Id="rId308" Type="http://schemas.openxmlformats.org/officeDocument/2006/relationships/hyperlink" Target="https://doi.org/10.1103/hhgy-9rd4" TargetMode="External"/><Relationship Id="rId309" Type="http://schemas.openxmlformats.org/officeDocument/2006/relationships/hyperlink" Target="https://doi.org/10.1103/t7tm-nxyl" TargetMode="External"/><Relationship Id="rId310" Type="http://schemas.openxmlformats.org/officeDocument/2006/relationships/hyperlink" Target="https://doi.org/10.1038/s41586-025-10029-7" TargetMode="External"/><Relationship Id="rId311" Type="http://schemas.openxmlformats.org/officeDocument/2006/relationships/hyperlink" Target="https://doi.org/10.1038/s41586-025-09973-1" TargetMode="External"/><Relationship Id="rId312" Type="http://schemas.openxmlformats.org/officeDocument/2006/relationships/hyperlink" Target="https://doi.org/10.1038/s41586-025-10049-3" TargetMode="External"/><Relationship Id="rId313" Type="http://schemas.openxmlformats.org/officeDocument/2006/relationships/hyperlink" Target="https://doi.org/10.1038/d41586-026-00275-8" TargetMode="External"/><Relationship Id="rId314" Type="http://schemas.openxmlformats.org/officeDocument/2006/relationships/hyperlink" Target="https://doi.org/10.1038/d41586-026-00274-9" TargetMode="External"/><Relationship Id="rId315" Type="http://schemas.openxmlformats.org/officeDocument/2006/relationships/hyperlink" Target="https://doi.org/10.1038/d41586-026-00276-7" TargetMode="External"/><Relationship Id="rId316" Type="http://schemas.openxmlformats.org/officeDocument/2006/relationships/hyperlink" Target="https://doi.org/10.1038/d41586-026-00307-3" TargetMode="External"/><Relationship Id="rId317" Type="http://schemas.openxmlformats.org/officeDocument/2006/relationships/hyperlink" Target="https://doi.org/10.1038/s41586-026-10177-4" TargetMode="External"/><Relationship Id="rId318" Type="http://schemas.openxmlformats.org/officeDocument/2006/relationships/hyperlink" Target="https://doi.org/10.1038/d41586-026-00311-7" TargetMode="External"/><Relationship Id="rId319" Type="http://schemas.openxmlformats.org/officeDocument/2006/relationships/hyperlink" Target="https://doi.org/10.1038/d41586-026-00353-x" TargetMode="External"/><Relationship Id="rId320" Type="http://schemas.openxmlformats.org/officeDocument/2006/relationships/hyperlink" Target="https://doi.org/10.1126/science.adw8301" TargetMode="External"/><Relationship Id="rId321" Type="http://schemas.openxmlformats.org/officeDocument/2006/relationships/hyperlink" Target="https://doi.org/10.1126/science.aef5688" TargetMode="External"/><Relationship Id="rId322" Type="http://schemas.openxmlformats.org/officeDocument/2006/relationships/hyperlink" Target="https://doi.org/10.1126/science.adx2872" TargetMode="External"/><Relationship Id="rId323" Type="http://schemas.openxmlformats.org/officeDocument/2006/relationships/hyperlink" Target="https://doi.org/10.1126/science.adx1736" TargetMode="External"/><Relationship Id="rId324" Type="http://schemas.openxmlformats.org/officeDocument/2006/relationships/hyperlink" Target="https://doi.org/10.1126/science.adx9445" TargetMode="External"/><Relationship Id="rId325" Type="http://schemas.openxmlformats.org/officeDocument/2006/relationships/hyperlink" Target="https://doi.org/10.1126/science.aee7263" TargetMode="External"/><Relationship Id="rId326" Type="http://schemas.openxmlformats.org/officeDocument/2006/relationships/hyperlink" Target="https://doi.org/10.1126/science.adv4503" TargetMode="External"/><Relationship Id="rId327" Type="http://schemas.openxmlformats.org/officeDocument/2006/relationships/hyperlink" Target="https://doi.org/10.1126/science.adu2392" TargetMode="External"/><Relationship Id="rId328" Type="http://schemas.openxmlformats.org/officeDocument/2006/relationships/hyperlink" Target="https://doi.org/10.1126/science.aef8478" TargetMode="External"/><Relationship Id="rId329" Type="http://schemas.openxmlformats.org/officeDocument/2006/relationships/hyperlink" Target="https://doi.org/10.1126/science.ads6733" TargetMode="External"/><Relationship Id="rId330" Type="http://schemas.openxmlformats.org/officeDocument/2006/relationships/hyperlink" Target="https://doi.org/10.1126/science.aeb3637" TargetMode="External"/><Relationship Id="rId331" Type="http://schemas.openxmlformats.org/officeDocument/2006/relationships/hyperlink" Target="https://doi.org/10.1126/science.adw3365" TargetMode="External"/><Relationship Id="rId332" Type="http://schemas.openxmlformats.org/officeDocument/2006/relationships/hyperlink" Target="https://doi.org/10.1126/science.adv1209" TargetMode="External"/><Relationship Id="rId333" Type="http://schemas.openxmlformats.org/officeDocument/2006/relationships/hyperlink" Target="https://doi.org/10.1016/j.optlastec.2026.114848" TargetMode="External"/><Relationship Id="rId334" Type="http://schemas.openxmlformats.org/officeDocument/2006/relationships/hyperlink" Target="https://doi.org/10.1364/josaa.5856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