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Nature Communications</w:t>
      </w:r>
    </w:p>
    <w:p>
      <w:pPr>
        <w:jc w:val="center"/>
      </w:pPr>
      <w:r>
        <w:t>--- 更新: 00:27 ---</w:t>
      </w:r>
    </w:p>
    <w:p>
      <w:pPr>
        <w:pStyle w:val="Heading2"/>
      </w:pPr>
      <w:r/>
      <w:r>
        <w:rPr>
          <w:rFonts w:ascii="Times New Roman" w:hAnsi="Times New Roman" w:eastAsia="宋体"/>
          <w:b/>
          <w:color w:val="000000"/>
          <w:sz w:val="24"/>
        </w:rPr>
        <w:t>量子力学中路径信息的主观性</w:t>
      </w:r>
    </w:p>
    <w:p>
      <w:r>
        <w:rPr>
          <w:rFonts w:ascii="Times New Roman" w:hAnsi="Times New Roman" w:eastAsia="宋体"/>
          <w:b/>
          <w:color w:val="003264"/>
          <w:sz w:val="24"/>
        </w:rPr>
        <w:t>Subjective nature of path information in quantum mechanics</w:t>
      </w:r>
    </w:p>
    <w:p>
      <w:r>
        <w:rPr>
          <w:rFonts w:ascii="Times New Roman" w:hAnsi="Times New Roman" w:eastAsia="宋体"/>
          <w:sz w:val="21"/>
        </w:rPr>
        <w:t>作者: Xinhe Jiang, Armin Hochrainer, Jaroslav Kysela, Manuel Erhard, Xuemei Gu, Ya Yu, Anton Zeilinger</w:t>
        <w:br/>
      </w:r>
      <w:r>
        <w:rPr>
          <w:rFonts w:ascii="Times New Roman" w:hAnsi="Times New Roman" w:eastAsia="宋体"/>
          <w:sz w:val="21"/>
        </w:rPr>
        <w:t xml:space="preserve">时间: 2026-02-06 | </w:t>
      </w:r>
      <w:r>
        <w:t xml:space="preserve">链接: </w:t>
      </w:r>
      <w:hyperlink r:id="rId10">
        <w:r>
          <w:rPr>
            <w:rFonts w:ascii="Times New Roman" w:hAnsi="Times New Roman" w:eastAsia="宋体"/>
            <w:color w:val="0000FF"/>
            <w:sz w:val="21"/>
            <w:u w:val="single"/>
          </w:rPr>
          <w:t>https://doi.org/10.1038/s41467-026-69034-7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常识表明，如果粒子的完整路径信息可用，则它必须有明确的起源。在量子力学中，路径信息的知识是通过路径可区分性和干扰可见性之间既定的对偶关系来捕获的。如果能见度为零，则可以实现高路径可区分性，这使得人们能够以高预测能力确定粒子的起源。我们通过涉及三个发射相同模式的源的实验来研究路径信息和干扰可见性之间的互补性。我们的发现挑战了经典直觉，即当完整路径信息可用时，粒子可以通过其轨迹追溯到其起源。通过以不同方式对晶体进行分组，我们证明即使单个源的发射概率为零并且完整路径信息可用，也不可能将明确的物理起源归因于光子对。我们的结果为概率分配和路径信息的物理解释提供了新的线索，超越了其数学意义，并表明量子力学中路径信息的解释是主观的。</w:t>
      </w:r>
    </w:p>
    <w:p>
      <w:pPr>
        <w:spacing w:before="120"/>
      </w:pPr>
      <w:r>
        <w:rPr>
          <w:rFonts w:ascii="Times New Roman" w:hAnsi="Times New Roman" w:eastAsia="宋体"/>
          <w:b/>
          <w:sz w:val="21"/>
        </w:rPr>
        <w:t>English Abstract:</w:t>
      </w:r>
    </w:p>
    <w:p>
      <w:r>
        <w:rPr>
          <w:rFonts w:ascii="Times New Roman" w:hAnsi="Times New Roman" w:eastAsia="宋体"/>
          <w:sz w:val="21"/>
        </w:rPr>
        <w:t>Abstract Common sense suggests that a particle must have a definite origin if its full path information is available. In quantum mechanics, the knowledge of path information is captured through the well-established duality relation between path distinguishability and interference visibility. If visibility is zero, high path distinguishability can be achieved, which enables one to determine with high predictive power where the particle originates. We investigate the complementarity between path information and interference visibility through an experiment involving three sources emitting into identical modes. Our findings challenge the classical intuition that a particle can be traced back to its origin through its trajectory when full path information is available. By grouping the crystals in different ways, we demonstrate that it is impossible to ascribe a definite physical origin to the photon pair, even if the emission probability of one individual source is zero and full path information is available. Our results shed new light on the physical interpretation of probability assignment and path information beyond its mathematical meaning and show that the interpretation of path information in quantum mechanics is subjective.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铁电 R 堆叠双层 WSe2 中的高度可调能带结构</w:t>
      </w:r>
    </w:p>
    <w:p>
      <w:r>
        <w:rPr>
          <w:rFonts w:ascii="Times New Roman" w:hAnsi="Times New Roman" w:eastAsia="宋体"/>
          <w:b/>
          <w:color w:val="003264"/>
          <w:sz w:val="24"/>
        </w:rPr>
        <w:t>Highly tunable band structure in ferroelectric R-stacked bilayer WSe2</w:t>
      </w:r>
    </w:p>
    <w:p>
      <w:r>
        <w:rPr>
          <w:rFonts w:ascii="Times New Roman" w:hAnsi="Times New Roman" w:eastAsia="宋体"/>
          <w:sz w:val="21"/>
        </w:rPr>
        <w:t>作者: Zhe Li, Prokhor Thor, George Kourmoulakis, Tatyana V. Ivanova, Takashi Taniguchi, Kenji Watanabe, Hongyi Yu, Mauro Brotons-Gisbert, Brian D. Gerardot</w:t>
        <w:br/>
      </w:r>
      <w:r>
        <w:rPr>
          <w:rFonts w:ascii="Times New Roman" w:hAnsi="Times New Roman" w:eastAsia="宋体"/>
          <w:sz w:val="21"/>
        </w:rPr>
        <w:t xml:space="preserve">时间: 2026-02-06 | </w:t>
      </w:r>
      <w:r>
        <w:t xml:space="preserve">链接: </w:t>
      </w:r>
      <w:hyperlink r:id="rId11">
        <w:r>
          <w:rPr>
            <w:rFonts w:ascii="Times New Roman" w:hAnsi="Times New Roman" w:eastAsia="宋体"/>
            <w:color w:val="0000FF"/>
            <w:sz w:val="21"/>
            <w:u w:val="single"/>
          </w:rPr>
          <w:t>https://doi.org/10.1038/s41467-026-68854-x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过渡金属二硫属化物同双层结合了量子材料研究的两个前沿：由菱面体堆叠产生的滑动铁电性和由小角度扭曲产生的莫尔量子物质。铁电菱面体堆叠同质双层的自发极化产生高度可调的能带结构，该结构与应变诱导压电一起控制扭曲双层的拓扑和相关电子相。在这里，我们对菱面体堆叠双层 WSe 2 进行了系统的低温光谱研究，以定量确定其基本电子和铁电性质。掺杂下的激子和激子-极化子光谱揭示了明显的电子-空穴不对称性，证实了 II 型能带排列，导带和价带边缘分别位于 Λ 和 K 谷。通过位移场下不同的激子响应和可调的层间-层内激子杂化，我们揭示了AB和BA铁电域的共存。使用激子极化子作为探针，直接测量本征极化场并提取层间电势。最后，我们演示了电场驱动的价带最大值的对称切换，归因于铁电畴切换。这些结果提供了菱面体堆叠 WSe 2 的能带排列、自发极化场和域动力学的完整实验图片，建立了理解扭曲双层的关键参数，并实现了新的铁电和激子器件的机会。</w:t>
      </w:r>
    </w:p>
    <w:p>
      <w:pPr>
        <w:spacing w:before="120"/>
      </w:pPr>
      <w:r>
        <w:rPr>
          <w:rFonts w:ascii="Times New Roman" w:hAnsi="Times New Roman" w:eastAsia="宋体"/>
          <w:b/>
          <w:sz w:val="21"/>
        </w:rPr>
        <w:t>English Abstract:</w:t>
      </w:r>
    </w:p>
    <w:p>
      <w:r>
        <w:rPr>
          <w:rFonts w:ascii="Times New Roman" w:hAnsi="Times New Roman" w:eastAsia="宋体"/>
          <w:sz w:val="21"/>
        </w:rPr>
        <w:t>Abstract Transition metal dichalcogenide homobilayers unite two frontiers of quantum materials research: sliding ferroelectricity, arising from rhombohedral stacking, and moiré quantum matter, emerging from small-angle twisting. The spontaneous polarization of ferroelectric rhombohedral stacked homobilayers produces a highly tunable band structure, which, together with strain-induced piezoelectricity, governs the topology and correlated electronic phases of twisted bilayers. Here we present a systematic low-temperature optical spectroscopy study of rhombohedral stacked bilayer WSe 2 to quantitatively establish its fundamental electronic and ferroelectric properties. Exciton and exciton-polaron spectroscopy under doping reveals a pronounced electron-hole asymmetry that confirms type-II band alignment, with the conduction and valence band edges located at the Λ and K valleys, respectively. Through distinct excitonic responses and tunable interlayer-intralayer exciton hybridization under displacement fields, we uncover the coexistence of AB and BA ferroelectric domains. Using exciton-polarons as a probe, we directly measure the intrinsic polarization field and extract the interlayer potential. Finally, we demonstrate electric-field-driven symmetric switching of the valence band maximum, attributed to ferroelectric domain switching. These results provide a complete experimental picture of the band alignment, spontaneous polarization field, and domain dynamics of rhombohedral stacked WSe 2 , establishing key parameters to understand twisted bilayers and enabling new ferroelectric and excitonic device opportunities.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snFLARE-seq 和 mxFRIZNGRND 分析不同解剖起源的前列腺癌的转录组学和代谢组学景观</w:t>
      </w:r>
    </w:p>
    <w:p>
      <w:r>
        <w:rPr>
          <w:rFonts w:ascii="Times New Roman" w:hAnsi="Times New Roman" w:eastAsia="宋体"/>
          <w:b/>
          <w:color w:val="003264"/>
          <w:sz w:val="24"/>
        </w:rPr>
        <w:t>Analysis of the transcriptomic and metabolomic landscape of prostate cancer with different anatomical origins using snFLARE-seq and mxFRIZNGRND</w:t>
      </w:r>
    </w:p>
    <w:p>
      <w:r>
        <w:rPr>
          <w:rFonts w:ascii="Times New Roman" w:hAnsi="Times New Roman" w:eastAsia="宋体"/>
          <w:sz w:val="21"/>
        </w:rPr>
        <w:t>作者: Dongyin He, Haoran Hu, Kai Xiao, Yuhang Zhang, Yongbing Cheng, Shaozhuo Jiao, Yimei Hao, Yuanyuan Cai, Ziqun Liu, Xinran Yan, Qinsheng Chen, Xiyan Mu, Qi Wang, Shan Peng, Guoqin Sang, Xiaoling Zhi, Yanxia Chang, Qing Ye, Yuyao Yang, Meixia Che, Shengsong Huang, Hongqian Guo, Luonan Chen, Huiru Tang, Xuefeng Qiu, Zhenfei Li</w:t>
        <w:br/>
      </w:r>
      <w:r>
        <w:rPr>
          <w:rFonts w:ascii="Times New Roman" w:hAnsi="Times New Roman" w:eastAsia="宋体"/>
          <w:sz w:val="21"/>
        </w:rPr>
        <w:t xml:space="preserve">时间: 2026-02-07 | </w:t>
      </w:r>
      <w:r>
        <w:t xml:space="preserve">链接: </w:t>
      </w:r>
      <w:hyperlink r:id="rId55">
        <w:r>
          <w:rPr>
            <w:rFonts w:ascii="Times New Roman" w:hAnsi="Times New Roman" w:eastAsia="宋体"/>
            <w:color w:val="0000FF"/>
            <w:sz w:val="21"/>
            <w:u w:val="single"/>
          </w:rPr>
          <w:t>https://doi.org/10.1038/s41467-026-69347-7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不同解剖位置的前列腺癌细胞表现出显着的异质性。这对临床前模型的临床相关性和当代治疗方法的功效提出了挑战。在这里，我们开发了 snFLARE-seq 和 mxFRIZNGRND 方法，利用福尔马林固定石蜡包埋 (FFPE) 标本直接研究前列腺癌患者的转录组学和代谢组学情况。一项回顾性分析揭示了前列腺癌在外周区 (PZ)、移行区 (TZ) 以及 PZ 和 TZ 之间的临床差异。 snFLARE-seq 经过改进，可增强单核测序，揭示了 PZ 和 TZ 样本之间不同的细胞类型分布和信号通路。激素治疗极大地影响癌细胞和微环境，导致上皮细胞的极化特征和免疫微环境被破坏。随着代谢物提取的改进，mxFRIZNGRND 揭示了不同来源的前列腺癌的独特代谢特征。代谢组学结果表明，PZ 癌细胞处于代谢休眠状态，可能会被激素治疗唤醒。对 snFLARE-seq、mxFRIZNGRND 和 TCGA 数据库结果的综合分析揭示了与疾病侵袭性相关的四种代谢途径和相关基因。我们的工作可以加速对现实临床环境中疾病异质性和进化的研究，激发针对患者的精准医疗解决方案。</w:t>
      </w:r>
    </w:p>
    <w:p>
      <w:pPr>
        <w:spacing w:before="120"/>
      </w:pPr>
      <w:r>
        <w:rPr>
          <w:rFonts w:ascii="Times New Roman" w:hAnsi="Times New Roman" w:eastAsia="宋体"/>
          <w:b/>
          <w:sz w:val="21"/>
        </w:rPr>
        <w:t>English Abstract:</w:t>
      </w:r>
    </w:p>
    <w:p>
      <w:r>
        <w:rPr>
          <w:rFonts w:ascii="Times New Roman" w:hAnsi="Times New Roman" w:eastAsia="宋体"/>
          <w:sz w:val="21"/>
        </w:rPr>
        <w:t>Abstract Prostate cancer cells of different anatomical locations display remarkable heterogeneity. This poses a challenge to the clinical relevance of pre-clinical models and the efficacy of contemporary therapeutic approaches. Here we develop the snFLARE-seq and mxFRIZNGRND methodologies to directly investigate the transcriptomic and metabolomic landscape of prostate cancer patients utilizing formalin-fixed paraffin-embedded (FFPE) specimens. A retrospective analysis reveals the clinical disparities of prostate cancer from peripheral zone (PZ), transition zone (TZ), and across PZ and TZ. The snFLARE-seq, refined for enhanced single-nucleus sequencing, unveils distinct cell type distributions and signaling pathways between PZ and TZ samples. Hormone therapy substantially affects cancer cells and microenvironment, leading to a polarized feature of epithelial cells and a subverted immune microenvironment. With improvements in metabolite extraction, mxFRIZNGRND reveals unique metabolic features of prostate cancer from different origins. The metabolomic results indicate that PZ cancer cells are in a metabolic-dormant status, which are probably awaken by hormone therapy. Integrative analysis of results from snFLARE-seq, mxFRIZNGRND, and TCGA database uncovers four metabolic pathways and related genes associated with disease aggressiveness. Our work could accelerate investigations on disease heterogeneity and evolution in real-world clinical settings, stimulating patient-specific precision healthcare solutions.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Science Advances</w:t>
      </w:r>
    </w:p>
    <w:p>
      <w:pPr>
        <w:jc w:val="center"/>
      </w:pPr>
      <w:r>
        <w:t>--- 更新: 00:27 ---</w:t>
      </w:r>
    </w:p>
    <w:p>
      <w:pPr>
        <w:pStyle w:val="Heading2"/>
      </w:pPr>
      <w:r/>
      <w:r>
        <w:rPr>
          <w:rFonts w:ascii="Times New Roman" w:hAnsi="Times New Roman" w:eastAsia="宋体"/>
          <w:b/>
          <w:color w:val="000000"/>
          <w:sz w:val="24"/>
        </w:rPr>
        <w:t>涡虫细胞外囊泡介导干细胞信号传导和系统性 RNAi</w:t>
      </w:r>
    </w:p>
    <w:p>
      <w:r>
        <w:rPr>
          <w:rFonts w:ascii="Times New Roman" w:hAnsi="Times New Roman" w:eastAsia="宋体"/>
          <w:b/>
          <w:color w:val="003264"/>
          <w:sz w:val="24"/>
        </w:rPr>
        <w:t>Extracellular vesicles mediate stem cell signaling and systemic RNAi in planarians</w:t>
      </w:r>
    </w:p>
    <w:p>
      <w:r>
        <w:rPr>
          <w:rFonts w:ascii="Times New Roman" w:hAnsi="Times New Roman" w:eastAsia="宋体"/>
          <w:sz w:val="21"/>
        </w:rPr>
        <w:t>作者: Vidyanand Sasidharan, Laura Ancellotti, Viraj Doddihal, Carolyn Brewster, Frederick Mann, Mary Cathleen McKinney, Joseph Varberg, Eric Ross, Fengyan Deng, Kexi Yi, Alejandro Sánchez Alvarado</w:t>
        <w:br/>
      </w:r>
      <w:r>
        <w:rPr>
          <w:rFonts w:ascii="Times New Roman" w:hAnsi="Times New Roman" w:eastAsia="宋体"/>
          <w:sz w:val="21"/>
        </w:rPr>
        <w:t xml:space="preserve">时间: 2026-02-06 | </w:t>
      </w:r>
      <w:r>
        <w:t xml:space="preserve">链接: </w:t>
      </w:r>
      <w:hyperlink r:id="rId12">
        <w:r>
          <w:rPr>
            <w:rFonts w:ascii="Times New Roman" w:hAnsi="Times New Roman" w:eastAsia="宋体"/>
            <w:color w:val="0000FF"/>
            <w:sz w:val="21"/>
            <w:u w:val="single"/>
          </w:rPr>
          <w:t>https://doi.org/10.1126/sciadv.ady1461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涡虫扁虫以其卓越的再生能力而闻名。然而，这一过程背后的精确细胞间通讯机制仍未解决。在这里，我们报告了涡虫中丰富的细胞外囊泡（EV）的发现和表征。利用成像和分子分析，我们展示了涡虫 EV 的生物发生、形态和蛋白质组成的保守性。环境压力显着提高了 EV 的释放，表明涡虫动态调节囊泡的产生。从功能上讲，涡虫 EV 通过传递调节信号来介导细胞间通讯：我们发现它们在整个生物体中穿梭小 RNA，从而影响系统性 RNA 干扰 (RNAi)。值得注意的是，基因敲除实验揭示了 AGO-3（Argonaute 蛋白家族的成员）在调节小干扰 RNA 与 EV 的关联、将细胞内 RNAi 机制与基于 EV 的信号传导联系起来方面发挥着至关重要的作用。这些发现强调了 EVs 作为涡虫细胞间通讯的关键介质，对于理解动物基因调控和组织再生的协调具有广泛的意义。</w:t>
      </w:r>
    </w:p>
    <w:p>
      <w:pPr>
        <w:spacing w:before="120"/>
      </w:pPr>
      <w:r>
        <w:rPr>
          <w:rFonts w:ascii="Times New Roman" w:hAnsi="Times New Roman" w:eastAsia="宋体"/>
          <w:b/>
          <w:sz w:val="21"/>
        </w:rPr>
        <w:t>English Abstract:</w:t>
      </w:r>
    </w:p>
    <w:p>
      <w:r>
        <w:rPr>
          <w:rFonts w:ascii="Times New Roman" w:hAnsi="Times New Roman" w:eastAsia="宋体"/>
          <w:sz w:val="21"/>
        </w:rPr>
        <w:t>Planarian flatworms are known for their remarkable regenerative capacity; however, the precise intercellular communication mechanisms underlying this process remain unsolved. Here, we report the discovery and characterization of abundant extracellular vesicles (EVs) in planarians. Using imaging and molecular analysis, we show conservation of biogenesis, morphology, and protein composition of planarian EVs. Environmental stressors significantly elevate EV release, indicating that planarians dynamically regulate vesicle production. Functionally, planarian EVs mediate intercellular communication by transferring regulatory signals: We find that they shuttle small RNAs that effect systemic RNA interference (RNAi) throughout the organism. Notably, gene knockdown experiments reveal a crucial role for AGO-3, a member of the Argonaute family of proteins, in modulating the association of small interfering RNAs with EVs, linking the intracellular RNAi machinery to EV-based signaling. These findings highlight EVs as pivotal mediators of cell-cell communication in planarians, with broad implications for understanding the coordination of gene regulation and tissue regeneration in animals.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脑淀粉样血管病患者 Aβ 沉积的扩展空间模式：三维表面到深度分析</w:t>
      </w:r>
    </w:p>
    <w:p>
      <w:r>
        <w:rPr>
          <w:rFonts w:ascii="Times New Roman" w:hAnsi="Times New Roman" w:eastAsia="宋体"/>
          <w:b/>
          <w:color w:val="003264"/>
          <w:sz w:val="24"/>
        </w:rPr>
        <w:t>Expansive spatial pattern of Aβ deposition in patients with cerebral amyloid angiopathy: A three-dimensional surface-to-depth analysis</w:t>
      </w:r>
    </w:p>
    <w:p>
      <w:r>
        <w:rPr>
          <w:rFonts w:ascii="Times New Roman" w:hAnsi="Times New Roman" w:eastAsia="宋体"/>
          <w:sz w:val="21"/>
        </w:rPr>
        <w:t>作者: Hideki Hayashi, Rie Saito, Akinori Miyashita, Takeshi Ikeuchi, Mari Tada, Kohei Akazawa, Osamu Onodera, Kazuki Tainaka, Akiyoshi Kakita</w:t>
        <w:br/>
      </w:r>
      <w:r>
        <w:rPr>
          <w:rFonts w:ascii="Times New Roman" w:hAnsi="Times New Roman" w:eastAsia="宋体"/>
          <w:sz w:val="21"/>
        </w:rPr>
        <w:t xml:space="preserve">时间: 2026-02-06 | </w:t>
      </w:r>
      <w:r>
        <w:t xml:space="preserve">链接: </w:t>
      </w:r>
      <w:hyperlink r:id="rId13">
        <w:r>
          <w:rPr>
            <w:rFonts w:ascii="Times New Roman" w:hAnsi="Times New Roman" w:eastAsia="宋体"/>
            <w:color w:val="0000FF"/>
            <w:sz w:val="21"/>
            <w:u w:val="single"/>
          </w:rPr>
          <w:t>https://doi.org/10.1126/sciadv.aea7539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脑淀粉样血管病 (CAA) 是一种神经退行性疾病，其特征是小血管壁中淀粉样蛋白 - β (Aβ) 沉积，由于 Aβ 清除受损，通常与阿尔茨海默病共存。然而，由于血管网络的复杂性和规模阻碍了传统薄片分析的可视化，Aβ 在人脑内的空间分布仍不清楚。为了解决这个问题，我们使用先进的组织透明和光片荧光显微镜，对 CAA 尸检大脑中的脑血管网络和 Aβ 沉积进行了三维 (3D) 体积成像，标记平滑肌肌动蛋白 (SMA) 和 Aβ。我们在软脑膜和浅层皮质部分发现了显着的 Aβ 沉积和 SMA 损失，这些部分在解剖学上与更深的 Aβ 阳性部分相邻，表明 Aβ 延伸的表面到深层进展模式。 Aβ 阳性血管周围的血管周围斑块密度显着降低。该技术可以为 CAA 病理学提供进一步的见解，并推荐用于神经系统疾病的 3D 病理学研究。</w:t>
      </w:r>
    </w:p>
    <w:p>
      <w:pPr>
        <w:spacing w:before="120"/>
      </w:pPr>
      <w:r>
        <w:rPr>
          <w:rFonts w:ascii="Times New Roman" w:hAnsi="Times New Roman" w:eastAsia="宋体"/>
          <w:b/>
          <w:sz w:val="21"/>
        </w:rPr>
        <w:t>English Abstract:</w:t>
      </w:r>
    </w:p>
    <w:p>
      <w:r>
        <w:rPr>
          <w:rFonts w:ascii="Times New Roman" w:hAnsi="Times New Roman" w:eastAsia="宋体"/>
          <w:sz w:val="21"/>
        </w:rPr>
        <w:t>Cerebral amyloid angiopathy (CAA) is a neurodegenerative condition characterized by amyloid-β (Aβ) deposition in small vessel walls, often coexisting with Alzheimer’s disease due to impaired Aβ clearance. However, the spatial distribution of Aβ within the human brain remains unclear as the vascular network’s complexity and scale hinder visualization by conventional thin-slice analysis. To address this, we performed three-dimensional (3D) volumetric imaging of the cerebrovascular network and Aβ deposition in autopsied brains with CAA using advanced tissue clearing and light-sheet fluorescence microscopy, labeling for smooth muscle actin (SMA) and Aβ. We found prominent Aβ deposition and SMA loss in leptomeningeal and superficial cortical segments, which were anatomically contiguous with deeper Aβ-positive segments, indicating a surface-to-deep progression pattern of Aβ extension. The perivascular plaque density was significantly lower around Aβ-positive vessels. This technology may provide further insights into CAA pathology and is recommended for research on the 3D pathology of neurological disorders.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通过趋同进化进行细菌代谢重塑，在宿主转换后释放营养物质的可用性</w:t>
      </w:r>
    </w:p>
    <w:p>
      <w:r>
        <w:rPr>
          <w:rFonts w:ascii="Times New Roman" w:hAnsi="Times New Roman" w:eastAsia="宋体"/>
          <w:b/>
          <w:color w:val="003264"/>
          <w:sz w:val="24"/>
        </w:rPr>
        <w:t>Bacterial metabolic remodeling by convergent evolution unlocks nutrient availability after a host switch</w:t>
      </w:r>
    </w:p>
    <w:p>
      <w:r>
        <w:rPr>
          <w:rFonts w:ascii="Times New Roman" w:hAnsi="Times New Roman" w:eastAsia="宋体"/>
          <w:sz w:val="21"/>
        </w:rPr>
        <w:t>作者: Amy C. Pickering, Jamie Gorzynski, Grace Taylor-Joyce, Rhodri Evans, Willow Fox, Pedro Melo, Joana Alves, Hannah Schlauch, Fiona Sargison, Gonzalo Yebra, Natalie Ring, J. Ross Fitzgerald</w:t>
        <w:br/>
      </w:r>
      <w:r>
        <w:rPr>
          <w:rFonts w:ascii="Times New Roman" w:hAnsi="Times New Roman" w:eastAsia="宋体"/>
          <w:sz w:val="21"/>
        </w:rPr>
        <w:t xml:space="preserve">时间: 2026-02-06 | </w:t>
      </w:r>
      <w:r>
        <w:t xml:space="preserve">链接: </w:t>
      </w:r>
      <w:hyperlink r:id="rId14">
        <w:r>
          <w:rPr>
            <w:rFonts w:ascii="Times New Roman" w:hAnsi="Times New Roman" w:eastAsia="宋体"/>
            <w:color w:val="0000FF"/>
            <w:sz w:val="21"/>
            <w:u w:val="single"/>
          </w:rPr>
          <w:t>https://doi.org/10.1126/sciadv.adw9419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新的病原体通常源自物种之间的宿主跳跃事件。金黄色葡萄球菌是一种多宿主病原体，造成全球人类疾病负担，也是奶牛乳房内感染的主要原因。在这里，我们证明，在历史上的人到牛宿主转换事件之后，金黄色葡萄球菌已经经历了适应性代谢重塑，以响应乳制品生态位中不同的营养可用性。特别是，我们发现牛金黄色葡萄球菌已经进化出蛋白酶介导的酪蛋白降解能力，酪蛋白是牛奶中丰富的蛋白质，以获取增殖所需的营养。这种表型在不同的金黄色葡萄球菌谱系中通过驱动金黄色葡萄球菌溶血素过度表达的不同基因位点的突变而趋同进化。我们共同剖析了一个关键的宿主适应性特征，该特征有助于从新宿主环境特有的底物中酶促释放营养物质。这些发现凸显了主要细菌病原体的显着进化可塑性，支撑着其多宿主物种趋向性。</w:t>
      </w:r>
    </w:p>
    <w:p>
      <w:pPr>
        <w:spacing w:before="120"/>
      </w:pPr>
      <w:r>
        <w:rPr>
          <w:rFonts w:ascii="Times New Roman" w:hAnsi="Times New Roman" w:eastAsia="宋体"/>
          <w:b/>
          <w:sz w:val="21"/>
        </w:rPr>
        <w:t>English Abstract:</w:t>
      </w:r>
    </w:p>
    <w:p>
      <w:r>
        <w:rPr>
          <w:rFonts w:ascii="Times New Roman" w:hAnsi="Times New Roman" w:eastAsia="宋体"/>
          <w:sz w:val="21"/>
        </w:rPr>
        <w:t>New pathogens typically arise from host jump events between species. Staphylococcus aureus is a multihost pathogen responsible for a global burden of human disease and a leading cause of intramammary infection in dairy cattle. Here, we demonstrate that following historical human-to-bovine host switch events, S. aureus has undergone adaptive metabolic remodeling in response to distinct nutrient availability in the dairy niche. In particular, we found that bovine S. aureus has evolved the capacity for protease-mediated degradation of casein, a protein abundant in bovine milk, to access nutrients for proliferation. This phenotype has evolved convergently in different S. aureus lineages via mutations in distinct gene loci driving overexpression of the protease aureolysin. Together, we have dissected a key host-adaptive trait, which facilitates the enzymatic release of nutrients from a substrate specific to the new host milieu. These findings highlight the remarkable evolutionary plasticity of a major bacterial pathogen underpinning its multihost species tropism.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用于光广播通信的全向辐射电泵浦单模微型激光器</w:t>
      </w:r>
    </w:p>
    <w:p>
      <w:r>
        <w:rPr>
          <w:rFonts w:ascii="Times New Roman" w:hAnsi="Times New Roman" w:eastAsia="宋体"/>
          <w:b/>
          <w:color w:val="003264"/>
          <w:sz w:val="24"/>
        </w:rPr>
        <w:t>Electrically pumped single-mode microlasers with omnidirectional radiation for optical broadcasting communication</w:t>
      </w:r>
    </w:p>
    <w:p>
      <w:r>
        <w:rPr>
          <w:rFonts w:ascii="Times New Roman" w:hAnsi="Times New Roman" w:eastAsia="宋体"/>
          <w:sz w:val="21"/>
        </w:rPr>
        <w:t>作者: Feifan Xu, Jushi Liu, Yimeng Sang, Tao Tao, Junlong Kou, Jianping Liu, Ting Zhi, Zhe Zhuang, Rong Zhang, Bin Liu</w:t>
        <w:br/>
      </w:r>
      <w:r>
        <w:rPr>
          <w:rFonts w:ascii="Times New Roman" w:hAnsi="Times New Roman" w:eastAsia="宋体"/>
          <w:sz w:val="21"/>
        </w:rPr>
        <w:t xml:space="preserve">时间: 2026-02-06 | </w:t>
      </w:r>
      <w:r>
        <w:t xml:space="preserve">链接: </w:t>
      </w:r>
      <w:hyperlink r:id="rId15">
        <w:r>
          <w:rPr>
            <w:rFonts w:ascii="Times New Roman" w:hAnsi="Times New Roman" w:eastAsia="宋体"/>
            <w:color w:val="0000FF"/>
            <w:sz w:val="21"/>
            <w:u w:val="single"/>
          </w:rPr>
          <w:t>https://doi.org/10.1126/sciadv.aeb1682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半导体回音壁模式 (WGM) 可见微激光器因其占地面积小、高 Q 因子和面内发射而成为用于高速可见光通信的紧凑型片上光源。然而，实现 WGM 可见微型激光器的制造稳健性、精确的模式选择、窄线宽和低阈值仍然具有挑战性。在这里，我们报告了一种可扩展的策略，用于制造基于 III 族氮化物半导体的连续波、电泵浦 WGM 蓝色微型激光器，在 10 至 160 微米的不同直径上具有低阈值电流密度和高斜率效率。这种高性能是通过波导结构的有效垂直光学限制和原子级光滑表面的最小侧壁散射来实现的。我们进一步将激光腔从微盘转换为微环，从而抑制高阶 WGM，并允许单模运行，Q 因子高达 17,066。 WGM 微型激光器的全向面内辐射展示了与角度无关的高调制带宽，从而实现了高数据传输速率的同步广播通信。</w:t>
      </w:r>
    </w:p>
    <w:p>
      <w:pPr>
        <w:spacing w:before="120"/>
      </w:pPr>
      <w:r>
        <w:rPr>
          <w:rFonts w:ascii="Times New Roman" w:hAnsi="Times New Roman" w:eastAsia="宋体"/>
          <w:b/>
          <w:sz w:val="21"/>
        </w:rPr>
        <w:t>English Abstract:</w:t>
      </w:r>
    </w:p>
    <w:p>
      <w:r>
        <w:rPr>
          <w:rFonts w:ascii="Times New Roman" w:hAnsi="Times New Roman" w:eastAsia="宋体"/>
          <w:sz w:val="21"/>
        </w:rPr>
        <w:t>Semiconductor whispering gallery mode (WGM)–visible microlasers are promising compact, on-chip light sources for high-speed visible-light communication due to their small footprints, high Q factors, and in-plane emission. However, achieving fabrication robustness, precise mode selection, narrow linewidths, and low thresholds for WGM-visible microlasers remains challenging. Here, we report a scalable strategy to fabricate continuous-wave, electrically pumped WGM blue microlasers based on III-nitride semiconductors with low threshold current densities and high slope efficiencies across diverse diameters from 10 to 160 micrometers. This high performance was achieved through effective vertical optical confinement by the waveguide structures and minimal sidewall scattering from atomically smooth surfaces. We further converted the laser cavity from a microdisk to a microring, which suppresses high-order WGMs and allows for single-mode operation with a high Q factor of 17,066. The omnidirectional in-plane radiation of WGM microlasers demonstrates angle-independent, high-modulation bandwidths, enabling synchronous broadcasting communication with high data transmission rates.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关键量子计量对耗散和非绝热具有鲁棒性</w:t>
      </w:r>
    </w:p>
    <w:p>
      <w:r>
        <w:rPr>
          <w:rFonts w:ascii="Times New Roman" w:hAnsi="Times New Roman" w:eastAsia="宋体"/>
          <w:b/>
          <w:color w:val="003264"/>
          <w:sz w:val="24"/>
        </w:rPr>
        <w:t>Critical quantum metrology robust against dissipation and nonadiabaticity</w:t>
      </w:r>
    </w:p>
    <w:p>
      <w:r>
        <w:rPr>
          <w:rFonts w:ascii="Times New Roman" w:hAnsi="Times New Roman" w:eastAsia="宋体"/>
          <w:sz w:val="21"/>
        </w:rPr>
        <w:t>作者: Jia-Hao Lü, Wen Ning, Fan Wu, Ri-Hua Zheng, Ken Chen, Xin Zhu, Zhen-Biao Yang, Huai-Zhi Wu, Shi-Biao Zheng</w:t>
        <w:br/>
      </w:r>
      <w:r>
        <w:rPr>
          <w:rFonts w:ascii="Times New Roman" w:hAnsi="Times New Roman" w:eastAsia="宋体"/>
          <w:sz w:val="21"/>
        </w:rPr>
        <w:t xml:space="preserve">时间: 2026-02-06 | </w:t>
      </w:r>
      <w:r>
        <w:t xml:space="preserve">链接: </w:t>
      </w:r>
      <w:hyperlink r:id="rId16">
        <w:r>
          <w:rPr>
            <w:rFonts w:ascii="Times New Roman" w:hAnsi="Times New Roman" w:eastAsia="宋体"/>
            <w:color w:val="0000FF"/>
            <w:sz w:val="21"/>
            <w:u w:val="single"/>
          </w:rPr>
          <w:t>https://doi.org/10.1126/sciadv.ady2358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预计接近量子相变的关键系统将有助于提高计量精度，因为它们对控制哈密顿量的微小变化具有超灵敏的响应。然而，实现临界增强的量子计量在实验上具有挑战性，这主要是由于与相应的量子态制备相关的退相干和临界减慢。我们通过利用与信号场耦合的 Jaynes-Cummings 模型中的关键行为来规避这些问题。该信息被编码在量子位的激发数中，该激发数在临界点显示出发散的变化率，并且对于退相干和非绝热效应具有极强的鲁棒性。我们在超导电路中演示了这样的计量协议，其中与谐振器相互作用的 Xmon 量子位被用作估计微波场振幅的探针。测量的量子费希尔信息表现出关键的量子增强，证实了量子计量学的潜力。</w:t>
      </w:r>
    </w:p>
    <w:p>
      <w:pPr>
        <w:spacing w:before="120"/>
      </w:pPr>
      <w:r>
        <w:rPr>
          <w:rFonts w:ascii="Times New Roman" w:hAnsi="Times New Roman" w:eastAsia="宋体"/>
          <w:b/>
          <w:sz w:val="21"/>
        </w:rPr>
        <w:t>English Abstract:</w:t>
      </w:r>
    </w:p>
    <w:p>
      <w:r>
        <w:rPr>
          <w:rFonts w:ascii="Times New Roman" w:hAnsi="Times New Roman" w:eastAsia="宋体"/>
          <w:sz w:val="21"/>
        </w:rPr>
        <w:t>Critical systems near quantum phase transitions were predicted to be useful for improvement of metrological precision, thanks to their ultrasensitive response to tiny variations of the control Hamiltonian. However, realizing criticality enhanced quantum metrology is experimentally challenging, mainly owing to decoherence and critical slowing down associated with the corresponding quantum state preparation. We circumvent these problems by making use of the critical behaviors in the Jaynes-Cummings model, to which the signal field is coupled. The information is encoded in the qubit’s excitation number, which displays a divergent changing rate at the critical point, and is extremely robust against decoherence and nonadiabatic effects. We demonstrate such a metrological protocol in a superconducting circuit, where an Xmon qubit, interacting with a resonator, is used as a probe for estimating the amplitude of a microwave field. The measured quantum Fisher information exhibits a critical quantum enhancement, confirming the potential for quantum metrology.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不同的干细胞机制控制蝾螈的主要身体轴和附属物再生</w:t>
      </w:r>
    </w:p>
    <w:p>
      <w:r>
        <w:rPr>
          <w:rFonts w:ascii="Times New Roman" w:hAnsi="Times New Roman" w:eastAsia="宋体"/>
          <w:b/>
          <w:color w:val="003264"/>
          <w:sz w:val="24"/>
        </w:rPr>
        <w:t>Divergent stem cell mechanisms govern the primary body axis and appendage regeneration in the axolotl</w:t>
      </w:r>
    </w:p>
    <w:p>
      <w:r>
        <w:rPr>
          <w:rFonts w:ascii="Times New Roman" w:hAnsi="Times New Roman" w:eastAsia="宋体"/>
          <w:sz w:val="21"/>
        </w:rPr>
        <w:t>作者: Liqun Wang, Li Song, Chao Yi, Jing Zhou, Zhouying Yong, Yan Hu, Xiangyu Pan, Na Qiao, Hao Cai, Wandong Zhao, Rui Zhang, Lieke Yang, Lei Liu, Guangdun Peng, Elly M. Tanaka, Hanbo Li, Yanmei Liu, Ji-Feng Fei</w:t>
        <w:br/>
      </w:r>
      <w:r>
        <w:rPr>
          <w:rFonts w:ascii="Times New Roman" w:hAnsi="Times New Roman" w:eastAsia="宋体"/>
          <w:sz w:val="21"/>
        </w:rPr>
        <w:t xml:space="preserve">时间: 2026-02-06 | </w:t>
      </w:r>
      <w:r>
        <w:t xml:space="preserve">链接: </w:t>
      </w:r>
      <w:hyperlink r:id="rId17">
        <w:r>
          <w:rPr>
            <w:rFonts w:ascii="Times New Roman" w:hAnsi="Times New Roman" w:eastAsia="宋体"/>
            <w:color w:val="0000FF"/>
            <w:sz w:val="21"/>
            <w:u w:val="single"/>
          </w:rPr>
          <w:t>https://doi.org/10.1126/sciadv.adx5697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探索器官再生的基本机制对于推进再生医学至关重要。蝾螈尾巴为研究主轴（包括分段肌肉、椎骨和皮肤）的再生提供了机会。在尾部发育过程中，肌肉干细胞（MuSC）对肌肉谱系表现出预期的特异性。然而，尾部截肢诱导 MuSC 潜力的扩大，产生对肌肉、结缔组织（包括软骨、周细胞和成纤维细胞）的克隆贡献。在肢体再生过程中没有观察到这种扩大的潜力，交叉移植表明这些潜力差异可能是本质上决定的。单细胞 RNA 测序分析表明，尾部 MuSC 恢复到胚胎中胚层样状态。通过涉及 MuSC 中组成型活性转化生长因子-β (TGF-β) 受体或 Smad7（TGF-β 信号拮抗剂）过度表达的基因操作，我们证明 TGF-β 信号的水平分别决定 MuSC 向结缔组织谱系或肌肉的命运结果。我们的研究结果表明，MuSC 的变异可能代表主轴再生与附肢再生之间的根本差异。</w:t>
      </w:r>
    </w:p>
    <w:p>
      <w:pPr>
        <w:spacing w:before="120"/>
      </w:pPr>
      <w:r>
        <w:rPr>
          <w:rFonts w:ascii="Times New Roman" w:hAnsi="Times New Roman" w:eastAsia="宋体"/>
          <w:b/>
          <w:sz w:val="21"/>
        </w:rPr>
        <w:t>English Abstract:</w:t>
      </w:r>
    </w:p>
    <w:p>
      <w:r>
        <w:rPr>
          <w:rFonts w:ascii="Times New Roman" w:hAnsi="Times New Roman" w:eastAsia="宋体"/>
          <w:sz w:val="21"/>
        </w:rPr>
        <w:t>Exploring the fundamental mechanisms of organ regeneration is crucial for advancing regenerative medicine. The axolotl tail represents an opportunity to study regeneration of the primary axis including segmented muscle, vertebrae, and skin. During tail development, muscle stem cells (MuSCs) displayed expected specificity to the muscle lineage. Tail amputation, however, induced expansion of MuSC potential yielding clonal contribution to muscle, connective tissue including cartilage, pericytes, and fibroblasts. This expanded potential was not observed during limb regeneration, and cross-transplantation showed that these differences in potential are likely intrinsically determined. Single-cell RNA sequencing profiling revealed that tail MuSCs revert to an embryonic mesoderm–like state. Through genetic manipulation involving the overexpression of constitutively active transforming growth factor–β (TGF-β) receptors or Smad7 (antagonist of TGF-β signaling) in MuSCs, we demonstrated that the levels of TGF-β signal determine the fate outcome of MuSCs to connective tissue lineage or muscle, respectively. Our findings illustrate that variation in MuSCs may represent a fundamental difference between regeneration of primary axis versus appendage.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具有受超材料启发的近场电磁结构的基于纳米材料的电子产品的三维打印</w:t>
      </w:r>
    </w:p>
    <w:p>
      <w:r>
        <w:rPr>
          <w:rFonts w:ascii="Times New Roman" w:hAnsi="Times New Roman" w:eastAsia="宋体"/>
          <w:b/>
          <w:color w:val="003264"/>
          <w:sz w:val="24"/>
        </w:rPr>
        <w:t>Three-dimensional printing of nanomaterials-based electronics with a metamaterial-inspired near-field electromagnetic structure</w:t>
      </w:r>
    </w:p>
    <w:p>
      <w:r>
        <w:rPr>
          <w:rFonts w:ascii="Times New Roman" w:hAnsi="Times New Roman" w:eastAsia="宋体"/>
          <w:sz w:val="21"/>
        </w:rPr>
        <w:t>作者: Jian Teng, Samuel H. Hales, Xin Yang, Jared Anklam, Saebom Lee, Yu Liu, Dwipak Prasad Sahu, Leibin Li, Cordelia Latham, Xi Tian, Derrick Wong, Taylor E. Greenwood, John S. Ho, Yong Lin Kong</w:t>
        <w:br/>
      </w:r>
      <w:r>
        <w:rPr>
          <w:rFonts w:ascii="Times New Roman" w:hAnsi="Times New Roman" w:eastAsia="宋体"/>
          <w:sz w:val="21"/>
        </w:rPr>
        <w:t xml:space="preserve">时间: 2026-02-06 | </w:t>
      </w:r>
      <w:r>
        <w:t xml:space="preserve">链接: </w:t>
      </w:r>
      <w:hyperlink r:id="rId18">
        <w:r>
          <w:rPr>
            <w:rFonts w:ascii="Times New Roman" w:hAnsi="Times New Roman" w:eastAsia="宋体"/>
            <w:color w:val="0000FF"/>
            <w:sz w:val="21"/>
            <w:u w:val="single"/>
          </w:rPr>
          <w:t>https://doi.org/10.1126/sciadv.adz7415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三维 (3D) 打印可以创建具有前所未有的多功能性的自由形态架构和电子产品。然而，迄今为止，电子 3D 打印的全部潜力一直受到无法对打印材料进行选择性退火的限制，尤其是在温度敏感基材上。在这里，我们通过使用受超材料启发的近场电磁结构 (Meta-NFS) 聚焦微波，实现了 3D 打印纳米材料和聚合物的高选择性和快速体积加热。与之前的工作相比，Meta-NFS 实现了 3D 打印自由形状微结构所需的空间分辨率和功率密度，即使在光学不透明材料中，电子和机械性能也可以进行本地编程。通过拓宽与 3D 打印兼容的材料范围，使用 Meta-NFS 的近场微波 3D 打印可以实现原本难以制造的各类电子产品。</w:t>
      </w:r>
    </w:p>
    <w:p>
      <w:pPr>
        <w:spacing w:before="120"/>
      </w:pPr>
      <w:r>
        <w:rPr>
          <w:rFonts w:ascii="Times New Roman" w:hAnsi="Times New Roman" w:eastAsia="宋体"/>
          <w:b/>
          <w:sz w:val="21"/>
        </w:rPr>
        <w:t>English Abstract:</w:t>
      </w:r>
    </w:p>
    <w:p>
      <w:r>
        <w:rPr>
          <w:rFonts w:ascii="Times New Roman" w:hAnsi="Times New Roman" w:eastAsia="宋体"/>
          <w:sz w:val="21"/>
        </w:rPr>
        <w:t>Three-dimensional (3D) printing can create freeform architectures and electronics with unprecedented versatility. However, the full potential of electronic 3D printing has so far been limited by the inability to selectively anneal the printed materials, especially on temperature-sensitive substrates. Here, we achieve highly selective and rapid volumetric heating of 3D-printed nanomaterials and polymers in situ by focusing microwaves using a metamaterial-inspired near-field electromagnetic structure (Meta-NFS). In contrast to previous work, the Meta-NFS achieves the spatial resolution and power density needed to 3D print freeform microstructures where the electronic and mechanical properties can be locally programmed even within optically opaque materials. By broadening the material palettes compatible with 3D printing, near-field microwave 3D printing with Meta-NFS enables classes of electronics that are otherwise challenging to create.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动物相关的巨型噬菌体作为肠道微生物生态和代谢的广泛且活跃的调节剂</w:t>
      </w:r>
    </w:p>
    <w:p>
      <w:r>
        <w:rPr>
          <w:rFonts w:ascii="Times New Roman" w:hAnsi="Times New Roman" w:eastAsia="宋体"/>
          <w:b/>
          <w:color w:val="003264"/>
          <w:sz w:val="24"/>
        </w:rPr>
        <w:t>Animal-associated jumbo phages as widespread and active modulators of gut microbiome ecology and metabolism</w:t>
      </w:r>
    </w:p>
    <w:p>
      <w:r>
        <w:rPr>
          <w:rFonts w:ascii="Times New Roman" w:hAnsi="Times New Roman" w:eastAsia="宋体"/>
          <w:sz w:val="21"/>
        </w:rPr>
        <w:t>作者: LinXing Chen, Antonio Pedro Camargo, Yiting Qin, Eugene V. Koonin, Haoyu Wang, Yuanqiang Zou, Yi Duan, Hao Li</w:t>
        <w:br/>
      </w:r>
      <w:r>
        <w:rPr>
          <w:rFonts w:ascii="Times New Roman" w:hAnsi="Times New Roman" w:eastAsia="宋体"/>
          <w:sz w:val="21"/>
        </w:rPr>
        <w:t xml:space="preserve">时间: 2026-02-06 | </w:t>
      </w:r>
      <w:r>
        <w:t xml:space="preserve">链接: </w:t>
      </w:r>
      <w:hyperlink r:id="rId19">
        <w:r>
          <w:rPr>
            <w:rFonts w:ascii="Times New Roman" w:hAnsi="Times New Roman" w:eastAsia="宋体"/>
            <w:color w:val="0000FF"/>
            <w:sz w:val="21"/>
            <w:u w:val="single"/>
          </w:rPr>
          <w:t>https://doi.org/10.1126/sciadv.aeb6265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巨大的噬菌体在生物圈中广泛存在，但它们在人类肠道中的流行率和生态学仍然知之甚少。在这里，我们报告了 Jug（巨型肠道）噬菌体，其基因组为 360 至 402 kilobase 对，占人类肠道宏基因组读数的约 1.1%，预计会感染拟杆菌和/或 Phocaeicola。尽管 Jug 噬菌体的四个主要群体中的三个具有 &gt;90% 的全基因组序列同一性，但它们的大终止酶亚基仅表现出 38% 至 57% 的同一性，表明从其他噬菌体中水平获取。从人类和动物肠道宏基因组中回收了超过 1500 个 Jug 噬菌体基因组，揭示了它们的广泛分布，并且大部分共享的基因内容表明频繁的跨动物宿主传播。 Jug 噬菌体表现出高基因转录活性，包括以前在噬菌体中未检测到的钙转位 P 型 ATP 酶基因。这些发现拓宽了我们对巨型噬菌体的理解，并强调 Jug 噬菌体是肠道微生物生态学中潜在的主要参与者。</w:t>
      </w:r>
    </w:p>
    <w:p>
      <w:pPr>
        <w:spacing w:before="120"/>
      </w:pPr>
      <w:r>
        <w:rPr>
          <w:rFonts w:ascii="Times New Roman" w:hAnsi="Times New Roman" w:eastAsia="宋体"/>
          <w:b/>
          <w:sz w:val="21"/>
        </w:rPr>
        <w:t>English Abstract:</w:t>
      </w:r>
    </w:p>
    <w:p>
      <w:r>
        <w:rPr>
          <w:rFonts w:ascii="Times New Roman" w:hAnsi="Times New Roman" w:eastAsia="宋体"/>
          <w:sz w:val="21"/>
        </w:rPr>
        <w:t>Huge phages are widespread in the biosphere, yet their prevalence and ecology in the human gut remain poorly characterized. Here, we report Jug (jumbo gut) phages with genomes of 360 to 402 kilobase pairs that comprise ~1.1% of the reads in human gut metagenomes, and are predicted to infect Bacteroides and/or Phocaeicola . Although three of the four major groups of Jug phages shared &gt;90% genome-wide sequence identity, their large terminase subunits exhibited only 38 to 57% identity, suggesting horizontal acquisition from other phages. Over 1500 genomes of Jug phages were recovered from human and animal gut metagenomes, revealing their broad distribution, with largely shared gene content suggestive of frequent cross-animal-host transmission. Jug phages displayed high gene transcription activities, including the gene for a calcium-translocating P-type ATPase not detected previously in phages. These findings broaden our understanding of huge phages and highlight Jug phages as potential major players in gut microbiome ecology.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异硫氰酸酯介导的噬菌体展示肽环化使大环结合物的发现成为可能</w:t>
      </w:r>
    </w:p>
    <w:p>
      <w:r>
        <w:rPr>
          <w:rFonts w:ascii="Times New Roman" w:hAnsi="Times New Roman" w:eastAsia="宋体"/>
          <w:b/>
          <w:color w:val="003264"/>
          <w:sz w:val="24"/>
        </w:rPr>
        <w:t>Isothiocyanate-mediated cyclization of phage-displayed peptides enables discovery of macrocyclic binders</w:t>
      </w:r>
    </w:p>
    <w:p>
      <w:r>
        <w:rPr>
          <w:rFonts w:ascii="Times New Roman" w:hAnsi="Times New Roman" w:eastAsia="宋体"/>
          <w:sz w:val="21"/>
        </w:rPr>
        <w:t>作者: Liwen Bai, Ting Dan, Peng Cheng, Xiaoqin Yang, Hua Xiang, Weikang Zhai, Yifei Chen, Rong Huang, Qi Wang, Kai Li, Jinming Gao, Xinxiang Lei</w:t>
        <w:br/>
      </w:r>
      <w:r>
        <w:rPr>
          <w:rFonts w:ascii="Times New Roman" w:hAnsi="Times New Roman" w:eastAsia="宋体"/>
          <w:sz w:val="21"/>
        </w:rPr>
        <w:t xml:space="preserve">时间: 2026-02-06 | </w:t>
      </w:r>
      <w:r>
        <w:t xml:space="preserve">链接: </w:t>
      </w:r>
      <w:hyperlink r:id="rId20">
        <w:r>
          <w:rPr>
            <w:rFonts w:ascii="Times New Roman" w:hAnsi="Times New Roman" w:eastAsia="宋体"/>
            <w:color w:val="0000FF"/>
            <w:sz w:val="21"/>
            <w:u w:val="single"/>
          </w:rPr>
          <w:t>https://doi.org/10.1126/sciadv.aeb7086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环肽在以高亲和力结合蛋白质靶标方面表现出优势，并且能够抑制蛋白质-蛋白质相互作用。具有超过十亿种变体的环肽噬菌体展示是药物发现中的宝贵工具。然而，在噬菌体上实现有效的肽环化仍然是一个挑战，因为反应位点的可用性有限，这也限制了支架的多样性。在这里，我们报道了一种异硫氰酸酯衍生的交联剂，具有双反应基团：共价连接到半胱氨酸硫醇上的溴化物和根据pH选择性与赖氨酸的N端氨基或ε-胺选择性形成硫脲桥的硫氰基。该策略可实现 pH 调节环化。在 pH 6.5 时，发生头到侧链环化，在 pH 9.5 时，进行侧链到侧链连接。两个过程同时产生硫脲支架。为了证明这种方法的多功能性和生物相容性，我们使用两种环化方法构建了环肽库，并成功选择了几个靶标的结合剂，包括亲环蛋白 D、鼠双分钟 2 和 Keap1，解离常数范围从微摩尔到纳摩尔。鉴于硫脲部分的广泛药理学潜力，该噬菌体展示库打开了以前未知的化学空间，具有高支架多样性，并整合了经过验证的药效基团，用于环肽疗法的开发。</w:t>
      </w:r>
    </w:p>
    <w:p>
      <w:pPr>
        <w:spacing w:before="120"/>
      </w:pPr>
      <w:r>
        <w:rPr>
          <w:rFonts w:ascii="Times New Roman" w:hAnsi="Times New Roman" w:eastAsia="宋体"/>
          <w:b/>
          <w:sz w:val="21"/>
        </w:rPr>
        <w:t>English Abstract:</w:t>
      </w:r>
    </w:p>
    <w:p>
      <w:r>
        <w:rPr>
          <w:rFonts w:ascii="Times New Roman" w:hAnsi="Times New Roman" w:eastAsia="宋体"/>
          <w:sz w:val="21"/>
        </w:rPr>
        <w:t>Cyclic peptides exhibit advantages in binding protein targets with high affinity and competency in inhibiting protein-protein interactions. Cyclic peptide phage display with more than a billion variants is an invaluable tool in drug discovery. However, achieving efficient peptide cyclization on phages remains a challenge because of the limited availability of reaction sites, which also restrict scaffold diversity. Here, we report an isothiocyanate-derived cross-linker featuring dual reactive groups: a bromide that covalently attaches to cysteine thiols and a thiocyanogen that selectively forms a thiourea bridge with either the N-terminal amino group or ε-amines of lysine, depending on pH. This strategy enables pH-modulated cyclization. At pH 6.5, head–to–side chain cyclization occurs, and at pH 9.5, side chain–to–side chain ligation is performed. Both processes simultaneously generate thiourea scaffolds. To demonstrate the versatility and biocompatibility of this approach, we constructed cyclic peptide libraries using both cyclization methods and successfully selected binders for several targets, including cyclophilin D, murine double minute 2, and Keap1, with dissociation constants ranging from micromolar to nanomolar. Given the broad pharmacological potential of the thiourea moiety, this phage display library opens previously unidentified chemical space with high scaffold diversity and the integration of a proven pharmacophore for the development of cyclic peptide therapeutics.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 Lupoiu 等人的研究文章“实时自主自由形式超表面设计的多代理框架”的勘误。</w:t>
      </w:r>
    </w:p>
    <w:p>
      <w:r>
        <w:rPr>
          <w:rFonts w:ascii="Times New Roman" w:hAnsi="Times New Roman" w:eastAsia="宋体"/>
          <w:b/>
          <w:color w:val="003264"/>
          <w:sz w:val="24"/>
        </w:rPr>
        <w:t>Erratum for the Research Article “A multi-agentic framework for real-time, autonomous freeform metasurface design” by R. Lupoiu et al .</w:t>
      </w:r>
    </w:p>
    <w:p>
      <w:r>
        <w:rPr>
          <w:rFonts w:ascii="Times New Roman" w:hAnsi="Times New Roman" w:eastAsia="宋体"/>
          <w:sz w:val="21"/>
        </w:rPr>
        <w:t>作者: Unknown</w:t>
        <w:br/>
      </w:r>
      <w:r>
        <w:rPr>
          <w:rFonts w:ascii="Times New Roman" w:hAnsi="Times New Roman" w:eastAsia="宋体"/>
          <w:sz w:val="21"/>
        </w:rPr>
        <w:t xml:space="preserve">时间: 2026-02-06 | </w:t>
      </w:r>
      <w:r>
        <w:t xml:space="preserve">链接: </w:t>
      </w:r>
      <w:hyperlink r:id="rId21">
        <w:r>
          <w:rPr>
            <w:rFonts w:ascii="Times New Roman" w:hAnsi="Times New Roman" w:eastAsia="宋体"/>
            <w:color w:val="0000FF"/>
            <w:sz w:val="21"/>
            <w:u w:val="single"/>
          </w:rPr>
          <w:t>https://doi.org/10.1126/sciadv.aef5670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Scientific Reports</w:t>
      </w:r>
    </w:p>
    <w:p>
      <w:pPr>
        <w:jc w:val="center"/>
      </w:pPr>
      <w:r>
        <w:t>--- 更新: 00:28 ---</w:t>
      </w:r>
    </w:p>
    <w:p>
      <w:pPr>
        <w:pStyle w:val="Heading2"/>
      </w:pPr>
      <w:r/>
      <w:r>
        <w:rPr>
          <w:rFonts w:ascii="Times New Roman" w:hAnsi="Times New Roman" w:eastAsia="宋体"/>
          <w:b/>
          <w:color w:val="000000"/>
          <w:sz w:val="24"/>
        </w:rPr>
        <w:t>糖尿病视网膜病变患者二硫键下垂相关基因差异表达及其与免疫调节的关系研究</w:t>
      </w:r>
    </w:p>
    <w:p>
      <w:r>
        <w:rPr>
          <w:rFonts w:ascii="Times New Roman" w:hAnsi="Times New Roman" w:eastAsia="宋体"/>
          <w:b/>
          <w:color w:val="003264"/>
          <w:sz w:val="24"/>
        </w:rPr>
        <w:t>Study on the differential expression of disulfidptosis-related genes and their association with immune regulation in patients with diabetic retinopathy</w:t>
      </w:r>
    </w:p>
    <w:p>
      <w:r>
        <w:rPr>
          <w:rFonts w:ascii="Times New Roman" w:hAnsi="Times New Roman" w:eastAsia="宋体"/>
          <w:sz w:val="21"/>
        </w:rPr>
        <w:t>作者: Yue Hao, Xi-Xi Zhang, Xin-Yi Wang, Jun-Tao Zhang, Li-Fen Guo, Heng-Qian He, Li-Qin Ying, Si-Yu Xian, Hao Liu, Qin-Kang Lu</w:t>
        <w:br/>
      </w:r>
      <w:r>
        <w:rPr>
          <w:rFonts w:ascii="Times New Roman" w:hAnsi="Times New Roman" w:eastAsia="宋体"/>
          <w:sz w:val="21"/>
        </w:rPr>
        <w:t xml:space="preserve">时间: 2026-02-06 | </w:t>
      </w:r>
      <w:r>
        <w:t xml:space="preserve">链接: </w:t>
      </w:r>
      <w:hyperlink r:id="rId22">
        <w:r>
          <w:rPr>
            <w:rFonts w:ascii="Times New Roman" w:hAnsi="Times New Roman" w:eastAsia="宋体"/>
            <w:color w:val="0000FF"/>
            <w:sz w:val="21"/>
            <w:u w:val="single"/>
          </w:rPr>
          <w:t>https://doi.org/10.1038/s41598-026-38671-9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糖尿病视网膜病变（DR）是一种常见的糖尿病微血管并发症，由于其潜在病理生理机制的复杂性，目前缺乏有效的治疗方案。将二硫键死亡鉴定为细胞死亡的一种亚型，为研究多种疾病的发病机制开辟了新途径。本研究旨在鉴定和验证DR患者外周血样本中差异表达的二硫键相关基因（DRG），并探讨其与免疫细胞浸润的关系。临床患者数据集 (GSE221521) 从公共在线数据库获得。基于该数据集，使用 R 软件对 DRG 进行差异表达、相关性和富集分析，以确定其潜在的作用机制。基于 Benjamini-Hochberg 方法，采用错误发现率 (FDR) 校正来减少假阳性结果（FDR 的显着性阈值 &lt; 0.05）。随后，采用 CIBERSORT 算法评估与差异表达的 DRG 相关的免疫细胞浸润水平，以探索 DR 背景下的免疫失调。同时，通过列线图、校准曲线、ROC曲线、列线图和决策曲线分析来验证关键基因的准确性，构建评估DR风险的疾病预测模型。最后，使用 DR 患者的临床样本验证了差异表达的 DRG。基于GSE221521数据集，观察到8个二硫下垂相关基因的表达存在显着差异，并且使用临床样本进行个体验证证实FLNB、GYS1、FLNA、PRDX1的表达模式一致，其中FLNB和GYS1表现出统计学显着差异。免疫浸润分析显示，DR 患者中 5 个 DRG（TLN1、FLNA、PRDX1、FLNB 和 GYS1）与巨噬细胞、CD4 记忆激活 T 细胞和 M0 单核细胞密切相关。功能富集分析强调了血小板聚集和激活以及 Rap1 信号传导在疾病发生和发展中的参与。基于8个差异表达的DRG构建联合预测模型，AUC为0.818，显着优于单基因模型。该模型被可视化为列线图，以促进基于基因表达模式的个体风险快速评估，以进行早期风险预测和个性化干预。然而，该预测模型是建立在单个数据集上的，需要在其他独立队列中进一步验证。这是第一项确定 DR 与二硫化物下垂症之间密切相关性的研究，为识别 DR 的生物标志物和潜在治疗策略提供了新的视角。</w:t>
      </w:r>
    </w:p>
    <w:p>
      <w:pPr>
        <w:spacing w:before="120"/>
      </w:pPr>
      <w:r>
        <w:rPr>
          <w:rFonts w:ascii="Times New Roman" w:hAnsi="Times New Roman" w:eastAsia="宋体"/>
          <w:b/>
          <w:sz w:val="21"/>
        </w:rPr>
        <w:t>English Abstract:</w:t>
      </w:r>
    </w:p>
    <w:p>
      <w:r>
        <w:rPr>
          <w:rFonts w:ascii="Times New Roman" w:hAnsi="Times New Roman" w:eastAsia="宋体"/>
          <w:sz w:val="21"/>
        </w:rPr>
        <w:t>Diabetic retinopathy (DR), a frequently encountered microvascular complication of diabetes, currently lacks effective treatment options due to the complexity of its underlying pathophysiological mechanisms. The identification of disulfidptosis as a subtype of cell death opens up novel avenues for investigating the pathogenesis of several diseases. This study aims to identify and validate differentially expressed disulfidptosis-related genes (DRGs) in peripheral blood samples of patients with DR, and to explore their association with immune cell infiltration. Clinical patient datasets (GSE221521) were obtained from public online databases. Based on this dataset, differential expression, correlation, and enrichment analyses of DRGs were performed using R software to determine their potential mechanisms of action. False Discovery Rate (FDR) correction was employed to reduce false positive results (significance threshold at FDR &lt; 0.05) based on the Benjamini-Hochberg method. Subsequently, the CIBERSORT algorithm was deployed to assess the infiltration levels immune cell associated with the differentially expressed DRGs, in order to explore immune dysregulation in the context of DR. Meanwhile, nomograms, calibration curves, ROC curves, nomograms, and decision curve analyses were conducted to validate the accuracy of key genes and construct a disease prediction model for assessing DR risks. Finally, the differentially expressed DRGs were validated using clinical samples from DR patients. Based on the GSE221521 dataset, significantly differential expressions of eight disulfidptosis-related genes were observed, and individual validation using clinical samples confirmed consistent expression patterns for FLNB, GYS1, FLNA, PRDX1, among which FLNB and GYS1 showed statistically significant differences. Immune infiltration analysis revealed that five DRGs (TLN1, FLNA, PRDX1, FLNB, and GYS1) were strongly correlated with macrophages, CD4 memory activated T cells, and M0 monocytes in DR patients. Functional enrichment analysis highlighted the involvement of platelet aggregation and activation, as well as Rap1 signaling, in the initiation and development of the disease. A joint predictive model was constructed based on eight differentially expressed DRGs, and achieved an AUC of 0.818, significantly outperforming single-gene models. This model was visualized as a nomogram to facilitate rapid assessment of individual risk based on gene expression patterns for early risk prediction and personalized intervention. However, this prediction model was built on a single dataset and required further validation in other independent queues. This is the first study to identify a strong association between DR and disulfidptosis, providing a novel perspective for identifying biomarkers and potential treatment strategies for DR.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SFEL 一种机器学习框架，用于预测基于雷达后向散射的地面变形</w:t>
      </w:r>
    </w:p>
    <w:p>
      <w:r>
        <w:rPr>
          <w:rFonts w:ascii="Times New Roman" w:hAnsi="Times New Roman" w:eastAsia="宋体"/>
          <w:b/>
          <w:color w:val="003264"/>
          <w:sz w:val="24"/>
        </w:rPr>
        <w:t>SFEL a machine learning framework for forecasting radar backscatter based ground deformation</w:t>
      </w:r>
    </w:p>
    <w:p>
      <w:r>
        <w:rPr>
          <w:rFonts w:ascii="Times New Roman" w:hAnsi="Times New Roman" w:eastAsia="宋体"/>
          <w:sz w:val="21"/>
        </w:rPr>
        <w:t>作者: Sahil Sankhyan, Shreya Sharma, Sangeeta pohal, Kala Venkata Uday, Varun Dutt</w:t>
        <w:br/>
      </w:r>
      <w:r>
        <w:rPr>
          <w:rFonts w:ascii="Times New Roman" w:hAnsi="Times New Roman" w:eastAsia="宋体"/>
          <w:sz w:val="21"/>
        </w:rPr>
        <w:t xml:space="preserve">时间: 2026-02-06 | </w:t>
      </w:r>
      <w:r>
        <w:t xml:space="preserve">链接: </w:t>
      </w:r>
      <w:hyperlink r:id="rId23">
        <w:r>
          <w:rPr>
            <w:rFonts w:ascii="Times New Roman" w:hAnsi="Times New Roman" w:eastAsia="宋体"/>
            <w:color w:val="0000FF"/>
            <w:sz w:val="21"/>
            <w:u w:val="single"/>
          </w:rPr>
          <w:t>https://doi.org/10.1038/s41598-026-37619-3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准确预测土壤变形对于减轻喜马拉雅山等山区的山体滑坡灾害至关重要，那里的地形不稳定不断威胁着基础设施和生计。虽然以前的模型通常依赖于岩土工程数据或孤立的卫星观测，但这项研究提出了一个集成且可解释的框架，用于预测基于雷达后向散射的变形。所提出的堆叠预测集成学习器 (SFEL) 将岩土参数、传统土壤指标和使用 Google Earth Engine 处理的合成孔径雷达 (SAR) 导出的 ΔVV 变形代理合并到统一的集成学习管道中。使用双特征选择 Pearson 相关性和互信息，该模型在 1 个月和 6 个月的范围内实现了强大的预测性能，均方根误差分别为 0.01 和 0.03 ΔVV/年。沙普利附加解释证实了传统特征和科学特征的互补作用，揭示了特征重要性在不同时间尺度上的明显变化。虽然结果表明了 SFEL 模型的稳健性，但它们也凸显了某些局限性，包括区域数据限制和雷达后向散射作为变形指标的代理性质。尽管如此，这项研究表明，将经验性土壤知识与遥感和机器学习相结合可以提高预测的可靠性和可解释性，为知情的边坡管理和区域灾害监测提供可扩展的途径。</w:t>
      </w:r>
    </w:p>
    <w:p>
      <w:pPr>
        <w:spacing w:before="120"/>
      </w:pPr>
      <w:r>
        <w:rPr>
          <w:rFonts w:ascii="Times New Roman" w:hAnsi="Times New Roman" w:eastAsia="宋体"/>
          <w:b/>
          <w:sz w:val="21"/>
        </w:rPr>
        <w:t>English Abstract:</w:t>
      </w:r>
    </w:p>
    <w:p>
      <w:r>
        <w:rPr>
          <w:rFonts w:ascii="Times New Roman" w:hAnsi="Times New Roman" w:eastAsia="宋体"/>
          <w:sz w:val="21"/>
        </w:rPr>
        <w:t>Accurate prediction of soil deformation is crucial for mitigating landslide hazards in mountainous regions, such as the Himalayas, where terrain instability continually threatens infrastructure and livelihood. While previous models have often relied on either geotechnical data or satellite-based observations in isolation, this study presents an integrated and interpretable framework for forecasting radar-backscatter-based deformation. The proposed Stacked Forecasting Ensemble Learner (SFEL) merges geotechnical parameters, traditional soil indicators, and Synthetic Aperture Radar (SAR)-derived ΔVV deformation proxies processed using the Google Earth Engine into a unified ensemble learning pipeline. Using dual feature selection Pearson correlation and mutual information, the model achieved strong predictive performance for both the 1-month and 6-month horizons, with low root mean squared errors of 0.01 and 0.03 ΔVV/year, respectively. Shapley additive explanations confirmed the complementary roles of traditional and scientific features, revealing distinct shifts in feature importance across various temporal scales. While the results indicate the robustness of the SFEL model, they also highlight certain limitations, including regional data constraints and the proxy nature of radar backscatter as a deformation indicator. Nonetheless, this study demonstrates that integrating experiential soil knowledge with remote sensing and machine learning can advance both predictive reliability and interpretability, offering a scalable pathway for informed slope management and regional-hazard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用于柔性 OLED 协同光提取的混合微透镜-聚合物分散液晶基板</w:t>
      </w:r>
    </w:p>
    <w:p>
      <w:r>
        <w:rPr>
          <w:rFonts w:ascii="Times New Roman" w:hAnsi="Times New Roman" w:eastAsia="宋体"/>
          <w:b/>
          <w:color w:val="003264"/>
          <w:sz w:val="24"/>
        </w:rPr>
        <w:t>Hybrid microlens-polymer dispersed liquid crystal substrate for synergistic light extraction from flexible OLEDs</w:t>
      </w:r>
    </w:p>
    <w:p>
      <w:r>
        <w:rPr>
          <w:rFonts w:ascii="Times New Roman" w:hAnsi="Times New Roman" w:eastAsia="宋体"/>
          <w:sz w:val="21"/>
        </w:rPr>
        <w:t>作者: Seongmin Lim, Hyeon-Sik Ahn, Woonha Lee, Jin Seog Gwag, Jae-Hyun Lee, Yoonseuk Choi</w:t>
        <w:br/>
      </w:r>
      <w:r>
        <w:rPr>
          <w:rFonts w:ascii="Times New Roman" w:hAnsi="Times New Roman" w:eastAsia="宋体"/>
          <w:sz w:val="21"/>
        </w:rPr>
        <w:t xml:space="preserve">时间: 2026-02-06 | </w:t>
      </w:r>
      <w:r>
        <w:t xml:space="preserve">链接: </w:t>
      </w:r>
      <w:hyperlink r:id="rId24">
        <w:r>
          <w:rPr>
            <w:rFonts w:ascii="Times New Roman" w:hAnsi="Times New Roman" w:eastAsia="宋体"/>
            <w:color w:val="0000FF"/>
            <w:sz w:val="21"/>
            <w:u w:val="single"/>
          </w:rPr>
          <w:t>https://doi.org/10.1038/s41598-026-37135-4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这项研究提出了一种新型混合基板，将微透镜阵列（MLA）与聚合物分散液晶（PDLC）集成在一起，以提高柔性有机发光二极管（OLED）的外部光提取效率。所提出的 MLA 压印 PDLC (MIP) 基板通过将 PDLC 的强体积散射与 MLA 的界面折射协同结合，显着改善光提取。同时，聚合物基体具有出色的机械柔韧性，使该基板非常适合柔性 OLED 应用。通过蒙特卡罗光线追踪模拟验证了所提出结构的有效性。当应用于柔性OLED时，MIP基板表现出98.5%的高雾度，与参考器件相比，外量子效率（EQE）提高了21%。 MIP 是通过简单的室温溶液工艺制造的，仅涉及旋涂和紫外线固化。这种简便的方法为大面积应用提供了出色的可扩展性，包括卷对卷和印刷工艺。因此，所提出的 MIP 平台为推进下一代柔性光电子学提供了一种实用且有效的方法。</w:t>
      </w:r>
    </w:p>
    <w:p>
      <w:pPr>
        <w:spacing w:before="120"/>
      </w:pPr>
      <w:r>
        <w:rPr>
          <w:rFonts w:ascii="Times New Roman" w:hAnsi="Times New Roman" w:eastAsia="宋体"/>
          <w:b/>
          <w:sz w:val="21"/>
        </w:rPr>
        <w:t>English Abstract:</w:t>
      </w:r>
    </w:p>
    <w:p>
      <w:r>
        <w:rPr>
          <w:rFonts w:ascii="Times New Roman" w:hAnsi="Times New Roman" w:eastAsia="宋体"/>
          <w:sz w:val="21"/>
        </w:rPr>
        <w:t>This study proposes a novel hybrid substrate that integrates a microlens array (MLA) with a polymer dispersed liquid crystal (PDLC) to enhance external light extraction efficiency in flexible organic light emitting diodes (OLEDs). The proposed MLA imprinted PDLC (MIP) substrate significantly improves light extraction by synergistically combining the strong volumetric scattering of the PDLC with the interfacial refraction of the MLA. Simultaneously, the polymer matrix provides excellent mechanical flexibility, making the substrate well suited for flexible OLED applications. The validity of the proposed structure was verified through Monte Carlo ray-tracing simulations. When applied to flexible OLEDs, the MIP substrate exhibits a high haze of 98.5% and achieves a 21% enhancement in external quantum efficiency (EQE) compared with a reference device. The MIP is fabricated through a simple room temperature solution process involving only spin coating and UV curing. This facile method provides excellent scalability for large area applications, including roll-to-roll and printing processes. Thus, the proposed MIP platform offers a practical and effective approach for advancing next generation flexible optoelectronics.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具有双重 DPP-IV 抑制和葡萄糖转运调节作用的蜂花粉衍生肽</w:t>
      </w:r>
    </w:p>
    <w:p>
      <w:r>
        <w:rPr>
          <w:rFonts w:ascii="Times New Roman" w:hAnsi="Times New Roman" w:eastAsia="宋体"/>
          <w:b/>
          <w:color w:val="003264"/>
          <w:sz w:val="24"/>
        </w:rPr>
        <w:t>Bee pollen-derived peptide with dual DPP-IV Inhibition and glucose transport modulation</w:t>
      </w:r>
    </w:p>
    <w:p>
      <w:r>
        <w:rPr>
          <w:rFonts w:ascii="Times New Roman" w:hAnsi="Times New Roman" w:eastAsia="宋体"/>
          <w:sz w:val="21"/>
        </w:rPr>
        <w:t>作者: Usa Mongkolnkrajang, Kittisak Kuptawach, Papassara Sangtanoo, Tanatorn Saisavoey, Patamalai Boonserm, Onrapak Reamtong, Piroonporn Srimongkol, Aphichart Karnchanatat</w:t>
        <w:br/>
      </w:r>
      <w:r>
        <w:rPr>
          <w:rFonts w:ascii="Times New Roman" w:hAnsi="Times New Roman" w:eastAsia="宋体"/>
          <w:sz w:val="21"/>
        </w:rPr>
        <w:t xml:space="preserve">时间: 2026-02-06 | </w:t>
      </w:r>
      <w:r>
        <w:t xml:space="preserve">链接: </w:t>
      </w:r>
      <w:hyperlink r:id="rId25">
        <w:r>
          <w:rPr>
            <w:rFonts w:ascii="Times New Roman" w:hAnsi="Times New Roman" w:eastAsia="宋体"/>
            <w:color w:val="0000FF"/>
            <w:sz w:val="21"/>
            <w:u w:val="single"/>
          </w:rPr>
          <w:t>https://doi.org/10.1038/s41598-026-39009-1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本研究探讨了蜂花粉蛋白水解物 (BPPH) 作为能够抑制二肽基肽酶 IV (DPP-IV) 的生物活性肽的天然来源，用于治疗 2 型糖尿病 (T2DM)，这是一种以胰岛素抵抗和高血糖为特征的代谢性疾病。 BPPH 通过胃蛋白酶-胰酶消化产生，然后进行超滤和 RP-HPLC 纯化。 LC-Q-TOF-MS/MS 分析确定 Ala-Thr-His-Ala-Leu-Leu-Ala (ATHALLA, AA-7) 是与 DPP-IV 抑制活性相关的主要肽。相对于参考抑制剂二蛋白 A (IC50 = 22.4 ± 1.29 µM)，AA-7 表现出较强的 DPP-IV 抑制活性 (IC50 = 52.63 ± 2.32 µM)。分子对接预测 AA-7 在 DPP-IV 催化口袋内稳定结合，通过氢键和与关键残基的疏水相互作用介导。 AA-7 还调节 Caco-2 细胞中的葡萄糖摄取，以剂量依赖性方式影响 SGLT1 和 GLUT2 基因表达。对接分析表明与选定的 SGLT1 和 GLUT2 残基存在潜在的相互作用，为观察到的细胞反应提供结构支持，而不是明确的机制证据。计算机 ADMET 分析表明，被动膜渗透性较差，预测的肠道吸收有限，同时 CYP450 相互作用最小，预测的毒性较低，强调了潜在的药代动力学限制，同时支持良好的安全性。这些发现强调了 AA-7 作为一种双重作用肽，具有 DPP-IV 抑制活性和体外调节葡萄糖转运的能力，支持蜂花粉衍生肽在血糖调节和功能性食品或营养保健品应用中的潜力。</w:t>
      </w:r>
    </w:p>
    <w:p>
      <w:pPr>
        <w:spacing w:before="120"/>
      </w:pPr>
      <w:r>
        <w:rPr>
          <w:rFonts w:ascii="Times New Roman" w:hAnsi="Times New Roman" w:eastAsia="宋体"/>
          <w:b/>
          <w:sz w:val="21"/>
        </w:rPr>
        <w:t>English Abstract:</w:t>
      </w:r>
    </w:p>
    <w:p>
      <w:r>
        <w:rPr>
          <w:rFonts w:ascii="Times New Roman" w:hAnsi="Times New Roman" w:eastAsia="宋体"/>
          <w:sz w:val="21"/>
        </w:rPr>
        <w:t>This study investigates the potential of bee pollen protein hydrolysate (BPPH) as a natural source of bioactive peptides capable of inhibiting dipeptidyl peptidase IV (DPP-IV) for the management of type 2 diabetes mellitus (T2DM), a metabolic disorder characterized by insulin resistance and hyperglycemia. BPPH was generated through pepsin–pancreatin digestion, followed by ultrafiltration and RP-HPLC purification. LC-Q-TOF-MS/MS analysis identified Ala-Thr-His-Ala-Leu-Leu-Ala (ATHALLA, AA-7) as a predominant peptide associated with DPP-IV inhibitory activity. AA-7 exhibited strong DPP-IV inhibitory activity (IC50 = 52.63 ± 2.32 µM) relative to the reference inhibitor diprotin A (IC50 = 22.4 ± 1.29 µM). Molecular docking predicted stable binding of AA-7 within the DPP-IV catalytic pocket, mediated by hydrogen bonding and hydrophobic interactions with key residues. AA-7 also modulated glucose uptake in Caco-2 cells, influencing SGLT1 and GLUT2 gene expression in a dose-dependent manner. Docking analysis suggested potential interactions with selected SGLT1 and GLUT2 residues, providing structural support for the observed cellular responses rather than definitive mechanistic evidence. In silico ADMET analysis indicated poor passive membrane permeability and limited predicted intestinal absorption, along with minimal CYP450 interactions and low predicted toxicity, highlighting potential pharmacokinetic limitations while supporting a favorable safety profile. These findings highlight AA-7 as a dual-action peptide with demonstrated DPP-IV inhibitory activity and the ability to modulate glucose transport in vitro, supporting the potential of bee-pollen-derived peptides for glycemic regulation and functional food or nutraceutical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工业现场环境下特征相似度高的机械零件智能识别方法研究</w:t>
      </w:r>
    </w:p>
    <w:p>
      <w:r>
        <w:rPr>
          <w:rFonts w:ascii="Times New Roman" w:hAnsi="Times New Roman" w:eastAsia="宋体"/>
          <w:b/>
          <w:color w:val="003264"/>
          <w:sz w:val="24"/>
        </w:rPr>
        <w:t>Research on intelligent recognition method of mechanical parts with high feature similarity in industrial field environment</w:t>
      </w:r>
    </w:p>
    <w:p>
      <w:r>
        <w:rPr>
          <w:rFonts w:ascii="Times New Roman" w:hAnsi="Times New Roman" w:eastAsia="宋体"/>
          <w:sz w:val="21"/>
        </w:rPr>
        <w:t>作者: Cheng Lu, Xuanmiao Ye, Jinzhong Wu, Fuzhong Wu</w:t>
        <w:br/>
      </w:r>
      <w:r>
        <w:rPr>
          <w:rFonts w:ascii="Times New Roman" w:hAnsi="Times New Roman" w:eastAsia="宋体"/>
          <w:sz w:val="21"/>
        </w:rPr>
        <w:t xml:space="preserve">时间: 2026-02-06 | </w:t>
      </w:r>
      <w:r>
        <w:t xml:space="preserve">链接: </w:t>
      </w:r>
      <w:hyperlink r:id="rId26">
        <w:r>
          <w:rPr>
            <w:rFonts w:ascii="Times New Roman" w:hAnsi="Times New Roman" w:eastAsia="宋体"/>
            <w:color w:val="0000FF"/>
            <w:sz w:val="21"/>
            <w:u w:val="single"/>
          </w:rPr>
          <w:t>https://doi.org/10.1038/s41598-026-39036-y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在复杂的工业环境中精确、快速地识别机械零件对于材料的智能组装和处理至关重要。该研究检查了在不同照明和遮挡场景下特征表现出显着相似性的各个部件的智能识别。这项研究提出了一种基于 You Only Look Once 版本 8 nano (YOLOv8n) 的增强型轻量级网络，以提高检测精度、准确度和速度。将双向特征金字塔网络（BiFPN）特征融合模块集成到YOLOv8头部中，提高了在多个尺度上提取特征的能力。将 FasterNet 的精简架构纳入核心网络简化了工业用途的模型。此外，注意力机制和Wise-IoU损失函数的集成增强了特征的细致提取，从而提高了检测的精度和速度。实验结果表明，改进后的模型在复杂工业场景中识别高度相似的机械零件方面优于标准，从而提高了精度和效率。与最初的 YOLOv8n 相比，该模型显示出显着的增强：mAP@0.5 提高了 1.5%，检测精度提高了 0.3%，参数减少了 41.7%。该方法提供了一种识别工业零件的熟练方法。</w:t>
      </w:r>
    </w:p>
    <w:p>
      <w:pPr>
        <w:spacing w:before="120"/>
      </w:pPr>
      <w:r>
        <w:rPr>
          <w:rFonts w:ascii="Times New Roman" w:hAnsi="Times New Roman" w:eastAsia="宋体"/>
          <w:b/>
          <w:sz w:val="21"/>
        </w:rPr>
        <w:t>English Abstract:</w:t>
      </w:r>
    </w:p>
    <w:p>
      <w:r>
        <w:rPr>
          <w:rFonts w:ascii="Times New Roman" w:hAnsi="Times New Roman" w:eastAsia="宋体"/>
          <w:sz w:val="21"/>
        </w:rPr>
        <w:t>Precise and swift recognition of mechanical parts in complex industrial settings is crucial for the intelligent assembly and handling of materials. The study examines the intelligent identification of various parts that exhibit significant resemblance in features across different lighting and occlusion scenarios. This study proposes an enhanced You Only Look Once version 8 nano (YOLOv8n)-based lightweight network to boost detection precision, accuracy, and speed. Integrating a bidirectional feature pyramid network (BiFPN) feature fusion module into the YOLOv8 head improves the ability to extract features on multiple scales. The incorporation of FasterNet’s streamlined architecture into the core network simplifies the model for industrial use. Furthermore, the integration of an attention mechanism and the Wise-IoU loss function enhances the nuanced extraction of features, thereby improving the precision and speed of detection. The experimental results show that the improved model outperforms the standard in identifying highly similar mechanical parts in complex industrial scenarios, resulting in greater precision and efficiency. In contrast to the initial YOLOv8n, this model shows notable enhancements: a 1.5% increase in mAP@0.5, a 0.3% rise in detection precision, and a 41.7% reduction in parameters. This method offers a proficient way to identify industrial parts.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多级关注 DeepLab V3+ 与 EfficientNetB0 用于 MRI 扫描中胃肠道器官分割</w:t>
      </w:r>
    </w:p>
    <w:p>
      <w:r>
        <w:rPr>
          <w:rFonts w:ascii="Times New Roman" w:hAnsi="Times New Roman" w:eastAsia="宋体"/>
          <w:b/>
          <w:color w:val="003264"/>
          <w:sz w:val="24"/>
        </w:rPr>
        <w:t>Multi-level attention DeepLab V3+ with EfficientNetB0 for GI tract organ segmentation in MRI scans</w:t>
      </w:r>
    </w:p>
    <w:p>
      <w:r>
        <w:rPr>
          <w:rFonts w:ascii="Times New Roman" w:hAnsi="Times New Roman" w:eastAsia="宋体"/>
          <w:sz w:val="21"/>
        </w:rPr>
        <w:t>作者: Neha Sharma, Sheifali Gupta, Fuad Ali Mohammed Al-Yarimi, Upinder Kaur, Salil Bharany, Ateeq Ur Rehman, Belayneh Matebie Taye</w:t>
        <w:br/>
      </w:r>
      <w:r>
        <w:rPr>
          <w:rFonts w:ascii="Times New Roman" w:hAnsi="Times New Roman" w:eastAsia="宋体"/>
          <w:sz w:val="21"/>
        </w:rPr>
        <w:t xml:space="preserve">时间: 2026-02-06 | </w:t>
      </w:r>
      <w:r>
        <w:t xml:space="preserve">链接: </w:t>
      </w:r>
      <w:hyperlink r:id="rId27">
        <w:r>
          <w:rPr>
            <w:rFonts w:ascii="Times New Roman" w:hAnsi="Times New Roman" w:eastAsia="宋体"/>
            <w:color w:val="0000FF"/>
            <w:sz w:val="21"/>
            <w:u w:val="single"/>
          </w:rPr>
          <w:t>https://doi.org/10.1038/s41598-026-38247-7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胃肠道 (GI) 癌是一种致命的恶性肿瘤，会影响胃肠道器官。胃肠道癌症患病率的上升最近影响了数百万人的健康。为了治疗胃肠道癌症，放射肿瘤学家必须小心地将 X 射线聚焦在肿瘤上，同时避开胃肠道中其他未受影响的器官。这项研究提出了一种新方法，使用多级关注 DeepLab V3 + 模型，通过磁共振成像 (MRI) 扫描来分割胃肠道内的健康器官。所提出的模型旨在通过结合最先进的方法（例如空洞卷积和 EfficientNet B0 作为编码器）并利用数据中存在的分层信息来增强分割性能。在这里，注意力机制应用于多个级别的特征，即低、中和高，以捕获和利用数据中存在的分层信息。同时，EfficientNet B0 从输入图像中提取深层且有意义的特征，提供胃肠道结构的稳健表示。分层特征融合结合了局部和全局上下文信息，从而产生更准确的分割和细粒度的细节。该模型是使用威斯康辛大学麦迪逊分校数据集实现的，其中包括 85 名胃肠癌患者的 MRI 扫描数据。为了优化模型，使用不同的参数进行了模拟，包括优化器、迭代次数和交叉验证折叠。该模型实现了模型损失 0.0044、骰子系数 0.9378、交并交集 (IoU) 0.921 等性能指标。</w:t>
      </w:r>
    </w:p>
    <w:p>
      <w:pPr>
        <w:spacing w:before="120"/>
      </w:pPr>
      <w:r>
        <w:rPr>
          <w:rFonts w:ascii="Times New Roman" w:hAnsi="Times New Roman" w:eastAsia="宋体"/>
          <w:b/>
          <w:sz w:val="21"/>
        </w:rPr>
        <w:t>English Abstract:</w:t>
      </w:r>
    </w:p>
    <w:p>
      <w:r>
        <w:rPr>
          <w:rFonts w:ascii="Times New Roman" w:hAnsi="Times New Roman" w:eastAsia="宋体"/>
          <w:sz w:val="21"/>
        </w:rPr>
        <w:t>Gastrointestinal (GI) cancer is a fatal malignancy that affects the organs of the GI tract. The rising prevalence of GI cancer has recently influenced the health of millions of people. To treat GI cancer, radiation oncologists must carefully focus X-rays on tumors while avoiding other unaffected organs in the GI tract. This research proposes a novel approach to segment healthy organs within the GI tract from magnetic resonance imaging (MRI) scans using a multi-level attention DeepLab V3 + model. The proposed model aims to enhance segmentation performance by incorporating state-of-the-art approaches, such as atrous convolutions and EfficientNet B0 as an encoder, by leveraging hierarchical information present in the data. Here, the attention mechanism is applied at multiple levels of features, i.e., low, medium, and high, to capture and leverage hierarchical information present in the data. At the same time, EfficientNet B0 extracts deep and meaningful features from input images, providing a robust representation of GI tract structures. Hierarchical feature fusion combines local and global contextual information, resulting in more accurate segmentation with fine-grained details. The model is implemented using the UW-Madison dataset, comprising MRI scans from 85 patients with gastrointestinal cancer. To optimize the model, it has been simulated with different parameters, including optimizers, the number of epochs, and cross-validation folds. The model has achieved performance metrics such as a model loss of 0.0044, a dice coefficient of 0.9378, and an Intersection over Union (IoU) of 0.921.</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华北平原最大浅层地下水洼锥生态补水对地下水恢复的影响</w:t>
      </w:r>
    </w:p>
    <w:p>
      <w:r>
        <w:rPr>
          <w:rFonts w:ascii="Times New Roman" w:hAnsi="Times New Roman" w:eastAsia="宋体"/>
          <w:b/>
          <w:color w:val="003264"/>
          <w:sz w:val="24"/>
        </w:rPr>
        <w:t>Ecological water replenishment effects on groundwater recovery in the largest shallow groundwater depression cone of the North China Plain</w:t>
      </w:r>
    </w:p>
    <w:p>
      <w:r>
        <w:rPr>
          <w:rFonts w:ascii="Times New Roman" w:hAnsi="Times New Roman" w:eastAsia="宋体"/>
          <w:sz w:val="21"/>
        </w:rPr>
        <w:t>作者: Wen Lu, Chuiyu Lu, Yangwen Jia, Yong Zhao, Xin He, Qingyan Sun, Chu Wu, Wenjia Zhang, Zhenjiang Wu</w:t>
        <w:br/>
      </w:r>
      <w:r>
        <w:rPr>
          <w:rFonts w:ascii="Times New Roman" w:hAnsi="Times New Roman" w:eastAsia="宋体"/>
          <w:sz w:val="21"/>
        </w:rPr>
        <w:t xml:space="preserve">时间: 2026-02-06 | </w:t>
      </w:r>
      <w:r>
        <w:t xml:space="preserve">链接: </w:t>
      </w:r>
      <w:hyperlink r:id="rId28">
        <w:r>
          <w:rPr>
            <w:rFonts w:ascii="Times New Roman" w:hAnsi="Times New Roman" w:eastAsia="宋体"/>
            <w:color w:val="0000FF"/>
            <w:sz w:val="21"/>
            <w:u w:val="single"/>
          </w:rPr>
          <w:t>https://doi.org/10.1038/s41598-026-38451-5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华北平原是世界上地下水超采最严重的地区之一。自2018年以来，大规模生态补水（EWR）已开始应用，但其对地下水动态的长期影响和有效的EWR策略仍知之甚少，特别是在石家庄平原，该地区拥有该地区最大的浅层地下水洼陷锥。在本研究中，应用地表-地下水耦合模型MODCYCLE来研究石家庄平原的这些问题。结果表明，大规模的EWR有效扭转了地下水枯竭，到2022年，平均地下水位恢复1.96 m，蓄水量17.6亿立方米。 EWR的贡献以滹沱河EWR为主（82.5％），其次是沙珠龙河（12％）和其他河流（5.5％），恢复显着（&gt; 0.5 m，&gt; 50,000） m3/km2）从这些河流延伸约24.5公里、12.5公里和5.5公里。恢复最高的区域主要是EWR河流的中下游。我们的研究结果强调，由于其有利的入渗路径长度和地下水流条件，滹沱河应作为EWR的主要渠道，以稳定、适度的流量而不是“越大越好”的方式，以实现有效的地下水储存恢复和广泛的地下水位恢复。干旱期间的最佳流量为 14.64 m3/s，正常降水情况下的最佳流量为 ≥ 8.4 m3/s，分别可有效缓解和扭转地下水枯竭。该研究为持续对抗华北平原地下水过度开采提供了科学支撑，并为优化EWR策略以有效恢复全球过度开采含水层中的地下水提供了见解。</w:t>
      </w:r>
    </w:p>
    <w:p>
      <w:pPr>
        <w:spacing w:before="120"/>
      </w:pPr>
      <w:r>
        <w:rPr>
          <w:rFonts w:ascii="Times New Roman" w:hAnsi="Times New Roman" w:eastAsia="宋体"/>
          <w:b/>
          <w:sz w:val="21"/>
        </w:rPr>
        <w:t>English Abstract:</w:t>
      </w:r>
    </w:p>
    <w:p>
      <w:r>
        <w:rPr>
          <w:rFonts w:ascii="Times New Roman" w:hAnsi="Times New Roman" w:eastAsia="宋体"/>
          <w:sz w:val="21"/>
        </w:rPr>
        <w:t>The North China Plain is among the world’s most severely groundwater-overexploited regions. Since 2018, large-scale ecological water replenishment (EWR) has been applied, yet its long-term impacts on groundwater dynamics and efficient EWR strategies remain poorly understood, particularly in the Shijiazhuang Plain, which hosts the largest shallow groundwater depression cone in the region. In this study, the coupled surface–groundwater model MODCYCLE was applied to investigate these issues in the Shijiazhuang Plain. Results reveal that large-scale EWR has effectively reversed groundwater depletion, recovering the average groundwater table by 1.96 m and storage by 1.76 billion m3 by 2022. Contributions were dominated by EWR from the Hutuo River (82.5%), followed by the Sha-Zhulong River (12%) and other Rivers (5.5%), with significant recovery (&gt; 0.5 m, &gt; 50,000 m3/km2) extending approximately 24.5 km, 12.5 km, and 5.5 km from these rivers. The highest-recovery zones were mainly in the middle and lower reaches of the EWR rivers. Our findings highlight that, due to its favorable infiltration path length and groundwater flow conditions, the Hutuo River should serve as the primary EWR channel, with stable, moderate flows rather than the “greater is better” approach, to achieve both efficient groundwater storage recovery and widespread groundwater table recovery. Optimal flows of 14.64 m3/s during droughts and ≥ 8.4 m3/s under normal precipitation efficiently mitigate and reverse groundwater depletion, respectively. This study provides scientific support for the continued fight against groundwater overexploitation in the North China Plain and offers insights for optimizing EWR strategies to efficiently recover groundwater in globally overexploited aquifers.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PiCNoR 对连续切片显微图像进行自动且稳健的非刚性配准</w:t>
      </w:r>
    </w:p>
    <w:p>
      <w:r>
        <w:rPr>
          <w:rFonts w:ascii="Times New Roman" w:hAnsi="Times New Roman" w:eastAsia="宋体"/>
          <w:b/>
          <w:color w:val="003264"/>
          <w:sz w:val="24"/>
        </w:rPr>
        <w:t>Automated and robust nonrigid registration of serial section microscopic images using PiCNoR</w:t>
      </w:r>
    </w:p>
    <w:p>
      <w:r>
        <w:rPr>
          <w:rFonts w:ascii="Times New Roman" w:hAnsi="Times New Roman" w:eastAsia="宋体"/>
          <w:sz w:val="21"/>
        </w:rPr>
        <w:t>作者: Parsa Mojarad Adi, Hasti Shabani, Monireh Mansouri</w:t>
        <w:br/>
      </w:r>
      <w:r>
        <w:rPr>
          <w:rFonts w:ascii="Times New Roman" w:hAnsi="Times New Roman" w:eastAsia="宋体"/>
          <w:sz w:val="21"/>
        </w:rPr>
        <w:t xml:space="preserve">时间: 2026-02-06 | </w:t>
      </w:r>
      <w:r>
        <w:t xml:space="preserve">链接: </w:t>
      </w:r>
      <w:hyperlink r:id="rId29">
        <w:r>
          <w:rPr>
            <w:rFonts w:ascii="Times New Roman" w:hAnsi="Times New Roman" w:eastAsia="宋体"/>
            <w:color w:val="0000FF"/>
            <w:sz w:val="21"/>
            <w:u w:val="single"/>
          </w:rPr>
          <w:t>https://doi.org/10.1038/s41598-026-38548-x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连续切片显微图像的准确配准对于维持生物学和组织学数据集中结构和功能信息的空间完整性至关重要，从而实现 3D 重建和分析的关键进步。本文介绍了一种新的像素级集群驱动的非刚性配准 (PiCNoR) 方法，以解决 3D 显微成像中的挑战。 PiCNoR 利用基于特征的局部刚性配准作为基础过程，然后使用高斯混合模型 (GMM) 对区域进行聚类。计算这些区域的局部刚性变换，通过基于图形的方法进行验证，并进行混合以实现像素级别的非刚性变换。该方法在三个不同的数据集上进行了评估：京都胚胎集合、果蝇大脑堆栈和大鼠大脑堆栈，与现有的刚性转换和已建立的非刚性方法相比，在保持组织连续性和减少对齐错误方面表现出优越的性能。这种方法的一个关键优势在于它使用贝叶斯信息准则 (BIC) 自动确定最佳聚类数量，确保模型复杂性和捕获特征集中有意义的空间变化的能力之间的平衡，而无需手动干预或验证注册结果。因此，这导致计算成本的大幅降低。验证和混合步骤增强了针对异常值的鲁棒性，确保了该方法在处理复杂变形和高分辨率数据集时的可靠性。结果凸显了 PiCNoR 方法在显微成像应用中的多功能性和潜力，能够在不同的研究背景下实现准确可靠的 3D 重建。</w:t>
      </w:r>
    </w:p>
    <w:p>
      <w:pPr>
        <w:spacing w:before="120"/>
      </w:pPr>
      <w:r>
        <w:rPr>
          <w:rFonts w:ascii="Times New Roman" w:hAnsi="Times New Roman" w:eastAsia="宋体"/>
          <w:b/>
          <w:sz w:val="21"/>
        </w:rPr>
        <w:t>English Abstract:</w:t>
      </w:r>
    </w:p>
    <w:p>
      <w:r>
        <w:rPr>
          <w:rFonts w:ascii="Times New Roman" w:hAnsi="Times New Roman" w:eastAsia="宋体"/>
          <w:sz w:val="21"/>
        </w:rPr>
        <w:t>Accurate registration of serial-section microscopic images is essential for maintaining the spatial integrity of structural and functional information in biology and histology datasets, enabling critical advancements in 3D reconstruction and analysis. This paper introduces a new pixel-wise cluster-driven non-rigid registration (PiCNoR) method addressing the challenges in 3D microscopic imaging. PiCNoR utilizes feature-based local rigid registration as a foundational process, followed by clustering regions using Gaussian mixture models (GMM). Local rigid transforms are computed for these regions, validated through graph-based methods, and blended to achieve non-rigid transformations at the pixel level. This method is evaluated on three distinct datasets: the Kyoto embryo collection, a Drosophila brain stack, and a rat brain stack, demonstrating superior performance in preserving tissue continuity and reducing alignment errors compared to existing rigid transformations and established non-rigid approaches. A key advantage of this approach lies in its automated determination of the best number of clusters using the Bayesian information criterion (BIC), ensuring a balance between model complexity and the ability to capture meaningful spatial variations within the feature sets, all without the necessity for manual intervention or the need to verify the registered results. Consequently, this leads to a substantial reduction in computational costs. The validation and blending steps enhanced robustness against outliers, ensuring the method’s reliability in handling complex deformations and high-resolution datasets. The results highlight the versatility and potential of the PiCNoR approach for applications in microscopic imaging, enabling accurate and reliable 3D reconstructions across diverse research contexts.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主观精神疲劳介导多发性硬化症信息处理速度与言语记忆缺陷之间的关系</w:t>
      </w:r>
    </w:p>
    <w:p>
      <w:r>
        <w:rPr>
          <w:rFonts w:ascii="Times New Roman" w:hAnsi="Times New Roman" w:eastAsia="宋体"/>
          <w:b/>
          <w:color w:val="003264"/>
          <w:sz w:val="24"/>
        </w:rPr>
        <w:t>Subjective mental fatigue mediates the relationship between information processing speed and verbal memory deficits in multiple sclerosis</w:t>
      </w:r>
    </w:p>
    <w:p>
      <w:r>
        <w:rPr>
          <w:rFonts w:ascii="Times New Roman" w:hAnsi="Times New Roman" w:eastAsia="宋体"/>
          <w:sz w:val="21"/>
        </w:rPr>
        <w:t>作者: Nefeli Tsoukaki, Alexandra Anagnostopoulou, Panagiotis E. Kartsidis, Maria Karagianni, Athanasia Liozidou, Ioannis Nikolaidis, Nikolaos Grigoriadis, Panagiotis D. Bamidis, Charis Styliadis</w:t>
        <w:br/>
      </w:r>
      <w:r>
        <w:rPr>
          <w:rFonts w:ascii="Times New Roman" w:hAnsi="Times New Roman" w:eastAsia="宋体"/>
          <w:sz w:val="21"/>
        </w:rPr>
        <w:t xml:space="preserve">时间: 2026-02-06 | </w:t>
      </w:r>
      <w:r>
        <w:t xml:space="preserve">链接: </w:t>
      </w:r>
      <w:hyperlink r:id="rId51">
        <w:r>
          <w:rPr>
            <w:rFonts w:ascii="Times New Roman" w:hAnsi="Times New Roman" w:eastAsia="宋体"/>
            <w:color w:val="0000FF"/>
            <w:sz w:val="21"/>
            <w:u w:val="single"/>
          </w:rPr>
          <w:t>https://doi.org/10.1038/s41598-026-38027-3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主观精神疲劳（MF）和认知功能障碍显着损害多发性硬化症（PwMS）患者的生活质量，特别是影响信息处理速度（IPS）和言语学习记忆（VL/M）。我们通过针对 IPS 的口语形式符号数字模态测试 (SDMT-Of)、针对 VL/M 的希腊语语言学习测试 (GVLT) 以及针对 MF 的改良疲劳影响量表 (MFIS-c) 的认知分量表，评估了 66 名 PwMS 和 38 名健康对照 (HC)。目的是研究 MF 在 PwMS 中 IPS 和 VL/M 关系中的中介作用。 PwMS 在所有领域的表现都明显比 HC 差。控制年龄、性别、教育程度、病程和 MS 类型的中介分析揭示了 IPS 对 PwMS 中 VL/M 的显着影响。一旦引入 MF，这种影响就变得不显着，而 IPS 通过 MF 对 VL/M 的间接影响仍然显着。即使在控制了年龄、性别和教育程度之后，在 HC 中也没有观察到显着的中介效应，这强调了 MF 对 MS 的独特影响。这项研究强调了主观 MF 在 PwMS 认知缺陷中的中介作用，表明针对 MF 的干预措施可以增强认知表现。 试验注册：该研究已在 ClinicalTrials.gov 标识符 NCT04806568 上注册 (https://www.clinicaltrials.gov/study/NCT04806568)。</w:t>
      </w:r>
    </w:p>
    <w:p>
      <w:pPr>
        <w:spacing w:before="120"/>
      </w:pPr>
      <w:r>
        <w:rPr>
          <w:rFonts w:ascii="Times New Roman" w:hAnsi="Times New Roman" w:eastAsia="宋体"/>
          <w:b/>
          <w:sz w:val="21"/>
        </w:rPr>
        <w:t>English Abstract:</w:t>
      </w:r>
    </w:p>
    <w:p>
      <w:r>
        <w:rPr>
          <w:rFonts w:ascii="Times New Roman" w:hAnsi="Times New Roman" w:eastAsia="宋体"/>
          <w:sz w:val="21"/>
        </w:rPr>
        <w:t>Subjective mental fatigue (MF) and cognitive dysfunction significantly impair the quality of life in people with multiple sclerosis (PwMS), particularly impacting information processing speed (IPS) and verbal learning-memory (VL/M). We assessed 66 PwMS and 38 healthy controls (HC) via the oral form of the symbol digit modalities test (SDMT-Of) for IPS, the Greek verbal learning test (GVLT) for VL/M, and the cognitive subscale of the modified fatigue impact scale (MFIS-c) for MF. This aimed at investigating the mediating role of MF in the relationship between IPS and VL/M in PwMS. PwMS performed significantly worse than HC across all domains. Mediation analysis, controlling for age, sex, education, disease duration, and MS-type, revealed a significant effect of IPS on VL/M in PwMS. This effect became non-significant once MF was introduced, whereas the indirect effect of IPS on VL/M through MF remained significant. No significant mediation effects were observed in HC, even after controlling for age, sex, and education, underscoring the unique impact of MF on MS. This study highlights the mediating role of subjective MF in cognitive deficits among PwMS, suggesting that interventions targeting MF could enhance cognitive performance.Trial registration: The study is registered with ClinicalTrials.gov Identifier NCT04806568 (https://www.clinicaltrials.gov/study/NCT04806568).</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智能物联网热成像方法用于早期识别手掌上的红棕象甲 (RPW) 侵染</w:t>
      </w:r>
    </w:p>
    <w:p>
      <w:r>
        <w:rPr>
          <w:rFonts w:ascii="Times New Roman" w:hAnsi="Times New Roman" w:eastAsia="宋体"/>
          <w:b/>
          <w:color w:val="003264"/>
          <w:sz w:val="24"/>
        </w:rPr>
        <w:t>Smart IoT thermal imaging approach for early identification of Red Palm Weevil (RPW) infestation on palms</w:t>
      </w:r>
    </w:p>
    <w:p>
      <w:r>
        <w:rPr>
          <w:rFonts w:ascii="Times New Roman" w:hAnsi="Times New Roman" w:eastAsia="宋体"/>
          <w:sz w:val="21"/>
        </w:rPr>
        <w:t>作者: Betty Martin, S. Saranya, Pakalapati Jathin Chowdary</w:t>
        <w:br/>
      </w:r>
      <w:r>
        <w:rPr>
          <w:rFonts w:ascii="Times New Roman" w:hAnsi="Times New Roman" w:eastAsia="宋体"/>
          <w:sz w:val="21"/>
        </w:rPr>
        <w:t xml:space="preserve">时间: 2026-02-06 | </w:t>
      </w:r>
      <w:r>
        <w:t xml:space="preserve">链接: </w:t>
      </w:r>
      <w:hyperlink r:id="rId52">
        <w:r>
          <w:rPr>
            <w:rFonts w:ascii="Times New Roman" w:hAnsi="Times New Roman" w:eastAsia="宋体"/>
            <w:color w:val="0000FF"/>
            <w:sz w:val="21"/>
            <w:u w:val="single"/>
          </w:rPr>
          <w:t>https://doi.org/10.1038/s41598-025-32783-4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红棕榈象甲虫 (RPW) 是影响全世界棕榈树的最具破坏性的害虫之一，导致严重的农业和经济损失。早期发现对于有效干预至关重要；然而，信息素陷阱和手动检查等传统方法常常无法识别早期感染。为了解决这一挑战，本研究开发了一种利用热图像处理和深度学习的自动 RPW 检测框架。训练卷积神经网络（CNN）模型来分析热图像并检测感染的早期迹象。该模型的检测准确率达到 98.5%，在精度和响应速度上都优于传统的机器学习技术。为了实时部署，经过训练的 CNN 被集成到 Raspberry Pi 4B 中，从而实现了适合现场应用的低成本、可扩展和非侵入式监控解决方案。虽然该系统在受控条件下表现出强大的性能，但该工作也发现了关键限制，包括热成像的有限穿透深度以及需要大规模现场验证以确保在不同的现实环境下的鲁棒性。</w:t>
      </w:r>
    </w:p>
    <w:p>
      <w:pPr>
        <w:spacing w:before="120"/>
      </w:pPr>
      <w:r>
        <w:rPr>
          <w:rFonts w:ascii="Times New Roman" w:hAnsi="Times New Roman" w:eastAsia="宋体"/>
          <w:b/>
          <w:sz w:val="21"/>
        </w:rPr>
        <w:t>English Abstract:</w:t>
      </w:r>
    </w:p>
    <w:p>
      <w:r>
        <w:rPr>
          <w:rFonts w:ascii="Times New Roman" w:hAnsi="Times New Roman" w:eastAsia="宋体"/>
          <w:sz w:val="21"/>
        </w:rPr>
        <w:t>The Red Palm Weevil (RPW) is one of the most destructive pests affecting palm trees worldwide, leading to severe agricultural and economic losses. Early detection was essential for effective intervention; however, conventional methods such as pheromone traps and manual inspections frequently failed to identify early stage infestations.To address this challenge, this study developed an automated RPW detection framework using thermal image processing and deep learning.A Convolutional Neural Network(CNN) model was trained to analyze thermal images and detect early signs of infestation.The proposed model achieved a detection accuracy of 98.5%,outperforming traditional machine learning techniques in both precision and response speed. For real-time deployment, the trained CNN was integrated into a Raspberry Pi 4B, enabling a low cost, scalable, and non-invasive monitoring solution suitable for field applications.While the system demonstrated strong performance under controlled conditions, the work also identified key limitations, including the limited penetration depth of thermal imaging and the need for large-scale field validation to ensure robustness under diverse real-world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Bilobalide 通过上调 ERK/HIF-1α 信号通路并促进血管生成-成骨耦合来减轻类固醇诱导的股骨头坏死</w:t>
      </w:r>
    </w:p>
    <w:p>
      <w:r>
        <w:rPr>
          <w:rFonts w:ascii="Times New Roman" w:hAnsi="Times New Roman" w:eastAsia="宋体"/>
          <w:b/>
          <w:color w:val="003264"/>
          <w:sz w:val="24"/>
        </w:rPr>
        <w:t>Bilobalide attenuates steroid-induced osteonecrosis of the femoral head by upregulating the ERK/HIF-1α signaling pathway and promoting angiogenesis-osteogenesis coupling</w:t>
      </w:r>
    </w:p>
    <w:p>
      <w:r>
        <w:rPr>
          <w:rFonts w:ascii="Times New Roman" w:hAnsi="Times New Roman" w:eastAsia="宋体"/>
          <w:sz w:val="21"/>
        </w:rPr>
        <w:t>作者: Qi Chen, Bo Wang, Hu Liang, Hanbo Xu, Kun Zhang, Yangquan Hao</w:t>
        <w:br/>
      </w:r>
      <w:r>
        <w:rPr>
          <w:rFonts w:ascii="Times New Roman" w:hAnsi="Times New Roman" w:eastAsia="宋体"/>
          <w:sz w:val="21"/>
        </w:rPr>
        <w:t xml:space="preserve">时间: 2026-02-07 | </w:t>
      </w:r>
      <w:r>
        <w:t xml:space="preserve">链接: </w:t>
      </w:r>
      <w:hyperlink r:id="rId53">
        <w:r>
          <w:rPr>
            <w:rFonts w:ascii="Times New Roman" w:hAnsi="Times New Roman" w:eastAsia="宋体"/>
            <w:color w:val="0000FF"/>
            <w:sz w:val="21"/>
            <w:u w:val="single"/>
          </w:rPr>
          <w:t>https://doi.org/10.1038/s41598-026-37128-3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类固醇引起的股骨头坏死（SONFH）是一种与长期使用糖皮质激素相关的严重骨病，其特征是骨代谢受损和血管供血不足。 Bilobalide (BB) 是一种来自银杏叶的天然倍半萜，具有抗细胞凋亡、抗氧化和促血管生成的特性，但其在 SONFH 中的作用仍不清楚。我们综合网络药理学和分子对接来预测 SONFH 中 BB 的靶点和通路。使用分子对接软件验证了关键目标。体内实验采用甲泼尼龙（MPS）建立大鼠SONFH模型，并口服BB。采用Micro-CT、H&amp;E染色、TUNEL测定和免疫组织化学来评估骨微结构、细胞凋亡以及成骨和血管生成标志物的表达。采用免疫荧光法评估大鼠股骨头组织中 HIF-1α 的表达。对于体外实验，MC3T3-E1 成骨细胞用地塞米松 (DEX) 和 BB 处理。使用CCK-8法检测细胞活力，并通过Western blot检测HIF-1α和ERK通路的蛋白水平。网络药理学确定了 BB 和 SONFH 之间的 94 个共同靶点，其中 HIF-1 和 ERK 信号通路丰富。分子对接证实了 BB 与核心靶点之间的强结合亲和力。在 MPS 诱导的大鼠中，BB 治疗显着改善了骨矿物质密度、小梁微观结构，并减少了骨细胞凋亡。 BB 还上调 HIF-1α、Runx2、OCN、CD31 和 VEGF 表达，表明骨生成和血管生成增强。在体外，BB 挽救了地塞米松诱导的成骨细胞活力抑制并上调 ERK/HIF-1α 通路。 Bilobalide 通过激活 ERK/HIF-1α 信号通路、促进成骨和血管生成以及减少骨细胞凋亡来减轻 SONFH 进展。这些发现凸显了 BB 作为 SONFH 预防的有前途的候选者，并支持网络药理学在机械天然产物研究中的实用性。</w:t>
      </w:r>
    </w:p>
    <w:p>
      <w:pPr>
        <w:spacing w:before="120"/>
      </w:pPr>
      <w:r>
        <w:rPr>
          <w:rFonts w:ascii="Times New Roman" w:hAnsi="Times New Roman" w:eastAsia="宋体"/>
          <w:b/>
          <w:sz w:val="21"/>
        </w:rPr>
        <w:t>English Abstract:</w:t>
      </w:r>
    </w:p>
    <w:p>
      <w:r>
        <w:rPr>
          <w:rFonts w:ascii="Times New Roman" w:hAnsi="Times New Roman" w:eastAsia="宋体"/>
          <w:sz w:val="21"/>
        </w:rPr>
        <w:t>Steroid-induced osteonecrosis of the femoral head (SONFH) is a severe bone disease associated with long-term glucocorticoid use, characterized by impaired bone metabolism and vascular insufficiency. Bilobalide (BB), a natural sesquiterpene from Ginkgo biloba, exhibits anti-apoptotic, antioxidant, and pro-angiogenic properties, yet its role in SONFH remains unclear. We integrated network pharmacology and molecular docking to predict the targets and pathways of BB in SONFH. Key targets were validated using molecular docking software. For in vivo experiments, a rat SONFH model was established using methylprednisolone (MPS), and BB was administered orally. Micro-CT, H&amp;E staining, TUNEL assay, and immunohistochemistry were employed to evaluate bone microstructure, apoptosis, and the expression of osteogenic and angiogenic markers. Immunofluorescence was used to assess HIF-1α expression in rat femoral head tissues. For in vitro experiments, MC3T3-E1 osteoblasts were treated with dexamethasone(DEX) and BB. Cell viability was detected using the CCK-8 assay, and the protein levels of the HIF-1α and ERK pathways were examined by Western blot. Network pharmacology identified 94 common targets between BB and SONFH, with enrichment in HIF-1 and ERK signaling pathways. Molecular docking confirmed strong binding affinities between BB and core targets. In MPS-induced rats, BB treatment significantly improved bone mineral density, trabecular microstructure, and reduced osteocyte apoptosis. BB also upregulated HIF-1α, Runx2, OCN, CD31, and VEGF expression, indicating enhanced osteogenesis and angiogenesis. In vitro, BB rescued dexamethasone-induced suppression of osteoblast viability and upregulated the ERK/HIF-1α pathway. Bilobalide attenuates SONFH progression by activating the ERK/HIF-1α signaling pathway, promoting osteogenesis and angiogenesis, and reducing osteocyte apoptosis. These findings highlight BB as a promising candidate for SONFH prevention and support the utility of network pharmacology in mechanistic natural product research.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整合素αv有助于调节血管平滑肌细胞硬度</w:t>
      </w:r>
    </w:p>
    <w:p>
      <w:r>
        <w:rPr>
          <w:rFonts w:ascii="Times New Roman" w:hAnsi="Times New Roman" w:eastAsia="宋体"/>
          <w:b/>
          <w:color w:val="003264"/>
          <w:sz w:val="24"/>
        </w:rPr>
        <w:t>Integrin αv contributes to the regulation of vascular smooth muscle cell stiffness</w:t>
      </w:r>
    </w:p>
    <w:p>
      <w:r>
        <w:rPr>
          <w:rFonts w:ascii="Times New Roman" w:hAnsi="Times New Roman" w:eastAsia="宋体"/>
          <w:sz w:val="21"/>
        </w:rPr>
        <w:t>作者: Rümeyza Bascetin, Ekaterina Belozertseva, Véronique Regnault, Alexandre Raoul, Xiao Liu, Caterina Maria Tone, Ali-Akbar Karkhaneh-Yousefi, Huguette Louis, Zhor Ramdane-Cherif, Cindy Lerognon, Stéphane Avril, Adam Lacy-Hulbert, Daniel Henrion, Emmanuelle Lacaze, Pascal Challande, Zhenlin Li, Patrick Lacolley</w:t>
        <w:br/>
      </w:r>
      <w:r>
        <w:rPr>
          <w:rFonts w:ascii="Times New Roman" w:hAnsi="Times New Roman" w:eastAsia="宋体"/>
          <w:sz w:val="21"/>
        </w:rPr>
        <w:t xml:space="preserve">时间: 2026-02-07 | </w:t>
      </w:r>
      <w:r>
        <w:t xml:space="preserve">链接: </w:t>
      </w:r>
      <w:hyperlink r:id="rId56">
        <w:r>
          <w:rPr>
            <w:rFonts w:ascii="Times New Roman" w:hAnsi="Times New Roman" w:eastAsia="宋体"/>
            <w:color w:val="0000FF"/>
            <w:sz w:val="21"/>
            <w:u w:val="single"/>
          </w:rPr>
          <w:t>https://doi.org/10.1038/s41598-026-38948-z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动脉硬化受血管平滑肌细胞 (VSMC) 粘着斑组织的影响。我们研究了 α v 整合素对动脉壁硬度（通过回声描记术测量的杨氏模量）和 VSMC 硬度（通过原子力显微镜评估）的贡献。将 VSMC 特异性删除 α v 整合素 (α v SMKO ) 的小鼠在基线和血管紧张素 II 输注后与对照组进行比较。未刺激培养的α v 缺陷（α v -KD）VSMC 表现出比对照组更高的硬度，在血管紧张素 II 后进一步增加。为了解释在浅压痕深度进行的 AFM 测量，我们开发了 VSMC 纳米压痕的计算模型。模拟表明，浅压痕处较高的表观杨氏模量落在 α v -KD 细胞的实验范围内。这些细胞还表现出肌动蛋白聚合增强，并通过形成皮质 F-肌动蛋白而被血管紧张素 II 进一步放大。在体内，尽管 α v SMKO 小鼠在血管紧张素 II 治疗下表现出较低的弹性蛋白和较高的胶原蛋白含量，但在基线和血管紧张素 II 治疗后，α v SMKO 小鼠和对照小鼠的动脉压和壁弹性模量相似。总之，这些发现表明，在血管紧张素 II 治疗下的 α v SMKO 小鼠中观察到的动脉僵硬度的相当增加主要是由皮质肌动蛋白重新分布导致的 VSMC 硬度升高驱动的，这超过了细胞外基质的变化。</w:t>
      </w:r>
    </w:p>
    <w:p>
      <w:pPr>
        <w:spacing w:before="120"/>
      </w:pPr>
      <w:r>
        <w:rPr>
          <w:rFonts w:ascii="Times New Roman" w:hAnsi="Times New Roman" w:eastAsia="宋体"/>
          <w:b/>
          <w:sz w:val="21"/>
        </w:rPr>
        <w:t>English Abstract:</w:t>
      </w:r>
    </w:p>
    <w:p>
      <w:r>
        <w:rPr>
          <w:rFonts w:ascii="Times New Roman" w:hAnsi="Times New Roman" w:eastAsia="宋体"/>
          <w:sz w:val="21"/>
        </w:rPr>
        <w:t>Abstract Arterial stiffening is influenced by the organization of focal adhesions in vascular smooth muscle cells (VSMCs). We investigated the contribution of α v integrins to both arterial wall stiffness (Young’s modulus measured by echography) and VSMC stiffness (assessed by atomic force microscopy). Mice with VSMC-specific deletion of α v integrins (α v SMKO ) were compared with controls at baseline and following angiotensin II infusion. Unstimulated cultured α v -deficient (α v -KD) VSMCs exhibited higher stiffness than controls, with a further increase after angiotensin II. To interpret AFM measurements performed at shallow indentation depths, we developed a computational model of VSMC nanoindentation. Simulations showed that higher apparent Young’s moduli at shallow indentation fall within the experimental range of α v -KD cells. These cells also displayed enhanced actin polymerization, further amplified by angiotensin II through the formation of cortical F-actin. In vivo, arterial pressure and wall elastic modulus were similar between α v SMKO and control mice at baseline and after angiotensin II, despite α v SMKO mice exhibiting lower elastin and higher collagen content under angiotensin II. Together, these findings indicate that the comparable increase in arterial stiffness observed in α v SMKO mice under angiotensin II is driven primarily by elevated VSMC stiffness resulting from cortical actin redistribution, which outweighs extracellular matrix changes.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微波反射和透射测量用于评估具有不同前体的地质聚合物内的水反应</w:t>
      </w:r>
    </w:p>
    <w:p>
      <w:r>
        <w:rPr>
          <w:rFonts w:ascii="Times New Roman" w:hAnsi="Times New Roman" w:eastAsia="宋体"/>
          <w:b/>
          <w:color w:val="003264"/>
          <w:sz w:val="24"/>
        </w:rPr>
        <w:t>Microwave reflection and transmission measurements for evaluating water reaction within geopolymers with different precursors</w:t>
      </w:r>
    </w:p>
    <w:p>
      <w:r>
        <w:rPr>
          <w:rFonts w:ascii="Times New Roman" w:hAnsi="Times New Roman" w:eastAsia="宋体"/>
          <w:sz w:val="21"/>
        </w:rPr>
        <w:t>作者: Ugur C. Hasar, Huseyin Korkmaz</w:t>
        <w:br/>
      </w:r>
      <w:r>
        <w:rPr>
          <w:rFonts w:ascii="Times New Roman" w:hAnsi="Times New Roman" w:eastAsia="宋体"/>
          <w:sz w:val="21"/>
        </w:rPr>
        <w:t xml:space="preserve">时间: 2026-02-07 | </w:t>
      </w:r>
      <w:r>
        <w:t xml:space="preserve">链接: </w:t>
      </w:r>
      <w:hyperlink r:id="rId57">
        <w:r>
          <w:rPr>
            <w:rFonts w:ascii="Times New Roman" w:hAnsi="Times New Roman" w:eastAsia="宋体"/>
            <w:color w:val="0000FF"/>
            <w:sz w:val="21"/>
            <w:u w:val="single"/>
          </w:rPr>
          <w:t>https://doi.org/10.1038/s41598-026-36602-2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除了机械性能之外，与普通波特兰水泥结构相比，地质聚合物结构由于在其粘合过程中不需要煅烧，因此被认为是环境和经济友好的结构。为了利用这些特性，需要分析前体内部发生的水反应，该反应用于在结合过程（地理聚合）过程中补充足够的碱活化。在本研究中，微波反射和透射测量被用作无损工具，用于检测具有不同硅酸钠/氢氧化钠比例的粉煤灰（FA）、磨碎的粒状高炉矿渣（GGBFS）和煅烧粘土或偏高岭土（MK）前体的地质聚合物糊状样品的水反应。我们的测量表明以下结果。首先，在分析所有测试地质聚合物糊状样品（FA、GGBFS 和 MK）中的水反应时，微波传输特性比微波反射特性更有用且更可取。其次，反射测量 ($$|S_{11}|$$) 对样本长度的敏感性极低，厚度在 10 至 20 mm 之间的差异低于 0.45 dB。第三，相反，传输响应 ($$|S_{21}|$$) 显示出高达 35 dB 的显着变化，强调了它们对内部水反应机制的敏感性增强。第四，介电特性表明，相对于 GGBFS ($$\approx 0.08$$) 和 MK ($$\approx 0.03$$)，FA 粉末具有更高的介电损耗 ($$\epsilon _{r}^{\prime \prime } \approx 0.50$$)，这直接决定了信号衰减的幅度。最后，在所有制备的样品中观察到的质量损失可以忽略不计（&lt;2.5%），这证实了 $$|S_{21}|$$ 的演变主要是由自由水转化为基质内的结合水而不是蒸发损失。还进行了扫描电子显微镜显微照片和能量色散光谱测试，以检查制备的样品中水反应的影响。</w:t>
      </w:r>
    </w:p>
    <w:p>
      <w:pPr>
        <w:spacing w:before="120"/>
      </w:pPr>
      <w:r>
        <w:rPr>
          <w:rFonts w:ascii="Times New Roman" w:hAnsi="Times New Roman" w:eastAsia="宋体"/>
          <w:b/>
          <w:sz w:val="21"/>
        </w:rPr>
        <w:t>English Abstract:</w:t>
      </w:r>
    </w:p>
    <w:p>
      <w:r>
        <w:rPr>
          <w:rFonts w:ascii="Times New Roman" w:hAnsi="Times New Roman" w:eastAsia="宋体"/>
          <w:sz w:val="21"/>
        </w:rPr>
        <w:t>In addition to their mechanical properties, geopolymer structures are considered to be environmentally and economically friendly structures due to the non-requirement of calcination in their binding process, as compared with ordinary Portland cement structures. To take advantage of these properties, the water reaction occurring inside the precursors, which are used to supplement sufficient alkali activation during the binding process (geopolimerization), needs to be analyzed. In this study, microwave reflection and transmission measurements are applied as a non-destructive tool in the detection of water reaction with geopolymer paste samples with fly ash (FA), ground granulated blast furnace slag (GGBFS), and calcinated clay or metakaolin (MK) precursors having different sodium silicate/sodium hydroxide ratios. Our measurements indicate the following results. First, microwave transmission properties are more useful than and preferable to microwave reflection properties for the analysis of water reaction within all test geopolymer paste samples (FA, GGBFS, and MK). Second, reflection measurements ($$|S_{11}|$$) exhibited minimal sensitivity to specimen length, with differences below 0.45 dB for thicknesses between 10 and 20 mm. Third, conversely, transmission responses ($$|S_{21}|$$) showed pronounced variations of up to 35 dB, underscoring their enhanced sensitivity to internal water reaction mechanisms. Fourth, dielectric characterization indicated that FA powder possessed substantially higher dielectric loss ($$\epsilon _{r}^{\prime \prime } \approx 0.50$$) relative to GGBFS ($$\approx 0.08$$) and MK ($$\approx 0.03$$), which directly governed the magnitude of signal attenuation. Finally, the negligible mass loss observed across all prepared samples (&lt;2.5%) confirms that the evolution of $$|S_{21}|$$ was dominated by the transformation of free water into bound water within the matrix rather than by evaporative losses. Scanning electron microscope micrographs and energy dispersive spectroscopy tests were also performed to examine the effect of water reaction within the prepared samples.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与传统 CBCT 相比，多源 CBCT 提高牙种植体初期稳定性可预测性的可行性</w:t>
      </w:r>
    </w:p>
    <w:p>
      <w:r>
        <w:rPr>
          <w:rFonts w:ascii="Times New Roman" w:hAnsi="Times New Roman" w:eastAsia="宋体"/>
          <w:b/>
          <w:color w:val="003264"/>
          <w:sz w:val="24"/>
        </w:rPr>
        <w:t>Feasibility of multisource CBCT for improving the predictability of dental implant primary stability compared to conventional CBCT</w:t>
      </w:r>
    </w:p>
    <w:p>
      <w:r>
        <w:rPr>
          <w:rFonts w:ascii="Times New Roman" w:hAnsi="Times New Roman" w:eastAsia="宋体"/>
          <w:sz w:val="21"/>
        </w:rPr>
        <w:t>作者: Wei Luo, Yuanming Hu, Amanda Finger Stadler, Antonio J. Moretti, Donald A. Tyndall, Christina R. Inscoe, Yueh Z. Lee, Jianping Lu, Otto Zhou</w:t>
        <w:br/>
      </w:r>
      <w:r>
        <w:rPr>
          <w:rFonts w:ascii="Times New Roman" w:hAnsi="Times New Roman" w:eastAsia="宋体"/>
          <w:sz w:val="21"/>
        </w:rPr>
        <w:t xml:space="preserve">时间: 2026-02-07 | </w:t>
      </w:r>
      <w:r>
        <w:t xml:space="preserve">链接: </w:t>
      </w:r>
      <w:hyperlink r:id="rId58">
        <w:r>
          <w:rPr>
            <w:rFonts w:ascii="Times New Roman" w:hAnsi="Times New Roman" w:eastAsia="宋体"/>
            <w:color w:val="0000FF"/>
            <w:sz w:val="21"/>
            <w:u w:val="single"/>
          </w:rPr>
          <w:t>https://doi.org/10.1038/s41598-026-39266-0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锥形束计算机断层扫描 (CBCT) 是当前牙科领域首选的 3D 成像方式，广泛用于术前种植规划。可以根据 CBCT 得出的亨斯菲尔德单位 (HU) 值来评估种植体部位，从中可以做出临床决策，包括种植体植入的适用性和手术方法。然而，当前的 CBCT 对于量化 HU 来说是不准确且不可靠的，并且将 CBCT 得出的 HU 与种植体初级稳定性相关联的尝试产生了不同的结果。本研究表明，与传统的单源 CBCT 相比，采用分布式碳纳米管 (CNT) X 射线源阵列技术实现的新型多源 CBCT (ms-CBCT) 在由 HU 值近似的猪股骨皮质骨密度与由种植体插入扭矩测量的种植体初级稳定性之间提供了更强的相关性。使用 ms-CBCT 和传统 CBCT 对 12 个计划的牙种植位点进行了成像。获得每个部位周围的平均骨HU值，并在术中测量插入扭矩。线性回归表明插入扭矩和 ms-CBCT 衍生的 HU 之间存在很强且具有统计显着性的相关性（R² = 0.86，p = 0.00014），而传统 CBCT 显示出较弱但仍然显着的相关性（R² = 0.55，p = 0.0056）。这些发现表明，通过减轻 X 射线光子散射和锥形束伪影，ms-CBCT 衍生的 HU 更好地反映了与种植体稳定性相关的局部骨质量，突出了其改善患者特定种植体规划和提高整体种植牙成功率的潜力。</w:t>
      </w:r>
    </w:p>
    <w:p>
      <w:pPr>
        <w:spacing w:before="120"/>
      </w:pPr>
      <w:r>
        <w:rPr>
          <w:rFonts w:ascii="Times New Roman" w:hAnsi="Times New Roman" w:eastAsia="宋体"/>
          <w:b/>
          <w:sz w:val="21"/>
        </w:rPr>
        <w:t>English Abstract:</w:t>
      </w:r>
    </w:p>
    <w:p>
      <w:r>
        <w:rPr>
          <w:rFonts w:ascii="Times New Roman" w:hAnsi="Times New Roman" w:eastAsia="宋体"/>
          <w:sz w:val="21"/>
        </w:rPr>
        <w:t>Cone beam computed tomography (CBCT) is the current 3D imaging modality of choice in dentistry and is widely used for presurgical implant planning. Implant sites can potentially be evaluated based on their CBCT-derived Hounsfield Units (HU) values, from which clinical decisions, including suitability for implant placement and surgical approach can be made. The current CBCT, however, is inaccurate and unreliable for quantifying the HU, and attempts to correlate CBCT-derived HU with implant primary stability have produced mixed results. This study demonstrated that the novel multisource CBCT (ms-CBCT) enabled by the distributed carbon nanotube (CNT) x-ray source array technology provides a stronger correlation between the cortical bone density of porcine femur approximated by the HU values and the implant primary stability measured by the implant insertion torque, when compared to the conventional single-source CBCT. Twelve planned dental implant sites were imaged with both ms-CBCT and conventional CBCT. The averaged bone HU value was obtained around each site, and insertion torque was measured intraoperatively. Linear regression demonstrated a strong and statistically significant correlation between insertion torque and ms-CBCT-derived HU (R² = 0.86, p = 0.00014), while conventional CBCT showed a weaker but still significant correlation (R² = 0.55, p = 0.0056). These findings suggest that by mitigating x-ray photon scatter and cone beam artifacts, the ms-CBCT derived HU better reflects local bone quality relevant to implant stability, highlighting its potential to improve patient-specific implant planning and improve overall dental implant success.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使用混合特征选择方法有效检测 TON-IoT 数据集中的入侵</w:t>
      </w:r>
    </w:p>
    <w:p>
      <w:r>
        <w:rPr>
          <w:rFonts w:ascii="Times New Roman" w:hAnsi="Times New Roman" w:eastAsia="宋体"/>
          <w:b/>
          <w:color w:val="003264"/>
          <w:sz w:val="24"/>
        </w:rPr>
        <w:t>Efficient detection of intrusions in TON-IoT dataset using hybrid feature selection approach</w:t>
      </w:r>
    </w:p>
    <w:p>
      <w:r>
        <w:rPr>
          <w:rFonts w:ascii="Times New Roman" w:hAnsi="Times New Roman" w:eastAsia="宋体"/>
          <w:sz w:val="21"/>
        </w:rPr>
        <w:t>作者: N. Dharini, V. S. Janani, Jeevaa Katiravan</w:t>
        <w:br/>
      </w:r>
      <w:r>
        <w:rPr>
          <w:rFonts w:ascii="Times New Roman" w:hAnsi="Times New Roman" w:eastAsia="宋体"/>
          <w:sz w:val="21"/>
        </w:rPr>
        <w:t xml:space="preserve">时间: 2026-02-07 | </w:t>
      </w:r>
      <w:r>
        <w:t xml:space="preserve">链接: </w:t>
      </w:r>
      <w:hyperlink r:id="rId59">
        <w:r>
          <w:rPr>
            <w:rFonts w:ascii="Times New Roman" w:hAnsi="Times New Roman" w:eastAsia="宋体"/>
            <w:color w:val="0000FF"/>
            <w:sz w:val="21"/>
            <w:u w:val="single"/>
          </w:rPr>
          <w:t>https://doi.org/10.1038/s41598-026-37834-y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这项研究通过引入偏差感知数据集细化策略来改进物联网攻击分类，该策略消除基于 IP 和端口的标识符，并应用域引导的混合特征选择框架来派生轻量级且可泛化的特征集。出于对超越预定义网络配置的入侵检测模型的需求，本研究重点关注行为驱动的网络功能，这些功能可在物联网环境中实现更现实的攻击分类。基于包装器的特征选择方法，包括前向选择、后向消除和遗传算法，可识别五个最佳特征。为了评估所选特征子集的鲁棒性，在二元和多类设置下评估简单分类器（决策树和 KNN）和集成学习模型（包括随机森林、梯度提升、XGBoost、Bagging 和投票集成）。使用所提出的简化特征集，决策树分类器的二元分类精度达到 0.986，多类攻击分类精度达到 0.972，而 K 最近邻分类器在二元和多类场景中始终达到 0.972 的精度，而集成模型仅产生边际性能改进。使用精度、召回率、F1 分数、混淆矩阵和 Cohen Kappa 进行的评估证实，区分能力主要来自于所选的特征子集，而不是分类器的复杂性。这些结果表明，有效的特征选择使轻量级模型能够实现适合现实世界物联网部署的有竞争力的入侵检测性能。</w:t>
      </w:r>
    </w:p>
    <w:p>
      <w:pPr>
        <w:spacing w:before="120"/>
      </w:pPr>
      <w:r>
        <w:rPr>
          <w:rFonts w:ascii="Times New Roman" w:hAnsi="Times New Roman" w:eastAsia="宋体"/>
          <w:b/>
          <w:sz w:val="21"/>
        </w:rPr>
        <w:t>English Abstract:</w:t>
      </w:r>
    </w:p>
    <w:p>
      <w:r>
        <w:rPr>
          <w:rFonts w:ascii="Times New Roman" w:hAnsi="Times New Roman" w:eastAsia="宋体"/>
          <w:sz w:val="21"/>
        </w:rPr>
        <w:t>This research improves IoT attack classification by introducing a bias-aware dataset refinement strategy that eliminates IP- and port-based identifiers and applies a domain-guided hybrid feature selection framework to derive a lightweight and generalizable feature set. Motivated by the need for intrusion detection models that generalize beyond predefined network configurations, this study focuses on behavior-driven network features that enable more realistic attack categorization in IoT environments. Wrapper-based feature selection methods, including forward selection, backward elimination, and genetic algorithms, identify five optimal features. To assess the robustness of the selected feature subset, both simple classifiers (Decision Tree and KNN) and ensemble learning models, including Random Forest, Gradient Boosting, XGBoost, Bagging, and Voting Ensemble, are evaluated under binary and multi-class settings. Using the proposed reduced feature set, the Decision Tree classifier achieved an accuracy of 0.986 for binary classification and 0.972 for multi-class attack classification, while the K-Nearest Neighbor classifier consistently achieved an accuracy of 0.972 for both binary and multi-class scenarios, while ensemble models yield only marginal performance improvements. Evaluation using precision, recall, F1-score, confusion matrices, and Cohen’s Kappa confirms that the discriminative power primarily arises from the selected feature subset rather than classifier complexity. These results demonstrate that effective feature selection enables lightweight models to achieve competitive intrusion detection performance suitable for real-world IoT deployments.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1980年至2022年乌干达采采蝇表观密度时空变化的系统回顾和荟萃分析</w:t>
      </w:r>
    </w:p>
    <w:p>
      <w:r>
        <w:rPr>
          <w:rFonts w:ascii="Times New Roman" w:hAnsi="Times New Roman" w:eastAsia="宋体"/>
          <w:b/>
          <w:color w:val="003264"/>
          <w:sz w:val="24"/>
        </w:rPr>
        <w:t>Systematic review and meta-analysis of the spatio-temporal changes in apparent tsetse fly density in Uganda from 1980 to 2022</w:t>
      </w:r>
    </w:p>
    <w:p>
      <w:r>
        <w:rPr>
          <w:rFonts w:ascii="Times New Roman" w:hAnsi="Times New Roman" w:eastAsia="宋体"/>
          <w:sz w:val="21"/>
        </w:rPr>
        <w:t>作者: Karla Rascón-García, Auther Tamale Wasswa, Beatriz Martínez-López, Giuliano Cecchi, Albert Mugenyi, Enock Matovu, Dennis Muhanguzi</w:t>
        <w:br/>
      </w:r>
      <w:r>
        <w:rPr>
          <w:rFonts w:ascii="Times New Roman" w:hAnsi="Times New Roman" w:eastAsia="宋体"/>
          <w:sz w:val="21"/>
        </w:rPr>
        <w:t xml:space="preserve">时间: 2026-02-07 | </w:t>
      </w:r>
      <w:r>
        <w:t xml:space="preserve">链接: </w:t>
      </w:r>
      <w:hyperlink r:id="rId60">
        <w:r>
          <w:rPr>
            <w:rFonts w:ascii="Times New Roman" w:hAnsi="Times New Roman" w:eastAsia="宋体"/>
            <w:color w:val="0000FF"/>
            <w:sz w:val="21"/>
            <w:u w:val="single"/>
          </w:rPr>
          <w:t>https://doi.org/10.1038/s41598-025-32160-1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采采蝇传播的锥虫病继续限制撒哈拉以南非洲 (SSA) 超过 1000 万平方公里的农业和畜牧业潜力。尽管乌干达的动物健康和生产受到限制，但尚无描述采采蝇分布的准确的国家和次国家级数据。为了了解乌干达采采蝇密度（苍蝇/陷阱/天，或 FTD）并帮助沿着动物锥虫病的渐进控制途径 (PCP) 前进，我们估计了乌干达各县的 FTD，并探索了影响 FTD 变化的因素。从五个生命科学数据库中检索了乌干达采采蝇出版物（n = 3462），重点关注了解采采蝇空间分布的研究，特别是报告全国范围内的 FTD。遵循 PRISMA 指南，我们对 42 篇出版物进行了系统回顾和荟萃分析，目的是根据汇总的出版物数据生成更新的地图来描述采采蝇的空间分布。目前的研究结果强调了空间数据的巨大差距和高度分散的时间收集周期。在评估的 42 篇论文中，只有 20 篇报告了 FTD 并被纳入荟萃分析。为了从提取的数据中获得见解，建立了零膨胀多级泊松来估计采采蝇的空间分布。元回归结果发现，空间（即县以下）、时间（即采集期）和舌藻物种的相互作用解释了大部分（87.32%）观察到的 FTD 变化。尽管有几项研究没有对捕获的苍蝇进行物种形成，但乌干达报告的最主要物种是 Glossina fuscipes fuscipes。在获得的所有记录中，乌干达西部地区的样本严重不足。尽管存在一些局限性，例如某些地区的代表性不足以及 FTD 报告多年来不断下降，但我们确定了未来研究的基础，并建议在实施基于风险的采采蝇控制计划时使用县以下的估计来确定空间集群。此外，未来的研究应针对确定采采蝇栖息地的环境和气候预测因子，我们为未来开发锥虫病媒介国家级信息系统（即“图集”）奠定了坚实的基础。</w:t>
      </w:r>
    </w:p>
    <w:p>
      <w:pPr>
        <w:spacing w:before="120"/>
      </w:pPr>
      <w:r>
        <w:rPr>
          <w:rFonts w:ascii="Times New Roman" w:hAnsi="Times New Roman" w:eastAsia="宋体"/>
          <w:b/>
          <w:sz w:val="21"/>
        </w:rPr>
        <w:t>English Abstract:</w:t>
      </w:r>
    </w:p>
    <w:p>
      <w:r>
        <w:rPr>
          <w:rFonts w:ascii="Times New Roman" w:hAnsi="Times New Roman" w:eastAsia="宋体"/>
          <w:sz w:val="21"/>
        </w:rPr>
        <w:t>Tsetse-transmitted trypanosomiasis continues to constrain more than 10 million km2 of high agricultural and livestock farming potential in sub-Saharan Africa (SSA). Despite its constraints to animal health and production, no accurate national and sub-national level data describing the distribution of tsetse flies has been produced for Uganda. To inform the tsetse fly density (flies/trap/day, or FTD) in Uganda and help advance along the progressive control pathway (PCP) for animal trypanosomiasis, we estimated FTD across sub-counties in Uganda and explored factors influencing variations in FTD across studies. Tsetse fly publications (n = 3462) were retrieved for Uganda from five life sciences databases, focusing on studies which inform the spatial distribution of tsetse flies, particularly reporting FTD across the nation. Following PRISMA guidelines, we conducted a systematic review and meta-analysis of 42 publications with the aim of producing an updated map to describe the spatial distribution of tsetse flies from pooled publication data. Current findings highlight substantial spatial data gaps with highly fragmented temporal collection periods. Of the 42 papers evaluated, only 20 reported FTD and were included in meta-analyses. To exhaust insights from extracted data, a zero-inflated multilevel Poisson was built to estimate the spatial distribution of tsetse flies. Meta-regression results found that the interaction of space (i.e. sub-county), time (i.e. collection period) and Glossina species explained the majority (87.32%) of observed FTD variations. Though several studies did not perform speciation of captured flies, the most predominant species reported in Uganda was Glossina fuscipes fuscipes. Across all records obtained, the western region of Uganda was severely under-sampled. Despite the limitations, like underrepresentation of some regions and declining report of FTD over years, we identified a basis for future research and recommend sub-county estimates be used to target spatial clusters when implementing risk-based tsetse control programs. Moreover, future research should target identifying environmental and climactic predictors of tsetse fly habitats, and we established a solid foundation for the future development of a national-level information system for the vectors of trypanosomiasis (i.e. an ‘atlas’).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00:29 ---</w:t>
      </w:r>
    </w:p>
    <w:p>
      <w:pPr>
        <w:pStyle w:val="Heading2"/>
      </w:pPr>
      <w:r/>
      <w:r>
        <w:rPr>
          <w:rFonts w:ascii="Times New Roman" w:hAnsi="Times New Roman" w:eastAsia="宋体"/>
          <w:b/>
          <w:color w:val="000000"/>
          <w:sz w:val="24"/>
        </w:rPr>
        <w:t>纳米压印亚波长金属光栅的制作及性能研究</w:t>
      </w:r>
    </w:p>
    <w:p>
      <w:r>
        <w:rPr>
          <w:rFonts w:ascii="Times New Roman" w:hAnsi="Times New Roman" w:eastAsia="宋体"/>
          <w:b/>
          <w:color w:val="003264"/>
          <w:sz w:val="24"/>
        </w:rPr>
        <w:t>Fabrication and performance study of subwavelength metallic grating via nanoimprint lithography</w:t>
      </w:r>
    </w:p>
    <w:p>
      <w:r>
        <w:rPr>
          <w:rFonts w:ascii="Times New Roman" w:hAnsi="Times New Roman" w:eastAsia="宋体"/>
          <w:sz w:val="21"/>
        </w:rPr>
        <w:t>作者: Yan Gu, Yingao Xue, Jieqiong Lin, Yuanshuo Liu, Yamei Liu, Kepeng Sui, Silin Liu, Hongxin Guo, Weidong Zhou, Lingling Han, Bin Wang</w:t>
        <w:br/>
      </w:r>
      <w:r>
        <w:rPr>
          <w:rFonts w:ascii="Times New Roman" w:hAnsi="Times New Roman" w:eastAsia="宋体"/>
          <w:sz w:val="21"/>
        </w:rPr>
        <w:t xml:space="preserve">时间: 2026-06-01 | </w:t>
      </w:r>
      <w:r>
        <w:t xml:space="preserve">链接: </w:t>
      </w:r>
      <w:hyperlink r:id="rId30">
        <w:r>
          <w:rPr>
            <w:rFonts w:ascii="Times New Roman" w:hAnsi="Times New Roman" w:eastAsia="宋体"/>
            <w:color w:val="0000FF"/>
            <w:sz w:val="21"/>
            <w:u w:val="single"/>
          </w:rPr>
          <w:t>https://doi.org/10.1016/j.optlastec.2026.114873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在低光条件下通过物理感知分解进行结构引导的无透镜重建</w:t>
      </w:r>
    </w:p>
    <w:p>
      <w:r>
        <w:rPr>
          <w:rFonts w:ascii="Times New Roman" w:hAnsi="Times New Roman" w:eastAsia="宋体"/>
          <w:b/>
          <w:color w:val="003264"/>
          <w:sz w:val="24"/>
        </w:rPr>
        <w:t>Structure-guided lensless reconstruction via physics-aware decomposition in low-light conditions</w:t>
      </w:r>
    </w:p>
    <w:p>
      <w:r>
        <w:rPr>
          <w:rFonts w:ascii="Times New Roman" w:hAnsi="Times New Roman" w:eastAsia="宋体"/>
          <w:sz w:val="21"/>
        </w:rPr>
        <w:t>作者: Ziyang Liu, Tianjiao Zeng, Xu Zhan, Xiaoling Zhang, Yunqi Wang, Edmund Y. Lam</w:t>
        <w:br/>
      </w:r>
      <w:r>
        <w:rPr>
          <w:rFonts w:ascii="Times New Roman" w:hAnsi="Times New Roman" w:eastAsia="宋体"/>
          <w:sz w:val="21"/>
        </w:rPr>
        <w:t xml:space="preserve">时间: 2026-06-01 | </w:t>
      </w:r>
      <w:r>
        <w:t xml:space="preserve">链接: </w:t>
      </w:r>
      <w:hyperlink r:id="rId31">
        <w:r>
          <w:rPr>
            <w:rFonts w:ascii="Times New Roman" w:hAnsi="Times New Roman" w:eastAsia="宋体"/>
            <w:color w:val="0000FF"/>
            <w:sz w:val="21"/>
            <w:u w:val="single"/>
          </w:rPr>
          <w:t>https://doi.org/10.1016/j.optlastec.2026.114856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带有缺陷镜的分布式克尔透镜锁模埃尔米特-高斯薄盘振荡器产生的飞秒涡旋</w:t>
      </w:r>
    </w:p>
    <w:p>
      <w:r>
        <w:rPr>
          <w:rFonts w:ascii="Times New Roman" w:hAnsi="Times New Roman" w:eastAsia="宋体"/>
          <w:b/>
          <w:color w:val="003264"/>
          <w:sz w:val="24"/>
        </w:rPr>
        <w:t>Femtosecond vortices generated from a distributed Kerr-lens mode-locked Hermite-Gaussian thin-disk oscillator with a defective mirror</w:t>
      </w:r>
    </w:p>
    <w:p>
      <w:r>
        <w:rPr>
          <w:rFonts w:ascii="Times New Roman" w:hAnsi="Times New Roman" w:eastAsia="宋体"/>
          <w:sz w:val="21"/>
        </w:rPr>
        <w:t>作者: Guichun Xia, Xu Liu, Ping Wang, Shiya Yang, Jingjie Hao, Qingzhe Cui, Lin Zheng, Lisong Yan, Heyan Liu, Jinwei Zhang</w:t>
        <w:br/>
      </w:r>
      <w:r>
        <w:rPr>
          <w:rFonts w:ascii="Times New Roman" w:hAnsi="Times New Roman" w:eastAsia="宋体"/>
          <w:sz w:val="21"/>
        </w:rPr>
        <w:t xml:space="preserve">时间: 2026-06-01 | </w:t>
      </w:r>
      <w:r>
        <w:t xml:space="preserve">链接: </w:t>
      </w:r>
      <w:hyperlink r:id="rId32">
        <w:r>
          <w:rPr>
            <w:rFonts w:ascii="Times New Roman" w:hAnsi="Times New Roman" w:eastAsia="宋体"/>
            <w:color w:val="0000FF"/>
            <w:sz w:val="21"/>
            <w:u w:val="single"/>
          </w:rPr>
          <w:t>https://doi.org/10.1016/j.optlastec.2026.114901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使用相衬成像在可见光范围内简化克尔折射率测量</w:t>
      </w:r>
    </w:p>
    <w:p>
      <w:r>
        <w:rPr>
          <w:rFonts w:ascii="Times New Roman" w:hAnsi="Times New Roman" w:eastAsia="宋体"/>
          <w:b/>
          <w:color w:val="003264"/>
          <w:sz w:val="24"/>
        </w:rPr>
        <w:t>Simplified Kerr refractive index measurement in the visible range using phase object contrast imaging</w:t>
      </w:r>
    </w:p>
    <w:p>
      <w:r>
        <w:rPr>
          <w:rFonts w:ascii="Times New Roman" w:hAnsi="Times New Roman" w:eastAsia="宋体"/>
          <w:sz w:val="21"/>
        </w:rPr>
        <w:t>作者: Georges Boudebs, Julien-Bilal Zinoune, Christophe Cassagne, Mihaela Chis</w:t>
        <w:br/>
      </w:r>
      <w:r>
        <w:rPr>
          <w:rFonts w:ascii="Times New Roman" w:hAnsi="Times New Roman" w:eastAsia="宋体"/>
          <w:sz w:val="21"/>
        </w:rPr>
        <w:t xml:space="preserve">时间: 2026-06-01 | </w:t>
      </w:r>
      <w:r>
        <w:t xml:space="preserve">链接: </w:t>
      </w:r>
      <w:hyperlink r:id="rId61">
        <w:r>
          <w:rPr>
            <w:rFonts w:ascii="Times New Roman" w:hAnsi="Times New Roman" w:eastAsia="宋体"/>
            <w:color w:val="0000FF"/>
            <w:sz w:val="21"/>
            <w:u w:val="single"/>
          </w:rPr>
          <w:t>https://doi.org/10.1016/j.optlastec.2026.114888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激光超声无损评估TA2钛的屈服强度</w:t>
      </w:r>
    </w:p>
    <w:p>
      <w:r>
        <w:rPr>
          <w:rFonts w:ascii="Times New Roman" w:hAnsi="Times New Roman" w:eastAsia="宋体"/>
          <w:b/>
          <w:color w:val="003264"/>
          <w:sz w:val="24"/>
        </w:rPr>
        <w:t>Non-Destructive yield strength evaluation of TA2 titanium by laser ultrasonics</w:t>
      </w:r>
    </w:p>
    <w:p>
      <w:r>
        <w:rPr>
          <w:rFonts w:ascii="Times New Roman" w:hAnsi="Times New Roman" w:eastAsia="宋体"/>
          <w:sz w:val="21"/>
        </w:rPr>
        <w:t>作者: Xing Mao, Xiaochen Wang, Quan Yang, Jingdong Li, Yanjie Zhang, Wenjun Gao, Yingying Meng</w:t>
        <w:br/>
      </w:r>
      <w:r>
        <w:rPr>
          <w:rFonts w:ascii="Times New Roman" w:hAnsi="Times New Roman" w:eastAsia="宋体"/>
          <w:sz w:val="21"/>
        </w:rPr>
        <w:t xml:space="preserve">时间: 2026-06-01 | </w:t>
      </w:r>
      <w:r>
        <w:t xml:space="preserve">链接: </w:t>
      </w:r>
      <w:hyperlink r:id="rId62">
        <w:r>
          <w:rPr>
            <w:rFonts w:ascii="Times New Roman" w:hAnsi="Times New Roman" w:eastAsia="宋体"/>
            <w:color w:val="0000FF"/>
            <w:sz w:val="21"/>
            <w:u w:val="single"/>
          </w:rPr>
          <w:t>https://doi.org/10.1016/j.optlastec.2026.114893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具有可变散斑参数的区域自适应 DIC，用于电子封装结构中的精确翘曲测量</w:t>
      </w:r>
    </w:p>
    <w:p>
      <w:r>
        <w:rPr>
          <w:rFonts w:ascii="Times New Roman" w:hAnsi="Times New Roman" w:eastAsia="宋体"/>
          <w:b/>
          <w:color w:val="003264"/>
          <w:sz w:val="24"/>
        </w:rPr>
        <w:t>Region-adaptive DIC with variable speckle parameters for accurate warpage measurement in electronic packaging structures</w:t>
      </w:r>
    </w:p>
    <w:p>
      <w:r>
        <w:rPr>
          <w:rFonts w:ascii="Times New Roman" w:hAnsi="Times New Roman" w:eastAsia="宋体"/>
          <w:sz w:val="21"/>
        </w:rPr>
        <w:t>作者: Jianguo Xie, Yuhan Gao, Yuxin Chen, Kezhong Xu, Ziniu Yu, Chuanjia Wang, Yuqi Zhou, Weibin Hui, Fulong Zhu</w:t>
        <w:br/>
      </w:r>
      <w:r>
        <w:rPr>
          <w:rFonts w:ascii="Times New Roman" w:hAnsi="Times New Roman" w:eastAsia="宋体"/>
          <w:sz w:val="21"/>
        </w:rPr>
        <w:t xml:space="preserve">时间: 2026-06-01 | </w:t>
      </w:r>
      <w:r>
        <w:t xml:space="preserve">链接: </w:t>
      </w:r>
      <w:hyperlink r:id="rId63">
        <w:r>
          <w:rPr>
            <w:rFonts w:ascii="Times New Roman" w:hAnsi="Times New Roman" w:eastAsia="宋体"/>
            <w:color w:val="0000FF"/>
            <w:sz w:val="21"/>
            <w:u w:val="single"/>
          </w:rPr>
          <w:t>https://doi.org/10.1016/j.optlastec.2026.114906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通过时间单光子检测对城市内环境中的远程无人机进行分类</w:t>
      </w:r>
    </w:p>
    <w:p>
      <w:r>
        <w:rPr>
          <w:rFonts w:ascii="Times New Roman" w:hAnsi="Times New Roman" w:eastAsia="宋体"/>
          <w:b/>
          <w:color w:val="003264"/>
          <w:sz w:val="24"/>
        </w:rPr>
        <w:t>Long-distance drone classification in intracity environments via temporal single-photon detection</w:t>
      </w:r>
    </w:p>
    <w:p>
      <w:r>
        <w:rPr>
          <w:rFonts w:ascii="Times New Roman" w:hAnsi="Times New Roman" w:eastAsia="宋体"/>
          <w:sz w:val="21"/>
        </w:rPr>
        <w:t>作者: Junran Guo, Tonglin Mu, Keyuan Li, Jianing Li, Ziyang Luo, Xiaodong Fan, Ye Chen, Jinquan Huang, Minjie Liu, Ruoyang Qi, Naiting Gu, Hong Cai, Lip Ket Chin, Shihai Sun</w:t>
        <w:br/>
      </w:r>
      <w:r>
        <w:rPr>
          <w:rFonts w:ascii="Times New Roman" w:hAnsi="Times New Roman" w:eastAsia="宋体"/>
          <w:sz w:val="21"/>
        </w:rPr>
        <w:t xml:space="preserve">时间: 2026-06-01 | </w:t>
      </w:r>
      <w:r>
        <w:t xml:space="preserve">链接: </w:t>
      </w:r>
      <w:hyperlink r:id="rId64">
        <w:r>
          <w:rPr>
            <w:rFonts w:ascii="Times New Roman" w:hAnsi="Times New Roman" w:eastAsia="宋体"/>
            <w:color w:val="0000FF"/>
            <w:sz w:val="21"/>
            <w:u w:val="single"/>
          </w:rPr>
          <w:t>https://doi.org/10.1016/j.optlastec.2026.114900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00:29 ---</w:t>
      </w:r>
    </w:p>
    <w:p>
      <w:pPr>
        <w:pStyle w:val="Heading2"/>
      </w:pPr>
      <w:r/>
      <w:r>
        <w:rPr>
          <w:rFonts w:ascii="Times New Roman" w:hAnsi="Times New Roman" w:eastAsia="宋体"/>
          <w:b/>
          <w:color w:val="000000"/>
          <w:sz w:val="24"/>
        </w:rPr>
        <w:t>使用万向节控制发射机的室内基于激光的光无线通信的综合优化框架</w:t>
      </w:r>
    </w:p>
    <w:p>
      <w:r>
        <w:rPr>
          <w:rFonts w:ascii="Times New Roman" w:hAnsi="Times New Roman" w:eastAsia="宋体"/>
          <w:b/>
          <w:color w:val="003264"/>
          <w:sz w:val="24"/>
        </w:rPr>
        <w:t>A comprehensive optimization framework for indoor laser-based optical wireless communication using gimbal-steered transmitters</w:t>
      </w:r>
    </w:p>
    <w:p>
      <w:r>
        <w:rPr>
          <w:rFonts w:ascii="Times New Roman" w:hAnsi="Times New Roman" w:eastAsia="宋体"/>
          <w:sz w:val="21"/>
        </w:rPr>
        <w:t>作者: Oğuzhan Başer, Mehmet Ali Küçük, Kadir Türk</w:t>
        <w:br/>
      </w:r>
      <w:r>
        <w:rPr>
          <w:rFonts w:ascii="Times New Roman" w:hAnsi="Times New Roman" w:eastAsia="宋体"/>
          <w:sz w:val="21"/>
        </w:rPr>
        <w:t xml:space="preserve">时间: 2026-02-01 | </w:t>
      </w:r>
      <w:r>
        <w:t xml:space="preserve">链接: </w:t>
      </w:r>
      <w:hyperlink r:id="rId33">
        <w:r>
          <w:rPr>
            <w:rFonts w:ascii="Times New Roman" w:hAnsi="Times New Roman" w:eastAsia="宋体"/>
            <w:color w:val="0000FF"/>
            <w:sz w:val="21"/>
            <w:u w:val="single"/>
          </w:rPr>
          <w:t>https://doi.org/10.1016/j.optcom.2026.132985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改进的Savitzky-Golay算法和改进的Firefly算法在光纤光栅传感网络解调中的应用</w:t>
      </w:r>
    </w:p>
    <w:p>
      <w:r>
        <w:rPr>
          <w:rFonts w:ascii="Times New Roman" w:hAnsi="Times New Roman" w:eastAsia="宋体"/>
          <w:b/>
          <w:color w:val="003264"/>
          <w:sz w:val="24"/>
        </w:rPr>
        <w:t>Application of Modified Savitzky-Golay Algorithms and Improved Firefly Algorithms in Demodulation for Fiber Bragg Grating Sensing Networks</w:t>
      </w:r>
    </w:p>
    <w:p>
      <w:r>
        <w:rPr>
          <w:rFonts w:ascii="Times New Roman" w:hAnsi="Times New Roman" w:eastAsia="宋体"/>
          <w:sz w:val="21"/>
        </w:rPr>
        <w:t>作者: Shengjie Zhang, Hong Li, Tiansen Niu, Zhuo Yan, Lianqing Zhu</w:t>
        <w:br/>
      </w:r>
      <w:r>
        <w:rPr>
          <w:rFonts w:ascii="Times New Roman" w:hAnsi="Times New Roman" w:eastAsia="宋体"/>
          <w:sz w:val="21"/>
        </w:rPr>
        <w:t xml:space="preserve">时间: 2026-02-01 | </w:t>
      </w:r>
      <w:r>
        <w:t xml:space="preserve">链接: </w:t>
      </w:r>
      <w:hyperlink r:id="rId34">
        <w:r>
          <w:rPr>
            <w:rFonts w:ascii="Times New Roman" w:hAnsi="Times New Roman" w:eastAsia="宋体"/>
            <w:color w:val="0000FF"/>
            <w:sz w:val="21"/>
            <w:u w:val="single"/>
          </w:rPr>
          <w:t>https://doi.org/10.1016/j.optcom.2026.133003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高重复率智能锁模激光器</w:t>
      </w:r>
    </w:p>
    <w:p>
      <w:r>
        <w:rPr>
          <w:rFonts w:ascii="Times New Roman" w:hAnsi="Times New Roman" w:eastAsia="宋体"/>
          <w:b/>
          <w:color w:val="003264"/>
          <w:sz w:val="24"/>
        </w:rPr>
        <w:t>Intelligent Mode-locking Laser with High Repetition Rate</w:t>
      </w:r>
    </w:p>
    <w:p>
      <w:r>
        <w:rPr>
          <w:rFonts w:ascii="Times New Roman" w:hAnsi="Times New Roman" w:eastAsia="宋体"/>
          <w:sz w:val="21"/>
        </w:rPr>
        <w:t>作者: Wenxi Zhang, Jia Zhang, Pei Ma, Xing Liang, Xuhong Yang, Yuhua Xiao, Jiongyang Zhang, Peixian Miao, Ji Wang, Hu Dai</w:t>
        <w:br/>
      </w:r>
      <w:r>
        <w:rPr>
          <w:rFonts w:ascii="Times New Roman" w:hAnsi="Times New Roman" w:eastAsia="宋体"/>
          <w:sz w:val="21"/>
        </w:rPr>
        <w:t xml:space="preserve">时间: 2026-02-01 | </w:t>
      </w:r>
      <w:r>
        <w:t xml:space="preserve">链接: </w:t>
      </w:r>
      <w:hyperlink r:id="rId66">
        <w:r>
          <w:rPr>
            <w:rFonts w:ascii="Times New Roman" w:hAnsi="Times New Roman" w:eastAsia="宋体"/>
            <w:color w:val="0000FF"/>
            <w:sz w:val="21"/>
            <w:u w:val="single"/>
          </w:rPr>
          <w:t>https://doi.org/10.1016/j.optcom.2026.132986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势垒中AlGaN插入层对红光InGaN/GaN多量子阱光电特性的影响</w:t>
      </w:r>
    </w:p>
    <w:p>
      <w:r>
        <w:rPr>
          <w:rFonts w:ascii="Times New Roman" w:hAnsi="Times New Roman" w:eastAsia="宋体"/>
          <w:b/>
          <w:color w:val="003264"/>
          <w:sz w:val="24"/>
        </w:rPr>
        <w:t>Effect of AlGaN Insertion Layer in Barriers on the Optoelectronic Characteristics of Red Light-emitting InGaN/GaN Multi-quantum Wells</w:t>
      </w:r>
    </w:p>
    <w:p>
      <w:r>
        <w:rPr>
          <w:rFonts w:ascii="Times New Roman" w:hAnsi="Times New Roman" w:eastAsia="宋体"/>
          <w:sz w:val="21"/>
        </w:rPr>
        <w:t>作者: Wei Liu, Chengrui Yan, Di Wang, Zeyu Liu, Bohan Shi, Runzhi Wang, Yujia Liu</w:t>
        <w:br/>
      </w:r>
      <w:r>
        <w:rPr>
          <w:rFonts w:ascii="Times New Roman" w:hAnsi="Times New Roman" w:eastAsia="宋体"/>
          <w:sz w:val="21"/>
        </w:rPr>
        <w:t xml:space="preserve">时间: 2026-02-01 | </w:t>
      </w:r>
      <w:r>
        <w:t xml:space="preserve">链接: </w:t>
      </w:r>
      <w:hyperlink r:id="rId67">
        <w:r>
          <w:rPr>
            <w:rFonts w:ascii="Times New Roman" w:hAnsi="Times New Roman" w:eastAsia="宋体"/>
            <w:color w:val="0000FF"/>
            <w:sz w:val="21"/>
            <w:u w:val="single"/>
          </w:rPr>
          <w:t>https://doi.org/10.1016/j.optcom.2026.132979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00:29 ---</w:t>
      </w:r>
    </w:p>
    <w:p>
      <w:pPr>
        <w:pStyle w:val="Heading2"/>
      </w:pPr>
      <w:r/>
      <w:r>
        <w:rPr>
          <w:rFonts w:ascii="Times New Roman" w:hAnsi="Times New Roman" w:eastAsia="宋体"/>
          <w:b/>
          <w:color w:val="000000"/>
          <w:sz w:val="24"/>
        </w:rPr>
        <w:t>迈向干净高效的 3D 高斯表示</w:t>
      </w:r>
    </w:p>
    <w:p>
      <w:r>
        <w:rPr>
          <w:rFonts w:ascii="Times New Roman" w:hAnsi="Times New Roman" w:eastAsia="宋体"/>
          <w:b/>
          <w:color w:val="003264"/>
          <w:sz w:val="24"/>
        </w:rPr>
        <w:t>Toward clean and efficient 3D Gaussian representations</w:t>
      </w:r>
    </w:p>
    <w:p>
      <w:r>
        <w:rPr>
          <w:rFonts w:ascii="Times New Roman" w:hAnsi="Times New Roman" w:eastAsia="宋体"/>
          <w:sz w:val="21"/>
        </w:rPr>
        <w:t>作者: Jianpeng Xu, Yifan Wang, Fanliang Bu</w:t>
        <w:br/>
      </w:r>
      <w:r>
        <w:rPr>
          <w:rFonts w:ascii="Times New Roman" w:hAnsi="Times New Roman" w:eastAsia="宋体"/>
          <w:sz w:val="21"/>
        </w:rPr>
        <w:t xml:space="preserve">时间: 2026-02-05 | </w:t>
      </w:r>
      <w:r>
        <w:t xml:space="preserve">链接: </w:t>
      </w:r>
      <w:hyperlink r:id="rId35">
        <w:r>
          <w:rPr>
            <w:rFonts w:ascii="Times New Roman" w:hAnsi="Times New Roman" w:eastAsia="宋体"/>
            <w:color w:val="0000FF"/>
            <w:sz w:val="21"/>
            <w:u w:val="single"/>
          </w:rPr>
          <w:t>https://doi.org/10.1364/ao.583393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高斯泼溅 (3DGS) 可实现高质量的新颖视图合成，但其仅光度优化通常偏向于每像素颜色拟合而不是几何规律，从而产生不受支持的异常值和不必要的密集高斯分布。我们引入了一种几何感知优化管道，不需要外部监督，可以产生更清晰、更高效的高斯表示，同时保持重建保真度。该流程由三个模块组成：（1）初始点纯化（IPP）对种子点云进行径向分层，并使用 k-NN 密度估计来去除上尾异常值，从而产生条件良好的初始化； （2）锚定约束致密化（ACD）调节分裂过程中产生的高斯的位移和半径，以抑制颜色驱动的漂移和不受控制的生长； （3）不透明度-稀疏联合剪枝（OSJP）定期去除不透明度和密度联合稀疏的高斯分布，逐渐收紧分布。实验表明，我们的方法将训练时间减少了 32.6%，将排名加权离散度 (RW-Disp) 降低了 29.8%，将第 95 个百分点的点间距离 (P95) 降低了 42.2%，并将对称切角距离降低了 80.5%，同时保持了可比的重建质量。生成的高斯集更加紧凑和干净，提高了下游可用性。该框架不需要预训练模型，保留了原始的 3DGS 渲染器和光度损失，并且易于集成，为在联合几何清洁度和效率目标下优化 3DGS 提供了简洁有效的途径。</w:t>
      </w:r>
    </w:p>
    <w:p>
      <w:pPr>
        <w:spacing w:before="120"/>
      </w:pPr>
      <w:r>
        <w:rPr>
          <w:rFonts w:ascii="Times New Roman" w:hAnsi="Times New Roman" w:eastAsia="宋体"/>
          <w:b/>
          <w:sz w:val="21"/>
        </w:rPr>
        <w:t>English Abstract:</w:t>
      </w:r>
    </w:p>
    <w:p>
      <w:r>
        <w:rPr>
          <w:rFonts w:ascii="Times New Roman" w:hAnsi="Times New Roman" w:eastAsia="宋体"/>
          <w:sz w:val="21"/>
        </w:rPr>
        <w:t>3D Gaussian splatting (3DGS) enables high-quality novel-view synthesis, but its photometric-only optimization often favors per-pixel color fitting over geometric regularity, producing unsupported outliers and unnecessarily dense Gaussian distributions. We introduce a geometry-aware optimization pipeline that requires no external supervision and yields a cleaner, more efficient Gaussian representation while preserving reconstruction fidelity. The pipeline consists of three modules: (1) initial point purification (IPP) radially stratifies the seed point cloud and uses k-NN density estimates to remove upper-tail outliers, producing a well-conditioned initialization; (2) anchor-constrained densification (ACD) regulates the displacement and radius of Gaussians spawned during splitting to suppress color-driven drift and uncontrolled growth; and (3) opacity-sparsity joint pruning (OSJP) periodically removes Gaussians that are jointly sparse in opacity and density, progressively tightening the distribution. Experiments show that our method reduces training time by 32.6%, lowers rank-weighted dispersion (RW-Disp) by 29.8%, decreases the 95th-percentile inter-point distance (P95) by 42.2%, and reduces symmetric Chamfer distance by 80.5%, while maintaining comparable reconstruction quality. The resulting Gaussian set is more compact and cleaner, improving downstream usability. The framework requires no pretrained models, preserves the original 3DGS renderer and photometric loss, and is simple to integrate, offering a concise and effective pathway for optimizing 3DGS under joint geometric cleanliness and efficiency objectives.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有损介质中 PEMC 圆柱体上的电磁辐射力</w:t>
      </w:r>
    </w:p>
    <w:p>
      <w:r>
        <w:rPr>
          <w:rFonts w:ascii="Times New Roman" w:hAnsi="Times New Roman" w:eastAsia="宋体"/>
          <w:b/>
          <w:color w:val="003264"/>
          <w:sz w:val="24"/>
        </w:rPr>
        <w:t>Electromagnetic radiation force on a PEMC cylinder in a lossy medium</w:t>
      </w:r>
    </w:p>
    <w:p>
      <w:r>
        <w:rPr>
          <w:rFonts w:ascii="Times New Roman" w:hAnsi="Times New Roman" w:eastAsia="宋体"/>
          <w:sz w:val="21"/>
        </w:rPr>
        <w:t>作者: Fengbei Liu, Renxian Li, Huan Tang, Bing Wei, Shuhong Gong, Fang Lu, Dan Xu, F. G. Mitri</w:t>
        <w:br/>
      </w:r>
      <w:r>
        <w:rPr>
          <w:rFonts w:ascii="Times New Roman" w:hAnsi="Times New Roman" w:eastAsia="宋体"/>
          <w:sz w:val="21"/>
        </w:rPr>
        <w:t xml:space="preserve">时间: 2026-02-04 | </w:t>
      </w:r>
      <w:r>
        <w:t xml:space="preserve">链接: </w:t>
      </w:r>
      <w:hyperlink r:id="rId36">
        <w:r>
          <w:rPr>
            <w:rFonts w:ascii="Times New Roman" w:hAnsi="Times New Roman" w:eastAsia="宋体"/>
            <w:color w:val="0000FF"/>
            <w:sz w:val="21"/>
            <w:u w:val="single"/>
          </w:rPr>
          <w:t>https://doi.org/10.1364/ao.586729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这项工作的目的是将完美电磁导体 (PEMC) 圆柱体上的辐射力的理论框架从理想化的无损介质扩展到现实的有损介电环境。这种方法解决了一个关键差距，因为损耗无处不在，并且从根本上改变了电磁动量向粒子的传递。采用适用于复介电常数的多极展开法，假设具有 TM 或 TE 偏振的平面行波的纵向力是基于近场散射方法从麦克斯韦应力张量导出的，并严格分解为其共偏振和交叉偏振分量。我们证明，交叉极化力分量可以是正（推）或负（拉），表现出零力条件。最关键的是，出现此零点的尺寸参数 k a 不是固定的，而是可以通过介质损耗主动调节（由 ε ext ' ' 描述）。这种可调性揭示了惊人的不对称偏振响应：随着吸收的增加，TM 偏振的零点偏移单调递减，但 TE 偏振的零点偏移则非单调递减。此外，我们严格证明了在无损介质中建立的该零线的导纳独立性（通常由参数 M 表示）被保留。此外，扩展到有损水状主体介质（ℜ（ε ext）= 1.77）的数值计算证实，在折射率较高的环境中保留了非单调力行为。这项工作的意义在于将 PEMC 光力学扩展到有损介质，并通过可能的传感应用揭示损耗可调的力零点。</w:t>
      </w:r>
    </w:p>
    <w:p>
      <w:pPr>
        <w:spacing w:before="120"/>
      </w:pPr>
      <w:r>
        <w:rPr>
          <w:rFonts w:ascii="Times New Roman" w:hAnsi="Times New Roman" w:eastAsia="宋体"/>
          <w:b/>
          <w:sz w:val="21"/>
        </w:rPr>
        <w:t>English Abstract:</w:t>
      </w:r>
    </w:p>
    <w:p>
      <w:r>
        <w:rPr>
          <w:rFonts w:ascii="Times New Roman" w:hAnsi="Times New Roman" w:eastAsia="宋体"/>
          <w:sz w:val="21"/>
        </w:rPr>
        <w:t>The purpose of this work is to extend the theoretical framework of radiation forces on a perfect electromagnetic conductor (PEMC) cylinder from an idealized lossless medium to a realistic lossy dielectric environment. This approach addresses a critical gap, as loss is ubiquitous, and fundamentally alters the transfer of electromagnetic momentum to particles. Employing the multipole expansion method adapted for complex permittivity, the longitudinal force assuming plane progressive waves with either TM or TE polarizations is derived from the Maxwell stress tensor based on a near-field scattering approach, and rigorously decomposed into its co-polarized and cross-polarized components. We demonstrate that the cross-polarized force component, which can be positive (pushing) or negative (pulling), exhibits a null-force condition. Most critically, the size parameter k a at which this null occurs is not fixed, but is actively tunable by the loss of the medium (described by ε ext ′ ′ ). This tunability reveals a striking asymmetric polarization response: the null-point shift is monotonically decreasing for TM polarization but non-monotonic for TE polarization as absorption increases. Furthermore, we rigorously prove that the admittance-independence (denoted usually by the parameter M ) of this null line, established in lossless media, is preserved. Moreover, numerical computations extended to a lossy water-like host medium (ℜ( ε ext )=1.77) confirm that the non-monotonic force behavior is preserved in environments with a higher refractive index. The significance of this work relies on extending PEMC opto-mechanics to lossy media and revealing loss-tunable force nulls with possible sensing applications.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Letters</w:t>
      </w:r>
    </w:p>
    <w:p>
      <w:pPr>
        <w:jc w:val="center"/>
      </w:pPr>
      <w:r>
        <w:t>--- 更新: 00:29 ---</w:t>
      </w:r>
    </w:p>
    <w:p>
      <w:pPr>
        <w:pStyle w:val="Heading2"/>
      </w:pPr>
      <w:r/>
      <w:r>
        <w:rPr>
          <w:rFonts w:ascii="Times New Roman" w:hAnsi="Times New Roman" w:eastAsia="宋体"/>
          <w:b/>
          <w:color w:val="000000"/>
          <w:sz w:val="24"/>
        </w:rPr>
        <w:t>具有量规通量的亚波长光栅波导阵列中的紧凑拓扑边缘模式</w:t>
      </w:r>
    </w:p>
    <w:p>
      <w:r>
        <w:rPr>
          <w:rFonts w:ascii="Times New Roman" w:hAnsi="Times New Roman" w:eastAsia="宋体"/>
          <w:b/>
          <w:color w:val="003264"/>
          <w:sz w:val="24"/>
        </w:rPr>
        <w:t>Compact topological edge modes in subwavelength grating waveguide arrays with gauge flux</w:t>
      </w:r>
    </w:p>
    <w:p>
      <w:r>
        <w:rPr>
          <w:rFonts w:ascii="Times New Roman" w:hAnsi="Times New Roman" w:eastAsia="宋体"/>
          <w:sz w:val="21"/>
        </w:rPr>
        <w:t>作者: Fengyi Zhang, Yang Liu, Dingyao Wang, Jiasheng Li, Xiaofan Zhang, Shaolin Ke, Huatian Hu</w:t>
        <w:br/>
      </w:r>
      <w:r>
        <w:rPr>
          <w:rFonts w:ascii="Times New Roman" w:hAnsi="Times New Roman" w:eastAsia="宋体"/>
          <w:sz w:val="21"/>
        </w:rPr>
        <w:t xml:space="preserve">时间: 2026-01-30 | </w:t>
      </w:r>
      <w:r>
        <w:t xml:space="preserve">链接: </w:t>
      </w:r>
      <w:hyperlink r:id="rId37">
        <w:r>
          <w:rPr>
            <w:rFonts w:ascii="Times New Roman" w:hAnsi="Times New Roman" w:eastAsia="宋体"/>
            <w:color w:val="0000FF"/>
            <w:sz w:val="21"/>
            <w:u w:val="single"/>
          </w:rPr>
          <w:t>https://doi.org/10.1364/ol.584436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平带和拓扑之间的相互作用有可能增强拓扑边缘模式的定位和鲁棒性，但它们在平面波导平台中的实现仍然具有挑战性。在这里，我们通过利用平面亚波长光栅波导中的简并模式引入了合成规范通量，从而实现了阿哈罗诺夫-玻姆笼效应和平带晶格的形成。由此产生的边缘模式是超紧凑的，可以限制在边界处的最后两个波导。这些鲁棒模式对于耦合系数和几何变化仍然高度局部化。我们的研究结果为在电信频段运行的集成光子电路中实现紧凑且稳健的光传输提供了一条途径。</w:t>
      </w:r>
    </w:p>
    <w:p>
      <w:pPr>
        <w:spacing w:before="120"/>
      </w:pPr>
      <w:r>
        <w:rPr>
          <w:rFonts w:ascii="Times New Roman" w:hAnsi="Times New Roman" w:eastAsia="宋体"/>
          <w:b/>
          <w:sz w:val="21"/>
        </w:rPr>
        <w:t>English Abstract:</w:t>
      </w:r>
    </w:p>
    <w:p>
      <w:r>
        <w:rPr>
          <w:rFonts w:ascii="Times New Roman" w:hAnsi="Times New Roman" w:eastAsia="宋体"/>
          <w:sz w:val="21"/>
        </w:rPr>
        <w:t>The interplay between flat bands and topology has the potential to enhance the localization and robustness of topological edge modes, yet their realization in planar waveguide platforms remains challenging. Here, we introduce a synthetic gauge flux by leveraging degenerate modes in planar subwavelength grating waveguides, enabling Aharonov–Bohm caging effect and the formation of a flat-band lattice. The resulting edge modes are ultracompact, which can be confined to the last two waveguides at the boundary. These robust modes remain highly localized against coupling coefficient and geometric variations. Our findings offer a route toward compact and robust light transport in integrated photonic circuits operating in the telecommunication band.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径向相位启用的 OAM 复用与光束发散无关</w:t>
      </w:r>
    </w:p>
    <w:p>
      <w:r>
        <w:rPr>
          <w:rFonts w:ascii="Times New Roman" w:hAnsi="Times New Roman" w:eastAsia="宋体"/>
          <w:b/>
          <w:color w:val="003264"/>
          <w:sz w:val="24"/>
        </w:rPr>
        <w:t>Radial-phase enabled OAM multiplexing independent of beam divergence</w:t>
      </w:r>
    </w:p>
    <w:p>
      <w:r>
        <w:rPr>
          <w:rFonts w:ascii="Times New Roman" w:hAnsi="Times New Roman" w:eastAsia="宋体"/>
          <w:sz w:val="21"/>
        </w:rPr>
        <w:t>作者: Yue Zhu, Yejun Liu, Weizhen Niu, Yuhao Zhou, Li Tang, Caiying Li, Haifeng Deng, Dan Yan, Lei Guo</w:t>
        <w:br/>
      </w:r>
      <w:r>
        <w:rPr>
          <w:rFonts w:ascii="Times New Roman" w:hAnsi="Times New Roman" w:eastAsia="宋体"/>
          <w:sz w:val="21"/>
        </w:rPr>
        <w:t xml:space="preserve">时间: 2026-01-27 | </w:t>
      </w:r>
      <w:r>
        <w:t xml:space="preserve">链接: </w:t>
      </w:r>
      <w:hyperlink r:id="rId38">
        <w:r>
          <w:rPr>
            <w:rFonts w:ascii="Times New Roman" w:hAnsi="Times New Roman" w:eastAsia="宋体"/>
            <w:color w:val="0000FF"/>
            <w:sz w:val="21"/>
            <w:u w:val="single"/>
          </w:rPr>
          <w:t>https://doi.org/10.1364/ol.586229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作为扩展自由空间光 (FSO) 通信容量的一种有前途的解决方案，轨道角动量 (OAM) 复用面临着固有的衍射问题。随着复用OAM模式数量的增加，不可避免地采用高阶模式，其更强的本征衍射导致更明显的光束发散，从而降低接收光功率。为了应对这些挑战，据我们所知，我们提出了一种新颖的用于复用 OAM 光束的发散抑制方法。通过控制复用 OAM 光束的径向相位分布，光束可以沿着预先设计的轨迹传播，并保持接收的光束尺寸与 OAM 模式无关。我们通过实验实现了径向相位控制复用（RPCM）OAM 波束，并证明了其实现更多复用 OAM 模式和更长传输距离的有效性。与传统的复用(CM)OAM波束相比，对于湍流强度D/r 0 =1和D/r 0 =4，RPCM OAM波束可以分别将平均接收功率增加大约25dB和30dB。</w:t>
      </w:r>
    </w:p>
    <w:p>
      <w:pPr>
        <w:spacing w:before="120"/>
      </w:pPr>
      <w:r>
        <w:rPr>
          <w:rFonts w:ascii="Times New Roman" w:hAnsi="Times New Roman" w:eastAsia="宋体"/>
          <w:b/>
          <w:sz w:val="21"/>
        </w:rPr>
        <w:t>English Abstract:</w:t>
      </w:r>
    </w:p>
    <w:p>
      <w:r>
        <w:rPr>
          <w:rFonts w:ascii="Times New Roman" w:hAnsi="Times New Roman" w:eastAsia="宋体"/>
          <w:sz w:val="21"/>
        </w:rPr>
        <w:t>As a promising solution to expanding the capacity of free-space optical (FSO) communications, orbital angular momentum (OAM) multiplexing faces the inherent diffraction issue. As the number of multiplexed OAM modes increases, higher-order modes are inevitably employed, whose stronger intrinsic diffraction leads to more pronounced beam divergence and thus reduced received optical power. To address the challenges, we propose a novel, to the best of our knowledge, divergence suppression approach for multiplexed OAM beams. By controlling the radial-phase distribution of multiplexed OAM beams, the beams can propagate along a pre-designed trajectory and maintain the received beam size independent of OAM modes. We experimentally implement the radial-phase controlled multiplexed (RPCM) OAM beams and demonstrate its effectiveness of enabling more multiplexed OAM modes and longer transmission distance. Compared to conventional multiplexed (CM) OAM beams, RPCM OAM beams can increase the average received power by approximately 25 dB and 30 dB for turbulence strengths D / r 0 =1 and D / r 0 =4, respectively.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双束光镊中悬浮粒子的多普勒测速</w:t>
      </w:r>
    </w:p>
    <w:p>
      <w:r>
        <w:rPr>
          <w:rFonts w:ascii="Times New Roman" w:hAnsi="Times New Roman" w:eastAsia="宋体"/>
          <w:b/>
          <w:color w:val="003264"/>
          <w:sz w:val="24"/>
        </w:rPr>
        <w:t>Doppler velocimetry of levitated particles in dual-beam optical tweezers</w:t>
      </w:r>
    </w:p>
    <w:p>
      <w:r>
        <w:rPr>
          <w:rFonts w:ascii="Times New Roman" w:hAnsi="Times New Roman" w:eastAsia="宋体"/>
          <w:sz w:val="21"/>
        </w:rPr>
        <w:t>作者: Haoyang Cheng, Yi Jiang, Shangran Xie</w:t>
        <w:br/>
      </w:r>
      <w:r>
        <w:rPr>
          <w:rFonts w:ascii="Times New Roman" w:hAnsi="Times New Roman" w:eastAsia="宋体"/>
          <w:sz w:val="21"/>
        </w:rPr>
        <w:t xml:space="preserve">时间: 2026-01-27 | </w:t>
      </w:r>
      <w:r>
        <w:t xml:space="preserve">链接: </w:t>
      </w:r>
      <w:hyperlink r:id="rId39">
        <w:r>
          <w:rPr>
            <w:rFonts w:ascii="Times New Roman" w:hAnsi="Times New Roman" w:eastAsia="宋体"/>
            <w:color w:val="0000FF"/>
            <w:sz w:val="21"/>
            <w:u w:val="single"/>
          </w:rPr>
          <w:t>https://doi.org/10.1364/ol.583602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光悬浮粒子的精确速度测量对于实现光镊的最佳控制和高精度计量至关重要。传统的粒子跟踪技术（例如利用象限光电探测器、D 形镜或直接成像的技术）主要测量粒子位置。为了推导瞬时粒子速度，这些方法需要精确的轨迹校准和时间导数的计算。然而，这些操作会给检索到的速度数据带来严重错误。在这里，我们介绍一种基于多普勒的技术，用于跟踪双束陷阱内悬浮微球和纳米球的绝对瞬时速度。该方法能够对调制运动中的悬浮粒子进行高精度测速，与传统方法相比，时空分辨率显着提高。其同时跟踪多个粒子的能力也得到了验证。基于多普勒的方法解决了位置导出速度测量的关键局限性，为光镊中粒子动力学的精确研究提供了坚实的基础。</w:t>
      </w:r>
    </w:p>
    <w:p>
      <w:pPr>
        <w:spacing w:before="120"/>
      </w:pPr>
      <w:r>
        <w:rPr>
          <w:rFonts w:ascii="Times New Roman" w:hAnsi="Times New Roman" w:eastAsia="宋体"/>
          <w:b/>
          <w:sz w:val="21"/>
        </w:rPr>
        <w:t>English Abstract:</w:t>
      </w:r>
    </w:p>
    <w:p>
      <w:r>
        <w:rPr>
          <w:rFonts w:ascii="Times New Roman" w:hAnsi="Times New Roman" w:eastAsia="宋体"/>
          <w:sz w:val="21"/>
        </w:rPr>
        <w:t>Accurate velocity measurement of optically levitated particles is critical to achieving optimal control and high-precision metrology in optical tweezers. Conventional particle tracking techniques—such as those utilizing quadrant photodetectors, D-shaped mirrors, or direct imaging—primarily measure particle position. To derive the instantaneous particle velocity, these methods require precise trajectory calibration and the calculation of time derivatives. However, these operations introduce significant errors into the retrieved velocity data. Here we introduce a Doppler-based technique for tracking the absolute instantaneous velocities of levitated micro- and nanospheres within a dual-beam trap. The method enables high-precision velocimetry of levitated particles in modulated motion, with substantially improved spatiotemporal resolution compared to conventional methods. Its capability for simultaneously tracking of multiple particles is also verified. The Doppler-based approach addresses key limitations of position-derived velocity measurements, providing a robust basis for precise studies of particle dynamics in optical tweezers.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矢量结构光的径向相似性测量</w:t>
      </w:r>
    </w:p>
    <w:p>
      <w:r>
        <w:rPr>
          <w:rFonts w:ascii="Times New Roman" w:hAnsi="Times New Roman" w:eastAsia="宋体"/>
          <w:b/>
          <w:color w:val="003264"/>
          <w:sz w:val="24"/>
        </w:rPr>
        <w:t>Radial similarity measures for vectorial structured light</w:t>
      </w:r>
    </w:p>
    <w:p>
      <w:r>
        <w:rPr>
          <w:rFonts w:ascii="Times New Roman" w:hAnsi="Times New Roman" w:eastAsia="宋体"/>
          <w:sz w:val="21"/>
        </w:rPr>
        <w:t>作者: Glenn Ochsner, Jyrki Laatikainen, Olga Korotkova</w:t>
        <w:br/>
      </w:r>
      <w:r>
        <w:rPr>
          <w:rFonts w:ascii="Times New Roman" w:hAnsi="Times New Roman" w:eastAsia="宋体"/>
          <w:sz w:val="21"/>
        </w:rPr>
        <w:t xml:space="preserve">时间: 2026-01-28 | </w:t>
      </w:r>
      <w:r>
        <w:t xml:space="preserve">链接: </w:t>
      </w:r>
      <w:hyperlink r:id="rId40">
        <w:r>
          <w:rPr>
            <w:rFonts w:ascii="Times New Roman" w:hAnsi="Times New Roman" w:eastAsia="宋体"/>
            <w:color w:val="0000FF"/>
            <w:sz w:val="21"/>
            <w:u w:val="single"/>
          </w:rPr>
          <w:t>https://doi.org/10.1364/ol.577164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讨论了由两个半径处的偏振轨道化张量（POT）揭示的谐波电磁束的特性。特别是，POT 的偏振和轨道化投影扩展到两个半径，并检查区分 POT 组件之间的径向相似性和混合的各种量。结果通过由拉盖尔-高斯模式组成的光束得到证明。</w:t>
      </w:r>
    </w:p>
    <w:p>
      <w:pPr>
        <w:spacing w:before="120"/>
      </w:pPr>
      <w:r>
        <w:rPr>
          <w:rFonts w:ascii="Times New Roman" w:hAnsi="Times New Roman" w:eastAsia="宋体"/>
          <w:b/>
          <w:sz w:val="21"/>
        </w:rPr>
        <w:t>English Abstract:</w:t>
      </w:r>
    </w:p>
    <w:p>
      <w:r>
        <w:rPr>
          <w:rFonts w:ascii="Times New Roman" w:hAnsi="Times New Roman" w:eastAsia="宋体"/>
          <w:sz w:val="21"/>
        </w:rPr>
        <w:t>Properties of a harmonic electromagnetic beam revealed by its polarization-orbitalization tensor (POT) at two radii are discussed. In particular, the polarization and orbitalization projections of the POT are extended to two radii, and various quantities distinguishing radial similarity and mixing among the components of the POT are examined. The results are demonstrated with a beam composed of Laguerre-Gaussian modes.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由各向异性损失实现的非衍射偏振纹理</w:t>
      </w:r>
    </w:p>
    <w:p>
      <w:r>
        <w:rPr>
          <w:rFonts w:ascii="Times New Roman" w:hAnsi="Times New Roman" w:eastAsia="宋体"/>
          <w:b/>
          <w:color w:val="003264"/>
          <w:sz w:val="24"/>
        </w:rPr>
        <w:t>Nondiffracting polarization textures enabled by anisotropic loss</w:t>
      </w:r>
    </w:p>
    <w:p>
      <w:r>
        <w:rPr>
          <w:rFonts w:ascii="Times New Roman" w:hAnsi="Times New Roman" w:eastAsia="宋体"/>
          <w:sz w:val="21"/>
        </w:rPr>
        <w:t>作者: Nilo Mata-Cervera, Xi Xie, Miguel A. Porras, Yijie Shen</w:t>
        <w:br/>
      </w:r>
      <w:r>
        <w:rPr>
          <w:rFonts w:ascii="Times New Roman" w:hAnsi="Times New Roman" w:eastAsia="宋体"/>
          <w:sz w:val="21"/>
        </w:rPr>
        <w:t xml:space="preserve">时间: 2026-01-29 | </w:t>
      </w:r>
      <w:r>
        <w:t xml:space="preserve">链接: </w:t>
      </w:r>
      <w:hyperlink r:id="rId41">
        <w:r>
          <w:rPr>
            <w:rFonts w:ascii="Times New Roman" w:hAnsi="Times New Roman" w:eastAsia="宋体"/>
            <w:color w:val="0000FF"/>
            <w:sz w:val="21"/>
            <w:u w:val="single"/>
          </w:rPr>
          <w:t>https://doi.org/10.1364/ol.587525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克服衍射扩散是波动物理学中的一个关键挑战。我们报告了一种通过利用非均匀介质中的各向异性吸收来抑制斯格明子偏振纹理衍射的机制。我们证明，具有纵向变化程度二向色性的二向色介质可以补偿斯格明子管的衍射扩展，从而能够形成非衍射斯托克斯斯格明子。与梯度折射率介质中的俘获波相比，我们在横向折射率均匀的介质中提出了一种非衍射机制，因此有限尺寸的涡旋光束本身会经历衍射，但它们的组合偏振纹理仍然被限制在非扩散管内。我们还展示了非衍射机制在输入光束尺寸变化以及光束沿纵向和横向方向移动的情况下的鲁棒性。</w:t>
      </w:r>
    </w:p>
    <w:p>
      <w:pPr>
        <w:spacing w:before="120"/>
      </w:pPr>
      <w:r>
        <w:rPr>
          <w:rFonts w:ascii="Times New Roman" w:hAnsi="Times New Roman" w:eastAsia="宋体"/>
          <w:b/>
          <w:sz w:val="21"/>
        </w:rPr>
        <w:t>English Abstract:</w:t>
      </w:r>
    </w:p>
    <w:p>
      <w:r>
        <w:rPr>
          <w:rFonts w:ascii="Times New Roman" w:hAnsi="Times New Roman" w:eastAsia="宋体"/>
          <w:sz w:val="21"/>
        </w:rPr>
        <w:t>Overcoming diffraction spreading is a crucial challenge in wave physics. We report a mechanism for suppressing diffraction of skyrmionic polarization textures by leveraging anisotropic absorption in inhomogeneous media. We show that dichroic media with a longitudinally varying degree of dichroism can compensate the diffraction spreading of the skyrmion tube, enabling the formation of non-diffracting Stokes skyrmions. In contrast to trapped waves in gradient-index media, we present a non-diffraction mechanism in media with uniform refractive index in the transversal direction, thus the finite-size vortex beams themselves experience diffraction, but their combined polarization texture remains confined within a non-spreading tube. We also show the robustness of the non-diffraction mechanism under changes in the input beam size and under beam shifts along longitudinal and transversal directions.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AR/VR 显示器的反向电压驱动亚毫秒响应 LCD</w:t>
      </w:r>
    </w:p>
    <w:p>
      <w:r>
        <w:rPr>
          <w:rFonts w:ascii="Times New Roman" w:hAnsi="Times New Roman" w:eastAsia="宋体"/>
          <w:b/>
          <w:color w:val="003264"/>
          <w:sz w:val="24"/>
        </w:rPr>
        <w:t>Reverse-voltage-driven sub-millisecond response LCDs for AR/VR displays</w:t>
      </w:r>
    </w:p>
    <w:p>
      <w:r>
        <w:rPr>
          <w:rFonts w:ascii="Times New Roman" w:hAnsi="Times New Roman" w:eastAsia="宋体"/>
          <w:sz w:val="21"/>
        </w:rPr>
        <w:t>作者: Fan Zou, Yue Niu, Rong-Fu Liu, Ze-Nian Wu, Yu-Meng Zeng, Li-Lan Tian</w:t>
        <w:br/>
      </w:r>
      <w:r>
        <w:rPr>
          <w:rFonts w:ascii="Times New Roman" w:hAnsi="Times New Roman" w:eastAsia="宋体"/>
          <w:sz w:val="21"/>
        </w:rPr>
        <w:t xml:space="preserve">时间: 2026-01-29 | </w:t>
      </w:r>
      <w:r>
        <w:t xml:space="preserve">链接: </w:t>
      </w:r>
      <w:hyperlink r:id="rId42">
        <w:r>
          <w:rPr>
            <w:rFonts w:ascii="Times New Roman" w:hAnsi="Times New Roman" w:eastAsia="宋体"/>
            <w:color w:val="0000FF"/>
            <w:sz w:val="21"/>
            <w:u w:val="single"/>
          </w:rPr>
          <w:t>https://doi.org/10.1364/ol.580013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我们展示了一种由反向电压方案驱动的图案化垂直排列 (PVA) 液晶显示器 (LCD)，可实现亚毫秒响应时间 (0.52 ms)。模拟和实验均证实该设备始终在亚毫秒范围内运行，从而验证了所提出方法的可行性。该方法优化了液晶分子变形动力学和反向偏压驱动策略，有效克服了传统面内开关（IPS）和边缘场开关（FFS）液晶显示器固有的响应时间限制，从而满足了下一代增强现实（AR）和虚拟现实（VR）显示技术提高动态显示性能的核心要求。</w:t>
      </w:r>
    </w:p>
    <w:p>
      <w:pPr>
        <w:spacing w:before="120"/>
      </w:pPr>
      <w:r>
        <w:rPr>
          <w:rFonts w:ascii="Times New Roman" w:hAnsi="Times New Roman" w:eastAsia="宋体"/>
          <w:b/>
          <w:sz w:val="21"/>
        </w:rPr>
        <w:t>English Abstract:</w:t>
      </w:r>
    </w:p>
    <w:p>
      <w:r>
        <w:rPr>
          <w:rFonts w:ascii="Times New Roman" w:hAnsi="Times New Roman" w:eastAsia="宋体"/>
          <w:sz w:val="21"/>
        </w:rPr>
        <w:t>We demonstrate a patterned vertically aligned (PVA) liquid crystal display (LCD) driven by a reverse-voltage scheme that achieves submillisecond response times (0.52 ms). Both simulations and experiments confirm that the device consistently operates within the submillisecond regime, thereby validating the feasibility of the proposed approach. This method optimizes the LC molecular deformation dynamics and reverse-bias driving strategy, effectively overcoming the intrinsic response-time limitations of conventional in-plane switching (IPS) and fringe-field switching (FFS) LCDs, consequently meeting the core requirements of next-generation augmented reality (AR) and virtual reality (VR) display technologies for improved dynamic display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光纤激光器中类噪声脉冲的间歇相干恢复</w:t>
      </w:r>
    </w:p>
    <w:p>
      <w:r>
        <w:rPr>
          <w:rFonts w:ascii="Times New Roman" w:hAnsi="Times New Roman" w:eastAsia="宋体"/>
          <w:b/>
          <w:color w:val="003264"/>
          <w:sz w:val="24"/>
        </w:rPr>
        <w:t>Intermittent coherence recovery of noise-like pulses in fiber lasers</w:t>
      </w:r>
    </w:p>
    <w:p>
      <w:r>
        <w:rPr>
          <w:rFonts w:ascii="Times New Roman" w:hAnsi="Times New Roman" w:eastAsia="宋体"/>
          <w:sz w:val="21"/>
        </w:rPr>
        <w:t>作者: Jiajun Wei, Yanxiao Sun, Jialong Feng, Yiheng Wu, Yueqing Du, Chao Zeng, Dong Mao, Jianlin Zhao</w:t>
        <w:br/>
      </w:r>
      <w:r>
        <w:rPr>
          <w:rFonts w:ascii="Times New Roman" w:hAnsi="Times New Roman" w:eastAsia="宋体"/>
          <w:sz w:val="21"/>
        </w:rPr>
        <w:t xml:space="preserve">时间: 2026-01-28 | </w:t>
      </w:r>
      <w:r>
        <w:t xml:space="preserve">链接: </w:t>
      </w:r>
      <w:hyperlink r:id="rId43">
        <w:r>
          <w:rPr>
            <w:rFonts w:ascii="Times New Roman" w:hAnsi="Times New Roman" w:eastAsia="宋体"/>
            <w:color w:val="0000FF"/>
            <w:sz w:val="21"/>
            <w:u w:val="single"/>
          </w:rPr>
          <w:t>https://doi.org/10.1364/ol.584468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纤激光器中的类噪声脉冲是无序飞秒子脉冲的不相干簇，人们对低相干光源及其相关应用感兴趣。然而，类噪声脉冲是否能够维持其低相干性特征仍然是一个基本问题，这对于理解非线性动力学和控制类噪声脉冲的相干性具有重要意义。在这里，我们报告了揭示的动力学，其中类噪声脉冲间歇性地演变成相干耗散孤子，并随后恢复到原始的类噪声脉冲——这一过程与孤子爆炸相反。我们的结果可以指导超快激光器的优化设计，并有助于更好地理解非线性波的复杂动力学。</w:t>
      </w:r>
    </w:p>
    <w:p>
      <w:pPr>
        <w:spacing w:before="120"/>
      </w:pPr>
      <w:r>
        <w:rPr>
          <w:rFonts w:ascii="Times New Roman" w:hAnsi="Times New Roman" w:eastAsia="宋体"/>
          <w:b/>
          <w:sz w:val="21"/>
        </w:rPr>
        <w:t>English Abstract:</w:t>
      </w:r>
    </w:p>
    <w:p>
      <w:r>
        <w:rPr>
          <w:rFonts w:ascii="Times New Roman" w:hAnsi="Times New Roman" w:eastAsia="宋体"/>
          <w:sz w:val="21"/>
        </w:rPr>
        <w:t>The noise-like pulses in fiber lasers are incoherent clusters of disordered femtosecond subpulses, with a focused interest in the low-coherence light source and its related applications. However, whether the noise-like pulse can sustain its low-coherence feature still remains a fundamental question that is significant to understanding the nonlinear dynamics and to controlling the coherence of the noise-like pulse. Here, we report unveiled dynamics where the noise-like pulse intermittently evolves into the coherent dissipative soliton and subsequently recovers to the original noise-like pulse—a process opposed to the soliton explosion. Our results may guide the optimal design of ultrafast lasers and contribute to a better understanding of the complex dynamics of nonlinear waves.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J. Opt. Soc. Am. A</w:t>
      </w:r>
    </w:p>
    <w:p>
      <w:pPr>
        <w:jc w:val="center"/>
      </w:pPr>
      <w:r>
        <w:t>--- 更新: 00:29 ---</w:t>
      </w:r>
    </w:p>
    <w:p>
      <w:pPr>
        <w:pStyle w:val="Heading1"/>
      </w:pPr>
      <w:r>
        <w:rPr>
          <w:rFonts w:ascii="Times New Roman" w:hAnsi="Times New Roman" w:eastAsia="宋体"/>
          <w:b/>
          <w:color w:val="000000"/>
          <w:sz w:val="32"/>
        </w:rPr>
        <w:t>ACS Photonics</w:t>
      </w:r>
    </w:p>
    <w:p>
      <w:pPr>
        <w:jc w:val="center"/>
      </w:pPr>
      <w:r>
        <w:t>--- 更新: 00:29 ---</w:t>
      </w:r>
    </w:p>
    <w:p>
      <w:pPr>
        <w:pStyle w:val="Heading2"/>
      </w:pPr>
      <w:r/>
      <w:r>
        <w:rPr>
          <w:rFonts w:ascii="Times New Roman" w:hAnsi="Times New Roman" w:eastAsia="宋体"/>
          <w:b/>
          <w:color w:val="000000"/>
          <w:sz w:val="24"/>
        </w:rPr>
        <w:t>适用于短波红外应用的高功率、高效且稳定的基于量子点的下变频器</w:t>
      </w:r>
    </w:p>
    <w:p>
      <w:r>
        <w:rPr>
          <w:rFonts w:ascii="Times New Roman" w:hAnsi="Times New Roman" w:eastAsia="宋体"/>
          <w:b/>
          <w:color w:val="003264"/>
          <w:sz w:val="24"/>
        </w:rPr>
        <w:t>High Power, Efficient, and Stable Quantum Dot-Based Downconverters for SWIR Applications</w:t>
      </w:r>
    </w:p>
    <w:p>
      <w:r>
        <w:rPr>
          <w:rFonts w:ascii="Times New Roman" w:hAnsi="Times New Roman" w:eastAsia="宋体"/>
          <w:sz w:val="21"/>
        </w:rPr>
        <w:t>作者: Aditya Jagadeesh Malla, Katerina Nikolaidou, Miguel Dosil, Mariona Dalmases, Stephy Vincent, Marta Martos Valverde, Gerasimos Konstantatos</w:t>
        <w:br/>
      </w:r>
      <w:r>
        <w:rPr>
          <w:rFonts w:ascii="Times New Roman" w:hAnsi="Times New Roman" w:eastAsia="宋体"/>
          <w:sz w:val="21"/>
        </w:rPr>
        <w:t xml:space="preserve">时间: 2026-02-06 | </w:t>
      </w:r>
      <w:r>
        <w:t xml:space="preserve">链接: </w:t>
      </w:r>
      <w:hyperlink r:id="rId44">
        <w:r>
          <w:rPr>
            <w:rFonts w:ascii="Times New Roman" w:hAnsi="Times New Roman" w:eastAsia="宋体"/>
            <w:color w:val="0000FF"/>
            <w:sz w:val="21"/>
            <w:u w:val="single"/>
          </w:rPr>
          <w:t>https://doi.org/10.1021/acsphotonics.5c02826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Image Processing</w:t>
      </w:r>
    </w:p>
    <w:p>
      <w:pPr>
        <w:jc w:val="center"/>
      </w:pPr>
      <w:r>
        <w:t>--- 更新: 00:29 ---</w:t>
      </w:r>
    </w:p>
    <w:p>
      <w:pPr>
        <w:pStyle w:val="Heading2"/>
      </w:pPr>
      <w:r/>
      <w:r>
        <w:rPr>
          <w:rFonts w:ascii="Times New Roman" w:hAnsi="Times New Roman" w:eastAsia="宋体"/>
          <w:b/>
          <w:color w:val="000000"/>
          <w:sz w:val="24"/>
        </w:rPr>
        <w:t>双非凸张量鲁棒核主成分分析及其可视化应用</w:t>
      </w:r>
    </w:p>
    <w:p>
      <w:r>
        <w:rPr>
          <w:rFonts w:ascii="Times New Roman" w:hAnsi="Times New Roman" w:eastAsia="宋体"/>
          <w:b/>
          <w:color w:val="003264"/>
          <w:sz w:val="24"/>
        </w:rPr>
        <w:t>Double Nonconvex Tensor Robust Kernel Principal Component Analysis and Its Visual Applications</w:t>
      </w:r>
    </w:p>
    <w:p>
      <w:r>
        <w:rPr>
          <w:rFonts w:ascii="Times New Roman" w:hAnsi="Times New Roman" w:eastAsia="宋体"/>
          <w:sz w:val="21"/>
        </w:rPr>
        <w:t>作者: Liang Wu, Jianjun Wang, Wei-Shi Zheng, Guangming Shi</w:t>
        <w:br/>
      </w:r>
      <w:r>
        <w:rPr>
          <w:rFonts w:ascii="Times New Roman" w:hAnsi="Times New Roman" w:eastAsia="宋体"/>
          <w:sz w:val="21"/>
        </w:rPr>
        <w:t xml:space="preserve">时间: 2026 | </w:t>
      </w:r>
      <w:r>
        <w:t xml:space="preserve">链接: </w:t>
      </w:r>
      <w:hyperlink r:id="rId45">
        <w:r>
          <w:rPr>
            <w:rFonts w:ascii="Times New Roman" w:hAnsi="Times New Roman" w:eastAsia="宋体"/>
            <w:color w:val="0000FF"/>
            <w:sz w:val="21"/>
            <w:u w:val="single"/>
          </w:rPr>
          <w:t>https://doi.org/10.1109/tip.2026.3659302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张量鲁棒主成分分析（TRPCA）作为一种流行的线性低秩方法，已广泛应用于各种视觉任务。低秩先验的数学过程是从线性潜变量模型推导出来的。然而，对于信息丰富的非线性张量数据，其非线性结构可能会突破低秩的假设，导致TRPCA的近似误差较大。受非线性张量潜在低维性的启发，本文首次建立了非线性张量加稀疏张量分解问题的一般范式，称为张量鲁棒核主成分分析（TRKPCA）。为了有效地解决 TRKPCA 问题，设计了两种新颖的非凸正则化：核化张量 Schattenp 范数（KTSPN）和广义非凸正则化，其中前者具有更严格的理论支持的 KTSPN 充分捕获非线性特征（即隐式低秩），后者确保更稀疏的结构编码，保证更鲁棒的分离结果。然后，通过整合他们的优势，我们提出了双非凸TRKPCA（DNTRKPCA）方法来实现我们的期望。最后，我们通过交替方向乘子法（ADMM）开发了一个有效的优化框架来实现所提出的非凸核方法。合成数据和几个真实数据库的实验结果表明，与其他最先进的正则化方法相比，我们的方法具有更高的竞争力。该代码已在我们的 ResearchGate 主页中发布：https://www.researchgate.net/publication/397181729 DNTRKPCA 代码。</w:t>
      </w:r>
    </w:p>
    <w:p>
      <w:pPr>
        <w:spacing w:before="120"/>
      </w:pPr>
      <w:r>
        <w:rPr>
          <w:rFonts w:ascii="Times New Roman" w:hAnsi="Times New Roman" w:eastAsia="宋体"/>
          <w:b/>
          <w:sz w:val="21"/>
        </w:rPr>
        <w:t>English Abstract:</w:t>
      </w:r>
    </w:p>
    <w:p>
      <w:r>
        <w:rPr>
          <w:rFonts w:ascii="Times New Roman" w:hAnsi="Times New Roman" w:eastAsia="宋体"/>
          <w:sz w:val="21"/>
        </w:rPr>
        <w:t>Tensor robust principal component analysis (TRPCA), as a popular linear low-rank method, has been widely applied to various visual tasks. The mathematical process of the low-rank prior is derived from the linear latent variable model. However, for nonlinear tensor data with rich information, their nonlinear structures may break through the assumption of low-rankness and lead to the large approximation error for TRPCA. Motivated by the latent low-dimensionality of nonlinear tensors, the general paradigm of the nonlinear tensor plus sparse tensor decomposition problem, called tensor robust kernel principal component analysis (TRKPCA), is first established in this paper. To efficiently tackle TRKPCA problem, two novel nonconvex regularizers the kernelized tensor Schatten- p norm (KTSPN) and generalized nonconvex regularization are designed, where the former KTSPN with tighter theoretical support adequately captures nonlinear features (i.e., implicit low-rankness) and the latter ensures the sparser structural coding, guaranteeing more robust separation results. Then by integrating their strengths, we propose a double nonconvex TRKPCA (DNTRKPCA) method to achieve our expectation. Finally, we develop an efficient optimization framework via the alternating direction multiplier method (ADMM) to implement the proposed nonconvex kernel method. Experimental results on synthetic data and several real databases show the higher competitiveness of our method compared with other state-of-the-art regularization methods. The code has been released in our ResearchGate homepage: https://www.researchgate.net/publication/397181729 DNTRKPCA code.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DrivingEditor：用于动态自动驾驶场景重建和编辑的 4D 复合高斯泼溅</w:t>
      </w:r>
    </w:p>
    <w:p>
      <w:r>
        <w:rPr>
          <w:rFonts w:ascii="Times New Roman" w:hAnsi="Times New Roman" w:eastAsia="宋体"/>
          <w:b/>
          <w:color w:val="003264"/>
          <w:sz w:val="24"/>
        </w:rPr>
        <w:t>DrivingEditor: 4D Composite Gaussian Splatting for Reconstruction and Edition of Dynamic Autonomous Driving Scenes</w:t>
      </w:r>
    </w:p>
    <w:p>
      <w:r>
        <w:rPr>
          <w:rFonts w:ascii="Times New Roman" w:hAnsi="Times New Roman" w:eastAsia="宋体"/>
          <w:sz w:val="21"/>
        </w:rPr>
        <w:t>作者: Wang Xu, Yeqiang Qian, Yun-Fu Liu, Lei Tuo, Huiyong Chen, Ming Yang</w:t>
        <w:br/>
      </w:r>
      <w:r>
        <w:rPr>
          <w:rFonts w:ascii="Times New Roman" w:hAnsi="Times New Roman" w:eastAsia="宋体"/>
          <w:sz w:val="21"/>
        </w:rPr>
        <w:t xml:space="preserve">时间: 2026 | </w:t>
      </w:r>
      <w:r>
        <w:t xml:space="preserve">链接: </w:t>
      </w:r>
      <w:hyperlink r:id="rId46">
        <w:r>
          <w:rPr>
            <w:rFonts w:ascii="Times New Roman" w:hAnsi="Times New Roman" w:eastAsia="宋体"/>
            <w:color w:val="0000FF"/>
            <w:sz w:val="21"/>
            <w:u w:val="single"/>
          </w:rPr>
          <w:t>https://doi.org/10.1109/tip.2026.3659733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年来，随着自动驾驶的发展，无界大场景的3D重建引起了研究人员的关注。现有方法在自动驾驶场景中取得了出色的重建精度，但大多缺乏场景编辑能力。尽管某些方法具有编辑场景的能力，但它们高度依赖于手动注释的 3D 边界框，导致可扩展性较差。为了解决这些问题，我们引入了一种新的高斯表示，称为 DrivingEditor，它将场景解耦为两部分，并通过单独的分支处理它们，以在训练过程中单独建模动态前景对象和静态背景。通过提出场景解耦建模框架，我们可以实现对任何动态目标的精确编辑，例如动态对象移除、添加等，同时提高自动驾驶场景尤其是动态前景对象的重建质量，而无需借助3D边界框。 Waymo 开放数据集和 KITTI 基准测试的大量实验证明了动态和静态场景的 3D 重建性能。此外，我们对非结构化大规模场景进行了额外的实验，这可以更有说服力地证明我们提出的模型在渲染非结构化场景时的性能和鲁棒性。我们的代码可在 https://github.com/WangXu-xxx/DrivingEditor 获取。</w:t>
      </w:r>
    </w:p>
    <w:p>
      <w:pPr>
        <w:spacing w:before="120"/>
      </w:pPr>
      <w:r>
        <w:rPr>
          <w:rFonts w:ascii="Times New Roman" w:hAnsi="Times New Roman" w:eastAsia="宋体"/>
          <w:b/>
          <w:sz w:val="21"/>
        </w:rPr>
        <w:t>English Abstract:</w:t>
      </w:r>
    </w:p>
    <w:p>
      <w:r>
        <w:rPr>
          <w:rFonts w:ascii="Times New Roman" w:hAnsi="Times New Roman" w:eastAsia="宋体"/>
          <w:sz w:val="21"/>
        </w:rPr>
        <w:t>In recent years, with the development of autonomous driving, 3D reconstruction for unbounded large-scale scenes has attracted researchers’ attention. Existing methods have achieved outstanding reconstruction accuracy in autonomous driving scenes, but most of them lack the ability to edit scenes. Although some methods have the capability to edit scenarios, they are highly dependent on manually annotated 3D bounding boxes, leading to their poor scalability. To address the issues, we introduce a new Gaussian representation, called DrivingEditor, which decouples the scene into two parts and handles them by separate branches to individually model the dynamic foreground objects and the static background during the training process. By proposing a framework for decoupled modeling of scenarios, we can achieve accurate editing of any dynamic target, such as dynamic objects removal, adding and etc, meanwhile improving the reconstruction quality of autonomous driving scenes especially the dynamic foreground objects, without resorting to 3D bounding boxes. Extensive experiments on Waymo Open Dataset and KITTI benchmarks demonstrate the performance in 3D reconstruction for both dynamic and static scenes. Besides, we conduct extra experiments on unstructured large-scale scenarios, which can more convincingly demonstrate the performance and robustness of our proposed model when rendering the unstructured scenes. Our code is available at https://github.com/WangXu-xxx/DrivingEditor.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位置编码图像先验</w:t>
      </w:r>
    </w:p>
    <w:p>
      <w:r>
        <w:rPr>
          <w:rFonts w:ascii="Times New Roman" w:hAnsi="Times New Roman" w:eastAsia="宋体"/>
          <w:b/>
          <w:color w:val="003264"/>
          <w:sz w:val="24"/>
        </w:rPr>
        <w:t>Positional Encoding Image Prior</w:t>
      </w:r>
    </w:p>
    <w:p>
      <w:r>
        <w:rPr>
          <w:rFonts w:ascii="Times New Roman" w:hAnsi="Times New Roman" w:eastAsia="宋体"/>
          <w:sz w:val="21"/>
        </w:rPr>
        <w:t>作者: Nimrod Shabtay, Eli Schwartz, Raja Giryes</w:t>
        <w:br/>
      </w:r>
      <w:r>
        <w:rPr>
          <w:rFonts w:ascii="Times New Roman" w:hAnsi="Times New Roman" w:eastAsia="宋体"/>
          <w:sz w:val="21"/>
        </w:rPr>
        <w:t xml:space="preserve">时间: 2026 | </w:t>
      </w:r>
      <w:r>
        <w:t xml:space="preserve">链接: </w:t>
      </w:r>
      <w:hyperlink r:id="rId47">
        <w:r>
          <w:rPr>
            <w:rFonts w:ascii="Times New Roman" w:hAnsi="Times New Roman" w:eastAsia="宋体"/>
            <w:color w:val="0000FF"/>
            <w:sz w:val="21"/>
            <w:u w:val="single"/>
          </w:rPr>
          <w:t>https://doi.org/10.1109/tip.2026.3653206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在深度图像先验（DIP）中，卷积神经网络（CNN）被安装来将潜在空间映射到退化（例如噪声）图像，但在此过程中学习重建干净的图像。这种现象归因于CNN的内部图像先验。我们重新审视 DIP 框架，从神经隐式表示的角度对其进行检查。受这个观点的启发，我们用傅里叶特征（位置编码）代替随机潜在特征。我们凭经验证明，由于傅里叶特征特性，DIP 中的卷积层可以用简单的像素级 MLP 代替。我们还证明它们在线性网络的情况下是等效的。我们将我们的方案命名为“位置编码图像先验”(PIP)，并表明它在各种图像重建任务上的表现与 DIP 非常相似，且参数少得多。此外，我们证明 PIP 可以轻松扩展到视频，在该领域，基于图像先验和某些 INR 方法的方法面临稳定性挑战。所有任务的代码和其他示例（包括视频）可在项目页面 nimrodshabtay.github.io/PIP 上找到。</w:t>
      </w:r>
    </w:p>
    <w:p>
      <w:pPr>
        <w:spacing w:before="120"/>
      </w:pPr>
      <w:r>
        <w:rPr>
          <w:rFonts w:ascii="Times New Roman" w:hAnsi="Times New Roman" w:eastAsia="宋体"/>
          <w:b/>
          <w:sz w:val="21"/>
        </w:rPr>
        <w:t>English Abstract:</w:t>
      </w:r>
    </w:p>
    <w:p>
      <w:r>
        <w:rPr>
          <w:rFonts w:ascii="Times New Roman" w:hAnsi="Times New Roman" w:eastAsia="宋体"/>
          <w:sz w:val="21"/>
        </w:rPr>
        <w:t>In Deep Image Prior (DIP), a Convolutional Neural Network (CNN) is fitted to map a latent space to a degraded (e.g. noisy) image but in the process learns to reconstruct the clean image. This phenomenon is attributed to CNN’s internal image prior. We revisit the DIP framework, examining it from the perspective of a neural implicit representation. Motivated by this perspective, we replace the random latent with Fourier-Features (Positional Encoding). We empirically demonstrate that the convolution layers in DIP can be replaced with simple pixel-level MLPs thanks to the Fourier features properties. We also prove that they are equivalent in the case of linear networks. We name our scheme “Positional Encoding Image Prior" (PIP) and exhibit that it performs very similar to DIP on various image-reconstruction tasks with much fewer parameters. Furthermore, we demonstrate that PIP can be easily extended to videos, an area where methods based on image-priors and certain INR approaches face challenges with stability. Code and additional examples for all tasks, including videos, are available on the project page nimrodshabtay.github.io/PIP.</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00:29 ---</w:t>
      </w:r>
    </w:p>
    <w:p>
      <w:pPr>
        <w:pStyle w:val="Heading2"/>
      </w:pPr>
      <w:r/>
      <w:r>
        <w:rPr>
          <w:rFonts w:ascii="Times New Roman" w:hAnsi="Times New Roman" w:eastAsia="宋体"/>
          <w:b/>
          <w:color w:val="000000"/>
          <w:sz w:val="24"/>
        </w:rPr>
        <w:t>ASIL：双曲空间中深度图聚类的增强结构信息学习</w:t>
      </w:r>
    </w:p>
    <w:p>
      <w:r>
        <w:rPr>
          <w:rFonts w:ascii="Times New Roman" w:hAnsi="Times New Roman" w:eastAsia="宋体"/>
          <w:b/>
          <w:color w:val="003264"/>
          <w:sz w:val="24"/>
        </w:rPr>
        <w:t>ASIL : Augmented Structural Information Learning for Deep Graph Clustering in Hyperbolic Space</w:t>
      </w:r>
    </w:p>
    <w:p>
      <w:r>
        <w:rPr>
          <w:rFonts w:ascii="Times New Roman" w:hAnsi="Times New Roman" w:eastAsia="宋体"/>
          <w:sz w:val="21"/>
        </w:rPr>
        <w:t>作者: Li Sun, Zhenhao Huang, Yujie Wang, Hongbo Lv, Chunyang Liu, Hao Peng, Philip S. Yu</w:t>
        <w:br/>
      </w:r>
      <w:r>
        <w:rPr>
          <w:rFonts w:ascii="Times New Roman" w:hAnsi="Times New Roman" w:eastAsia="宋体"/>
          <w:sz w:val="21"/>
        </w:rPr>
        <w:t xml:space="preserve">时间: 2026 | </w:t>
      </w:r>
      <w:r>
        <w:t xml:space="preserve">链接: </w:t>
      </w:r>
      <w:hyperlink r:id="rId48">
        <w:r>
          <w:rPr>
            <w:rFonts w:ascii="Times New Roman" w:hAnsi="Times New Roman" w:eastAsia="宋体"/>
            <w:color w:val="0000FF"/>
            <w:sz w:val="21"/>
            <w:u w:val="single"/>
          </w:rPr>
          <w:t>https://doi.org/10.1109/tpami.2026.3661424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图聚类是机器学习中一个长期存在的话题。近年来，深度学习方法取得了令人鼓舞的成果，但它们仍然需要预定义的簇编号 $K$ ，并且通常会遇到不平衡的图，特别是在识别少数簇时。这些限制促使我们研究一个具有挑战性但又实际的问题：考虑到现实中的不平衡，在没有 $K$ 的情况下进行深度图聚类。我们从信息论（即结构信息）的全新角度来解决这个问题。在文献中，深度聚类中很少涉及结构信息，并且经典定义在离散表述方面存在缺陷，忽略了节点属性并表现出令人望而却步的复杂性。在本文中，我们首先建立可微的结构信息，将离散形式推广到连续领域，从而设计双曲深度模型（LSEnet）来学习双曲空间洛伦兹模型中的神经划分树。理论上，我们展示了它的聚类能力，无需 $K$ 并识别不平衡图中的少数聚类。其次，我们细化分区树的双曲表示，增强图语义，以实现更好的聚类。树结构的对比学习并不简单，其复杂度是二次方的。相反，我们通过发现一个有趣的事实来进一步推进我们的理论，即结构熵确实限制了树对比损失。最后，通过有效的重新表述，我们通过一种新颖的增强结构信息学习（ASIL）来实现图聚类，它提供了一个简单而有效的增强结构熵目标，以无缝集成双曲分区树构建和对比学习。通过图电导的可证明改进，ASIL 在相对于图大小的线性复杂度上实现了有效的去偏图聚类。大量实验表明，在 Citeseer 数据集的 NMI 中，ASIL 平均优于 20 个强基线 $+12.42\%$。</w:t>
      </w:r>
    </w:p>
    <w:p>
      <w:pPr>
        <w:spacing w:before="120"/>
      </w:pPr>
      <w:r>
        <w:rPr>
          <w:rFonts w:ascii="Times New Roman" w:hAnsi="Times New Roman" w:eastAsia="宋体"/>
          <w:b/>
          <w:sz w:val="21"/>
        </w:rPr>
        <w:t>English Abstract:</w:t>
      </w:r>
    </w:p>
    <w:p>
      <w:r>
        <w:rPr>
          <w:rFonts w:ascii="Times New Roman" w:hAnsi="Times New Roman" w:eastAsia="宋体"/>
          <w:sz w:val="21"/>
        </w:rPr>
        <w:t>Graph clustering is a longstanding topic in machine learning. In recent years, deep learning methods have achieved encouraging results, but they still require predefined cluster numbers $K$ , and typically struggle with imbalanced graphs, especially in identifying minority clusters. The limitations motivate us to study a challenging yet practical problem: deep graph clustering without $K$ considering the imbalance in reality. We approach this problem from a fresh perspective of information theory (i.e., structural information). In the literature, structural information has rarely been touched in deep clustering, and the classic definition falls short in its discrete formulation, neglecting node attributes and exhibiting prohibitive complexity. In this paper, we first establish a differentiable structural information , generalizing the discrete formalism to continuous realm, so that we design a hyperbolic deep model ( LSEnet ) to learn the neural partitioning tree in the Lorentz model of hyperbolic space. Theoretically, we demonstrate its capability in clustering without requiring $K$ and identifying minority clusters in imbalanced graphs. Second, we refine hyperbolic representations of the partitioning tree, enhancing graph semantics, for better clustering. Contrastive learning for tree structures is non-trivial and costs quadratic complexity. Instead, we further advance our theory by discovering an interesting fact that structural entropy indeed bounds the tree contrastive loss. Finally, with an efficient reformulation, we approach graph clustering through a novel augmented structural information learning ( ASIL ), which offers a simple yet effective objective of augmented structural entropy to seamlessly integrates hyperbolic partitioning tree construction and contrastive learning. With a provable improvement in graph conductance, ASIL achieves effective debiased graph clustering in linear complexity with respect to the graph size. Extensive experiments show the ASIL outperforms 20 strong baselines by an average of $+12.42\%$ in NMI on Citeseer dataset.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06:27 ---</w:t>
      </w:r>
    </w:p>
    <w:p>
      <w:pPr>
        <w:pStyle w:val="Heading2"/>
      </w:pPr>
      <w:r/>
      <w:r>
        <w:rPr>
          <w:rFonts w:ascii="Times New Roman" w:hAnsi="Times New Roman" w:eastAsia="宋体"/>
          <w:b/>
          <w:color w:val="000000"/>
          <w:sz w:val="24"/>
        </w:rPr>
        <w:t>二维光弹盘系综中动态力网络的探索性分析</w:t>
      </w:r>
    </w:p>
    <w:p>
      <w:r>
        <w:rPr>
          <w:rFonts w:ascii="Times New Roman" w:hAnsi="Times New Roman" w:eastAsia="宋体"/>
          <w:b/>
          <w:color w:val="003264"/>
          <w:sz w:val="24"/>
        </w:rPr>
        <w:t>Explorative Analysis of Dynamic Force Networks in 2D Photoelastic Disks Ensembles</w:t>
      </w:r>
    </w:p>
    <w:p>
      <w:r>
        <w:rPr>
          <w:rFonts w:ascii="Times New Roman" w:hAnsi="Times New Roman" w:eastAsia="宋体"/>
          <w:sz w:val="21"/>
        </w:rPr>
        <w:t>作者: Farhan Rasheed, Abrar Naseer, Talha Bin Masood, Tejas G. Murthy, Vijay Natarajan, Ingrid Hotz</w:t>
        <w:br/>
      </w:r>
      <w:r>
        <w:rPr>
          <w:rFonts w:ascii="Times New Roman" w:hAnsi="Times New Roman" w:eastAsia="宋体"/>
          <w:sz w:val="21"/>
        </w:rPr>
        <w:t xml:space="preserve">时间: 2026 | </w:t>
      </w:r>
      <w:r>
        <w:t xml:space="preserve">链接: </w:t>
      </w:r>
      <w:hyperlink r:id="rId49">
        <w:r>
          <w:rPr>
            <w:rFonts w:ascii="Times New Roman" w:hAnsi="Times New Roman" w:eastAsia="宋体"/>
            <w:color w:val="0000FF"/>
            <w:sz w:val="21"/>
            <w:u w:val="single"/>
          </w:rPr>
          <w:t>https://doi.org/10.1109/tvcg.2026.3660683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个交互式分析框架，用于探索光弹性圆盘实验的数据，该实验可作为二维颗粒材料的模型。粒状材料由沙子或砾石等离散颗粒组成，根据系统配置表现出类似于流体或固态的行为。这些行为源于颗粒间接触力，颗粒间接触力形成控制材料宏观行为的复杂力网络。我们的框架专门设计用于分析此类动态力网络的二维集合，从而能够识别和表征其底层结构。该框架是围绕力链和循环方面基于拓扑的多尺度数据分段构建的。分析方法分为三个层次：（1）特定加载条件下单个实例的多尺度分析，（2）包含一系列加载和卸载循环的单个实验的详细探索，以及（3）在相似和不同设置下进行的实验的比较分析。我们通过每个级别的案例研究来展示我们框架的功能。</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an interactive analysis framework for exploring data from photoelastic disk experiments, which serve as a model for two-dimensional granular materials. Granular materials, composed of discrete particles such as sand or gravel, exhibit behaviors resembling fluid or solid states depending on the system configuration. These behaviors arise from interparticle contact forces, which form complex force networks that govern the material's macroscopic behavior. Our framework is specifically designed to analyze such 2D ensembles of dynamic force networks, enabling the identification and characterization of their underlying structures. The framework is built around a topology-based, multiscale data segmentation in terms of force chains and cycles. The analysis methods are structured across three levels: (1) multiscale analysis of individual instances under specific loading conditions, (2) detailed exploration of single experiments encompassing a series of loading and unloading cycles, and (3) comparative analysis across experiments conducted under similar and differing setups. We demonstrate the capabilities of our framework with a case study for each of these levels.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从草图到现实：使用最少的数据从手绘草图生成高质量、跨类别的 3D 模型</w:t>
      </w:r>
    </w:p>
    <w:p>
      <w:r>
        <w:rPr>
          <w:rFonts w:ascii="Times New Roman" w:hAnsi="Times New Roman" w:eastAsia="宋体"/>
          <w:b/>
          <w:color w:val="003264"/>
          <w:sz w:val="24"/>
        </w:rPr>
        <w:t>From Sketch to Reality: Enabling High-Quality, Cross-Category 3D Model Generation from Free-Hand Sketches with Minimal Data</w:t>
      </w:r>
    </w:p>
    <w:p>
      <w:r>
        <w:rPr>
          <w:rFonts w:ascii="Times New Roman" w:hAnsi="Times New Roman" w:eastAsia="宋体"/>
          <w:sz w:val="21"/>
        </w:rPr>
        <w:t>作者: Ying Zang, Chunan Yu, Jiahao Zhang, Jing Li, Shengyuan Zhang, Lanyun Zhu, Chaotao Ding, Renjun Xu, Tianrun Chen</w:t>
        <w:br/>
      </w:r>
      <w:r>
        <w:rPr>
          <w:rFonts w:ascii="Times New Roman" w:hAnsi="Times New Roman" w:eastAsia="宋体"/>
          <w:sz w:val="21"/>
        </w:rPr>
        <w:t xml:space="preserve">时间: 2026 | </w:t>
      </w:r>
      <w:r>
        <w:t xml:space="preserve">链接: </w:t>
      </w:r>
      <w:hyperlink r:id="rId50">
        <w:r>
          <w:rPr>
            <w:rFonts w:ascii="Times New Roman" w:hAnsi="Times New Roman" w:eastAsia="宋体"/>
            <w:color w:val="0000FF"/>
            <w:sz w:val="21"/>
            <w:u w:val="single"/>
          </w:rPr>
          <w:t>https://doi.org/10.1109/tvcg.2026.3661544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本文提出了一种利用有限训练数据从手绘草图生成高质量、跨类别 3D 模型的新颖方法。据我们所知，我们提出了第一个用于草图到 3D 模型转换的半监督学习方法。创新地，我们设计了一个从粗到细的流程，在粗略阶段执行半监督学习，并训练基于扩散的细化器以获得高分辨率的 3D 模型。我们设计了一种用于半监督学习的草图增强方法和集成先验（例如 CLIP 损失、形状原型和对抗性损失），以帮助生成高质量的结果，即使是抽象和不精确的草图。我们还引入了一种基于 CAD 代码的创新程序 3D 生成方法，该方法有助于在使用有限的真实数据进行微调之前预训练部分网络。我们的方法加上专门设计的课程学习，使我们能够使用少至 300 个草图-3D 模型对生成跨多个类别的高质量 3D 模型，这标志着比以前的单类别方法的显着进步。此外，我们还引入了 KO2D 数据集，这是最大的手绘草图 3D 对集合，以支持该领域的进一步研究。由于草图是用户表达其独特想法的一种更加直观和详细的方式，我们相信本文可以让我们更接近 3D 内容创建的民主化，使任何人都可以轻松地将他们的想法转化为 3D 模型。</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novel approach for generating high-quality, cross-category 3D models from free-hand sketches with limited training data. We propose the first semi-supervised learning method to our knowledge for sketch-to-3D model conversion. Innovatively, we design a coarse-to-fine pipeline to perform the semi-supervised learning in the coarse stage and train a diffusion-based refiner to get a high-resolution 3D model. We designed a sketch-augmentation method for semi-supervised learning and integrated priors such as CLIP loss, shape prototypes, and adversarial loss to help generate high-quality results even with abstract and imprecise sketches. We also introduce an innovative procedural 3D generation method based on CAD code, which helps pre-train part of the network before fine-tuning with limited real data. Our approach, coupled with a specifically designed curriculum learning, allows us to generate high-quality 3D models across multiple categories with as few as 300 sketch-3D model pairs, marking a significant advancement over previous single-category approaches. In addition, we introduce the KO2D dataset, the largest collection of hand-drawn sketch-3D pairs to support further research in this area. As sketches are a far more intuitive and detailed way for users to express their unique ideas, we believe that this paper can move us closer to democratizing 3D content creation, enabling anyone to transform their ideas into 3D models effortlessly.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08:27 ---</w:t>
      </w:r>
    </w:p>
    <w:p>
      <w:pPr>
        <w:pStyle w:val="Heading2"/>
      </w:pPr>
      <w:r/>
      <w:r>
        <w:rPr>
          <w:rFonts w:ascii="Times New Roman" w:hAnsi="Times New Roman" w:eastAsia="宋体"/>
          <w:b/>
          <w:color w:val="000000"/>
          <w:sz w:val="24"/>
        </w:rPr>
        <w:t>研究虚拟现实中目标运动的聚散调节冲突的几何解决方案</w:t>
      </w:r>
    </w:p>
    <w:p>
      <w:r>
        <w:rPr>
          <w:rFonts w:ascii="Times New Roman" w:hAnsi="Times New Roman" w:eastAsia="宋体"/>
          <w:b/>
          <w:color w:val="003264"/>
          <w:sz w:val="24"/>
        </w:rPr>
        <w:t>Investigating a geometrical solution to the vergence-accommodation conflict for targeted movements in virtual reality</w:t>
      </w:r>
    </w:p>
    <w:p>
      <w:r>
        <w:rPr>
          <w:rFonts w:ascii="Times New Roman" w:hAnsi="Times New Roman" w:eastAsia="宋体"/>
          <w:sz w:val="21"/>
        </w:rPr>
        <w:t>作者: Xiaoye Michael Wang, Matthew Prenevost, Aneesh Tarun, Ian Robinson, Michael Nitsche, Gabby Resch, Ali Mazalek, Timothy N. Welsh</w:t>
        <w:br/>
      </w:r>
      <w:r>
        <w:rPr>
          <w:rFonts w:ascii="Times New Roman" w:hAnsi="Times New Roman" w:eastAsia="宋体"/>
          <w:sz w:val="21"/>
        </w:rPr>
        <w:t xml:space="preserve">时间: 2026-02-01 | </w:t>
      </w:r>
      <w:r>
        <w:t xml:space="preserve">链接: </w:t>
      </w:r>
      <w:hyperlink r:id="rId54">
        <w:r>
          <w:rPr>
            <w:rFonts w:ascii="Times New Roman" w:hAnsi="Times New Roman" w:eastAsia="宋体"/>
            <w:color w:val="0000FF"/>
            <w:sz w:val="21"/>
            <w:u w:val="single"/>
          </w:rPr>
          <w:t>https://doi.org/10.1016/j.displa.2026.103382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Continuum</w:t>
      </w:r>
    </w:p>
    <w:p>
      <w:pPr>
        <w:jc w:val="center"/>
      </w:pPr>
      <w:r>
        <w:t>--- 更新: 08:28 ---</w:t>
      </w:r>
    </w:p>
    <w:p>
      <w:pPr>
        <w:pStyle w:val="Heading1"/>
      </w:pPr>
      <w:r>
        <w:rPr>
          <w:rFonts w:ascii="Times New Roman" w:hAnsi="Times New Roman" w:eastAsia="宋体"/>
          <w:b/>
          <w:color w:val="000000"/>
          <w:sz w:val="32"/>
        </w:rPr>
        <w:t>Optics and Lasers in Engineering</w:t>
      </w:r>
    </w:p>
    <w:p>
      <w:pPr>
        <w:jc w:val="center"/>
      </w:pPr>
      <w:r>
        <w:t>--- 更新: 11:28 ---</w:t>
      </w:r>
    </w:p>
    <w:p>
      <w:pPr>
        <w:pStyle w:val="Heading2"/>
      </w:pPr>
      <w:r/>
      <w:r>
        <w:rPr>
          <w:rFonts w:ascii="Times New Roman" w:hAnsi="Times New Roman" w:eastAsia="宋体"/>
          <w:b/>
          <w:color w:val="000000"/>
          <w:sz w:val="24"/>
        </w:rPr>
        <w:t>减少喷雾雾滴散射干扰测定可吸入煤尘浓度的光谱角差分解耦方法</w:t>
      </w:r>
    </w:p>
    <w:p>
      <w:r>
        <w:rPr>
          <w:rFonts w:ascii="Times New Roman" w:hAnsi="Times New Roman" w:eastAsia="宋体"/>
          <w:b/>
          <w:color w:val="003264"/>
          <w:sz w:val="24"/>
        </w:rPr>
        <w:t>Spectral angle differential decoupling method for determining respirable coal dust concentration by reducing spray droplet scattering interference</w:t>
      </w:r>
    </w:p>
    <w:p>
      <w:r>
        <w:rPr>
          <w:rFonts w:ascii="Times New Roman" w:hAnsi="Times New Roman" w:eastAsia="宋体"/>
          <w:sz w:val="21"/>
        </w:rPr>
        <w:t>作者: Wen Nie, Junchao Wan, Huitian Peng, Huaitong Li, Chenyang Zhou, Yuping Li</w:t>
        <w:br/>
      </w:r>
      <w:r>
        <w:rPr>
          <w:rFonts w:ascii="Times New Roman" w:hAnsi="Times New Roman" w:eastAsia="宋体"/>
          <w:sz w:val="21"/>
        </w:rPr>
        <w:t xml:space="preserve">时间: 2026-06-01 | </w:t>
      </w:r>
      <w:r>
        <w:t xml:space="preserve">链接: </w:t>
      </w:r>
      <w:hyperlink r:id="rId65">
        <w:r>
          <w:rPr>
            <w:rFonts w:ascii="Times New Roman" w:hAnsi="Times New Roman" w:eastAsia="宋体"/>
            <w:color w:val="0000FF"/>
            <w:sz w:val="21"/>
            <w:u w:val="single"/>
          </w:rPr>
          <w:t>https://doi.org/10.1016/j.optlaseng.2026.109663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467-026-69034-7" TargetMode="External"/><Relationship Id="rId11" Type="http://schemas.openxmlformats.org/officeDocument/2006/relationships/hyperlink" Target="https://doi.org/10.1038/s41467-026-68854-x" TargetMode="External"/><Relationship Id="rId12" Type="http://schemas.openxmlformats.org/officeDocument/2006/relationships/hyperlink" Target="https://doi.org/10.1126/sciadv.ady1461" TargetMode="External"/><Relationship Id="rId13" Type="http://schemas.openxmlformats.org/officeDocument/2006/relationships/hyperlink" Target="https://doi.org/10.1126/sciadv.aea7539" TargetMode="External"/><Relationship Id="rId14" Type="http://schemas.openxmlformats.org/officeDocument/2006/relationships/hyperlink" Target="https://doi.org/10.1126/sciadv.adw9419" TargetMode="External"/><Relationship Id="rId15" Type="http://schemas.openxmlformats.org/officeDocument/2006/relationships/hyperlink" Target="https://doi.org/10.1126/sciadv.aeb1682" TargetMode="External"/><Relationship Id="rId16" Type="http://schemas.openxmlformats.org/officeDocument/2006/relationships/hyperlink" Target="https://doi.org/10.1126/sciadv.ady2358" TargetMode="External"/><Relationship Id="rId17" Type="http://schemas.openxmlformats.org/officeDocument/2006/relationships/hyperlink" Target="https://doi.org/10.1126/sciadv.adx5697" TargetMode="External"/><Relationship Id="rId18" Type="http://schemas.openxmlformats.org/officeDocument/2006/relationships/hyperlink" Target="https://doi.org/10.1126/sciadv.adz7415" TargetMode="External"/><Relationship Id="rId19" Type="http://schemas.openxmlformats.org/officeDocument/2006/relationships/hyperlink" Target="https://doi.org/10.1126/sciadv.aeb6265" TargetMode="External"/><Relationship Id="rId20" Type="http://schemas.openxmlformats.org/officeDocument/2006/relationships/hyperlink" Target="https://doi.org/10.1126/sciadv.aeb7086" TargetMode="External"/><Relationship Id="rId21" Type="http://schemas.openxmlformats.org/officeDocument/2006/relationships/hyperlink" Target="https://doi.org/10.1126/sciadv.aef5670" TargetMode="External"/><Relationship Id="rId22" Type="http://schemas.openxmlformats.org/officeDocument/2006/relationships/hyperlink" Target="https://doi.org/10.1038/s41598-026-38671-9" TargetMode="External"/><Relationship Id="rId23" Type="http://schemas.openxmlformats.org/officeDocument/2006/relationships/hyperlink" Target="https://doi.org/10.1038/s41598-026-37619-3" TargetMode="External"/><Relationship Id="rId24" Type="http://schemas.openxmlformats.org/officeDocument/2006/relationships/hyperlink" Target="https://doi.org/10.1038/s41598-026-37135-4" TargetMode="External"/><Relationship Id="rId25" Type="http://schemas.openxmlformats.org/officeDocument/2006/relationships/hyperlink" Target="https://doi.org/10.1038/s41598-026-39009-1" TargetMode="External"/><Relationship Id="rId26" Type="http://schemas.openxmlformats.org/officeDocument/2006/relationships/hyperlink" Target="https://doi.org/10.1038/s41598-026-39036-y" TargetMode="External"/><Relationship Id="rId27" Type="http://schemas.openxmlformats.org/officeDocument/2006/relationships/hyperlink" Target="https://doi.org/10.1038/s41598-026-38247-7" TargetMode="External"/><Relationship Id="rId28" Type="http://schemas.openxmlformats.org/officeDocument/2006/relationships/hyperlink" Target="https://doi.org/10.1038/s41598-026-38451-5" TargetMode="External"/><Relationship Id="rId29" Type="http://schemas.openxmlformats.org/officeDocument/2006/relationships/hyperlink" Target="https://doi.org/10.1038/s41598-026-38548-x" TargetMode="External"/><Relationship Id="rId30" Type="http://schemas.openxmlformats.org/officeDocument/2006/relationships/hyperlink" Target="https://doi.org/10.1016/j.optlastec.2026.114873" TargetMode="External"/><Relationship Id="rId31" Type="http://schemas.openxmlformats.org/officeDocument/2006/relationships/hyperlink" Target="https://doi.org/10.1016/j.optlastec.2026.114856" TargetMode="External"/><Relationship Id="rId32" Type="http://schemas.openxmlformats.org/officeDocument/2006/relationships/hyperlink" Target="https://doi.org/10.1016/j.optlastec.2026.114901" TargetMode="External"/><Relationship Id="rId33" Type="http://schemas.openxmlformats.org/officeDocument/2006/relationships/hyperlink" Target="https://doi.org/10.1016/j.optcom.2026.132985" TargetMode="External"/><Relationship Id="rId34" Type="http://schemas.openxmlformats.org/officeDocument/2006/relationships/hyperlink" Target="https://doi.org/10.1016/j.optcom.2026.133003" TargetMode="External"/><Relationship Id="rId35" Type="http://schemas.openxmlformats.org/officeDocument/2006/relationships/hyperlink" Target="https://doi.org/10.1364/ao.583393" TargetMode="External"/><Relationship Id="rId36" Type="http://schemas.openxmlformats.org/officeDocument/2006/relationships/hyperlink" Target="https://doi.org/10.1364/ao.586729" TargetMode="External"/><Relationship Id="rId37" Type="http://schemas.openxmlformats.org/officeDocument/2006/relationships/hyperlink" Target="https://doi.org/10.1364/ol.584436" TargetMode="External"/><Relationship Id="rId38" Type="http://schemas.openxmlformats.org/officeDocument/2006/relationships/hyperlink" Target="https://doi.org/10.1364/ol.586229" TargetMode="External"/><Relationship Id="rId39" Type="http://schemas.openxmlformats.org/officeDocument/2006/relationships/hyperlink" Target="https://doi.org/10.1364/ol.583602" TargetMode="External"/><Relationship Id="rId40" Type="http://schemas.openxmlformats.org/officeDocument/2006/relationships/hyperlink" Target="https://doi.org/10.1364/ol.577164" TargetMode="External"/><Relationship Id="rId41" Type="http://schemas.openxmlformats.org/officeDocument/2006/relationships/hyperlink" Target="https://doi.org/10.1364/ol.587525" TargetMode="External"/><Relationship Id="rId42" Type="http://schemas.openxmlformats.org/officeDocument/2006/relationships/hyperlink" Target="https://doi.org/10.1364/ol.580013" TargetMode="External"/><Relationship Id="rId43" Type="http://schemas.openxmlformats.org/officeDocument/2006/relationships/hyperlink" Target="https://doi.org/10.1364/ol.584468" TargetMode="External"/><Relationship Id="rId44" Type="http://schemas.openxmlformats.org/officeDocument/2006/relationships/hyperlink" Target="https://doi.org/10.1021/acsphotonics.5c02826" TargetMode="External"/><Relationship Id="rId45" Type="http://schemas.openxmlformats.org/officeDocument/2006/relationships/hyperlink" Target="https://doi.org/10.1109/tip.2026.3659302" TargetMode="External"/><Relationship Id="rId46" Type="http://schemas.openxmlformats.org/officeDocument/2006/relationships/hyperlink" Target="https://doi.org/10.1109/tip.2026.3659733" TargetMode="External"/><Relationship Id="rId47" Type="http://schemas.openxmlformats.org/officeDocument/2006/relationships/hyperlink" Target="https://doi.org/10.1109/tip.2026.3653206" TargetMode="External"/><Relationship Id="rId48" Type="http://schemas.openxmlformats.org/officeDocument/2006/relationships/hyperlink" Target="https://doi.org/10.1109/tpami.2026.3661424" TargetMode="External"/><Relationship Id="rId49" Type="http://schemas.openxmlformats.org/officeDocument/2006/relationships/hyperlink" Target="https://doi.org/10.1109/tvcg.2026.3660683" TargetMode="External"/><Relationship Id="rId50" Type="http://schemas.openxmlformats.org/officeDocument/2006/relationships/hyperlink" Target="https://doi.org/10.1109/tvcg.2026.3661544" TargetMode="External"/><Relationship Id="rId51" Type="http://schemas.openxmlformats.org/officeDocument/2006/relationships/hyperlink" Target="https://doi.org/10.1038/s41598-026-38027-3" TargetMode="External"/><Relationship Id="rId52" Type="http://schemas.openxmlformats.org/officeDocument/2006/relationships/hyperlink" Target="https://doi.org/10.1038/s41598-025-32783-4" TargetMode="External"/><Relationship Id="rId53" Type="http://schemas.openxmlformats.org/officeDocument/2006/relationships/hyperlink" Target="https://doi.org/10.1038/s41598-026-37128-3" TargetMode="External"/><Relationship Id="rId54" Type="http://schemas.openxmlformats.org/officeDocument/2006/relationships/hyperlink" Target="https://doi.org/10.1016/j.displa.2026.103382" TargetMode="External"/><Relationship Id="rId55" Type="http://schemas.openxmlformats.org/officeDocument/2006/relationships/hyperlink" Target="https://doi.org/10.1038/s41467-026-69347-7" TargetMode="External"/><Relationship Id="rId56" Type="http://schemas.openxmlformats.org/officeDocument/2006/relationships/hyperlink" Target="https://doi.org/10.1038/s41598-026-38948-z" TargetMode="External"/><Relationship Id="rId57" Type="http://schemas.openxmlformats.org/officeDocument/2006/relationships/hyperlink" Target="https://doi.org/10.1038/s41598-026-36602-2" TargetMode="External"/><Relationship Id="rId58" Type="http://schemas.openxmlformats.org/officeDocument/2006/relationships/hyperlink" Target="https://doi.org/10.1038/s41598-026-39266-0" TargetMode="External"/><Relationship Id="rId59" Type="http://schemas.openxmlformats.org/officeDocument/2006/relationships/hyperlink" Target="https://doi.org/10.1038/s41598-026-37834-y" TargetMode="External"/><Relationship Id="rId60" Type="http://schemas.openxmlformats.org/officeDocument/2006/relationships/hyperlink" Target="https://doi.org/10.1038/s41598-025-32160-1" TargetMode="External"/><Relationship Id="rId61" Type="http://schemas.openxmlformats.org/officeDocument/2006/relationships/hyperlink" Target="https://doi.org/10.1016/j.optlastec.2026.114888" TargetMode="External"/><Relationship Id="rId62" Type="http://schemas.openxmlformats.org/officeDocument/2006/relationships/hyperlink" Target="https://doi.org/10.1016/j.optlastec.2026.114893" TargetMode="External"/><Relationship Id="rId63" Type="http://schemas.openxmlformats.org/officeDocument/2006/relationships/hyperlink" Target="https://doi.org/10.1016/j.optlastec.2026.114906" TargetMode="External"/><Relationship Id="rId64" Type="http://schemas.openxmlformats.org/officeDocument/2006/relationships/hyperlink" Target="https://doi.org/10.1016/j.optlastec.2026.114900" TargetMode="External"/><Relationship Id="rId65" Type="http://schemas.openxmlformats.org/officeDocument/2006/relationships/hyperlink" Target="https://doi.org/10.1016/j.optlaseng.2026.109663" TargetMode="External"/><Relationship Id="rId66" Type="http://schemas.openxmlformats.org/officeDocument/2006/relationships/hyperlink" Target="https://doi.org/10.1016/j.optcom.2026.132986" TargetMode="External"/><Relationship Id="rId67" Type="http://schemas.openxmlformats.org/officeDocument/2006/relationships/hyperlink" Target="https://doi.org/10.1016/j.optcom.2026.1329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