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Optics Express</w:t>
      </w:r>
    </w:p>
    <w:p>
      <w:pPr>
        <w:jc w:val="center"/>
      </w:pPr>
      <w:r>
        <w:t>--- 更新: 00:27 ---</w:t>
      </w:r>
    </w:p>
    <w:p>
      <w:pPr>
        <w:pStyle w:val="Heading2"/>
      </w:pPr>
      <w:r/>
      <w:r>
        <w:rPr>
          <w:rFonts w:ascii="Times New Roman" w:hAnsi="Times New Roman" w:eastAsia="宋体"/>
          <w:b/>
          <w:color w:val="000000"/>
          <w:sz w:val="24"/>
        </w:rPr>
        <w:t>热波长可调谐全保偏掺铥NALM光纤激光器</w:t>
      </w:r>
    </w:p>
    <w:p>
      <w:r>
        <w:rPr>
          <w:rFonts w:ascii="Times New Roman" w:hAnsi="Times New Roman" w:eastAsia="宋体"/>
          <w:b/>
          <w:color w:val="003264"/>
          <w:sz w:val="24"/>
        </w:rPr>
        <w:t>Thermal wavelength tunable all-polarization-maintaining thulium-doped NALM fiber laser</w:t>
      </w:r>
    </w:p>
    <w:p>
      <w:r>
        <w:rPr>
          <w:rFonts w:ascii="Times New Roman" w:hAnsi="Times New Roman" w:eastAsia="宋体"/>
          <w:sz w:val="21"/>
        </w:rPr>
        <w:t>作者: Timothy Lim, Shutao Xu, Lachlan Hooper, Maria Davey, Urmi Talukder, Michelle Y. Sander</w:t>
        <w:br/>
      </w:r>
      <w:r>
        <w:rPr>
          <w:rFonts w:ascii="Times New Roman" w:hAnsi="Times New Roman" w:eastAsia="宋体"/>
          <w:sz w:val="21"/>
        </w:rPr>
        <w:t xml:space="preserve">时间: 2026-01-21 | </w:t>
      </w:r>
      <w:r>
        <w:t xml:space="preserve">链接: </w:t>
      </w:r>
      <w:hyperlink r:id="rId10">
        <w:r>
          <w:rPr>
            <w:rFonts w:ascii="Times New Roman" w:hAnsi="Times New Roman" w:eastAsia="宋体"/>
            <w:color w:val="0000FF"/>
            <w:sz w:val="21"/>
            <w:u w:val="single"/>
          </w:rPr>
          <w:t>https://doi.org/10.1364/oe.587678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&lt;jats:p&gt;基于非线性放大环镜 (NALM) 的波长可调谐保偏全光纤掺铥源被证明可用于耗散孤子和展宽脉冲操作。耗散孤子和展宽脉冲操作分别支持低至 163 fs 和 134 fs 的变换限制脉冲持续时间。基于光纤的可调谐Lyot滤波器的大小和中心波长偏移方向可以通过加热不同的光纤截面和长度来调节。由于基于光纤的Lyot滤波器的多功能性，可以通过相应的滤波器设计来优化温度漂移系数的强度和自由光谱范围。&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wavelength tunable polarization-maintaining all-fiber thulium-doped source based on a nonlinear amplifying loop mirror (NALM) is demonstrated for dissipative soliton and stretched pulse operation. Transform-limited pulse durations down to 163 fs and 134 fs are supported for dissipative soliton and stretched pulse operation, respectively. The magnitude and center wavelength shift direction of the fiber-based tunable Lyot filter can be adjusted by heating different fiber sections and lengths. Due to the versatile nature of the fiber-based Lyot filter, the strength of the temperature shift coefficient and free spectral range can be optimized through the corresponding filter design.&lt;/jats:p&gt;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CCPR 模型的 FDTD 中色散 VP-EP 共形网格算法</w:t>
      </w:r>
    </w:p>
    <w:p>
      <w:r>
        <w:rPr>
          <w:rFonts w:ascii="Times New Roman" w:hAnsi="Times New Roman" w:eastAsia="宋体"/>
          <w:b/>
          <w:color w:val="003264"/>
          <w:sz w:val="24"/>
        </w:rPr>
        <w:t>Dispersive VP-EP conformal mesh algorithm in FDTD for a CCPR model</w:t>
      </w:r>
    </w:p>
    <w:p>
      <w:r>
        <w:rPr>
          <w:rFonts w:ascii="Times New Roman" w:hAnsi="Times New Roman" w:eastAsia="宋体"/>
          <w:sz w:val="21"/>
        </w:rPr>
        <w:t>作者: Yuan Fan, Yuhao Zhou, Yanan Liu, Han Liu, Liuge Du, Xiao Xu, Fanmin Kong, Jia Zhao</w:t>
        <w:br/>
      </w:r>
      <w:r>
        <w:rPr>
          <w:rFonts w:ascii="Times New Roman" w:hAnsi="Times New Roman" w:eastAsia="宋体"/>
          <w:sz w:val="21"/>
        </w:rPr>
        <w:t xml:space="preserve">时间: 2026-01-15 | </w:t>
      </w:r>
      <w:r>
        <w:t xml:space="preserve">链接: </w:t>
      </w:r>
      <w:hyperlink r:id="rId12">
        <w:r>
          <w:rPr>
            <w:rFonts w:ascii="Times New Roman" w:hAnsi="Times New Roman" w:eastAsia="宋体"/>
            <w:color w:val="0000FF"/>
            <w:sz w:val="21"/>
            <w:u w:val="single"/>
          </w:rPr>
          <w:t>https://doi.org/10.1364/oe.584767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&lt;jats:p&gt;引入了色散体积平均极化有效介电常数 (D-VP-EP) 算法，利用时域有限差分 (FDTD) 方法中的复共轭极残差 (CCPR) 模型来分析任意形状的三维色散材料。 D-VP-EP采用频域中的拟合算法作为预处理器，然后是空间域中的插值算法，以避免在随后的共形网格生成过程中由共形引起的本构方程形式的变化。 D-VP-EP 算法保持了传统 CCPR-FDTD 的迭代公式，同时能够在具有任意数量极点的 2 种色散材料之间进行共形网格划分。在金属-介电色散双层纳米球的散射模拟和色散微环的透射谱模拟中，与体积平均或阶梯计算相比，D-VP-EP有效降低了弯曲界面处的网格失配误差，并且仅需要对照组1/16的计算资源即可达到相同的精度。&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dispersive volume-average polarized effective permittivity (D-VP-EP) algorithm is introduced for the analysis of arbitrarily shaped three-dimensional dispersive materials, utilizing the complex-conjugate pole-residue (CCPR) model within the finite-difference time-domain (FDTD) method. The D-VP-EP employs the fitting algorithm as the preprocessor in the frequency domain, followed by an interpolation algorithm in the spatial domain, to avoid conformal-induced changes in the form of the constitutive equations during subsequent conformal mesh generation. The D-VP-EP algorithm maintains the iterative formulation of conventional CCPR-FDTD while enabling conformal meshing between 2 dispersive materials with an arbitrary number of poles. In scattering simulations of metal-dielectric dispersive bilayer nanosphere and transmission spectrum simulations of a dispersive micro-ring, the D-VP-EP effectively reduces mesh mismatch errors at curved interfaces when compared to volume-averaged or staircase, and only needs 1/16 of the computing resources of the comparison group to achieve the same accuracy.&lt;/jats:p&gt;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GST 的动态可编程超表面，用于多通道全息术和光学加密</w:t>
      </w:r>
    </w:p>
    <w:p>
      <w:r>
        <w:rPr>
          <w:rFonts w:ascii="Times New Roman" w:hAnsi="Times New Roman" w:eastAsia="宋体"/>
          <w:b/>
          <w:color w:val="003264"/>
          <w:sz w:val="24"/>
        </w:rPr>
        <w:t>Dynamically programmable GST-based metasurface for multi-channel holography and optical encryption</w:t>
      </w:r>
    </w:p>
    <w:p>
      <w:r>
        <w:rPr>
          <w:rFonts w:ascii="Times New Roman" w:hAnsi="Times New Roman" w:eastAsia="宋体"/>
          <w:sz w:val="21"/>
        </w:rPr>
        <w:t>作者: Mochi Guo, Qi Wang, Rongbo Bi, Ruijin Hong, Chenliang Chang, Dawei Zhang</w:t>
        <w:br/>
      </w:r>
      <w:r>
        <w:rPr>
          <w:rFonts w:ascii="Times New Roman" w:hAnsi="Times New Roman" w:eastAsia="宋体"/>
          <w:sz w:val="21"/>
        </w:rPr>
        <w:t xml:space="preserve">时间: 2026-01-14 | </w:t>
      </w:r>
      <w:r>
        <w:t xml:space="preserve">链接: </w:t>
      </w:r>
      <w:hyperlink r:id="rId13">
        <w:r>
          <w:rPr>
            <w:rFonts w:ascii="Times New Roman" w:hAnsi="Times New Roman" w:eastAsia="宋体"/>
            <w:color w:val="0000FF"/>
            <w:sz w:val="21"/>
            <w:u w:val="single"/>
          </w:rPr>
          <w:t>https://doi.org/10.1364/oe.586392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&lt;jats:p&gt;这项研究展示了一种利用锗锑碲 (GST) 进行多通道全息和光学加密的动态可编程超表面。通过将 GST 薄膜与砷化镓纳米结构集成，通过可逆 GST 相变实现近场反射和远场衍射模式之间的非易失性切换。在结晶状态下的 y 偏振照明下，超表面会产生波长为 400 nm、600 nm 和 800 nm 的近场幅度编码图像（“A”、“B”、“C”）。相反，在非晶态的 x 偏振照明下，它可以投射 1064nm、1450nm 和 1550nm 的远场相位调制全息图（“X”、“Y”、“Z”）。通过利用波长、偏振和GST相状态，建立了嵌套加密架构，动态关联码片以将明文映射到密文，从而大大增强安全性。这项工作为高容量、可重构光学加密提供了一种有前途的策略，在安全通信和动态显示方面具有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demonstrates a dynamically programmable metasurface leveraging germanium-antimony-tellurium (GST) for multi-channel holographic and optical encryption. By integrating a GST thin film with gallium arsenide nanostructures, non-volatile switching between near-field reflection and far-field diffraction modes is achieved via reversible GST phase transitions. Under y-polarized illumination in the crystalline state, the metasurface produces near-field amplitude-encoded images (“A”, “B”, “C”) at wavelengths of 400 nm, 600 nm, and 800 nm. Conversely, under x-polarized illumination in the amorphous state, it projects far-field phase-modulated holograms (“X”, “Y”, “Z”) at 1064 nm, 1450 nm, and 1550 nm. By leveraging wavelength, polarization, and GST phase state, a nested encryption architecture is established that dynamically associates code-chips to map plaintext to ciphertext, thereby substantially enhancing security. This work offers a promising strategy for high-capacity, reconfigurable optical encryption with potential in secure communications and dynamic displays.&lt;/jats:p&gt;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用于相干光束组合系统中 OAM 光束生成的强化学习鲁棒相位控制</w:t>
      </w:r>
    </w:p>
    <w:p>
      <w:r>
        <w:rPr>
          <w:rFonts w:ascii="Times New Roman" w:hAnsi="Times New Roman" w:eastAsia="宋体"/>
          <w:b/>
          <w:color w:val="003264"/>
          <w:sz w:val="24"/>
        </w:rPr>
        <w:t>Reinforcement learning-enabled robust phase control for OAM beam generation in coherent beam combining systems</w:t>
      </w:r>
    </w:p>
    <w:p>
      <w:r>
        <w:rPr>
          <w:rFonts w:ascii="Times New Roman" w:hAnsi="Times New Roman" w:eastAsia="宋体"/>
          <w:sz w:val="21"/>
        </w:rPr>
        <w:t>作者: Wenjun Jiang, Guiyuan Tan, Mengmeng Zhang, Junzhe Gao, Wusheng Zhu, Jiazhen Dou, Ju Tang, Jianglei Di, Yuwen Qin</w:t>
        <w:br/>
      </w:r>
      <w:r>
        <w:rPr>
          <w:rFonts w:ascii="Times New Roman" w:hAnsi="Times New Roman" w:eastAsia="宋体"/>
          <w:sz w:val="21"/>
        </w:rPr>
        <w:t xml:space="preserve">时间: 2026-01-16 | </w:t>
      </w:r>
      <w:r>
        <w:t xml:space="preserve">链接: </w:t>
      </w:r>
      <w:hyperlink r:id="rId14">
        <w:r>
          <w:rPr>
            <w:rFonts w:ascii="Times New Roman" w:hAnsi="Times New Roman" w:eastAsia="宋体"/>
            <w:color w:val="0000FF"/>
            <w:sz w:val="21"/>
            <w:u w:val="single"/>
          </w:rPr>
          <w:t>https://doi.org/10.1364/oe.584239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&lt;jats:p&gt;轨道角动量 (OAM) 光束在不同的科学和技术前沿发挥着至关重要的作用。然而，在高功率状态下，腔内发电受到模式竞争的限制，而腔外转换则受到低损伤阈值的影响。相干光束组合（CBC）通过将多个激光器组合成结构化光束提供了一条有前途的途径，但实现智能、无标记和高精度相位控制仍然是一个艰巨的挑战。在这里，我们提出了一种基于强化学习的相位控制框架，专门用于在 CBC 系统中生成 OAM 光束，该框架具有物理通知奖励函数和嵌入到参与者和批评者网络中的矢量量化（VQ）模块。所提出的框架能够在 12 通道 CBC 系统中快速、鲁棒地单级生成 ±1 和 ±2 OAM 光束，在噪声环境中实现超过 0.99 的模式纯度。值得注意的是，尽管其控制频率​​要低得多，但它在控制稳定性方面优于随机并行梯度下降（SPGD）算法。这项工作推动了 CBC 中基于 RL 的相位控制的发展，并为智能光场调制建立了可扩展且物理基础的范例。&lt;/jats:p&gt;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&lt;jats:p&gt;Orbital angular momentum (OAM) beams play a vital role across diverse scientific and technological frontiers. However, in high-power regimes, intra-cavity generation is constrained by mode competition, while extra-cavity conversion suffers from low damage thresholds. Coherent beam combination (CBC) provides a promising pathway by combining multiple lasers into structured beams, yet achieving intelligent, label-free, and high-precision phase control remains a formidable challenge. Here we present a reinforcement learning-based phase control framework tailored to generate OAM beams in CBC systems, featuring a physically informed reward function and a vector-quantized (VQ) module embedded in both the actor and critic networks. The proposed framework enables rapid and robust single-stage generation of ±1 and ±2 OAM beams in a 12-channel CBC system, achieving mode purities exceeding 0.99 in noisy environments. Remarkably, it surpasses the stochastic parallel gradient descent (SPGD) algorithm in control stability, despite operating at a much lower control frequency. This work advances the development of RL-based phase control in CBC and establishes a scalable and physically grounded paradigm for intelligent optical field modulation.&lt;/jats:p&gt;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集成布拉格光栅中的热光调谐参量波长转换</w:t>
      </w:r>
    </w:p>
    <w:p>
      <w:r>
        <w:rPr>
          <w:rFonts w:ascii="Times New Roman" w:hAnsi="Times New Roman" w:eastAsia="宋体"/>
          <w:b/>
          <w:color w:val="003264"/>
          <w:sz w:val="24"/>
        </w:rPr>
        <w:t>Thermo-optically tuned parametric wavelength conversion in integrated Bragg gratings</w:t>
      </w:r>
    </w:p>
    <w:p>
      <w:r>
        <w:rPr>
          <w:rFonts w:ascii="Times New Roman" w:hAnsi="Times New Roman" w:eastAsia="宋体"/>
          <w:sz w:val="21"/>
        </w:rPr>
        <w:t>作者: X. Wang, J. W. Choi, G. F. R. Chen, H. Gao, D. K. T. Ng, B. J. Eggleton, D. T. H. Tan</w:t>
        <w:br/>
      </w:r>
      <w:r>
        <w:rPr>
          <w:rFonts w:ascii="Times New Roman" w:hAnsi="Times New Roman" w:eastAsia="宋体"/>
          <w:sz w:val="21"/>
        </w:rPr>
        <w:t xml:space="preserve">时间: 2026-01-16 | </w:t>
      </w:r>
      <w:r>
        <w:t xml:space="preserve">链接: </w:t>
      </w:r>
      <w:hyperlink r:id="rId15">
        <w:r>
          <w:rPr>
            <w:rFonts w:ascii="Times New Roman" w:hAnsi="Times New Roman" w:eastAsia="宋体"/>
            <w:color w:val="0000FF"/>
            <w:sz w:val="21"/>
            <w:u w:val="single"/>
          </w:rPr>
          <w:t>https://doi.org/10.1364/oe.580575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演示了集成布拉格光栅中参数波长转换的热光调谐——一种能够动态控制片上非线性光学过程的方法。布拉格光栅通过光子阻带附近的锐色散提供增强的相位匹配，与均匀光子波导相比，能够显着提高四波混频效率。利用这种光栅引起的色散，我们实现了连续波四波混频，相对于相同长度的参考波导，开/关转换效率提高了 20dB。至关重要的是，我们表明，从 25°C 到 75°C 的热调谐可产生高达 5dB 的转换效率调制，并在阻带中引起 5nm 的光谱偏移，这代表了传统波导无法达到的控制水平。实验结果与理论预测吻合良好。这些结果确立了集成布拉格光栅作为主动可调谐非线性光子器件的强大且可重新配置的平台。&lt;/jats:p&gt;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demonstrate thermo-optic tuning of parametric wavelength conversion in integrated Bragg gratings— an approach that enables dynamic control of nonlinear optical processes on-chip. Bragg gratings offer enhanced phase matching through sharp dispersion near the photonic stopband, enabling significantly improved four-wave mixing efficiency compared to uniform photonic waveguides. Leveraging this grating-induced dispersion, we achieve continuous-wave four-wave mixing with a 20 dB enhancement in on/off conversion efficiency relative to a reference waveguide of the same length. Crucially, we show that thermal tuning from 25 °C to 75 °C yields up to a 5 dB modulation in conversion efficiency and induces a 5 nm spectral shift in the stopband—representing a level of control not attainable in conventional waveguides. Experimental results show good agreement with theoretical predictions. These results establish integrated Bragg gratings as a powerful and reconfigurable platform for actively tunable nonlinear photonic devices.&lt;/jats:p&gt;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微晶Ge层间键合InGaAs/Si雪崩光电二极管，具有135 A/W的超高响应度和190的增益</w:t>
      </w:r>
    </w:p>
    <w:p>
      <w:r>
        <w:rPr>
          <w:rFonts w:ascii="Times New Roman" w:hAnsi="Times New Roman" w:eastAsia="宋体"/>
          <w:b/>
          <w:color w:val="003264"/>
          <w:sz w:val="24"/>
        </w:rPr>
        <w:t>Microcrystalline Ge interlayer-bonded InGaAs/Si avalanche photodiode with ultrahigh responsivity of 135 A/W and gain of 190</w:t>
      </w:r>
    </w:p>
    <w:p>
      <w:r>
        <w:rPr>
          <w:rFonts w:ascii="Times New Roman" w:hAnsi="Times New Roman" w:eastAsia="宋体"/>
          <w:sz w:val="21"/>
        </w:rPr>
        <w:t>作者: Menghui Guo, Xiaolong Jiang, Jie Wang, Junfeng Yang, Zikai Lin, Yiyuan Fan, Songyan Chen, Shaoying Ke</w:t>
        <w:br/>
      </w:r>
      <w:r>
        <w:rPr>
          <w:rFonts w:ascii="Times New Roman" w:hAnsi="Times New Roman" w:eastAsia="宋体"/>
          <w:sz w:val="21"/>
        </w:rPr>
        <w:t xml:space="preserve">时间: 2026-01-20 | </w:t>
      </w:r>
      <w:r>
        <w:t xml:space="preserve">链接: </w:t>
      </w:r>
      <w:hyperlink r:id="rId16">
        <w:r>
          <w:rPr>
            <w:rFonts w:ascii="Times New Roman" w:hAnsi="Times New Roman" w:eastAsia="宋体"/>
            <w:color w:val="0000FF"/>
            <w:sz w:val="21"/>
            <w:u w:val="single"/>
          </w:rPr>
          <w:t>https://doi.org/10.1364/oe.582360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&lt;jats:p&gt;本文报道了一种利用微晶锗 (μc-Ge) 层间键合技术的高性能 InGaAs/Si 雪崩光电二极管 (APD)。该技术能够形成具有无空隙、高强度、无氧化物键合界面的高质量InGaAs/Si异质结，有效抑制位错形成和元素相互扩散。该器件在 1310 nm 和 1550 nm 波长下分别表现出 68 A/W 和 135 A/W 的高响应度，雪崩增益分别为 106.25 和 190，显着优于之前报道的 Ge/Si 和各种基于 InGaAs 的 APD。进一步观察表明，击穿电压随着光功率的增加而增加，这归因于μc-Ge键合界面空穴势阱引起的空间电荷效应。此外，还揭示了用于界面载流子传输的缺陷辅助隧道机制。该工作为开发高性能、低噪声III-V/Si集成光电探测器提供了一条有效的技术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paper reports a high-performance InGaAs/Si avalanche photodiode (APD) utilizing a microcrystalline germanium (μc-Ge) interlayer bonding technique. This technique enables the formation of a high-quality InGaAs/Si heterojunction with a void-free, high-strength, and oxide-free bonded interface, effectively suppressing dislocation formation and elemental interdiffusion. The device demonstrates high responsivities of 68 A/W and 135 A/W at wavelengths of 1310 nm and 1550 nm, respectively, with avalanche gains of 106.25 and 190, respectively, significantly outperforming previously reported Ge/Si and various InGaAs-based APDs. Further observation shows that the punch-through voltage increases with rising optical power, attributed to the space charge effect caused by the hole potential well at the μc-Ge bonded interface. Additionally, a defect-assisted tunneling mechanism for interfacial carrier transport is revealed. This work presents an effective technological pathway for the development of high-performance, low-noise III-V/Si integrated photodetectors.&lt;/jats:p&gt;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空心光纤传输上的非均匀位操作3D概率整形方法</w:t>
      </w:r>
    </w:p>
    <w:p>
      <w:r>
        <w:rPr>
          <w:rFonts w:ascii="Times New Roman" w:hAnsi="Times New Roman" w:eastAsia="宋体"/>
          <w:b/>
          <w:color w:val="003264"/>
          <w:sz w:val="24"/>
        </w:rPr>
        <w:t>Non-uniform bit-manipulation 3D probabilistic shaping method over hollow-core fiber transmission</w:t>
      </w:r>
    </w:p>
    <w:p>
      <w:r>
        <w:rPr>
          <w:rFonts w:ascii="Times New Roman" w:hAnsi="Times New Roman" w:eastAsia="宋体"/>
          <w:sz w:val="21"/>
        </w:rPr>
        <w:t>作者: Na Li, Bo Liu, Jianxin Ren, Yaya Mao, Shuaidong Chen, Xiantao Yang, Jianye Zhao, Rahat Ullan, Xiumin Song, Ying Li, Mingqian Liu, Huili Ji</w:t>
        <w:br/>
      </w:r>
      <w:r>
        <w:rPr>
          <w:rFonts w:ascii="Times New Roman" w:hAnsi="Times New Roman" w:eastAsia="宋体"/>
          <w:sz w:val="21"/>
        </w:rPr>
        <w:t xml:space="preserve">时间: 2026-01-20 | </w:t>
      </w:r>
      <w:r>
        <w:t xml:space="preserve">链接: </w:t>
      </w:r>
      <w:hyperlink r:id="rId17">
        <w:r>
          <w:rPr>
            <w:rFonts w:ascii="Times New Roman" w:hAnsi="Times New Roman" w:eastAsia="宋体"/>
            <w:color w:val="0000FF"/>
            <w:sz w:val="21"/>
            <w:u w:val="single"/>
          </w:rPr>
          <w:t>https://doi.org/10.1364/oe.583806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本文提出了一种基于非均匀位操作（NUBM）的空心光纤传输三维（3D）概率整形（PS）方法。所提出的 NUBM 涉及位级预处理，以实现幅度位中“0”和“1”的非均匀操作。随后，采用格雷映射来生成 PAM4 符号，从而导致两个内部 PAM4 信号电平的概率更高。这有效地降低了平均传输功率并使系统更接近信道容量极限。然后将三个这样的概率整形 PAM4 (PS-PAM4) 信号组合起来并映射到具有整形增益的 3D-64QAM 星座中。该方案在1.5公里空心光纤链路上进行了实验验证，实现了15.75 Gb/s的信号传输。在保持相同净数据速率的情况下，实验结果表明，在7%硬判决前向纠错（HD-FEC）阈值下（BER = 3.8 × 10</w:t>
        <w:br/>
        <w:t xml:space="preserve">                    &lt;jats:sup&gt;−3&lt;/jats:sup&gt;</w:t>
        <w:br/>
        <w:t xml:space="preserve">                    ），与传统的均匀 3D-64QAM 和 2D-PS-64QAM 相比，所提出的 3D-PS-64QAM 方案的接收器灵敏度分别提高了 1.7 dB 和 3.2 dB。这项研究验证了空心光纤环境中所描述的 3D 非均匀位操作的有效性，为下一代高速光通信系统提供高性能传输解决方案。</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This paper proposes a three-dimensional (3D) probabilistic shaping (PS) method based on non-uniform bit manipulation (NUBM) for hollow-core fiber transmission. The proposed NUBM involves bit-level preprocessing to achieve a non-uniform manipulation of ‘0's and ‘1's in the amplitude bits. Subsequently, Gray mapping is employed to generate PAM4 symbols, resulting in a higher probability for the two inner PAM4 signal levels. This effectively lowers the average transmission power and moves the system nearer to the channel capacity limit. Three such probabilistically shaped PAM4 (PS-PAM4) signals are then combined and mapped into a 3D-64QAM constellation with shaping gain. The scheme was experimentally validated over a 1.5 km hollow-core fiber link, achieving a 15.75 Gb/s signal transmission. Under the condition of maintaining the same net data rate, the experimental results show that at the 7% hard-decision forward error correction (HD-FEC) threshold (BER = 3.8 × 10</w:t>
        <w:br/>
        <w:t xml:space="preserve">                    &lt;jats:sup&gt;−3&lt;/jats:sup&gt;</w:t>
        <w:br/>
        <w:t xml:space="preserve">                    ), the proposed 3D-PS-64QAM scheme gains receiver sensitivity improvements of 1.7 dB and 3.2 dB compared to conventional uniform 3D-64QAM and 2D-PS-64QAM, respectively. This study validates the effectiveness of the described 3D non-uniform bit manipulation in a hollow-core fiber environment, offering a high-performance transmission solution for next-generation high-speed optical communication systems.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具有基于 GaN 的分布式反馈激光二极管的 466 nm FMCW LiDAR</w:t>
      </w:r>
    </w:p>
    <w:p>
      <w:r>
        <w:rPr>
          <w:rFonts w:ascii="Times New Roman" w:hAnsi="Times New Roman" w:eastAsia="宋体"/>
          <w:b/>
          <w:color w:val="003264"/>
          <w:sz w:val="24"/>
        </w:rPr>
        <w:t>FMCW LiDAR with a GaN-based distributed feedback laser diode at 466 nm</w:t>
      </w:r>
    </w:p>
    <w:p>
      <w:r>
        <w:rPr>
          <w:rFonts w:ascii="Times New Roman" w:hAnsi="Times New Roman" w:eastAsia="宋体"/>
          <w:sz w:val="21"/>
        </w:rPr>
        <w:t>作者: Wataru Kokuyama, Hidemi Tsuchida, Yoshiaki Nakajima</w:t>
        <w:br/>
      </w:r>
      <w:r>
        <w:rPr>
          <w:rFonts w:ascii="Times New Roman" w:hAnsi="Times New Roman" w:eastAsia="宋体"/>
          <w:sz w:val="21"/>
        </w:rPr>
        <w:t xml:space="preserve">时间: 2026-01-21 | </w:t>
      </w:r>
      <w:r>
        <w:t xml:space="preserve">链接: </w:t>
      </w:r>
      <w:hyperlink r:id="rId18">
        <w:r>
          <w:rPr>
            <w:rFonts w:ascii="Times New Roman" w:hAnsi="Times New Roman" w:eastAsia="宋体"/>
            <w:color w:val="0000FF"/>
            <w:sz w:val="21"/>
            <w:u w:val="single"/>
          </w:rPr>
          <w:t>https://doi.org/10.1364/oe.585712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&lt;jats:p&gt;调频连续波 (FMCW) LiDAR 需要具有宽线性调频的可见窄线宽激光器，才能在水下环境中运行。为此，我们使用延迟自外差干涉仪评估了基于 GaN 的 466 nm 分布式反馈激光二极管 (DFB-LD)，测量了其调制波形。线性调频跨度达到 12.2 GHz 峰峰值（傅立叶极限理论分辨率：水中为 0.92 cm）。调制非线性为满量程的 9%，相干长度为 14 m（β 分离线宽：1.9 MHz）。使用所提出的 LD，我们在 ∼3 m 处演示了无预失真的自由空间 FMCW LiDAR。尽管由于非线性和频率噪声，分辨率降低至 ∼2 m，但据我们所知，这项工作代表了使用可见光 DFB-LD 的 FMCW LiDAR 的首次实验演示，显示了其可见光相干传感的潜力。&lt;/jats:p&gt;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&lt;jats:p&gt;Frequency-modulated continuous-wave (FMCW) LiDAR requires a visible narrow-linewidth laser capable of a wide linear chirp for operations in underwater environments. To this end, we evaluated a GaN-based 466 nm distributed feedback laser diode (DFB-LD) using a delayed self-heterodyne interferometer, measuring its modulation waveform. The chirp span reached a 12.2 GHz peak-to-peak value (Fourier-limited theoretical resolution: 0.92 cm in the water). The modulation nonlinearity was 9% full scale, and the coherence length was 14 m (β-separation linewidth: 1.9 MHz). Using the proposed LD, we demonstrated free-space FMCW LiDAR at ∼3 m without predistortion. Although the resolution degraded to ∼2 m due to nonlinearity and frequency noise, this work represents, to our knowledge, the first experimental demonstration of FMCW LiDAR using a visible DFB-LD, showing its potential for visible coherent sensing.&lt;/jats:p&gt;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 Yb:YAG 再生放大器和基于 PMF 偏振模式的脉冲划分生成 125 GHz 毫焦耳级超短脉冲序列</w:t>
      </w:r>
    </w:p>
    <w:p>
      <w:r>
        <w:rPr>
          <w:rFonts w:ascii="Times New Roman" w:hAnsi="Times New Roman" w:eastAsia="宋体"/>
          <w:b/>
          <w:color w:val="003264"/>
          <w:sz w:val="24"/>
        </w:rPr>
        <w:t>Generation of 125-GHz millijoule-level ultrashort pulse-train from a Yb:YAG regenerative amplifier and PMF-polarization-mode-based pulse division</w:t>
      </w:r>
    </w:p>
    <w:p>
      <w:r>
        <w:rPr>
          <w:rFonts w:ascii="Times New Roman" w:hAnsi="Times New Roman" w:eastAsia="宋体"/>
          <w:sz w:val="21"/>
        </w:rPr>
        <w:t>作者: Yuxi Pang, Yu Wang, Xinyu Hu, Longwang Xiu, Yanfei Liu, Xiangdong Cao</w:t>
        <w:br/>
      </w:r>
      <w:r>
        <w:rPr>
          <w:rFonts w:ascii="Times New Roman" w:hAnsi="Times New Roman" w:eastAsia="宋体"/>
          <w:sz w:val="21"/>
        </w:rPr>
        <w:t xml:space="preserve">时间: 2026-01-22 | </w:t>
      </w:r>
      <w:r>
        <w:t xml:space="preserve">链接: </w:t>
      </w:r>
      <w:hyperlink r:id="rId19">
        <w:r>
          <w:rPr>
            <w:rFonts w:ascii="Times New Roman" w:hAnsi="Times New Roman" w:eastAsia="宋体"/>
            <w:color w:val="0000FF"/>
            <w:sz w:val="21"/>
            <w:u w:val="single"/>
          </w:rPr>
          <w:t>https://doi.org/10.1364/oe.582311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本文提出了一种超快激光脉冲序列，可在 125 GHz 序列重复率下提供毫焦级能量，主要通过 Yb:YAG 再生放大器 (RA) 与基于保偏光纤 (PMF) 的脉冲分割方案相结合来实现。 RA 在采用 Yb:YAG 晶体的模式对称分布驻波谐振腔中以 5 kHz 重复率运行。基于 PMF 的脉冲分配器利用 PMF 的双折射特性，以达到百吉赫甚至太赫兹的序列重复率实现脉冲分配，提供简单、稳定且经济高效的解决方案。基于RA和脉冲分配器的集成，系统地研究了125GHz脉冲串放大过程中克尔非线性光学效应引起的卫星脉冲的产生和演化。数值计算和实验结果均证实了大量子脉冲数脉冲串产生的时间平滑效应及其对卫星脉冲形成的抑制作用，最终产生了</w:t>
        <w:br/>
        <w:t xml:space="preserve">                    &lt;jats:斜体&gt;N&lt;/jats:斜体&gt;</w:t>
        <w:br/>
        <w:t xml:space="preserve">                     = 32，平均功率为5.12 W，脉冲能量为1.024 mJ，脉冲持续时间为2 ps。</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This paper presents an ultrafast laser pulse train that delivers millijoule-class energy in 125 GHz train repetition rate, achieved mainly through a Yb:YAG regenerative amplifier (RA) combined with a polarization-maintaining fiber (PMF)-based pulse division scheme. The RA operates at a 5 kHz repetition rate in a mode-symmetrically distributed standing-wave resonant cavity incorporating a Yb:YAG crystal. The PMF-based pulse divider exploits the birefringence properties of PMF to realize pulse division at train repetition rates reaching the hundred-gigahertz or even terahertz regime, providing in a simple, stable, and cost-effective solution. Based on the integration of the RA and the pulse divider, the generation and evolution of satellite pulses induced by the Kerr nonlinear optical effect during the amplification of 125 GHz pulse trains are systematically investigated. Both numerical calculations and the experimental results confirm the temporal smoothing effect produced by a large sub-pulse number of pulse trains and its suppression effect on satellite pulse formation, and ultimately yielding a pulse train output with</w:t>
        <w:br/>
        <w:t xml:space="preserve">                    &lt;jats:italic&gt;N&lt;/jats:italic&gt;</w:t>
        <w:br/>
        <w:t xml:space="preserve">                     = 32, an average power of 5.12 W, pulse energy of 1.024 mJ, and pulse duration of 2 ps.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基于车辆成像系统目标图像评估指标的优化图像融合规则</w:t>
      </w:r>
    </w:p>
    <w:p>
      <w:r>
        <w:rPr>
          <w:rFonts w:ascii="Times New Roman" w:hAnsi="Times New Roman" w:eastAsia="宋体"/>
          <w:b/>
          <w:color w:val="003264"/>
          <w:sz w:val="24"/>
        </w:rPr>
        <w:t>Optimized image fusion rule based on targeted image evaluation metrics for vehicle imaging systems</w:t>
      </w:r>
    </w:p>
    <w:p>
      <w:r>
        <w:rPr>
          <w:rFonts w:ascii="Times New Roman" w:hAnsi="Times New Roman" w:eastAsia="宋体"/>
          <w:sz w:val="21"/>
        </w:rPr>
        <w:t>作者: Junrong Zhou, Yupeng Chen, Guoliang Li, Baixuan Zhao, Haitao Nie, Kaifeng Zheng, Yingze Zhao, Weibiao Wang, Yuxin Qin, Jingqiu Liang, Jinguang Lv</w:t>
        <w:br/>
      </w:r>
      <w:r>
        <w:rPr>
          <w:rFonts w:ascii="Times New Roman" w:hAnsi="Times New Roman" w:eastAsia="宋体"/>
          <w:sz w:val="21"/>
        </w:rPr>
        <w:t xml:space="preserve">时间: 2026-01-23 | </w:t>
      </w:r>
      <w:r>
        <w:t xml:space="preserve">链接: </w:t>
      </w:r>
      <w:hyperlink r:id="rId20">
        <w:r>
          <w:rPr>
            <w:rFonts w:ascii="Times New Roman" w:hAnsi="Times New Roman" w:eastAsia="宋体"/>
            <w:color w:val="0000FF"/>
            <w:sz w:val="21"/>
            <w:u w:val="single"/>
          </w:rPr>
          <w:t>https://doi.org/10.1364/oe.583426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车辆辅助系统在雾霾等复杂环境中会遭受感知退化的影响。为了解决这个问题，我们开发了一种集成的可见光偏振和红外双波段成像系统，并提出了一种基于目标图像评估指标的创新图像融合规则。实验结果表明，我们的方法显着增强了融合图像中的纹理细节和目标辨别力。所提出的规则还显示出很强的通用性，支持各种融合框架和多模态成像应用。这项工作为辅助驾驶以及遥感和军事侦察等其他领域提供了有价值的解决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&lt;jats:p&gt;Vehicle assistance systems suffer from perception degradation in complex environments like haze. To address this, we develop an integrated visible polarization and infrared dual-band imaging system and propose an innovative image fusion rule based on target image evaluation metrics. Experimental results demonstrate that our method significantly enhances texture details and target discrimination in fused images. The proposed rule also shows strong versatility, supporting various fusion frameworks and multimodal imaging applications. This work provides valuable solutions for assisted driving and other fields like remote sensing and military reconnaissance.&lt;/jats:p&gt;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折射-衍射混合光学中端到端成像的统一射线波模型</w:t>
      </w:r>
    </w:p>
    <w:p>
      <w:r>
        <w:rPr>
          <w:rFonts w:ascii="Times New Roman" w:hAnsi="Times New Roman" w:eastAsia="宋体"/>
          <w:b/>
          <w:color w:val="003264"/>
          <w:sz w:val="24"/>
        </w:rPr>
        <w:t>Unified ray-wave model for end-to-end imaging in refractive–diffractive hybrid optics</w:t>
      </w:r>
    </w:p>
    <w:p>
      <w:r>
        <w:rPr>
          <w:rFonts w:ascii="Times New Roman" w:hAnsi="Times New Roman" w:eastAsia="宋体"/>
          <w:sz w:val="21"/>
        </w:rPr>
        <w:t>作者: Jintao Shi, Desheng Li, Jingang Zhang, Xiaoxiao Wei, Yunfeng Nie</w:t>
        <w:br/>
      </w:r>
      <w:r>
        <w:rPr>
          <w:rFonts w:ascii="Times New Roman" w:hAnsi="Times New Roman" w:eastAsia="宋体"/>
          <w:sz w:val="21"/>
        </w:rPr>
        <w:t xml:space="preserve">时间: 2026-01-16 | </w:t>
      </w:r>
      <w:r>
        <w:t xml:space="preserve">链接: </w:t>
      </w:r>
      <w:hyperlink r:id="rId21">
        <w:r>
          <w:rPr>
            <w:rFonts w:ascii="Times New Roman" w:hAnsi="Times New Roman" w:eastAsia="宋体"/>
            <w:color w:val="0000FF"/>
            <w:sz w:val="21"/>
            <w:u w:val="single"/>
          </w:rPr>
          <w:t>https://doi.org/10.1364/oe.583744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端到端光学设计已成为计算成像领域有前途的范例，强调光学元件和计算算法的联合优化。然而，现有模型难以同时实现效率、准确性和可微分性，这限制了折射-衍射混合系统的发展。为了应对这一挑战，我们提出了一个统一射线波（UniRW）可微分建模框架，将广义斯涅尔定律与波传播结合起来。通过统一几何光线追踪和波动光学，该框架能够准确高效地模拟任意混合光学系统，并且可以自然地嵌入到端到端优化管道中，以支持光学参数和图像重建网络的联合学习。我们验证了所提出的像差校正和扩展景深（EDOF）任务框架。在像差校正中，所提出的混合镜头通过更准确的 PSF 建模和端到端优化实现了更高的图像重建质量。定量结果表明，UniRW 将重建图像峰值信噪比 (PSNR) 提高了约 3.4 dB。在 EDOF 设置中，所提出的框架在 ±500 的扩展轴向散焦范围内实现了高质量图像重建，PSNR 约为 31.9 dB</w:t>
        <w:br/>
        <w:t xml:space="preserve">                    &lt;jats:斜体&gt;微米&lt;/jats:斜体&gt;</w:t>
        <w:br/>
        <w:t xml:space="preserve">                    。这些结果表明，所提出的方法连接了物理建模和深度学习优化，为混合光学设计提供了高效、准确和通用的范例。</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End-to-end optical design has emerged as a promising paradigm in computational imaging, emphasizing the joint optimization of optical elements and computational algorithms. However, existing models struggle to simultaneously achieve efficiency, accuracy, and differentiability, which limits the development of refractive–diffractive hybrid systems. To address this challenge, we propose a unified ray-wave (UniRW) differentiable modeling framework that couples generalized Snell’s law with wave propagation. By unifying geometric ray tracing and wave optics, the framework enables accurate and efficient simulation of arbitrary hybrid optical systems, and can be naturally embedded into end-to-end optimization pipelines to support joint learning of optical parameters and image reconstruction networks. We validate the proposed framework on aberration correction and extended depth-of-field (EDOF) tasks. In aberration correction, the proposed hybrid lens achieves improved image reconstruction quality enabled by more accurate PSF modeling and end-to-end optimization. Quantitative results show that UniRW improves the reconstructed image peak signal-to-noise ratio (PSNR) by approximately 3.4 dB. In the EDOF setting, the proposed framework achieves high-quality image reconstruction with a PSNR of approximately 31.9 dB across an extended axial defocus range of ±500</w:t>
        <w:br/>
        <w:t xml:space="preserve">                    &lt;jats:italic&gt;µm&lt;/jats:italic&gt;</w:t>
        <w:br/>
        <w:t xml:space="preserve">                    . These results demonstrate that the proposed approach bridges physical modeling and deep learning optimization, providing an efficient, accurate, and general paradigm for hybrid optical design.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RFSoC 快速调节合成波长范围</w:t>
      </w:r>
    </w:p>
    <w:p>
      <w:r>
        <w:rPr>
          <w:rFonts w:ascii="Times New Roman" w:hAnsi="Times New Roman" w:eastAsia="宋体"/>
          <w:b/>
          <w:color w:val="003264"/>
          <w:sz w:val="24"/>
        </w:rPr>
        <w:t>Rapidly tunable synthetic wavelength ranging with an RFSoC</w:t>
      </w:r>
    </w:p>
    <w:p>
      <w:r>
        <w:rPr>
          <w:rFonts w:ascii="Times New Roman" w:hAnsi="Times New Roman" w:eastAsia="宋体"/>
          <w:sz w:val="21"/>
        </w:rPr>
        <w:t>作者: Shawn M. P. McSorley, Benjamin P. Dix-Matthews, Andrew M. Lance, David R. Gozzard, Sascha W. Schediwy</w:t>
        <w:br/>
      </w:r>
      <w:r>
        <w:rPr>
          <w:rFonts w:ascii="Times New Roman" w:hAnsi="Times New Roman" w:eastAsia="宋体"/>
          <w:sz w:val="21"/>
        </w:rPr>
        <w:t xml:space="preserve">时间: 2026-01-15 | </w:t>
      </w:r>
      <w:r>
        <w:t xml:space="preserve">链接: </w:t>
      </w:r>
      <w:hyperlink r:id="rId22">
        <w:r>
          <w:rPr>
            <w:rFonts w:ascii="Times New Roman" w:hAnsi="Times New Roman" w:eastAsia="宋体"/>
            <w:color w:val="0000FF"/>
            <w:sz w:val="21"/>
            <w:u w:val="single"/>
          </w:rPr>
          <w:t>https://doi.org/10.1364/oe.584282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光学范围和飞行时间的测量对于各种高精度技术至关重要。已经开发出具有竞争力的光学测量技术，可以在精度与准确度和系统复杂性之间取得平衡。在这里，我们提出了一种采用数字可调谐电光频率梳的连续波合成波长干涉测量技术。通过软件定义的无线电，我们的方法可以动态扫描合成波长并测量绝对光学范围。我们通过 1 m 的自由空间光延迟线和 40 km 的光纤链路演示了这种数字方法。延迟线上获得的最佳精度优于 60 nm (0.2 fs)。通过 40 km 光纤线轴，该精度会降低至 15 µm (50 fs)，这是 2 × 10 数量级的分数误差</w:t>
        <w:br/>
        <w:t xml:space="preserve">                    &lt;jats:sup&gt;−10&lt;/jats:sup&gt;</w:t>
        <w:br/>
        <w:t xml:space="preserve">                    米/米。我们的设计易于实现，仅依赖于连续波干扰，降低了系统复杂性。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Measurements of optical range and time-of-flight are crucial for a variety of high-precision technologies. Competitive optical measurement techniques have been developed that balance precision with accuracy and system complexity. Here, we present a continuous-wave synthetic wavelength interferometry technique that employs digitally tunable electro-optic frequency combs. With a software-defined radio, our approach can dynamically sweep the synthetic wavelength and measure absolute optical range. We demonstrate this digital approach over a free-space optical delay line of 1 m and over a 40 km fiber link. The best obtained precision over the delay line is better than 60 nm (0.2 fs). Through a 40 km fiber spool, this precision degrades to 15 µm (50 fs), which is a fractional error on the order of 2 × 10</w:t>
        <w:br/>
        <w:t xml:space="preserve">                    &lt;jats:sup&gt;−10&lt;/jats:sup&gt;</w:t>
        <w:br/>
        <w:t xml:space="preserve">                    m/m. Our design is simple to implement and only relies on continuous-wave interference, decreasing system complexity.</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高速量子密钥分配系统中铌酸锂相位调制器的频域侧信道</w:t>
      </w:r>
    </w:p>
    <w:p>
      <w:r>
        <w:rPr>
          <w:rFonts w:ascii="Times New Roman" w:hAnsi="Times New Roman" w:eastAsia="宋体"/>
          <w:b/>
          <w:color w:val="003264"/>
          <w:sz w:val="24"/>
        </w:rPr>
        <w:t>Frequency domain side channel on lithium niobate phase modulator in high-rate quantum key distribution system</w:t>
      </w:r>
    </w:p>
    <w:p>
      <w:r>
        <w:rPr>
          <w:rFonts w:ascii="Times New Roman" w:hAnsi="Times New Roman" w:eastAsia="宋体"/>
          <w:sz w:val="21"/>
        </w:rPr>
        <w:t>作者: Siying Huang, Jindong Wang, Qincheng Hou, Naida Mo, Shaoke Huang, Pan Li, Xinyi Wang, Zhengjun Wei, Tianming Zhao, Yafei Yu, Zhiming Zhang</w:t>
        <w:br/>
      </w:r>
      <w:r>
        <w:rPr>
          <w:rFonts w:ascii="Times New Roman" w:hAnsi="Times New Roman" w:eastAsia="宋体"/>
          <w:sz w:val="21"/>
        </w:rPr>
        <w:t xml:space="preserve">时间: 2026-01-16 | </w:t>
      </w:r>
      <w:r>
        <w:t xml:space="preserve">链接: </w:t>
      </w:r>
      <w:hyperlink r:id="rId23">
        <w:r>
          <w:rPr>
            <w:rFonts w:ascii="Times New Roman" w:hAnsi="Times New Roman" w:eastAsia="宋体"/>
            <w:color w:val="0000FF"/>
            <w:sz w:val="21"/>
            <w:u w:val="single"/>
          </w:rPr>
          <w:t>https://doi.org/10.1364/oe.582474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构建高速量子密钥分发（QKD）系统是提高安全密钥速率的有效途径。然而，在此类系统中，调制增强了信令和非信令状态之间的相关性，从而允许窃听者从后者中提取信息。虽然来自光源的频域侧信道泄漏已经被认识到，但高速 QKD 系统中的调制引起的泄漏尚未有报道。在本文中，我们首先构建了 BB84 相位和偏振编码单元，并观察了铌酸锂 (LN) 调制速率增加的频域变化。使用信息论模型，我们评估了频率和编码比特之间的相关性，发现边信道互信息为 2.44 × 10</w:t>
        <w:br/>
        <w:t xml:space="preserve">                    &lt;jats:sup&gt;−2&lt;/jats:sup&gt;</w:t>
        <w:br/>
        <w:t xml:space="preserve">                    和 8.81 × 10</w:t>
        <w:br/>
        <w:t xml:space="preserve">                    &lt;jats:sup&gt;−3&lt;/jats:sup&gt;</w:t>
        <w:br/>
        <w:t xml:space="preserve">                    相位和极化单位分别为 594 MHz 和 668 MHz 的比特/脉冲。信息泄漏随着调制速率和电压的升高而增加，并简要讨论了潜在的防御方案。</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Constructing high-rate quantum key distribution (QKD) systems is an effective way to increase secure key rates. However, in such systems, modulation strengthens the correlation between signaling and non-signaling states, allowing an eavesdropper to extract information from the latter. While frequency-domain side-channel leakage from light sources has been recognized, leakage arising from modulation in high-rate QKD systems has not yet been reported. In this paper, we first constructed BB84 phase and polarization coding units and observed frequency-domain variations in increasing rates of lithium niobate (LN) modulation. Using an information-theoretic model, we evaluated the correlation between frequency and coded bits, finding side-channel mutual information of 2.44 × 10</w:t>
        <w:br/>
        <w:t xml:space="preserve">                    &lt;jats:sup&gt;−2&lt;/jats:sup&gt;</w:t>
        <w:br/>
        <w:t xml:space="preserve">                    and 8.81 × 10</w:t>
        <w:br/>
        <w:t xml:space="preserve">                    &lt;jats:sup&gt;−3&lt;/jats:sup&gt;</w:t>
        <w:br/>
        <w:t xml:space="preserve">                    bits/pulse at 594 MHz and 668 MHz for phase and polarization units, respectively. Information leakage increased with higher modulation rate and voltage, and potential defense schemes are briefly discussed.</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天文光学系统与深度学习算法联合优化的协同设计框架</w:t>
      </w:r>
    </w:p>
    <w:p>
      <w:r>
        <w:rPr>
          <w:rFonts w:ascii="Times New Roman" w:hAnsi="Times New Roman" w:eastAsia="宋体"/>
          <w:b/>
          <w:color w:val="003264"/>
          <w:sz w:val="24"/>
        </w:rPr>
        <w:t>Co-design framework for the joint optimization of astronomical optical systems and deep learning algorithms</w:t>
      </w:r>
    </w:p>
    <w:p>
      <w:r>
        <w:rPr>
          <w:rFonts w:ascii="Times New Roman" w:hAnsi="Times New Roman" w:eastAsia="宋体"/>
          <w:sz w:val="21"/>
        </w:rPr>
        <w:t>作者: Wennan Xiang, Peng Jia, Zhengyang Li, Zeyu Bai, Jiameng Lv</w:t>
        <w:br/>
      </w:r>
      <w:r>
        <w:rPr>
          <w:rFonts w:ascii="Times New Roman" w:hAnsi="Times New Roman" w:eastAsia="宋体"/>
          <w:sz w:val="21"/>
        </w:rPr>
        <w:t xml:space="preserve">时间: 2026-01-15 | </w:t>
      </w:r>
      <w:r>
        <w:t xml:space="preserve">链接: </w:t>
      </w:r>
      <w:hyperlink r:id="rId24">
        <w:r>
          <w:rPr>
            <w:rFonts w:ascii="Times New Roman" w:hAnsi="Times New Roman" w:eastAsia="宋体"/>
            <w:color w:val="0000FF"/>
            <w:sz w:val="21"/>
            <w:u w:val="single"/>
          </w:rPr>
          <w:t>https://doi.org/10.1364/oe.584499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&lt;jats:p&gt;我们提出了一个直接连接天文学、计算成像和光学工程的光学系统优化框架。传统上，望远镜的光学系统使用经典的图像质量指标（例如 RMS 光斑半径）进行优化，这些指标通常与现代基于深度学习的物体检测算法的性能脱钩。本文介绍了一种端到端、跨学科的优化框架，其中光学系统直接针对其后续深度学习算法的检测性能进行优化。我们的方法将光学系统模拟器（对特定光学设计、硬件和观察模式进行建模）与基于深度学习的检测算法集成在一起。在这种联合优化方案中，预训练的、权重固定的网络在模拟图像上的检测精度作为主要评估信号。通过将该信号与经典光学评价函数相结合，我们促进了光学设计参数的闭环、迭代细化。为了验证这种协同设计方法，我们针对宽视场天文观测场景优化了主焦点望远镜和里奇-克雷蒂安望远镜。由此产生的系统证明了天体检测效率和准确性的提高，证明了我们方法的价值。这项工作为联合优化光学系统及其针对特定科学任务的定制算法提供了一条创新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an optical system optimization framework that directly bridges astronomy, computational imaging, and optical engineering. Traditionally, optical systems of telescopes are optimized using classical image quality metrics (e.g., RMS spot radius), which are often decoupled from the performance of modern, deep learning-based object detection algorithms. This paper introduces an end-to-end, interdisciplinary optimization framework where the optical system is optimized directly for the detection performance of its subsequent deep learning algorithm. Our method integrates an optical system simulator—which models specific optical designs, hardware, and observation modes—with a deep learning-based detection algorithm. In this joint optimization scheme, the detection accuracy of a pre-trained, weight-fixed network on simulated imagery serves as the primary evaluation signal. By combining this signal with classical optical merit functions, we facilitate a closed-loop, iterative refinement of optical design parameters. To validate this co-design approach, we optimized both a Primary-Focus and a Ritchey-Chrétien telescope for a wide-field astronomical survey scenario. The resulting systems demonstrated gains in celestial object detection efficiency and accuracy, proving the value of our method. This work provides an innovative pathway for jointly optimizing optical systems and their bespoke algorithms for specific scientific tasks.&lt;/jats:p&gt;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00:27 ---</w:t>
      </w:r>
    </w:p>
    <w:p>
      <w:pPr>
        <w:pStyle w:val="Heading2"/>
      </w:pPr>
      <w:r/>
      <w:r>
        <w:rPr>
          <w:rFonts w:ascii="Times New Roman" w:hAnsi="Times New Roman" w:eastAsia="宋体"/>
          <w:b/>
          <w:color w:val="000000"/>
          <w:sz w:val="24"/>
        </w:rPr>
        <w:t>基于 TTA 的超高亮度 OLED，具有 13 kA cm−2 电流注入</w:t>
      </w:r>
    </w:p>
    <w:p>
      <w:r>
        <w:rPr>
          <w:rFonts w:ascii="Times New Roman" w:hAnsi="Times New Roman" w:eastAsia="宋体"/>
          <w:b/>
          <w:color w:val="003264"/>
          <w:sz w:val="24"/>
        </w:rPr>
        <w:t>Ultrahigh-radiance TTA-based OLED with 13 kA cm−2 current injection</w:t>
      </w:r>
    </w:p>
    <w:p>
      <w:r>
        <w:rPr>
          <w:rFonts w:ascii="Times New Roman" w:hAnsi="Times New Roman" w:eastAsia="宋体"/>
          <w:sz w:val="21"/>
        </w:rPr>
        <w:t>作者: Jichen Zhao, Yu Mao, Wansheng Liu, Zengyi Peng, Xu Wang, Jianhua Zou, Jianbin Wang, Dan Chen, Dongge Ma, Hongbin Wu, Bin Hu, Junbiao Peng</w:t>
        <w:br/>
      </w:r>
      <w:r>
        <w:rPr>
          <w:rFonts w:ascii="Times New Roman" w:hAnsi="Times New Roman" w:eastAsia="宋体"/>
          <w:sz w:val="21"/>
        </w:rPr>
        <w:t xml:space="preserve">时间: 2026-01-27 | </w:t>
      </w:r>
      <w:r>
        <w:t xml:space="preserve">链接: </w:t>
      </w:r>
      <w:hyperlink r:id="rId11">
        <w:r>
          <w:rPr>
            <w:rFonts w:ascii="Times New Roman" w:hAnsi="Times New Roman" w:eastAsia="宋体"/>
            <w:color w:val="0000FF"/>
            <w:sz w:val="21"/>
            <w:u w:val="single"/>
          </w:rPr>
          <w:t>https://doi.org/10.1038/s41377-025-02134-z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有机半导体由于其可调谐的光电特性和简单的制造工艺而被广泛应用于显示器、太阳能电池、探测器等领域。然而，制造有机电泵浦激光器仍然是一个尚未解决的挑战。有机分子的低迁移率难以维持电泵激激光所需的电流注入，高电流密度下产生的自由载流子和三重态也会淬灭增益特性。在器件制造中，高电导率电极和谐振腔不可避免地伴随着光学损耗，这降低了谐振器的品质因数，并进一步提高了电泵浦的阈值电流密度。在这里，我们制造了一种具有三线态-三线态湮没（TTA）特性和优异电性能的有机发光二极管（OLED），能够注入13kAcm的电流密度</w:t>
        <w:br/>
        <w:t xml:space="preserve">                    &lt;jats:sup&gt;−&lt;/jats:sup&gt;</w:t>
        <w:br/>
        <w:t xml:space="preserve">                    &lt;贾茨：sup&gt;2&lt;/贾茨：sup&gt;</w:t>
        <w:br/>
        <w:t xml:space="preserve">                    在15纳秒电脉冲驱动下。通过利用短脉冲驱动减轻三重态积累，并利用TTA效应抑制单重态-三重态湮没（STA），该器件在1 kA cm的电流下仍能保持近1%的外量子效率（EQE）</w:t>
        <w:br/>
        <w:t xml:space="preserve">                    &lt;jats:sup&gt;−&lt;/jats:sup&gt;</w:t>
        <w:br/>
        <w:t xml:space="preserve">                    &lt;贾茨：sup&gt;2&lt;/贾茨：sup&gt;</w:t>
        <w:br/>
        <w:t xml:space="preserve">                    电流注入并实现了创纪录的56 W cm输出功率</w:t>
        <w:br/>
        <w:t xml:space="preserve">                    &lt;jats:sup&gt;−&lt;/jats:sup&gt;</w:t>
        <w:br/>
        <w:t xml:space="preserve">                    &lt;贾茨：sup&gt;2&lt;/贾茨：sup&gt;</w:t>
        <w:br/>
        <w:t xml:space="preserve">                    ，可以维持种群反转。该OLED集成在具有超薄电极的高质量分布式布拉格反射器（DBR）微腔中，在13kAcm下实现光谱线宽为5.5nm的窄带发光</w:t>
        <w:br/>
        <w:t xml:space="preserve">                    &lt;jats:sup&gt;−&lt;/jats:sup&gt;</w:t>
        <w:br/>
        <w:t xml:space="preserve">                    &lt;贾茨：sup&gt;2&lt;/贾茨：sup&gt;</w:t>
        <w:br/>
        <w:t xml:space="preserve">                    电流注入。这项工作为未来制造具有增益特性的有机电泵浦激光器铺平了道路。</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Organic semiconductors have been widely utilized in displays, solar cells, detectors, and other fields due to their tunable optoelectronic properties and simple fabrication processes. However, fabricating organic electrically pumped lasers remains an unresolved challenge. The low mobility of organic molecules struggles to sustain the current injection required for electrically pumped lasing, and the free carriers and triplets generated under high current density also quench the gain characteristics. In device fabrication, high-conductivity electrodes and resonant cavities are inevitably accompanied by optical losses, which decrease the quality factor of the resonator and further elevate the threshold current density for electrical pumping. Here, we fabricated an organic light-emitting diode (OLED) with triplet-triplet annihilation (TTA) characteristics and excellent electrical performance, capable of injecting a current density of 13 kA cm</w:t>
        <w:br/>
        <w:t xml:space="preserve">                    &lt;jats:sup&gt;−&lt;/jats:sup&gt;</w:t>
        <w:br/>
        <w:t xml:space="preserve">                    &lt;jats:sup&gt;2&lt;/jats:sup&gt;</w:t>
        <w:br/>
        <w:t xml:space="preserve">                    under 15-ns electrical pulse driving. By leveraging short-pulse driving to mitigate triplet accumulation and utilizing the TTA effect to suppress singlet-triplet annihilation (STA), the device can still remain nearly 1% external quantum efficiency (EQE) with 1 kA cm</w:t>
        <w:br/>
        <w:t xml:space="preserve">                    &lt;jats:sup&gt;−&lt;/jats:sup&gt;</w:t>
        <w:br/>
        <w:t xml:space="preserve">                    &lt;jats:sup&gt;2&lt;/jats:sup&gt;</w:t>
        <w:br/>
        <w:t xml:space="preserve">                    current injection and achieved a record-high output power of 56 W cm</w:t>
        <w:br/>
        <w:t xml:space="preserve">                    &lt;jats:sup&gt;−&lt;/jats:sup&gt;</w:t>
        <w:br/>
        <w:t xml:space="preserve">                    &lt;jats:sup&gt;2&lt;/jats:sup&gt;</w:t>
        <w:br/>
        <w:t xml:space="preserve">                    , which can sustain population inversion. The OLED was integrated into a high-quality distributed Bragg reflector (DBR) microcavity with ultrathin electrodes, realizing narrow-band light emission with a spectral linewidth of 5.5 nm under 13 kA cm</w:t>
        <w:br/>
        <w:t xml:space="preserve">                    &lt;jats:sup&gt;−&lt;/jats:sup&gt;</w:t>
        <w:br/>
        <w:t xml:space="preserve">                    &lt;jats:sup&gt;2&lt;/jats:sup&gt;</w:t>
        <w:br/>
        <w:t xml:space="preserve">                    current injection. This work paves the way for future fabrication of organic electrically pumped lasers with gain characteristics.</w:t>
        <w:br/>
        <w:t xml:space="preserve">                  &lt;/jats:p&gt;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06:28 ---</w:t>
      </w:r>
    </w:p>
    <w:p>
      <w:pPr>
        <w:pStyle w:val="Heading2"/>
      </w:pPr>
      <w:r/>
      <w:r>
        <w:rPr>
          <w:rFonts w:ascii="Times New Roman" w:hAnsi="Times New Roman" w:eastAsia="宋体"/>
          <w:b/>
          <w:color w:val="000000"/>
          <w:sz w:val="24"/>
        </w:rPr>
        <w:t>对“通过前馈光子神经网络实现多跨光链路非线性失真均衡”的修正</w:t>
      </w:r>
    </w:p>
    <w:p>
      <w:r>
        <w:rPr>
          <w:rFonts w:ascii="Times New Roman" w:hAnsi="Times New Roman" w:eastAsia="宋体"/>
          <w:b/>
          <w:color w:val="003264"/>
          <w:sz w:val="24"/>
        </w:rPr>
        <w:t>Correction to “Nonlinear Distortion Equalization in Multi‐Span Optical Links Via a Feed‐Forward Photonic Neural Network”</w:t>
      </w:r>
    </w:p>
    <w:p>
      <w:r>
        <w:rPr>
          <w:rFonts w:ascii="Times New Roman" w:hAnsi="Times New Roman" w:eastAsia="宋体"/>
          <w:sz w:val="21"/>
        </w:rPr>
        <w:t>作者: Emiliano Staffoli, Elisabetta Ferri, Stefano Gretter, Lorenzo Pavesi</w:t>
        <w:br/>
      </w:r>
      <w:r>
        <w:rPr>
          <w:rFonts w:ascii="Times New Roman" w:hAnsi="Times New Roman" w:eastAsia="宋体"/>
          <w:sz w:val="21"/>
        </w:rPr>
        <w:t xml:space="preserve">时间: 2026-01-26 | </w:t>
      </w:r>
      <w:r>
        <w:t xml:space="preserve">链接: </w:t>
      </w:r>
      <w:hyperlink r:id="rId25">
        <w:r>
          <w:rPr>
            <w:rFonts w:ascii="Times New Roman" w:hAnsi="Times New Roman" w:eastAsia="宋体"/>
            <w:color w:val="0000FF"/>
            <w:sz w:val="21"/>
            <w:u w:val="single"/>
          </w:rPr>
          <w:t>https://doi.org/10.1002/lpor.70909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具有无串扰成像和人类水平灵敏度的自供电光纤触觉传感器</w:t>
      </w:r>
    </w:p>
    <w:p>
      <w:r>
        <w:rPr>
          <w:rFonts w:ascii="Times New Roman" w:hAnsi="Times New Roman" w:eastAsia="宋体"/>
          <w:b/>
          <w:color w:val="003264"/>
          <w:sz w:val="24"/>
        </w:rPr>
        <w:t>A Self‐Powered Optical Fiber Tactile Sensor with Crosstalk‐Free Imaging and Human‐Level Sensitivity</w:t>
      </w:r>
    </w:p>
    <w:p>
      <w:r>
        <w:rPr>
          <w:rFonts w:ascii="Times New Roman" w:hAnsi="Times New Roman" w:eastAsia="宋体"/>
          <w:sz w:val="21"/>
        </w:rPr>
        <w:t>作者: Hongyan Zheng, Yuexi Lu, Yao Xiao, Anping Yang, Haojun Liu, Yongcheng He, Hongyou Zhou, Luyan Liu, Puxian Xiong, Enhai Song, Qianyi Guo, Dengfeng Peng, Zhijun Ma, Zhongmin Yang, Jiulin Gan</w:t>
        <w:br/>
      </w:r>
      <w:r>
        <w:rPr>
          <w:rFonts w:ascii="Times New Roman" w:hAnsi="Times New Roman" w:eastAsia="宋体"/>
          <w:sz w:val="21"/>
        </w:rPr>
        <w:t xml:space="preserve">时间: 2026-01-26 | </w:t>
      </w:r>
      <w:r>
        <w:t xml:space="preserve">链接: </w:t>
      </w:r>
      <w:hyperlink r:id="rId26">
        <w:r>
          <w:rPr>
            <w:rFonts w:ascii="Times New Roman" w:hAnsi="Times New Roman" w:eastAsia="宋体"/>
            <w:color w:val="0000FF"/>
            <w:sz w:val="21"/>
            <w:u w:val="single"/>
          </w:rPr>
          <w:t>https://doi.org/10.1002/lpor.202502761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人造触觉传感器旨在模仿人类触摸，具有高灵敏度、精细的空间分辨率、低检测阈值和快速响应。然而，开发一种集成无串扰大规模阵列、超低功耗以及高效信号传输和解释的类人触觉系统仍然是一个艰巨的挑战。受人类皮肤分层结构和神经通路的启发，我们开发了一种类皮肤光纤触觉传感器。手指状多层复合材料被集成到密集光纤阵列的端面上。这种触觉光子皮肤使用自供电机械发光（ML）材料，实时可视化机械刺激，连接触觉感知和视觉感知。每根光纤独立传输局部发光信号，确保无串扰、高保真空间编码。与面阵 CMOS 成像仪和基于视觉的信号处理算法相结合，该系统实现了人类指尖级的性能：7 kPa 检测阈值、0.4 mm 空间分辨率、86 ms 响应时间和高耐用性。演示包括对字母图案和螺纹的光学识别，以及基于触诊的材料硬度的精确辨别和模拟生物组织中结节异常的定位。这种无电源光学接口为假肢、医疗机器人和人机交互中的高级触觉应用提供了具有实时视觉反馈的节能平台。&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&lt;jats:p&gt;Artificial tactile sensors aim to mimic human touch with high sensitivity, fine spatial resolution, low detection thresholds, and fast response. However, developing a human‐like haptic system that integrates crosstalk‐free large‐scale arrays, ultra‐low power consumption, and efficient signal transmission and interpretation remains a formidable challenge. Inspired by human skin's layered structure and neural pathways, we developed a skin‐like optical fiber tactile sensor. A finger‐like multilayer composite is integrated onto the endsurface of a dense optical fiber array. Using self‐powered mechanoluminescent (ML) materials, this tactile photonic skin visualizes mechanical stimuli in real time, bridging tactile sensing and visual perception. Each optical fiber independently transmits localized luminescent signals, ensuring crosstalk‐free, high‐fidelity spatial encoding. Coupled with an area‐array CMOS imager and vision‐based signal processing algorithms, the system achieves human‐fingertip‐level performance: 7 kPa detection threshold, 0.4 mm spatial resolution, 86 ms response time, and high durability. Demonstrations include optical recognition of alphabetic patterns and screw threads, as well as accurate palpation‐based discrimination of material stiffness and localization of nodular anomalies in simulated biological tissues. This power‐free optical interface offers an energy‐efficient platform with real‐time visual feedback for advanced haptic applications in prosthetics, medical robotics, and human‐machine interaction.&lt;/jats:p&gt;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打破吸收效率范式：通过晶体场工程在 Cr &lt;sup&gt;3+&lt;/sup&gt; 掺杂荧光粉中获得 270% EQE</w:t>
      </w:r>
    </w:p>
    <w:p>
      <w:r>
        <w:rPr>
          <w:rFonts w:ascii="Times New Roman" w:hAnsi="Times New Roman" w:eastAsia="宋体"/>
          <w:b/>
          <w:color w:val="003264"/>
          <w:sz w:val="24"/>
        </w:rPr>
        <w:t>Breaking the Absorption‐Efficiency Paradigm: 270% EQE Gain in Cr                     &lt;sup&gt;3+&lt;/sup&gt;                     ‐Doped Phosphors via Crystal Field Engineering</w:t>
      </w:r>
    </w:p>
    <w:p>
      <w:r>
        <w:rPr>
          <w:rFonts w:ascii="Times New Roman" w:hAnsi="Times New Roman" w:eastAsia="宋体"/>
          <w:sz w:val="21"/>
        </w:rPr>
        <w:t>作者: Mingkai Wei, Yanjun Hao, Xuejie Zhang, Wei Li, Haoran Zhang, Bingfu Lei</w:t>
        <w:br/>
      </w:r>
      <w:r>
        <w:rPr>
          <w:rFonts w:ascii="Times New Roman" w:hAnsi="Times New Roman" w:eastAsia="宋体"/>
          <w:sz w:val="21"/>
        </w:rPr>
        <w:t xml:space="preserve">时间: 2026-01-26 | </w:t>
      </w:r>
      <w:r>
        <w:t xml:space="preserve">链接: </w:t>
      </w:r>
      <w:hyperlink r:id="rId27">
        <w:r>
          <w:rPr>
            <w:rFonts w:ascii="Times New Roman" w:hAnsi="Times New Roman" w:eastAsia="宋体"/>
            <w:color w:val="0000FF"/>
            <w:sz w:val="21"/>
            <w:u w:val="single"/>
          </w:rPr>
          <w:t>https://doi.org/10.1002/lpor.202502794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近红外 (NIR) 荧光粉转换 LED (pc-LED) 对于智能农业和夜视至关重要，但其效率受到荧光粉低外量子效率 (EQE) 的限制。在此，引入Al</w:t>
        <w:br/>
        <w:t xml:space="preserve">                    &lt;贾茨：sup&gt;3+&lt;/贾茨：sup&gt;</w:t>
        <w:br/>
        <w:t xml:space="preserve">                    通过化学取代的离子增加了 GdGa 的 EQE</w:t>
        <w:br/>
        <w:t xml:space="preserve">                    &lt;贾茨：子&gt;2.85&lt;/贾茨：子&gt;</w:t>
        <w:br/>
        <w:t xml:space="preserve">                    （博</w:t>
        <w:br/>
        <w:t xml:space="preserve">                    &lt;贾茨：子&gt;3&lt;/贾茨：子&gt;</w:t>
        <w:br/>
        <w:t xml:space="preserve">                    ）</w:t>
        <w:br/>
        <w:t xml:space="preserve">                    &lt;贾茨：子&gt;4&lt;/贾茨：子&gt;</w:t>
        <w:br/>
        <w:t xml:space="preserve">                    ：0.15Cr</w:t>
        <w:br/>
        <w:t xml:space="preserve">                    &lt;贾茨：sup&gt;3+&lt;/贾茨：sup&gt;</w:t>
        <w:br/>
        <w:t xml:space="preserve">                    近红外荧光粉从8.3%增加到30.7%（相对增加270%）。重要的是，确定了“吸收效率解耦”范式：而铝</w:t>
        <w:br/>
        <w:t xml:space="preserve">                    &lt;贾茨：sup&gt;3+&lt;/贾茨：sup&gt;</w:t>
        <w:br/>
        <w:t xml:space="preserve">                    取代降低了吸光度，经密度泛函理论、漫反射光谱和X射线光电子能谱证实，量子效率显着提高。理论分析和光谱证据表明，优异的 EQE 增益源于 Al</w:t>
        <w:br/>
        <w:t xml:space="preserve">                    &lt;贾茨：sup&gt;3+&lt;/贾茨：sup&gt;</w:t>
        <w:br/>
        <w:t xml:space="preserve">                    诱导晶体场增强和随后的能级重塑。此次改造优化了 Cr</w:t>
        <w:br/>
        <w:t xml:space="preserve">                    &lt;贾茨：sup&gt;3+&lt;/贾茨：sup&gt;</w:t>
        <w:br/>
        <w:t xml:space="preserve">                    通过抑制非辐射跃迁途径并增加辐射跃迁来激发态动力学，从而克服吸收减少的有害影响。优化的荧光粉与蓝色 LED 芯片相结合，产生了 NIR pc-LED，在 100 mA 电流下实现了 41.7 mW 的输出功率和 15.7% 的光电效率。该设备成功展示了精准农业和夜视的潜力。这项工作提供了对“吸收效率解耦”的新颖见解，并为高效 Cr 提供了新的设计策略</w:t>
        <w:br/>
        <w:t xml:space="preserve">                    &lt;贾茨：sup&gt;3+&lt;/贾茨：sup&gt;</w:t>
        <w:br/>
        <w:t xml:space="preserve">                    ‐掺杂近红外荧光粉。</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Near‐infrared (NIR) phosphor‐converted LEDs (pc‐LEDs) are critical for smart agriculture and night vision, but their efficiency is limited by low external quantum efficiency (EQE) of phosphors. Herein, the introduction of Al</w:t>
        <w:br/>
        <w:t xml:space="preserve">                    &lt;jats:sup&gt;3+&lt;/jats:sup&gt;</w:t>
        <w:br/>
        <w:t xml:space="preserve">                    ions via chemical substitution increased the EQE of the GdGa</w:t>
        <w:br/>
        <w:t xml:space="preserve">                    &lt;jats:sub&gt;2.85&lt;/jats:sub&gt;</w:t>
        <w:br/>
        <w:t xml:space="preserve">                    (BO</w:t>
        <w:br/>
        <w:t xml:space="preserve">                    &lt;jats:sub&gt;3&lt;/jats:sub&gt;</w:t>
        <w:br/>
        <w:t xml:space="preserve">                    )</w:t>
        <w:br/>
        <w:t xml:space="preserve">                    &lt;jats:sub&gt;4&lt;/jats:sub&gt;</w:t>
        <w:br/>
        <w:t xml:space="preserve">                    :0.15Cr</w:t>
        <w:br/>
        <w:t xml:space="preserve">                    &lt;jats:sup&gt;3+&lt;/jats:sup&gt;</w:t>
        <w:br/>
        <w:t xml:space="preserve">                    NIR phosphor from 8.3% to 30.7% (a relative increase of 270%). Importantly, an “absorption‐efficiency decoupling” paradigm is identified: while the Al</w:t>
        <w:br/>
        <w:t xml:space="preserve">                    &lt;jats:sup&gt;3+&lt;/jats:sup&gt;</w:t>
        <w:br/>
        <w:t xml:space="preserve">                    substitution reduces the absorbance, confirmed by Density Functional Theory, diffuse reflectance spectra, and X‐ray photoelectron spectroscopy, the quantum efficiency is significantly increased. Theoretical analyses and spectroscopic evidence suggest that the superior EQE gain stems from Al</w:t>
        <w:br/>
        <w:t xml:space="preserve">                    &lt;jats:sup&gt;3+&lt;/jats:sup&gt;</w:t>
        <w:br/>
        <w:t xml:space="preserve">                    ‐induced crystal field enhancement and subsequent energy level remodeling. This remodeling optimizes the Cr</w:t>
        <w:br/>
        <w:t xml:space="preserve">                    &lt;jats:sup&gt;3+&lt;/jats:sup&gt;</w:t>
        <w:br/>
        <w:t xml:space="preserve">                    excited state dynamics by suppressing the non‐radiative transitions pathway and increasing the radiative transitions, thus overcoming the detrimental effects of absorption reduction. The optimized phosphor, combined with a blue LED chip, produced an NIR pc‐LED achieving 41.7 mW output power and 15.7% photoelectric efficiency at 100 mA. The device successfully demonstrated potential for precision agriculture and night vision. This work provides novel insight into “absorption‐efficiency decoupling” and offers a new design strategy for efficient Cr</w:t>
        <w:br/>
        <w:t xml:space="preserve">                    &lt;jats:sup&gt;3+&lt;/jats:sup&gt;</w:t>
        <w:br/>
        <w:t xml:space="preserve">                    ‐doped NIR phosphors.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通过界面改进的光电倍增有机光电探测器实现非接触式活力监测</w:t>
      </w:r>
    </w:p>
    <w:p>
      <w:r>
        <w:rPr>
          <w:rFonts w:ascii="Times New Roman" w:hAnsi="Times New Roman" w:eastAsia="宋体"/>
          <w:b/>
          <w:color w:val="003264"/>
          <w:sz w:val="24"/>
        </w:rPr>
        <w:t>Non‐Contact Vitality Monitoring Enabled by Interface‐Modified Photomultiplication Organic Photodetectors</w:t>
      </w:r>
    </w:p>
    <w:p>
      <w:r>
        <w:rPr>
          <w:rFonts w:ascii="Times New Roman" w:hAnsi="Times New Roman" w:eastAsia="宋体"/>
          <w:sz w:val="21"/>
        </w:rPr>
        <w:t>作者: Muyi Fu, Yazhong Wang, Yunhao Cao, Songtao Liu, Shuaiqi Li, Zhaohong Tan, Yuejia Dou, Sheng Dong, Xiye Yang, Kai Zhang, Fei Huang</w:t>
        <w:br/>
      </w:r>
      <w:r>
        <w:rPr>
          <w:rFonts w:ascii="Times New Roman" w:hAnsi="Times New Roman" w:eastAsia="宋体"/>
          <w:sz w:val="21"/>
        </w:rPr>
        <w:t xml:space="preserve">时间: 2026-01-26 | </w:t>
      </w:r>
      <w:r>
        <w:t xml:space="preserve">链接: </w:t>
      </w:r>
      <w:hyperlink r:id="rId28">
        <w:r>
          <w:rPr>
            <w:rFonts w:ascii="Times New Roman" w:hAnsi="Times New Roman" w:eastAsia="宋体"/>
            <w:color w:val="0000FF"/>
            <w:sz w:val="21"/>
            <w:u w:val="single"/>
          </w:rPr>
          <w:t>https://doi.org/10.1002/lpor.202502775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光电倍增型有机光电探测器 (PM-OPD) 使外部量子效率 (EQE) 超过 100%，提供固有信号放大和简化的电路集成。如此高的灵敏度对于非接触式生理监测至关重要，因为必须远距离精确检测微弱的光信号。然而，它们的实际使用仍然受到高暗电流和缓慢响应的挑战。在这里，我们引入了使用共轭电解质（PFN-Br、NDI-Br）的界面工程，以同时抑制暗电流并定制 ZnO 阴极界面的陷阱态分布。冠军 ZnO/NDI-Br 器件的峰值 EQE 为 6780%，比探测率为 5.3 × 10</w:t>
        <w:br/>
        <w:t xml:space="preserve">                    &lt;贾茨：sup&gt;12&lt;/贾茨：sup&gt;</w:t>
        <w:br/>
        <w:t xml:space="preserve">                    Jones 电压为 −20 V，具有 0.05/0.02 ms 的超快上升和下降时间。这些改进源于增强的电子迁移率和减少的界面陷阱，从而实现高效的电子捕获和空穴隧道注入。利用这些进步，我们展示了一种非接触式生命体征监测系统，能够在 50 厘米处进行高保真心率检测和准确的血氧饱和度 (SpO</w:t>
        <w:br/>
        <w:t xml:space="preserve">                    &lt;贾茨：子&gt;2&lt;/贾茨：子&gt;</w:t>
        <w:br/>
        <w:t xml:space="preserve">                    ）在 20 厘米处测量。这项工作将接口设计的 PM-OPD 建立为下一代远程医疗传感和远程光学检测的有前途的平台。</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Photomultiplication‐type organic photodetectors (PM‐OPDs) enable external quantum efficiencies (EQE) exceeding 100%, providing intrinsic signal amplification and simplified circuit integration. Such high sensitivity is essential for non‐contact physiological monitoring, where weak optical signals must be precisely detected over a distance. However, their practical use remains challenged by high dark current and sluggish response. Here, we introduce interface engineering using conjugated electrolytes (PFN‐Br, NDI‐Br) to simultaneously suppress dark current and tailor trap state distribution at the ZnO cathode interface. The champion ZnO/NDI‐Br device achieved a peak EQE of 6780% and a specific detectivity of 5.3 × 10</w:t>
        <w:br/>
        <w:t xml:space="preserve">                    &lt;jats:sup&gt;12&lt;/jats:sup&gt;</w:t>
        <w:br/>
        <w:t xml:space="preserve">                    Jones at −20 V, along with ultrafast rise and fall times of 0.05/0.02 ms. These improvements originate from enhanced electron mobility and reduced interfacial traps, enabling efficient electron trapping and hole tunneling injections. Leveraging these advances, we demonstrated a non‐contact vital‐sign monitoring system capable of high‐fidelity heart rate detection at 50 cm and accurate blood oxygen saturation (SpO</w:t>
        <w:br/>
        <w:t xml:space="preserve">                    &lt;jats:sub&gt;2&lt;/jats:sub&gt;</w:t>
        <w:br/>
        <w:t xml:space="preserve">                    ) measurement at 20 cm. This work establishes interface‐engineered PM‐OPDs as a promising platform for next‐generation remote medical sensing and long‐range optical detection.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光子晶体中的定制紧束缚耦合</w:t>
      </w:r>
    </w:p>
    <w:p>
      <w:r>
        <w:rPr>
          <w:rFonts w:ascii="Times New Roman" w:hAnsi="Times New Roman" w:eastAsia="宋体"/>
          <w:b/>
          <w:color w:val="003264"/>
          <w:sz w:val="24"/>
        </w:rPr>
        <w:t>Tailored Tight‐Binding Couplings in Photonic Crystals</w:t>
      </w:r>
    </w:p>
    <w:p>
      <w:r>
        <w:rPr>
          <w:rFonts w:ascii="Times New Roman" w:hAnsi="Times New Roman" w:eastAsia="宋体"/>
          <w:sz w:val="21"/>
        </w:rPr>
        <w:t>作者: Junrong Zheng, Jingwen Ma, Zhong‐Qun Tian, Jun Yi</w:t>
        <w:br/>
      </w:r>
      <w:r>
        <w:rPr>
          <w:rFonts w:ascii="Times New Roman" w:hAnsi="Times New Roman" w:eastAsia="宋体"/>
          <w:sz w:val="21"/>
        </w:rPr>
        <w:t xml:space="preserve">时间: 2026-01-26 | </w:t>
      </w:r>
      <w:r>
        <w:t xml:space="preserve">链接: </w:t>
      </w:r>
      <w:hyperlink r:id="rId29">
        <w:r>
          <w:rPr>
            <w:rFonts w:ascii="Times New Roman" w:hAnsi="Times New Roman" w:eastAsia="宋体"/>
            <w:color w:val="0000FF"/>
            <w:sz w:val="21"/>
            <w:u w:val="single"/>
          </w:rPr>
          <w:t>https://doi.org/10.1002/lpor.202502889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紧束缚（TB）模型为探索新颖的光子现象提供了一个通用框架。然而，它在光子晶体（PC）中的忠实实现不仅需要抑制长程耦合，还需要对位点间耦合的幅度和符号进行系统且可扩展的控制。在这里，展示了嵌入光子带隙主机中的周期性缺陷阵列，作为用于 TB 耦合可编程工程的 PC 平台。局部缺陷模式提供了准确的 TB 描述，并且通过调整间隔位点的数量或失谐，可以实现耦合强度的灵活控制以及其符号的稳健、受奇偶校验保护的反转，而无需修改缺陷位点本身。数值模拟证实，该策略以高保真度再现了目标 TB 哈密顿量，并大大扩展了可访问的设计空间，超出了传统 PC 的范围。作为概念证明，实现了经历预测的拓扑转变的 2D Su-Schrieffer-Heeger 晶格和支持莫比乌斯边缘态的非对称结构。这项工作为 PC 中受结核病启发的现象提供了一种通用且可扩展的途径。&lt;/jats:p&gt;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&lt;jats:p&gt;The tight‐binding (TB) model offers a versatile framework for exploring novel photonic phenomena. Its faithful implementation in photonic crystals (PCs), however, requires not only suppressed long‐range couplings but also systematic and scalable control over both the magnitude and the sign of inter‐site couplings. Here, it is demonstrated periodic defect arrays embedded in a photonic band‐gap host as a PCs platform for programmable engineering of TB couplings. The localized defect modes provide an accurate TB description, and by adjusting either the number or the detuning of spacer sites, it is achieved flexible control of the coupling strength together with a robust, parity‐protected reversal of its sign without modifying the defect sites themselves. Numerical simulations confirm that this strategy reproduces the target TB Hamiltonian with high fidelity and greatly expands the accessible design space beyond that of conventional PCs. As proof of concept, a 2D Su–Schrieffer–Heeger lattice that undergoes the predicted topological transition and a nonsymmorphic structure supporting Möbius edge states are implemented. This work provides a versatile and scalable route to TB‐inspired phenomena in PCs.&lt;/jats:p&gt;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用于先进光学应用的透明材料中纳米颗粒的工程局域表面等离子体共振</w:t>
      </w:r>
    </w:p>
    <w:p>
      <w:r>
        <w:rPr>
          <w:rFonts w:ascii="Times New Roman" w:hAnsi="Times New Roman" w:eastAsia="宋体"/>
          <w:b/>
          <w:color w:val="003264"/>
          <w:sz w:val="24"/>
        </w:rPr>
        <w:t>Engineering Localized Surface Plasmon Resonance of Nanoparticles in Transparent Materials for Advanced Optical Applications</w:t>
      </w:r>
    </w:p>
    <w:p>
      <w:r>
        <w:rPr>
          <w:rFonts w:ascii="Times New Roman" w:hAnsi="Times New Roman" w:eastAsia="宋体"/>
          <w:sz w:val="21"/>
        </w:rPr>
        <w:t>作者: Chi Pang, Rang Li, Xia Wang, Weijin Kong, Feng Chen</w:t>
        <w:br/>
      </w:r>
      <w:r>
        <w:rPr>
          <w:rFonts w:ascii="Times New Roman" w:hAnsi="Times New Roman" w:eastAsia="宋体"/>
          <w:sz w:val="21"/>
        </w:rPr>
        <w:t xml:space="preserve">时间: 2026-01-26 | </w:t>
      </w:r>
      <w:r>
        <w:t xml:space="preserve">链接: </w:t>
      </w:r>
      <w:hyperlink r:id="rId30">
        <w:r>
          <w:rPr>
            <w:rFonts w:ascii="Times New Roman" w:hAnsi="Times New Roman" w:eastAsia="宋体"/>
            <w:color w:val="0000FF"/>
            <w:sz w:val="21"/>
            <w:u w:val="single"/>
          </w:rPr>
          <w:t>https://doi.org/10.1002/lpor.202502571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&lt;jats:p&gt;嵌入透明固态材料中的纳米粒子的局域表面等离子体共振 (LSPR) 为需要精确光谱定位、强场定位和长期稳定性的集成光子和光电器件提供了强大的平台。这篇综述将透明主体中等离子体纳米结构的基础知识与工程策略和应用联系起来。我们总结了固体中金属物质的形成和演化，以及由此产生的跨尺寸范围的光学特性，涵盖线性和非线性响应。我们确定了将纳米结构特性与器件功能联系起来的三种能量转换机制：（i）近场增强，（ii）热载流子过程，以及（iii）光热效应。在此基础上，我们强调预嵌入纳米结构的制造后形态重构作为可编程局域表面等离子体共振控制的主要途径，并通过驱动模式（热、电场驱动和化学）和刺激模式（光子、电子、离子或外部场）组织代表性方法。然后，我们回顾了非线性和集成光子学和光电能量转换中的应用，重点介绍了嵌入式等离子体共振如何提高设备性能。最后，我们讨论了可扩展、空间可编程等离子体激元的实际挑战和新兴机遇，包括通过协调光束/激光/热/化学路线实现的掩埋界面控制和可重复处理。&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&lt;jats:p&gt;Localized surface plasmon resonance (LSPR) of nanoparticles embedded in transparent solid‐state materials provides a robust platform for integrated photonic and optoelectronic devices requiring precise spectral positioning, strong field localization, and long‐term stability. This review links fundamentals to engineering strategies and applications for plasmonic nanostructures in transparent hosts. We summarize the formation and evolution of metallic species in solids and the resulting optical properties across size regimes, covering both linear and nonlinear responses. We identify three energy‐transduction mechanisms that connect nanostructure properties to device functionality: (i) near‐field enhancement, (ii) hot‐carrier processes, and (iii) photothermal effects. Building on these foundations, we emphasize post‐fabrication morphology reconfiguration of pre‐embedded nanostructures as a primary route to programmable LSPR control, and organize representative approaches by actuation mode (thermal, electric‐field–driven, and chemistry‐based) and stimulus modality (photons, electrons, ions, or external fields). We then review applications in nonlinear and integrated photonics and optoelectronic energy conversion, highlighting how embedded plasmonic resonances improve device performance. Finally, we discuss practical challenges and emerging opportunities toward scalable, spatially programmable plasmonics, including control of buried interfaces and reproducible processing enabled by coordinated beam/laser/thermal/chemical routes.&lt;/jats:p&gt;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Vis. Comput. Graph</w:t>
      </w:r>
    </w:p>
    <w:p>
      <w:pPr>
        <w:jc w:val="center"/>
      </w:pPr>
      <w:r>
        <w:t>--- 更新: 06:28 ---</w:t>
      </w:r>
    </w:p>
    <w:p>
      <w:pPr>
        <w:pStyle w:val="Heading2"/>
      </w:pPr>
      <w:r/>
      <w:r>
        <w:rPr>
          <w:rFonts w:ascii="Times New Roman" w:hAnsi="Times New Roman" w:eastAsia="宋体"/>
          <w:b/>
          <w:color w:val="000000"/>
          <w:sz w:val="24"/>
        </w:rPr>
        <w:t>规模如何打破“标准化压力”和 KL 分歧：重新思考质量指标</w:t>
      </w:r>
    </w:p>
    <w:p>
      <w:r>
        <w:rPr>
          <w:rFonts w:ascii="Times New Roman" w:hAnsi="Times New Roman" w:eastAsia="宋体"/>
          <w:b/>
          <w:color w:val="003264"/>
          <w:sz w:val="24"/>
        </w:rPr>
        <w:t>How Scale Breaks “Normalized Stress” and KL Divergence: Rethinking Quality Metrics</w:t>
      </w:r>
    </w:p>
    <w:p>
      <w:r>
        <w:rPr>
          <w:rFonts w:ascii="Times New Roman" w:hAnsi="Times New Roman" w:eastAsia="宋体"/>
          <w:sz w:val="21"/>
        </w:rPr>
        <w:t>作者: Kiran Smelser, Kaviru Gunaratne, Jacob Miller, Stephen Kobourov</w:t>
        <w:br/>
      </w:r>
      <w:r>
        <w:rPr>
          <w:rFonts w:ascii="Times New Roman" w:hAnsi="Times New Roman" w:eastAsia="宋体"/>
          <w:sz w:val="21"/>
        </w:rPr>
        <w:t xml:space="preserve">时间: 2026 | </w:t>
      </w:r>
      <w:r>
        <w:t xml:space="preserve">链接: </w:t>
      </w:r>
      <w:hyperlink r:id="rId31">
        <w:r>
          <w:rPr>
            <w:rFonts w:ascii="Times New Roman" w:hAnsi="Times New Roman" w:eastAsia="宋体"/>
            <w:color w:val="0000FF"/>
            <w:sz w:val="21"/>
            <w:u w:val="single"/>
          </w:rPr>
          <w:t>https://doi.org/10.1109/tvcg.2026.3657654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复杂的高维数据在许多科学学科中普遍存在，包括机器学习、生物学和社会科学。可视化这些数据集的主要方法之一是使用二维散点图，直观地捕获数据的某些属性。由于直观地确定这些图的准确性具有挑战性，因此研究人员经常使用质量指标来衡量投影的准确性和对原始数据的忠实度。最常用的指标之一，标准化压力，对投影的均匀缩放（拉伸、收缩）敏感，尽管这种行为不会对投影产生任何有意义的改变。另一个质量指标，即流行的 t 分布随机邻域嵌入 (t-SNE) 技术中使用的 Kullback-Leibler (KL) 散度，也容易受到这种尺度敏感性的影响。我们通过分析和实证研究缩放对应力和 KL 散度的影响，通过显示值的变化量以及这如何影响降维技术评估。我们引入了一种简单的技术来使两个指标都具有尺度不变性，并表明它可以准确地捕获小基准上的预期行为。</w:t>
      </w:r>
    </w:p>
    <w:p>
      <w:pPr>
        <w:spacing w:before="120"/>
      </w:pPr>
      <w:r>
        <w:rPr>
          <w:rFonts w:ascii="Times New Roman" w:hAnsi="Times New Roman" w:eastAsia="宋体"/>
          <w:b/>
          <w:sz w:val="21"/>
        </w:rPr>
        <w:t>English Abstract:</w:t>
      </w:r>
    </w:p>
    <w:p>
      <w:r>
        <w:rPr>
          <w:rFonts w:ascii="Times New Roman" w:hAnsi="Times New Roman" w:eastAsia="宋体"/>
          <w:sz w:val="21"/>
        </w:rPr>
        <w:t>Complex, high-dimensional data is ubiquitous across many scientific disciplines, including machine learning, biology, and the social sciences. One of the primary methods of visualizing these datasets is with two-dimensional scatter plots that visually capture some properties of the data. Because visually determining the accuracy of these plots is challenging, researchers often use quality metrics to measure the projection's accuracy and faithfulness to the original data. One of the most commonly employed metrics, normalized stress, is sensitive to uniform scaling (stretching, shrinking) of the projection, despite this act not meaningfully changing anything about the projection. Another quality metric, the Kullback–Leibler (KL) divergence used in the popular t-Distributed Stochastic Neighbor Embedding (t-SNE) technique, is also susceptible to this scale sensitivity. We investigate the effect of scaling on stress and KL divergence analytically and empirically by showing just how much the values change and how this affects dimension reduction technique evaluations. We introduce a simple technique to make both metrics scale-invariant and show that it accurately captures expected behavior on a small benchmark.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忘却比较器：用于比较评估机器忘却方法的视觉分析系统</w:t>
      </w:r>
    </w:p>
    <w:p>
      <w:r>
        <w:rPr>
          <w:rFonts w:ascii="Times New Roman" w:hAnsi="Times New Roman" w:eastAsia="宋体"/>
          <w:b/>
          <w:color w:val="003264"/>
          <w:sz w:val="24"/>
        </w:rPr>
        <w:t>Unlearning Comparator: a Visual Analytics System for Comparative Evaluation of Machine Unlearning Methods</w:t>
      </w:r>
    </w:p>
    <w:p>
      <w:r>
        <w:rPr>
          <w:rFonts w:ascii="Times New Roman" w:hAnsi="Times New Roman" w:eastAsia="宋体"/>
          <w:sz w:val="21"/>
        </w:rPr>
        <w:t>作者: Jaeung Lee, Suhyeon Yu, Yurim Jang, Simon S. Woo, Jaemin Jo</w:t>
        <w:br/>
      </w:r>
      <w:r>
        <w:rPr>
          <w:rFonts w:ascii="Times New Roman" w:hAnsi="Times New Roman" w:eastAsia="宋体"/>
          <w:sz w:val="21"/>
        </w:rPr>
        <w:t xml:space="preserve">时间: 2026 | </w:t>
      </w:r>
      <w:r>
        <w:t xml:space="preserve">链接: </w:t>
      </w:r>
      <w:hyperlink r:id="rId32">
        <w:r>
          <w:rPr>
            <w:rFonts w:ascii="Times New Roman" w:hAnsi="Times New Roman" w:eastAsia="宋体"/>
            <w:color w:val="0000FF"/>
            <w:sz w:val="21"/>
            <w:u w:val="single"/>
          </w:rPr>
          <w:t>https://doi.org/10.1109/tvcg.2026.3658325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机器取消学习（MU）旨在从训练好的模型中删除目标训练数据，使删除的数据不再影响模型的行为，履行数据隐私法下的“被遗忘权”义务。然而，我们观察到，这个快速新兴领域的研究人员在分析和理解不同 MU 方法的行为方面面临挑战，特别是在 MU 的三个基本原则方面：准确性、效率和隐私。因此，他们通常依赖于总体指标和临时评估，从而很难准确评估方法之间的权衡。为了填补这一空白，我们引入了可视化分析系统 Unlearning Comparator，旨在促进 MU 方法的系统评估。我们的系统支持评估过程中的两个重要任务：模型比较和攻击模拟。首先，它允许用户在类、实例和层级别上比较两个模型的行为，例如通过某种方法生成的模型和重新训练的基线，以更好地理解取消学习后所做的更改。其次，我们的系统模拟成员推理攻击（MIA）来评估方法的隐私性，其中攻击者试图确定特定数据样本是否是原始训练集的一部分。我们通过案例研究对著名的 MU 方法进行可视化分析来评估我们的系统，并证明它不仅可以帮助用户理解模型行为，还可以获得可以指导 MU 方法改进的见解。源代码可在 https://github.com/gnueaj/Machine-Unlearning-Comparator 上公开获取。</w:t>
      </w:r>
    </w:p>
    <w:p>
      <w:pPr>
        <w:spacing w:before="120"/>
      </w:pPr>
      <w:r>
        <w:rPr>
          <w:rFonts w:ascii="Times New Roman" w:hAnsi="Times New Roman" w:eastAsia="宋体"/>
          <w:b/>
          <w:sz w:val="21"/>
        </w:rPr>
        <w:t>English Abstract:</w:t>
      </w:r>
    </w:p>
    <w:p>
      <w:r>
        <w:rPr>
          <w:rFonts w:ascii="Times New Roman" w:hAnsi="Times New Roman" w:eastAsia="宋体"/>
          <w:sz w:val="21"/>
        </w:rPr>
        <w:t>Machine Unlearning (MU) aims to remove target training data from a trained model so that the removed data no longer influences the model's behavior, fulfilling"right to be forgotten"obligations under data privacy laws. Yet, we observe that researchers in this rapidly emerging field face challenges in analyzing and understanding the behavior of different MU methods, especially in terms of three fundamental principles in MU: accuracy, efficiency, and privacy. Consequently, they often rely on aggregate metrics and ad-hoc evaluations, making it difficult to accurately assess the trade-offs between methods. To fill this gap, we introduce a visual analytics system, Unlearning Comparator, designed to facilitate the systematic evaluation of MU methods. Our system supports two important tasks in the evaluation process: model comparison and attack simulation. First, it allows the user to compare the behaviors of two models, such as a model generated by a certain method and a retrained baseline, at class-, instance-, and layer-levels to better understand the changes made after unlearning. Second, our system simulates membership inference attacks (MIAs) to evaluate the privacy of a method, where an attacker attempts to determine whether specific data samples were part of the original training set. We evaluate our system through a case study visually analyzing prominent MU methods and demonstrate that it helps the user not only understand model behaviors but also gain insights that can inform the improvement of MU methods. The source code is publicly available at https://github.com/gnueaj/Machine-Unlearning-Comparator.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Sketch2Avatar：根据手绘草图生成 360° 几何引导的 3D 全身人体</w:t>
      </w:r>
    </w:p>
    <w:p>
      <w:r>
        <w:rPr>
          <w:rFonts w:ascii="Times New Roman" w:hAnsi="Times New Roman" w:eastAsia="宋体"/>
          <w:b/>
          <w:color w:val="003264"/>
          <w:sz w:val="24"/>
        </w:rPr>
        <w:t>Sketch2Avatar: Geometry-Guided 3D Full-Body Human Generation in 360° from Hand-Drawn Sketches</w:t>
      </w:r>
    </w:p>
    <w:p>
      <w:r>
        <w:rPr>
          <w:rFonts w:ascii="Times New Roman" w:hAnsi="Times New Roman" w:eastAsia="宋体"/>
          <w:sz w:val="21"/>
        </w:rPr>
        <w:t>作者: Ziwei Chen, Qiang Li, Jie Zhang, Anthony Kong, Ping Li</w:t>
        <w:br/>
      </w:r>
      <w:r>
        <w:rPr>
          <w:rFonts w:ascii="Times New Roman" w:hAnsi="Times New Roman" w:eastAsia="宋体"/>
          <w:sz w:val="21"/>
        </w:rPr>
        <w:t xml:space="preserve">时间: 2026 | </w:t>
      </w:r>
      <w:r>
        <w:t xml:space="preserve">链接: </w:t>
      </w:r>
      <w:hyperlink r:id="rId33">
        <w:r>
          <w:rPr>
            <w:rFonts w:ascii="Times New Roman" w:hAnsi="Times New Roman" w:eastAsia="宋体"/>
            <w:color w:val="0000FF"/>
            <w:sz w:val="21"/>
            <w:u w:val="single"/>
          </w:rPr>
          <w:t>https://doi.org/10.1109/tvcg.2026.3657593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 360° 全身人体在数字娱乐、在线教育和艺术设计中具有广泛的应用。现有的作品主要依靠身体姿势等粗略条件来指导生成，缺乏对合成结果的详细控制。关于这一限制，草图提供了一种有前途的替代方案，作为一种表达条件，可以实现更明确和精确的控制。然而，目前基于草图的生成方法主要集中在人脸或常见物体上，如何将草图转换为 360° 全身人体仍有待探索。我们首先提出两种简单的策略：将基于草图的 3D 人脸生成应用于全身人体，或通过两阶段方法将基于草图的 2D 人体生成提升为 3D 格式。不幸的是，这两种方法都会导致发电质量下降得令人不满意。为了弥补这一差距，在这项工作中，我们提出了 Sketch2Avatar，这是第一个通过手绘草图实现 3D 全身人体生成的生成模型。我们的模型能够利用从草图提取的几何信息来指导 3D 表示生成和神经渲染，从而合成草图对齐且 360° 一致的全身人体图像。具体来说，我们提出草图引导的 3D 表示生成来对 3D 人体进行建模，并保持输入草图和生成的人体之间的对齐。我们基于变压器的生成器结合了空间特征引导和源自草图的潜在调制，以生成高质量的 3D 表示。此外，我们设计的身体感知神经渲染利用草图中的 3D 人体先验，简化了关节式身体姿势和复杂身体形状的学习。为了训练和评估我们的模型，我们构建了一个大型数据集，其中包含大约 19K 2D 全身人体图像及其相应的手绘风格草图。实验结果表明，我们的 Sketch2Avatar 可以将手绘草图转换为逼真的 360° 全身人体图像，并具有精确的草图与人体对齐。消融研究进一步验证了我们设计选择的有效性。我们的项目公开于：https://richardchen20.github.io/Sketch2Avatar</w:t>
      </w:r>
    </w:p>
    <w:p>
      <w:pPr>
        <w:spacing w:before="120"/>
      </w:pPr>
      <w:r>
        <w:rPr>
          <w:rFonts w:ascii="Times New Roman" w:hAnsi="Times New Roman" w:eastAsia="宋体"/>
          <w:b/>
          <w:sz w:val="21"/>
        </w:rPr>
        <w:t>English Abstract:</w:t>
      </w:r>
    </w:p>
    <w:p>
      <w:r>
        <w:rPr>
          <w:rFonts w:ascii="Times New Roman" w:hAnsi="Times New Roman" w:eastAsia="宋体"/>
          <w:sz w:val="21"/>
        </w:rPr>
        <w:t>Generating full-body humans in 360° has broad applications in digital entertainment, online education and art design. Existing works primarily rely on coarse conditions such as body pose to guide the generation, lacking detailed control over the synthesized results. Regarding this limitation, sketches offer a promising alternative as an expressive condition that enables more explicit and precise control. However, current sketch-based generation methods focus on faces or common objects, how to transfer sketches into 360° full-body humans remains unexplored. We first propose two straightforward strategies: adapting sketch-based 3D face generation to full-body human or lifting sketch-based 2D human generation to 3D format through a two-stage approach. Unfortunately, both methods result in unsatisfactory degradation of generation quality. To bridge this gap, in this work, we propose Sketch2Avatar, the first generative model to achieve 3D full-body human generation from hand-drawn sketches. Our model is capable of synthesizing sketch-aligned and 360°-consistent full-body human images by leveraging the geometry information extracted from sketches to guide the 3D representation generation and neural rendering. Specifically, we propose sketch-guided 3D representation generation to model the 3D human and maintain the alignment between input sketches and generated humans. Our transformer-based generator incorporates spatial feature guidance and latent modulation derived from sketches to produce high-quality 3D representations. Additionally, our designed body aware neural rendering utilizes 3D human body priors from sketches, simplifying the learning of articulated body poses and complex body shapes. To train and evaluate our model, we construct a large-scale dataset comprising approximately 19K 2D full-body human images and their corresponding sketches in a hand-drawn style. Experimental results demonstrate that our Sketch2Avatar can transfer hand-drawn sketches into photo-realistic 360° full-body human images with precise sketch-human alignment. Ablation studies further validate the effectiveness of our design choices. Our project is publicly available at: https://richardchen20.github.io/Sketch2Avatar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调节虚拟现实中的力度感觉：基于参数的触觉反馈方法</w:t>
      </w:r>
    </w:p>
    <w:p>
      <w:r>
        <w:rPr>
          <w:rFonts w:ascii="Times New Roman" w:hAnsi="Times New Roman" w:eastAsia="宋体"/>
          <w:b/>
          <w:color w:val="003264"/>
          <w:sz w:val="24"/>
        </w:rPr>
        <w:t>Modulating Effort Sensations in virtual reality: A Parameter-Based Haptic Feedback Approach</w:t>
      </w:r>
    </w:p>
    <w:p>
      <w:r>
        <w:rPr>
          <w:rFonts w:ascii="Times New Roman" w:hAnsi="Times New Roman" w:eastAsia="宋体"/>
          <w:sz w:val="21"/>
        </w:rPr>
        <w:t>作者: Yann Glémarec, Tom Roy, Quentin Galvane, Gurvan Lécuyer, Anatole Lécuyer, Ferran Argelaguet</w:t>
        <w:br/>
      </w:r>
      <w:r>
        <w:rPr>
          <w:rFonts w:ascii="Times New Roman" w:hAnsi="Times New Roman" w:eastAsia="宋体"/>
          <w:sz w:val="21"/>
        </w:rPr>
        <w:t xml:space="preserve">时间: 2026 | </w:t>
      </w:r>
      <w:r>
        <w:t xml:space="preserve">链接: </w:t>
      </w:r>
      <w:hyperlink r:id="rId34">
        <w:r>
          <w:rPr>
            <w:rFonts w:ascii="Times New Roman" w:hAnsi="Times New Roman" w:eastAsia="宋体"/>
            <w:color w:val="0000FF"/>
            <w:sz w:val="21"/>
            <w:u w:val="single"/>
          </w:rPr>
          <w:t>https://doi.org/10.1109/tvcg.2026.3657634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虚拟现实变得越来越流行，现代触觉设备，例如振动触觉服、触觉手套和力反馈控制器，提供了虚拟环境中的新交互方式，显着增强了用户体验。当与虚拟对象交互时，视觉和触觉反馈相结合，模拟抓握、举起或移动真实对象的物理感觉。这种感觉运动反馈对于诱导存在感和代理感至关重要，但在缺乏可靠触觉提示的情况下再现仍然具有挑战性。在本研究中，我们使用振动触觉设计参数的组合来设计和评估几种触觉隐喻，以模拟与轻到重物体相关的举升力。这些参数包括原始信号、强度、空间密度、传播和时间密度。我们的贡献是三重的。首先，我们提出了一种通过空间和时间密度扩展信号强度来调节感知体力的方法，这些信号强度共同反映了举起物体所需的力。其次，我们提出了一项用户研究，参与者比较了触觉效果，并根据感知的提升力、舒适度和信心对它们进行了排名，从而使我们能够评估每个参数的影响。第三，我们报告了第二项研究的结果，其中参与者评估了举起不同虚拟物体时的振动触觉效果。研究结果证实了强度和空间密度的重要性，以及图形表示对感知努力的影响。这项研究为设计支持触觉的虚拟现实系统提供了实用的见解，并为寻求创建更具表现力和可信的振动触觉交互的开发人员提供了指导。</w:t>
      </w:r>
    </w:p>
    <w:p>
      <w:pPr>
        <w:spacing w:before="120"/>
      </w:pPr>
      <w:r>
        <w:rPr>
          <w:rFonts w:ascii="Times New Roman" w:hAnsi="Times New Roman" w:eastAsia="宋体"/>
          <w:b/>
          <w:sz w:val="21"/>
        </w:rPr>
        <w:t>English Abstract:</w:t>
      </w:r>
    </w:p>
    <w:p>
      <w:r>
        <w:rPr>
          <w:rFonts w:ascii="Times New Roman" w:hAnsi="Times New Roman" w:eastAsia="宋体"/>
          <w:sz w:val="21"/>
        </w:rPr>
        <w:t>Virtual reality is becoming increasingly popular, and modern haptic equipment, such as vibrotactile suits, haptic gloves, and force-feedback controllers, offers new means of interaction within virtual environments, significantly enhancing user experience. When interacting with virtual objects, combined visual and haptic feedback simulates the physical sensations of grasping, lifting, or moving real objects. This sensorimotor feedback is essential for inducing a sense of presence and agency, yet it remains challenging to reproduce in the absence of reliable haptic cues. In this study, we design and evaluate several haptic metaphors using combinations of vibrotactile design parameters to simulate the lifting effort associated with light to heavy objects. These parameters include primitive signals, intensity, spatial density, propagation, and temporal density. Our contribution is threefold. First, we propose a method for modulating perceived physical effort by extending signal intensity with spatial and temporal density, which together reflect the effort required to lift an object. Second, we present a user study in which participants compared haptic effects and ranked them according to perceived lifting effort, comfort, and confidence, allowing us to assess the influence of each parameter. Third, we report the results of a second study in which participants evaluated vibrotactile effects when lifting different virtual objects. The findings confirm the importance of intensity and spatial density, as well as the influence of graphical representation on perceived effort. This research provides practical insights for designing haptic-enabled virtual reality systems and offers guidance for developers seeking to create more expressive and believable vibrotactile interactions.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CoreEditor：用于一致 3D 编辑的对应约束扩散</w:t>
      </w:r>
    </w:p>
    <w:p>
      <w:r>
        <w:rPr>
          <w:rFonts w:ascii="Times New Roman" w:hAnsi="Times New Roman" w:eastAsia="宋体"/>
          <w:b/>
          <w:color w:val="003264"/>
          <w:sz w:val="24"/>
        </w:rPr>
        <w:t>CoreEditor: Correspondence-constrained Diffusion for Consistent 3D Editing</w:t>
      </w:r>
    </w:p>
    <w:p>
      <w:r>
        <w:rPr>
          <w:rFonts w:ascii="Times New Roman" w:hAnsi="Times New Roman" w:eastAsia="宋体"/>
          <w:sz w:val="21"/>
        </w:rPr>
        <w:t>作者: Zhe Zhu, Honghua Chen, Peng Li, Mingqiang Wei</w:t>
        <w:br/>
      </w:r>
      <w:r>
        <w:rPr>
          <w:rFonts w:ascii="Times New Roman" w:hAnsi="Times New Roman" w:eastAsia="宋体"/>
          <w:sz w:val="21"/>
        </w:rPr>
        <w:t xml:space="preserve">时间: 2026 | </w:t>
      </w:r>
      <w:r>
        <w:t xml:space="preserve">链接: </w:t>
      </w:r>
      <w:hyperlink r:id="rId35">
        <w:r>
          <w:rPr>
            <w:rFonts w:ascii="Times New Roman" w:hAnsi="Times New Roman" w:eastAsia="宋体"/>
            <w:color w:val="0000FF"/>
            <w:sz w:val="21"/>
            <w:u w:val="single"/>
          </w:rPr>
          <w:t>https://doi.org/10.1109/tvcg.2026.3657658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文本驱动的 3D 编辑是一项新兴任务，重点是根据文本提示修改场景。当前的方法通常使预先训练的 2D 图像编辑器适应多视图观察，使用特定的策略来组合跨视图的信息。然而，这些方法仍然难以确保视图之间的一致性，因为它们缺乏对信息共享的精确控制，导致编辑时视觉变化不足和细节模糊。在本文中，我们提出了 CoreEditor，这是一种用于一致文本到 3D 编辑的新颖框架。我们方法的核心是一种新颖的对应约束注意机制，它强制对应像素之间的结构化交互，这些像素预计在扩散去噪过程中保持视觉一致。与仅依赖于场景几何的传统智慧不同，我们通过结合从扩散去噪过程中得出的语义相似性来增强对应性。几何和语义的结合支持确保了强大的多视图编辑过程。此外，我们还引入了选择性编辑管道，使用户能够从多个候选内容中选择自己喜欢的编辑，从而创建更灵活且以用户为中心的 3D 编辑流程。大量实验证明了 CoreEditor 的有效性，显示了其生成高质量 3D 编辑的能力，显着优于现有方法。</w:t>
      </w:r>
    </w:p>
    <w:p>
      <w:pPr>
        <w:spacing w:before="120"/>
      </w:pPr>
      <w:r>
        <w:rPr>
          <w:rFonts w:ascii="Times New Roman" w:hAnsi="Times New Roman" w:eastAsia="宋体"/>
          <w:b/>
          <w:sz w:val="21"/>
        </w:rPr>
        <w:t>English Abstract:</w:t>
      </w:r>
    </w:p>
    <w:p>
      <w:r>
        <w:rPr>
          <w:rFonts w:ascii="Times New Roman" w:hAnsi="Times New Roman" w:eastAsia="宋体"/>
          <w:sz w:val="21"/>
        </w:rPr>
        <w:t>Text-driven 3D editing is an emerging task that focuses on modifying scenes based on text prompts. Current methods often adapt pre-trained 2D image editors to multi-view observations, using specific strategies to combine information across views. However, these approaches still struggle with ensuring consistency across views, as they lack precise control over the sharing of information, resulting in edits with insufficient visual changes and blurry details. In this paper, we propose CoreEditor, a novel framework for consistent text-to-3D editing. At the core of our approach is a novel correspondence-constrained attention mechanism, which enforces structured interactions between corresponding pixels that are expected to remain visually consistent during the diffusion denoising process. Unlike conventional wisdom that relies solely on scene geometry, we enhance the correspondence by incorporating semantic similarity derived from the diffusion denoising process. This combined support from both geometry and semantics ensures a robust multi-view editing process. Additionally, we introduce a selective editing pipeline that enables users to choose their preferred edits from multiple candidates, creating a more flexible and user-centered 3D editing process. Extensive experiments demonstrate the effectiveness of CoreEditor, showing its ability to generate high-quality 3D edits, significantly outperforming existing methods.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06:28 ---</w:t>
      </w:r>
    </w:p>
    <w:p>
      <w:pPr>
        <w:pStyle w:val="Heading2"/>
      </w:pPr>
      <w:r/>
      <w:r>
        <w:rPr>
          <w:rFonts w:ascii="Times New Roman" w:hAnsi="Times New Roman" w:eastAsia="宋体"/>
          <w:b/>
          <w:color w:val="000000"/>
          <w:sz w:val="24"/>
        </w:rPr>
        <w:t>具有斜面的紫外 GaN 基超辐射发光二极管</w:t>
      </w:r>
    </w:p>
    <w:p>
      <w:r>
        <w:rPr>
          <w:rFonts w:ascii="Times New Roman" w:hAnsi="Times New Roman" w:eastAsia="宋体"/>
          <w:b/>
          <w:color w:val="003264"/>
          <w:sz w:val="24"/>
        </w:rPr>
        <w:t>Ultraviolet GaN-Based Superluminescent Diodes with Inclined Facets</w:t>
      </w:r>
    </w:p>
    <w:p>
      <w:r>
        <w:rPr>
          <w:rFonts w:ascii="Times New Roman" w:hAnsi="Times New Roman" w:eastAsia="宋体"/>
          <w:sz w:val="21"/>
        </w:rPr>
        <w:t>作者: Huabin Yu, Yuanpeng Wu, Yifu Guo, Danhao Wang, Jiangnan Liu, David He, Shubham Mondal, Yixin Xiao, Md Mehedi Hasan Tanim, Di Liang, Zetian Mi</w:t>
        <w:br/>
      </w:r>
      <w:r>
        <w:rPr>
          <w:rFonts w:ascii="Times New Roman" w:hAnsi="Times New Roman" w:eastAsia="宋体"/>
          <w:sz w:val="21"/>
        </w:rPr>
        <w:t xml:space="preserve">时间: 2026-01-26 | </w:t>
      </w:r>
      <w:r>
        <w:t xml:space="preserve">链接: </w:t>
      </w:r>
      <w:hyperlink r:id="rId36">
        <w:r>
          <w:rPr>
            <w:rFonts w:ascii="Times New Roman" w:hAnsi="Times New Roman" w:eastAsia="宋体"/>
            <w:color w:val="0000FF"/>
            <w:sz w:val="21"/>
            <w:u w:val="single"/>
          </w:rPr>
          <w:t>https://doi.org/10.1021/acsphotonics.5c02007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Comp. Imaging</w:t>
      </w:r>
    </w:p>
    <w:p>
      <w:pPr>
        <w:jc w:val="center"/>
      </w:pPr>
      <w:r>
        <w:t>--- 更新: 06:28 ---</w:t>
      </w:r>
    </w:p>
    <w:p>
      <w:pPr>
        <w:pStyle w:val="Heading2"/>
      </w:pPr>
      <w:r/>
      <w:r>
        <w:rPr>
          <w:rFonts w:ascii="Times New Roman" w:hAnsi="Times New Roman" w:eastAsia="宋体"/>
          <w:b/>
          <w:color w:val="000000"/>
          <w:sz w:val="24"/>
        </w:rPr>
        <w:t>用于动态 MRI 重建的时空图</w:t>
      </w:r>
    </w:p>
    <w:p>
      <w:r>
        <w:rPr>
          <w:rFonts w:ascii="Times New Roman" w:hAnsi="Times New Roman" w:eastAsia="宋体"/>
          <w:b/>
          <w:color w:val="003264"/>
          <w:sz w:val="24"/>
        </w:rPr>
        <w:t>Spatiotemporal Maps for Dynamic MRI Reconstruction</w:t>
      </w:r>
    </w:p>
    <w:p>
      <w:r>
        <w:rPr>
          <w:rFonts w:ascii="Times New Roman" w:hAnsi="Times New Roman" w:eastAsia="宋体"/>
          <w:sz w:val="21"/>
        </w:rPr>
        <w:t>作者: Rodrigo A. Lobos, Xiaokai Wang, Rex T. L. Fung, Yongli He, David Frey, Dinank Gupta, Zhongming Liu, Jeffrey A. Fessler, Douglas C. Noll</w:t>
        <w:br/>
      </w:r>
      <w:r>
        <w:rPr>
          <w:rFonts w:ascii="Times New Roman" w:hAnsi="Times New Roman" w:eastAsia="宋体"/>
          <w:sz w:val="21"/>
        </w:rPr>
        <w:t xml:space="preserve">时间: 2026 | </w:t>
      </w:r>
      <w:r>
        <w:t xml:space="preserve">链接: </w:t>
      </w:r>
      <w:hyperlink r:id="rId37">
        <w:r>
          <w:rPr>
            <w:rFonts w:ascii="Times New Roman" w:hAnsi="Times New Roman" w:eastAsia="宋体"/>
            <w:color w:val="0000FF"/>
            <w:sz w:val="21"/>
            <w:u w:val="single"/>
          </w:rPr>
          <w:t>https://doi.org/10.1109/tci.2026.3657289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部分可分离函数 (PSF) 模型通常用于动态 MRI 重建，这也是许多重建方法（包括依赖低秩假设的重建方法）中的基础信号模型。尽管 PSF 模型在多种应用中提供了动态 MRI 信号的简约表示，但在体素在不同空间位置呈现不同时间/频谱特征的情况下，其表示能力往往会下降。在这项工作中，我们通过提出一种称为时空图（STM）的新模型来解释这一限制，该模型利用（k，t）空间的自回归特性。 STM 模型将时空 MRI 信号分解为一组分量之和，每个分量由空间函数和取决于空间位置的时间函数之间的乘积组成。所提出的模型可以解释为 PSF 模型的扩展，其时间函数与空间位置无关。我们证明，通过使用先进的信号处理和随机线性代数技术，可以根据自动校准数据有效地计算时空图，从而使 STM 能够用作加速动态 MRI 的许多重建框架的一部分。作为概念验证插图，我们表明 STM 可用于重建 2D 单通道动物胃肠道 MRI 数据和 3D 多通道人体功能 MRI 数据。</w:t>
      </w:r>
    </w:p>
    <w:p>
      <w:pPr>
        <w:spacing w:before="120"/>
      </w:pPr>
      <w:r>
        <w:rPr>
          <w:rFonts w:ascii="Times New Roman" w:hAnsi="Times New Roman" w:eastAsia="宋体"/>
          <w:b/>
          <w:sz w:val="21"/>
        </w:rPr>
        <w:t>English Abstract:</w:t>
      </w:r>
    </w:p>
    <w:p>
      <w:r>
        <w:rPr>
          <w:rFonts w:ascii="Times New Roman" w:hAnsi="Times New Roman" w:eastAsia="宋体"/>
          <w:sz w:val="21"/>
        </w:rPr>
        <w:t>The partially separable functions (PSF) model is commonly adopted in dynamic MRI reconstruction, as is the underlying signal model in many reconstruction methods including the ones relying on low-rank assumptions. Even though the PSF model offers a parsimonious representation of the dynamic MRI signal in several applications, its representation capabilities tend to decrease in scenarios where voxels present different temporal/spectral characteristics at different spatial locations. In this work we account for this limitation by proposing a new model, called spatiotemporal maps (STMs), that leverages autoregressive properties of (k, t)-space. The STM model decomposes the spatiotemporal MRI signal into a sum of components, each one consisting of a product between a spatial function and a temporal function that depends on the spatial location. The proposed model can be interpreted as an extension of the PSF model whose temporal functions are independent of the spatial location. We show that spatiotemporal maps can be efficiently computed from autocalibration data by using advanced signal processing and randomized linear algebra techniques, enabling STMs to be used as part of many reconstruction frameworks for accelerated dynamic MRI. As proof-of-concept illustrations, we show that STMs can be used to reconstruct both 2D single-channel animal gastrointestinal MRI data and 3D multichannel human functional MRI data.</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Pattern Anal. Mach. Intell.</w:t>
      </w:r>
    </w:p>
    <w:p>
      <w:pPr>
        <w:jc w:val="center"/>
      </w:pPr>
      <w:r>
        <w:t>--- 更新: 06:28 ---</w:t>
      </w:r>
    </w:p>
    <w:p>
      <w:pPr>
        <w:pStyle w:val="Heading2"/>
      </w:pPr>
      <w:r/>
      <w:r>
        <w:rPr>
          <w:rFonts w:ascii="Times New Roman" w:hAnsi="Times New Roman" w:eastAsia="宋体"/>
          <w:b/>
          <w:color w:val="000000"/>
          <w:sz w:val="24"/>
        </w:rPr>
        <w:t>具有一般函数逼近的对抗性模仿学习：理论分析和实用算法</w:t>
      </w:r>
    </w:p>
    <w:p>
      <w:r>
        <w:rPr>
          <w:rFonts w:ascii="Times New Roman" w:hAnsi="Times New Roman" w:eastAsia="宋体"/>
          <w:b/>
          <w:color w:val="003264"/>
          <w:sz w:val="24"/>
        </w:rPr>
        <w:t>Adversarial Imitation Learning with General Function Approximation: Theoretical Analysis and Practical Algorithms</w:t>
      </w:r>
    </w:p>
    <w:p>
      <w:r>
        <w:rPr>
          <w:rFonts w:ascii="Times New Roman" w:hAnsi="Times New Roman" w:eastAsia="宋体"/>
          <w:sz w:val="21"/>
        </w:rPr>
        <w:t>作者: Tian Xu, Zhilong Zhang, Zexuan Chen, Ruishuo Chen, Yihao Sun, Yang Yu</w:t>
        <w:br/>
      </w:r>
      <w:r>
        <w:rPr>
          <w:rFonts w:ascii="Times New Roman" w:hAnsi="Times New Roman" w:eastAsia="宋体"/>
          <w:sz w:val="21"/>
        </w:rPr>
        <w:t xml:space="preserve">时间: 2026 | </w:t>
      </w:r>
      <w:r>
        <w:t xml:space="preserve">链接: </w:t>
      </w:r>
      <w:hyperlink r:id="rId38">
        <w:r>
          <w:rPr>
            <w:rFonts w:ascii="Times New Roman" w:hAnsi="Times New Roman" w:eastAsia="宋体"/>
            <w:color w:val="0000FF"/>
            <w:sz w:val="21"/>
            <w:u w:val="single"/>
          </w:rPr>
          <w:t>https://doi.org/10.1109/tpami.2026.3657578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对抗性模仿学习（AIL）是模仿学习中的一种重要方法，在神经网络近似的支持下取得了巨大的实际成功。然而，现有的 AIL 理论分析主要局限于简化的设置——例如表格和线性函数逼近——并且涉及阻碍实际实现的复杂算法设计。这造成了理论与实践之间的巨大差距。本文通过探索具有一般函数逼近的在线 AIL 的理论基础来弥补这一差距。我们引入了一种称为基于优化的 AIL (OPT-AIL) 的新颖框架，它执行奖励学习的在线优化以及策略学习的乐观正则化优化。在此框架内，我们开发了两种具体方法：无模型 OPT-AIL 和基于模型的 OPT-AIL。我们的理论分析表明，两种变体都实现了多项式专家样本复杂性和交互复杂性，以学习接近专家的策略。据我们所知，它们代表了第一个在一般函数逼近下可证明有效的 AIL 方法。从实用角度来看，OPT-AIL只需要对两个目标进行近似优化，从而便于实际实施。实证研究表明，OPT-AIL 在几个具有挑战性的任务中优于以前最先进的深度 AIL 方法。</w:t>
      </w:r>
    </w:p>
    <w:p>
      <w:pPr>
        <w:spacing w:before="120"/>
      </w:pPr>
      <w:r>
        <w:rPr>
          <w:rFonts w:ascii="Times New Roman" w:hAnsi="Times New Roman" w:eastAsia="宋体"/>
          <w:b/>
          <w:sz w:val="21"/>
        </w:rPr>
        <w:t>English Abstract:</w:t>
      </w:r>
    </w:p>
    <w:p>
      <w:r>
        <w:rPr>
          <w:rFonts w:ascii="Times New Roman" w:hAnsi="Times New Roman" w:eastAsia="宋体"/>
          <w:sz w:val="21"/>
        </w:rPr>
        <w:t>Adversarial imitation learning (AIL), a prominent approach in imitation learning, has achieved significant practical success powered by neural network approximation. However, existing theoretical analyses of AIL are primarily confined to simplified settings—such as tabular and linear function approximation—and involve complex algorithmic designs that impede practical implementation. This creates a substantial gap between theory and practice. This paper bridges this gap by exploring the theoretical underpinnings of online AIL with general function approximation. We introduce a novel framework called optimization-based AIL (OPT-AIL), which performs online optimization for reward learning coupled with optimism-regularized optimization for policy learning. Within this framework, we develop two concrete methods: model-free OPT-AIL and model-based OPT-AIL. Our theoretical analysis demonstrates that both variants achieve polynomial expert sample complexity and interaction complexity for learning near-expert policies. To the best of our knowledge, they represent the first provably efficient AIL methods under general function approximation. From a practical standpoint, OPT-AIL requires only the approximate optimization of two objectives, thereby facilitating practical implementation. Empirical studies demonstrate that OPT-AIL outperforms previous state-of-the-art deep AIL methods across several challenging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预训练语言模型的参数高效微调方法：批判性审查和评估</w:t>
      </w:r>
    </w:p>
    <w:p>
      <w:r>
        <w:rPr>
          <w:rFonts w:ascii="Times New Roman" w:hAnsi="Times New Roman" w:eastAsia="宋体"/>
          <w:b/>
          <w:color w:val="003264"/>
          <w:sz w:val="24"/>
        </w:rPr>
        <w:t>Parameter-Efficient Fine-Tuning Methods for Pretrained Language Models: A Critical Review and Assessment</w:t>
      </w:r>
    </w:p>
    <w:p>
      <w:r>
        <w:rPr>
          <w:rFonts w:ascii="Times New Roman" w:hAnsi="Times New Roman" w:eastAsia="宋体"/>
          <w:sz w:val="21"/>
        </w:rPr>
        <w:t>作者: Lingling Xu, Haoran Xie, S. Joe Qin, Xiaohui Tao, Fu Lee Wang</w:t>
        <w:br/>
      </w:r>
      <w:r>
        <w:rPr>
          <w:rFonts w:ascii="Times New Roman" w:hAnsi="Times New Roman" w:eastAsia="宋体"/>
          <w:sz w:val="21"/>
        </w:rPr>
        <w:t xml:space="preserve">时间: 2026 | </w:t>
      </w:r>
      <w:r>
        <w:t xml:space="preserve">链接: </w:t>
      </w:r>
      <w:hyperlink r:id="rId39">
        <w:r>
          <w:rPr>
            <w:rFonts w:ascii="Times New Roman" w:hAnsi="Times New Roman" w:eastAsia="宋体"/>
            <w:color w:val="0000FF"/>
            <w:sz w:val="21"/>
            <w:u w:val="single"/>
          </w:rPr>
          <w:t>https://doi.org/10.1109/tpami.2026.3657354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基于Transformer的预训练语言模型（PLM）参数数量的不断增长，特别是具有数十亿参数的大型语言模型（LLM）的出现，许多自然语言处理（NLP）任务都取得了显着的成功。然而，这些模型的巨大规模和计算需求给使其适应特定下游任务带来了巨大挑战，特别是在计算资源有限的环境中。参数高效微调 (PEFT) 提供了一种有效的解决方案，通过减少微调参数的数量和内存使用量，同时实现与完全微调相当的性能。对 PLM（尤其是 LLM）进行微调的需求导致了 PEFT 方法的发展激增，如图 1 所示。在本文中，我们对 PLM 的 PEFT 方法进行了全面、系统的回顾。我们总结了这些 PEFT 方法，讨论了它们的应用，并概述了未来的方向。此外，使用几种代表性的 PEFT 方法进行了大量的实验，以更好地了解它们在参数效率和内存效率方面的有效性。通过提供对最新进展和实际应用的见解，该调查为寻求应对 PLM 背景下 PEFT 带来的挑战和机遇的研究人员和从业人员提供了宝贵的资源。</w:t>
      </w:r>
    </w:p>
    <w:p>
      <w:pPr>
        <w:spacing w:before="120"/>
      </w:pPr>
      <w:r>
        <w:rPr>
          <w:rFonts w:ascii="Times New Roman" w:hAnsi="Times New Roman" w:eastAsia="宋体"/>
          <w:b/>
          <w:sz w:val="21"/>
        </w:rPr>
        <w:t>English Abstract:</w:t>
      </w:r>
    </w:p>
    <w:p>
      <w:r>
        <w:rPr>
          <w:rFonts w:ascii="Times New Roman" w:hAnsi="Times New Roman" w:eastAsia="宋体"/>
          <w:sz w:val="21"/>
        </w:rPr>
        <w:t>With the continuous growth in the number of parameters of the Transformer-based pretrained language models (PLMs), particularly the emergence of large language models (LLMs) with billions of parameters, many natural language processing (NLP) tasks have demonstrated remarkable success. However, the enormous size and computational demands of these models pose significant challenges for adapting them to specific downstream tasks, especially in environments with limited computational resources. Parameter-Efficient Fine-Tuning (PEFT) offers an effective solution by reducing the number of fine-tuning parameters and memory usage while achieving comparable performance to full fine-tuning. The demands for fine-tuning PLMs, especially LLMs, have led to a surge in the development of PEFT methods, as depicted in Fig. 1. In this paper, we present a comprehensive and systematic review of PEFT methods for PLMs. We summarize these PEFT methods, discuss their applications, and outline future directions. Furthermore, extensive experiments are conducted using several representative PEFT methods to better understand their effectiveness in parameter efficiency and memory efficiency. By offering insights into the latest advancements and practical applications, this survey serves as an invaluable resource for researchers and practitioners seeking to navigate the challenges and opportunities presented by PEFT in the context of PLMs.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TextMonkey：用于理解文档的无 OCR 大型多模态模型</w:t>
      </w:r>
    </w:p>
    <w:p>
      <w:r>
        <w:rPr>
          <w:rFonts w:ascii="Times New Roman" w:hAnsi="Times New Roman" w:eastAsia="宋体"/>
          <w:b/>
          <w:color w:val="003264"/>
          <w:sz w:val="24"/>
        </w:rPr>
        <w:t>TextMonkey: an OCR-Free Large Multimodal Model for Understanding Document</w:t>
      </w:r>
    </w:p>
    <w:p>
      <w:r>
        <w:rPr>
          <w:rFonts w:ascii="Times New Roman" w:hAnsi="Times New Roman" w:eastAsia="宋体"/>
          <w:sz w:val="21"/>
        </w:rPr>
        <w:t>作者: Yuliang Liu, Biao Yang, Qiang Liu, Zhang Li, Zhiyin Ma, Shuo Zhang, Xiang Bai</w:t>
        <w:br/>
      </w:r>
      <w:r>
        <w:rPr>
          <w:rFonts w:ascii="Times New Roman" w:hAnsi="Times New Roman" w:eastAsia="宋体"/>
          <w:sz w:val="21"/>
        </w:rPr>
        <w:t xml:space="preserve">时间: 2026 | </w:t>
      </w:r>
      <w:r>
        <w:t xml:space="preserve">链接: </w:t>
      </w:r>
      <w:hyperlink r:id="rId40">
        <w:r>
          <w:rPr>
            <w:rFonts w:ascii="Times New Roman" w:hAnsi="Times New Roman" w:eastAsia="宋体"/>
            <w:color w:val="0000FF"/>
            <w:sz w:val="21"/>
            <w:u w:val="single"/>
          </w:rPr>
          <w:t>https://doi.org/10.1109/tpami.2026.3653415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 TextMonkey，这是一个专为以文本为中心的任务而定制的大型多模态模型 (LMM)。我们的方法引入了多个维度的增强：通过采用转移窗口注意力层，我们在更高的输入分辨率下实现了跨窗口连接并稳定了早期训练；我们假设图像可能包含冗余标记，通过使用相似性过滤掉重要标记，我们不仅可以简化标记长度，还可以提高模型的性能。此外，通过扩展模型的功能以涵盖文本识别和基础，并将位置信息纳入响应中，我们增强了可解释性。对 12 个基准的评估显示出显着的改进：以场景文本为中心的任务（包括 STVQA、TextVQA 和 OCRVQA）提高了 5.2%，面向文档的任务（如 DocVQA、InfoVQA、ChartVQA、DeepForm、Kleister Charity 和 WikiTableQuestions）提高了 6.9%，关键信息提取任务（包括 FUNSD、SROIE 和 POIE）提高了 2.8%。它在场景文本识别方面表现出色，提升了 10.9%，并在 OCRBench 上树立了新标准。 OCRBench 是一个由 29 个 OCR 相关评估组成的综合基准，得分为 561，超过了之前用于文档理解的开源大型多模态模型。代码发布于https://github.com/Yuliang-Liu/Monkey。</w:t>
      </w:r>
    </w:p>
    <w:p>
      <w:pPr>
        <w:spacing w:before="120"/>
      </w:pPr>
      <w:r>
        <w:rPr>
          <w:rFonts w:ascii="Times New Roman" w:hAnsi="Times New Roman" w:eastAsia="宋体"/>
          <w:b/>
          <w:sz w:val="21"/>
        </w:rPr>
        <w:t>English Abstract:</w:t>
      </w:r>
    </w:p>
    <w:p>
      <w:r>
        <w:rPr>
          <w:rFonts w:ascii="Times New Roman" w:hAnsi="Times New Roman" w:eastAsia="宋体"/>
          <w:sz w:val="21"/>
        </w:rPr>
        <w:t>We present TextMonkey, a large multimodal model (LMM) tailored for text-centric tasks. Our approach introduces enhancement across several dimensions: By adopting Shifted Window Attention layer, we achieve cross-window connectivity at higher input resolutions and stabilize early training; We hypothesize that images may contain redundant tokens, and by using similarity to filter out significant tokens, we can not only streamline the token length but also enhance the model's performance. Moreover, by expanding our model's capabilities to encompass text spotting and grounding, and incorporating positional information into responses, we enhance interpretability. Evaluation on 12 benchmarks shows notable improvements: 5.2% in Scene Text-Centric tasks (including STVQA, TextVQA, and OCRVQA), 6.9% in Document-Oriented tasks (such as DocVQA, InfoVQA, ChartVQA, DeepForm, Kleister Charity, and WikiTableQuestions), and 2.8% in Key Information Extraction tasks (comprising FUNSD, SROIE, and POIE). It outperforms in scene text spotting with a 10.9% increase and sets a new standard on OCRBench, a comprehensive benchmark consisting of 29 OCR-related assessments, with a score of 561, surpassing previous open-sourced large multimodal models for document understanding. Code is released at https://github.com/Yuliang-Liu/Monkey.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面向目标的多目标导航动态权重优化</w:t>
      </w:r>
    </w:p>
    <w:p>
      <w:r>
        <w:rPr>
          <w:rFonts w:ascii="Times New Roman" w:hAnsi="Times New Roman" w:eastAsia="宋体"/>
          <w:b/>
          <w:color w:val="003264"/>
          <w:sz w:val="24"/>
        </w:rPr>
        <w:t>Goal-oriented Dynamic Weight Optimization for Multi-Object Navigation</w:t>
      </w:r>
    </w:p>
    <w:p>
      <w:r>
        <w:rPr>
          <w:rFonts w:ascii="Times New Roman" w:hAnsi="Times New Roman" w:eastAsia="宋体"/>
          <w:sz w:val="21"/>
        </w:rPr>
        <w:t>作者: Haitao Zeng, Xinhang Song, Shuqiang Jiang</w:t>
        <w:br/>
      </w:r>
      <w:r>
        <w:rPr>
          <w:rFonts w:ascii="Times New Roman" w:hAnsi="Times New Roman" w:eastAsia="宋体"/>
          <w:sz w:val="21"/>
        </w:rPr>
        <w:t xml:space="preserve">时间: 2026 | </w:t>
      </w:r>
      <w:r>
        <w:t xml:space="preserve">链接: </w:t>
      </w:r>
      <w:hyperlink r:id="rId41">
        <w:r>
          <w:rPr>
            <w:rFonts w:ascii="Times New Roman" w:hAnsi="Times New Roman" w:eastAsia="宋体"/>
            <w:color w:val="0000FF"/>
            <w:sz w:val="21"/>
            <w:u w:val="single"/>
          </w:rPr>
          <w:t>https://doi.org/10.1109/tpami.2026.3657778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目标导航（MON）任务涉及在未知环境中顺序定位多个目标，需要在不完整信息下进行全局长期规划。这需要代理动态平衡即时行动和长期奖励，同时考虑局部适应性和全局远见。然而，当前的方法过度关注局部路径优化，这导致稀疏奖励设置中收敛速度变慢，并增加了死锁或陷阱状态的风险。 MON 的核心挑战在于共享决策空间的变形，其中独立优化导致冗余和重叠的路径。因此，路径规划需要动态的跨任务优化，而不是简单的子任务聚合。为了最小化总体工作量，优化过程应通过权重调整自适应地平衡任务贡献。因此，我们提出了面向目标的动态权重优化（GDWO）算法。 GDWO将特定于目标的价值损失函数集成到统一的优化框架中，并通过基于梯度的更新动态调整权重。为了防止过度优化，在训练期间根据导航成功率对权重进行标准化，优先考虑更具挑战性的目标。这种自适应机制有效地解决了稀疏奖励的挑战并提高了收敛效率。通过利用这一机制，GDWO将多个目标统一在统一的决策空间内，实现高效优化并平衡短期收益与长期目标。此外，我们引入了两个辅助模块：基于先验知识的导航和前沿感知探索，以进一步增强 GDWO 的性能。 Gibson 和 Matterport3D 数据集上的实验结果表明，GDWO 在 MON 任务的关键指标上取得了改进。它优化路径规划，降低探索成本，提高导航效率，使智能体能够在复杂环境中更有效地执行任务。</w:t>
      </w:r>
    </w:p>
    <w:p>
      <w:pPr>
        <w:spacing w:before="120"/>
      </w:pPr>
      <w:r>
        <w:rPr>
          <w:rFonts w:ascii="Times New Roman" w:hAnsi="Times New Roman" w:eastAsia="宋体"/>
          <w:b/>
          <w:sz w:val="21"/>
        </w:rPr>
        <w:t>English Abstract:</w:t>
      </w:r>
    </w:p>
    <w:p>
      <w:r>
        <w:rPr>
          <w:rFonts w:ascii="Times New Roman" w:hAnsi="Times New Roman" w:eastAsia="宋体"/>
          <w:sz w:val="21"/>
        </w:rPr>
        <w:t>Multi-object navigation (MON) tasks involve sequentially locating multiple targets in an unknown environment, requiring global long-term planning under incomplete information. This necessitates that the agent dynamically balance immediate actions and long-term rewards while considering both local adaptability and global foresight. However, current methods overly focus on local path optimization, which leads to slower convergence in sparse reward settings and increases the risk of deadlocks or trap states. The core challenge of MON lies in the deformation of the shared decision space, where independent optimization leads to redundant and overlapping paths. Thus, path planning requires dynamic, cross-task optimization rather than simple subtask aggregation. To minimize overall effort, the optimization process should adaptively balance task contributions through weight adjustment. Thus, we propose the Goal-oriented Dynamic Weight Optimization (GDWO) algorithm. GDWO integrates target-specific value loss functions into a unified optimization framework and dynamically adjusts weights through gradient-based updates. To prevent over-optimization, weights are normalized during training according to navigation success rates, prioritizing more challenging targets. This adaptive mechanism effectively addresses the challenge of sparse rewards and improves convergence efficiency. By leveraging this mechanism, GDWO unifies multiple objectives within a unified decision space, achieving efficient optimization and balancing short-term gains with long-term goals. Additionally, we introduce two auxiliary modules: prior knowledge-based navigation and frontier-aware exploration to further enhance GDWO's performance. Experimental results on the Gibson and Matterport3D datasets demonstrate that GDWO achieves improvements in key metrics for MON tasks. It optimizes path planning, reduces exploration costs, and enhances navigation efficiency, enabling the agent to perform tasks more effectively in complex environments.</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364/oe.587678" TargetMode="External"/><Relationship Id="rId11" Type="http://schemas.openxmlformats.org/officeDocument/2006/relationships/hyperlink" Target="https://doi.org/10.1038/s41377-025-02134-z" TargetMode="External"/><Relationship Id="rId12" Type="http://schemas.openxmlformats.org/officeDocument/2006/relationships/hyperlink" Target="https://doi.org/10.1364/oe.584767" TargetMode="External"/><Relationship Id="rId13" Type="http://schemas.openxmlformats.org/officeDocument/2006/relationships/hyperlink" Target="https://doi.org/10.1364/oe.586392" TargetMode="External"/><Relationship Id="rId14" Type="http://schemas.openxmlformats.org/officeDocument/2006/relationships/hyperlink" Target="https://doi.org/10.1364/oe.584239" TargetMode="External"/><Relationship Id="rId15" Type="http://schemas.openxmlformats.org/officeDocument/2006/relationships/hyperlink" Target="https://doi.org/10.1364/oe.580575" TargetMode="External"/><Relationship Id="rId16" Type="http://schemas.openxmlformats.org/officeDocument/2006/relationships/hyperlink" Target="https://doi.org/10.1364/oe.582360" TargetMode="External"/><Relationship Id="rId17" Type="http://schemas.openxmlformats.org/officeDocument/2006/relationships/hyperlink" Target="https://doi.org/10.1364/oe.583806" TargetMode="External"/><Relationship Id="rId18" Type="http://schemas.openxmlformats.org/officeDocument/2006/relationships/hyperlink" Target="https://doi.org/10.1364/oe.585712" TargetMode="External"/><Relationship Id="rId19" Type="http://schemas.openxmlformats.org/officeDocument/2006/relationships/hyperlink" Target="https://doi.org/10.1364/oe.582311" TargetMode="External"/><Relationship Id="rId20" Type="http://schemas.openxmlformats.org/officeDocument/2006/relationships/hyperlink" Target="https://doi.org/10.1364/oe.583426" TargetMode="External"/><Relationship Id="rId21" Type="http://schemas.openxmlformats.org/officeDocument/2006/relationships/hyperlink" Target="https://doi.org/10.1364/oe.583744" TargetMode="External"/><Relationship Id="rId22" Type="http://schemas.openxmlformats.org/officeDocument/2006/relationships/hyperlink" Target="https://doi.org/10.1364/oe.584282" TargetMode="External"/><Relationship Id="rId23" Type="http://schemas.openxmlformats.org/officeDocument/2006/relationships/hyperlink" Target="https://doi.org/10.1364/oe.582474" TargetMode="External"/><Relationship Id="rId24" Type="http://schemas.openxmlformats.org/officeDocument/2006/relationships/hyperlink" Target="https://doi.org/10.1364/oe.584499" TargetMode="External"/><Relationship Id="rId25" Type="http://schemas.openxmlformats.org/officeDocument/2006/relationships/hyperlink" Target="https://doi.org/10.1002/lpor.70909" TargetMode="External"/><Relationship Id="rId26" Type="http://schemas.openxmlformats.org/officeDocument/2006/relationships/hyperlink" Target="https://doi.org/10.1002/lpor.202502761" TargetMode="External"/><Relationship Id="rId27" Type="http://schemas.openxmlformats.org/officeDocument/2006/relationships/hyperlink" Target="https://doi.org/10.1002/lpor.202502794" TargetMode="External"/><Relationship Id="rId28" Type="http://schemas.openxmlformats.org/officeDocument/2006/relationships/hyperlink" Target="https://doi.org/10.1002/lpor.202502775" TargetMode="External"/><Relationship Id="rId29" Type="http://schemas.openxmlformats.org/officeDocument/2006/relationships/hyperlink" Target="https://doi.org/10.1002/lpor.202502889" TargetMode="External"/><Relationship Id="rId30" Type="http://schemas.openxmlformats.org/officeDocument/2006/relationships/hyperlink" Target="https://doi.org/10.1002/lpor.202502571" TargetMode="External"/><Relationship Id="rId31" Type="http://schemas.openxmlformats.org/officeDocument/2006/relationships/hyperlink" Target="https://doi.org/10.1109/tvcg.2026.3657654" TargetMode="External"/><Relationship Id="rId32" Type="http://schemas.openxmlformats.org/officeDocument/2006/relationships/hyperlink" Target="https://doi.org/10.1109/tvcg.2026.3658325" TargetMode="External"/><Relationship Id="rId33" Type="http://schemas.openxmlformats.org/officeDocument/2006/relationships/hyperlink" Target="https://doi.org/10.1109/tvcg.2026.3657593" TargetMode="External"/><Relationship Id="rId34" Type="http://schemas.openxmlformats.org/officeDocument/2006/relationships/hyperlink" Target="https://doi.org/10.1109/tvcg.2026.3657634" TargetMode="External"/><Relationship Id="rId35" Type="http://schemas.openxmlformats.org/officeDocument/2006/relationships/hyperlink" Target="https://doi.org/10.1109/tvcg.2026.3657658" TargetMode="External"/><Relationship Id="rId36" Type="http://schemas.openxmlformats.org/officeDocument/2006/relationships/hyperlink" Target="https://doi.org/10.1021/acsphotonics.5c02007" TargetMode="External"/><Relationship Id="rId37" Type="http://schemas.openxmlformats.org/officeDocument/2006/relationships/hyperlink" Target="https://doi.org/10.1109/tci.2026.3657289" TargetMode="External"/><Relationship Id="rId38" Type="http://schemas.openxmlformats.org/officeDocument/2006/relationships/hyperlink" Target="https://doi.org/10.1109/tpami.2026.3657578" TargetMode="External"/><Relationship Id="rId39" Type="http://schemas.openxmlformats.org/officeDocument/2006/relationships/hyperlink" Target="https://doi.org/10.1109/tpami.2026.3657354" TargetMode="External"/><Relationship Id="rId40" Type="http://schemas.openxmlformats.org/officeDocument/2006/relationships/hyperlink" Target="https://doi.org/10.1109/tpami.2026.3653415" TargetMode="External"/><Relationship Id="rId41" Type="http://schemas.openxmlformats.org/officeDocument/2006/relationships/hyperlink" Target="https://doi.org/10.1109/tpami.2026.365777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