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混合锁模掺铒光纤激光器中孤子态的可逆成对切换</w:t>
      </w:r>
    </w:p>
    <w:p>
      <w:r>
        <w:rPr>
          <w:rFonts w:ascii="Times New Roman" w:hAnsi="Times New Roman" w:eastAsia="宋体"/>
          <w:b/>
          <w:color w:val="003264"/>
          <w:sz w:val="24"/>
        </w:rPr>
        <w:t>Reversible pairwise switching of soliton states in a hybrid mode-locked Erbium-doped fiber laser</w:t>
      </w:r>
    </w:p>
    <w:p>
      <w:r>
        <w:rPr>
          <w:rFonts w:ascii="Times New Roman" w:hAnsi="Times New Roman" w:eastAsia="宋体"/>
          <w:sz w:val="21"/>
        </w:rPr>
        <w:t>作者: Hongbo Jiang, Kun Zhou, Chengbo Mou, Lilong Dai, Xiaoyun Tang, Lei Jin</w:t>
        <w:br/>
      </w:r>
      <w:r>
        <w:rPr>
          <w:rFonts w:ascii="Times New Roman" w:hAnsi="Times New Roman" w:eastAsia="宋体"/>
          <w:sz w:val="21"/>
        </w:rPr>
        <w:t xml:space="preserve">时间: 2026-01-23 | </w:t>
      </w:r>
      <w:r>
        <w:t xml:space="preserve">链接: </w:t>
      </w:r>
      <w:hyperlink r:id="rId25">
        <w:r>
          <w:rPr>
            <w:rFonts w:ascii="Times New Roman" w:hAnsi="Times New Roman" w:eastAsia="宋体"/>
            <w:color w:val="0000FF"/>
            <w:sz w:val="21"/>
            <w:u w:val="single"/>
          </w:rPr>
          <w:t>https://doi.org/10.1364/oe.586863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且可控的状态切换能力对于开发可编程和可重构超快激光源至关重要。虽然已经报道了具有各种锁模机制的传统双态切换，但单腔内多状态切换的可访问性以及相应的瞬态动力学仍未得到探索。在这里，我们使用非线性偏振旋转（NPR）与碳纳米管可饱和吸收器（CNT-SA）相结合的混合方案研究掺铒光纤激光器的状态切换特性。我们证明了混合方案支持三次谐波锁模、基波孤子和束缚态之间的可逆切换，并且具有高再现性。实时光谱表征证实，CNT-SA 抑制了 NPR 对应物在状态转换期间的内在不稳定性，正如呼吸振荡的扩展所反映的那样。我们通过实验证明，混合方案有效支持多个孤子态的生成并减轻过渡过程中的不稳定性，为激光动力学研究和智能激光源应用建立了可逆成对状态切换平台。</w:t>
      </w:r>
    </w:p>
    <w:p>
      <w:pPr>
        <w:spacing w:before="120"/>
      </w:pPr>
      <w:r>
        <w:rPr>
          <w:rFonts w:ascii="Times New Roman" w:hAnsi="Times New Roman" w:eastAsia="宋体"/>
          <w:b/>
          <w:sz w:val="21"/>
        </w:rPr>
        <w:t>English Abstract:</w:t>
      </w:r>
    </w:p>
    <w:p>
      <w:r>
        <w:rPr>
          <w:rFonts w:ascii="Times New Roman" w:hAnsi="Times New Roman" w:eastAsia="宋体"/>
          <w:sz w:val="21"/>
        </w:rPr>
        <w:t>Reliable and controllable state-switching capabilities are essential for the development of programmable and reconfigurable ultrafast laser sources. While conventional dual-state switching with various mode-locking mechanisms has been reported, the accessibility of multiple state-switching within a single cavity and the corresponding transient dynamics remain unexplored. Here, we investigate the state-switching characteristics of an Erbium-doped fiber laser using a hybrid scheme combining nonlinear polarization rotation (NPR) with a carbon nanotube saturable absorber (CNT-SA). We show that the hybrid scheme supports reversible switching among the third harmonic mode-locking, fundamental soliton, and bound states with high reproducibility. Real-time spectral characterizations confirm that the CNT-SA suppresses the intrinsic instability of the NPR counterpart during state transitions, as reflected in the extension of breathing oscillations. We experimentally demonstrate that the hybrid scheme effectively supports generation of multiple soliton states and mitigates the instabilities during the transition process, establishing a reversible pairwise state-switching platform for laser dynamics studies and intelligent laser source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Q开关锁模和连续波锁模之间的过渡动​​力学</w:t>
      </w:r>
    </w:p>
    <w:p>
      <w:r>
        <w:rPr>
          <w:rFonts w:ascii="Times New Roman" w:hAnsi="Times New Roman" w:eastAsia="宋体"/>
          <w:b/>
          <w:color w:val="003264"/>
          <w:sz w:val="24"/>
        </w:rPr>
        <w:t>Transition dynamics between Q-switched mode-locking and continuous wave mode-locking</w:t>
      </w:r>
    </w:p>
    <w:p>
      <w:r>
        <w:rPr>
          <w:rFonts w:ascii="Times New Roman" w:hAnsi="Times New Roman" w:eastAsia="宋体"/>
          <w:sz w:val="21"/>
        </w:rPr>
        <w:t>作者: Xiaotong Wu, Jiajing Lang, Chenyue Lv, Jintao Bai, Baole Lu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06:27 ---</w:t>
      </w:r>
    </w:p>
    <w:p>
      <w:pPr>
        <w:pStyle w:val="Heading2"/>
      </w:pPr>
      <w:r/>
      <w:r>
        <w:rPr>
          <w:rFonts w:ascii="Times New Roman" w:hAnsi="Times New Roman" w:eastAsia="宋体"/>
          <w:b/>
          <w:color w:val="000000"/>
          <w:sz w:val="24"/>
        </w:rPr>
        <w:t>偏振分辨二次谐波发生显微镜表征内耳颗粒体</w:t>
      </w:r>
    </w:p>
    <w:p>
      <w:r>
        <w:rPr>
          <w:rFonts w:ascii="Times New Roman" w:hAnsi="Times New Roman" w:eastAsia="宋体"/>
          <w:b/>
          <w:color w:val="003264"/>
          <w:sz w:val="24"/>
        </w:rPr>
        <w:t>Characterization of inner ear granular bodies by polarization-resolved second harmonic generation microscopy</w:t>
      </w:r>
    </w:p>
    <w:p>
      <w:r>
        <w:rPr>
          <w:rFonts w:ascii="Times New Roman" w:hAnsi="Times New Roman" w:eastAsia="宋体"/>
          <w:sz w:val="21"/>
        </w:rPr>
        <w:t>作者: Katherine Zinck, MacAulay Harvey, Richard Cisek, Saranyan Pillai, Sean D. Christie, Danielle Tokarz</w:t>
        <w:br/>
      </w:r>
      <w:r>
        <w:rPr>
          <w:rFonts w:ascii="Times New Roman" w:hAnsi="Times New Roman" w:eastAsia="宋体"/>
          <w:sz w:val="21"/>
        </w:rPr>
        <w:t xml:space="preserve">时间: 2026-01-21 | </w:t>
      </w:r>
      <w:r>
        <w:t xml:space="preserve">链接: </w:t>
      </w:r>
      <w:hyperlink r:id="rId26">
        <w:r>
          <w:rPr>
            <w:rFonts w:ascii="Times New Roman" w:hAnsi="Times New Roman" w:eastAsia="宋体"/>
            <w:color w:val="0000FF"/>
            <w:sz w:val="21"/>
            <w:u w:val="single"/>
          </w:rPr>
          <w:t>https://doi.org/10.1364/boe.581202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使用偏振分辨二次谐波发生显微镜（PSHG）研究从小鼠内耳解剖的耳石和小体，以提取超微结构参数。针对每个图像像素计算 PSHG 参数 ρ（通常与胶原蛋白的螺旋倾斜相关），发现小体的平均 ρ 值为 4.6，耳石的平均 ρ 值为 -3.3。来自耳石的负 ρ 被明确测量，表明二次谐波发射体的对称性并非主要是单轴的，与典型的生物二次谐波发射体（例如胶原蛋白、肌球蛋白或淀粉）相反。粒细胞ρ值的内部分布呈放射状，类似于淀粉的平均ρ值。将耳石结构模拟为由具有两个相距 &gt; 90° 的相似发射器的双轴系统组成，预测无序会改变测量的 ρ 值，使它们变得越来越负。对降解过程中的耳石进行了 SHG 测量，结果表明耳石的 ρ 值随着降解而显着降低，与该模型一致。</w:t>
      </w:r>
    </w:p>
    <w:p>
      <w:pPr>
        <w:spacing w:before="120"/>
      </w:pPr>
      <w:r>
        <w:rPr>
          <w:rFonts w:ascii="Times New Roman" w:hAnsi="Times New Roman" w:eastAsia="宋体"/>
          <w:b/>
          <w:sz w:val="21"/>
        </w:rPr>
        <w:t>English Abstract:</w:t>
      </w:r>
    </w:p>
    <w:p>
      <w:r>
        <w:rPr>
          <w:rFonts w:ascii="Times New Roman" w:hAnsi="Times New Roman" w:eastAsia="宋体"/>
          <w:sz w:val="21"/>
        </w:rPr>
        <w:t>Otoconia and corpuscles dissected from the inner ear of mice were investigated using polarization-resolved second harmonic generation microscopy (PSHG) to extract ultrastructural parameters. The PSHG parameter, ρ , typically related to helical tilt in collagen, was calculated for each image pixel, and the average ρ values were found to be 4.6 for corpuscles and -3.3 for otoconia. The negative ρ from otoconia was measured unambiguously, indicating that the symmetry of SHG emitters is not predominantly uniaxial, in contrast to typical biological SHG emitters such as collagen, myosin, or starch. The internal distribution of ρ values of corpuscles was radial and resembled the average ρ values of starch. Simulating otoconia structure as consisting of a biaxial system with two similar emitters &gt; 90° apart predicts that disorder alters the measured ρ values, making them increasingly negative. An SHG measurement of otoconia during degradation was performed, revealing that the ρ values of otoconia significantly decrease with degradation in agreement with this model.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06:27 ---</w:t>
      </w:r>
    </w:p>
    <w:p>
      <w:pPr>
        <w:pStyle w:val="Heading2"/>
      </w:pPr>
      <w:r/>
      <w:r>
        <w:rPr>
          <w:rFonts w:ascii="Times New Roman" w:hAnsi="Times New Roman" w:eastAsia="宋体"/>
          <w:b/>
          <w:color w:val="000000"/>
          <w:sz w:val="24"/>
        </w:rPr>
        <w:t>硅芯片上的拓扑自旋动量流</w:t>
      </w:r>
    </w:p>
    <w:p>
      <w:r>
        <w:rPr>
          <w:rFonts w:ascii="Times New Roman" w:hAnsi="Times New Roman" w:eastAsia="宋体"/>
          <w:b/>
          <w:color w:val="003264"/>
          <w:sz w:val="24"/>
        </w:rPr>
        <w:t>Topological Spin‐Momentum Flows on a Silicon Chip</w:t>
      </w:r>
    </w:p>
    <w:p>
      <w:r>
        <w:rPr>
          <w:rFonts w:ascii="Times New Roman" w:hAnsi="Times New Roman" w:eastAsia="宋体"/>
          <w:sz w:val="21"/>
        </w:rPr>
        <w:t>作者: Peilin Liu, Jiayi Zhang, Jinman Chen, Qinjun Chen, Chujun Zhao, Liang Fang</w:t>
        <w:br/>
      </w:r>
      <w:r>
        <w:rPr>
          <w:rFonts w:ascii="Times New Roman" w:hAnsi="Times New Roman" w:eastAsia="宋体"/>
          <w:sz w:val="21"/>
        </w:rPr>
        <w:t xml:space="preserve">时间: 2026-02-02 | </w:t>
      </w:r>
      <w:r>
        <w:t xml:space="preserve">链接: </w:t>
      </w:r>
      <w:hyperlink r:id="rId27">
        <w:r>
          <w:rPr>
            <w:rFonts w:ascii="Times New Roman" w:hAnsi="Times New Roman" w:eastAsia="宋体"/>
            <w:color w:val="0000FF"/>
            <w:sz w:val="21"/>
            <w:u w:val="single"/>
          </w:rPr>
          <w:t>https://doi.org/10.1002/lpor.202501647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磁场中新兴的拓扑结构因其独特的性质和潜在的应用而引起了人们的极大兴趣。在这里，我们介绍了硅基波导上有趣的电磁自旋动量拓扑，其特征是自旋斯格明子（meron-antitimeron）阵列与动量涡旋重叠，产生局部横向轨道角动量。这些复合纹理源自坡印廷涡街，是由两种不同阶的反向传播模式的矢量叠加产生的。重要的是，这些拓扑结构可以通过分别调制反向传播模式之间的相对振幅和相位（或频率）来​​动态控制横向位移和纵向流动。这里发现的可控拓扑自旋动量流可能为片上光学操纵、排序、波导量子电动力学和光流控技术打开新的大门。</w:t>
      </w:r>
    </w:p>
    <w:p>
      <w:pPr>
        <w:spacing w:before="120"/>
      </w:pPr>
      <w:r>
        <w:rPr>
          <w:rFonts w:ascii="Times New Roman" w:hAnsi="Times New Roman" w:eastAsia="宋体"/>
          <w:b/>
          <w:sz w:val="21"/>
        </w:rPr>
        <w:t>English Abstract:</w:t>
      </w:r>
    </w:p>
    <w:p>
      <w:r>
        <w:rPr>
          <w:rFonts w:ascii="Times New Roman" w:hAnsi="Times New Roman" w:eastAsia="宋体"/>
          <w:sz w:val="21"/>
        </w:rPr>
        <w:t>ABSTRACT The emerging topological structures within electromagnetic fields have attracted great interest because of their unique properties and potential applications. Here, we introduce interesting electromagnetic spin‐momentum topologies on silicon‐based waveguides, characterized by spin skyrmion (meron‐antimeron) arrays overlapped with momentum vortices yielding local transverse orbital angular momentum. These composite textures, derived from Poynting vortex streets, are produced by vectorial superpositions of two counter‐propagating modes with different orders. Importantly, these topological structures can be dynamically controlled to transverse shift and longitudinal flow by modulating the relative amplitudes and phases (or frequencies) between the counter‐propagating modes, respectively. The controllable topological spin‐momentum flows uncovered here may open new doors to on‐chip optical manipulation, sorting, waveguide quantum electrodynamics, and optofluidic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06:28 ---</w:t>
      </w:r>
    </w:p>
    <w:p>
      <w:pPr>
        <w:pStyle w:val="Heading2"/>
      </w:pPr>
      <w:r/>
      <w:r>
        <w:rPr>
          <w:rFonts w:ascii="Times New Roman" w:hAnsi="Times New Roman" w:eastAsia="宋体"/>
          <w:b/>
          <w:color w:val="000000"/>
          <w:sz w:val="24"/>
        </w:rPr>
        <w:t>用于高通量生物颗粒操作的灵活、可拉伸的片上光镊</w:t>
      </w:r>
    </w:p>
    <w:p>
      <w:r>
        <w:rPr>
          <w:rFonts w:ascii="Times New Roman" w:hAnsi="Times New Roman" w:eastAsia="宋体"/>
          <w:b/>
          <w:color w:val="003264"/>
          <w:sz w:val="24"/>
        </w:rPr>
        <w:t>Flexible, stretchable, on-chip optical tweezers for high-throughput bioparticle manipulation</w:t>
      </w:r>
    </w:p>
    <w:p>
      <w:r>
        <w:rPr>
          <w:rFonts w:ascii="Times New Roman" w:hAnsi="Times New Roman" w:eastAsia="宋体"/>
          <w:sz w:val="21"/>
        </w:rPr>
        <w:t>作者: Ziyi He, Jianyun Xiong, Yang Shi, Ting Pan, Shaobiao Chen, Xin Zhang, Yizhen Chen, Xiangxian Wang, Baojun Li, Hongbao Xin</w:t>
        <w:br/>
      </w:r>
      <w:r>
        <w:rPr>
          <w:rFonts w:ascii="Times New Roman" w:hAnsi="Times New Roman" w:eastAsia="宋体"/>
          <w:sz w:val="21"/>
        </w:rPr>
        <w:t xml:space="preserve">时间: 2026-02-03 | </w:t>
      </w:r>
      <w:r>
        <w:t xml:space="preserve">链接: </w:t>
      </w:r>
      <w:hyperlink r:id="rId28">
        <w:r>
          <w:rPr>
            <w:rFonts w:ascii="Times New Roman" w:hAnsi="Times New Roman" w:eastAsia="宋体"/>
            <w:color w:val="0000FF"/>
            <w:sz w:val="21"/>
            <w:u w:val="single"/>
          </w:rPr>
          <w:t>https://doi.org/10.1038/s41377-026-02199-4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杂微环境中单个致病生物颗粒的高通量捕获和精确操作对于体外诊断和药物筛选具有重要意义。尽管光镊已广泛用于生物颗粒捕获和操纵，但其吞吐量、功能和适应性对于复杂和动态生物环境中的片上集成生物颗粒操纵仍然受到限制。在这里，我们报告了基于大规模有序组装的微透镜的柔性、可拉伸的片上光镊（FSOT），用于在复杂的生物环境和柔性基底（包括皮肤和肠道等软生物基底）上对生物颗粒进行高通量操纵。微透镜的大规模（高达 1000）光子纳米喷射效应能够对尺寸从亚 100 nm 到数十微米的单个生物颗粒（如外泌体、细菌和哺乳动物细胞）进行高通量捕获、分选和调制。我们的 FSOT 具有高度灵活性，可以在复杂且弯曲的生物微环境中捕获和分选生物颗粒。重要的是，我们的 FSOT 还表现出高可变形性和可拉伸性，这有助于控制被捕获的相邻细胞之间的细胞间距，从而能够实时调节和监测单个病原菌与巨噬细胞之间的相互作用。我们的 FSOT 代表了一种用于高通量生物颗粒捕获和操纵的新型片上光镊，具有高灵活性和可拉伸性，作为集成片上平台，用于生物颗粒的高通量动态分析、揭示致病性生物颗粒与宿主细胞之间的细胞间相互作用以及精确的药物筛选，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High-throughput trapping and precision manipulation of individual pathogenic bioparticles in complex microenvironments are of great importance for in-vitro diagnostics and drug screening. Although optical tweezers have been widely used for bioparticle trapping and manipulation, the throughput, functionality, and adaptability are still limited for on-chip integrated bioparticle manipulation in complex and dynamic bioenvironments. Here, we report flexible, stretchable, on-chip optical tweezers (FSOT) based on large-scale orderly assembled microlenses for high-throughput manipulation of bioparticles in complex bio-environments and on flexible substrates, including soft bio-substrates such as skin and intestines. Large-scale (up to 1000) photonic nanojet effect of the microlenses enables high-throughput trapping, sorting, and modulation of individual bioparticles with sizes ranging from sub-100 nm to tens of micrometers, such as exosomes, bacteria and mammalian cells. Our FSOT exhibits high flexibility, which enables bioparticle trapping and sorting in complex and curved biological microenvironments. Importantly, our FSOT also exhibits high deformability and stretchability, which facilitates the control of inter-cellular distance between trapped neighboring cells, enabling real-time modulating and monitoring the interaction between single pathogenic bacteria and macrophage. Our FSOT represents a new class of on-chip optical tweezers for high-throughput bioparticle trapping and manipulation with the features of high flexibility and stretchability, and holds great promises as an integrated on-chip platform for high-throughput dynamic analysis of bioparticles, for revealing inter-cellular interactions between pathogenic bioparticles and host cells, and for precise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用于多目标识别的抗干扰衍射深度神经网络</w:t>
      </w:r>
    </w:p>
    <w:p>
      <w:r>
        <w:rPr>
          <w:rFonts w:ascii="Times New Roman" w:hAnsi="Times New Roman" w:eastAsia="宋体"/>
          <w:b/>
          <w:color w:val="003264"/>
          <w:sz w:val="24"/>
        </w:rPr>
        <w:t>Anti-interference diffractive deep neural networks for multi-object recognition</w:t>
      </w:r>
    </w:p>
    <w:p>
      <w:r>
        <w:rPr>
          <w:rFonts w:ascii="Times New Roman" w:hAnsi="Times New Roman" w:eastAsia="宋体"/>
          <w:sz w:val="21"/>
        </w:rPr>
        <w:t>作者: Zhiqi Huang, Yufei Liu, Nan Zhang, Zian Zhang, Qiming Liao, Cong He, Shendong Liu, Youhai Liu, Hongtao Wang, Xingdu Qiao, Joel K. W. Yang, Yan Zhang, Lingling Huang, Yongtian Wang</w:t>
        <w:br/>
      </w:r>
      <w:r>
        <w:rPr>
          <w:rFonts w:ascii="Times New Roman" w:hAnsi="Times New Roman" w:eastAsia="宋体"/>
          <w:sz w:val="21"/>
        </w:rPr>
        <w:t xml:space="preserve">时间: 2026-02-03 | </w:t>
      </w:r>
      <w:r>
        <w:t xml:space="preserve">链接: </w:t>
      </w:r>
      <w:hyperlink r:id="rId31">
        <w:r>
          <w:rPr>
            <w:rFonts w:ascii="Times New Roman" w:hAnsi="Times New Roman" w:eastAsia="宋体"/>
            <w:color w:val="0000FF"/>
            <w:sz w:val="21"/>
            <w:u w:val="single"/>
          </w:rPr>
          <w:t>https://doi.org/10.1038/s41377-026-02188-7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摘要：光神经网络（ONN）正在成为一种有前景的物体识别神经形态计算范式，在光速计算、超低功耗和固有并行性方面提供了前所未有的优势。然而，大多数 ONN 只能执行简单的对象分类任务。这些任务通常仅限于单目标场景，这限制了它们在多目标识别任务中的实际应用。在这里，我们提出了一种抗干扰衍射深度神经网络（AI D 2 NN），它可以准确、鲁棒地识别多目标场景中的目标，包括类内、类间和动态干扰。通过对目标和干扰采用不同的基于深度学习的训练策略，两个透射衍射层形成一个物理网络，将目标的空间信息全光学地映射到输出光的功率谱中，同时将所有干扰分散为背景噪声。我们展示了该框架在涉及 40 类干扰的动态场景下对未知手写数字进行分类的有效性，使用太赫兹波实现了 87.4% 的模拟盲测准确率。通过简单地按感兴趣的波长范围的比例缩放衍射特征，所提出的框架可以在物理上缩放以在任何电磁波长下工作。这项工作可以极大地推进ONN在目标识别方面的实际应用，为开发实时、高通量、低功耗的全光计算系统铺平道路，有望应用于自动驾驶感知、精准医疗诊断、智能安防监控等领域。</w:t>
      </w:r>
    </w:p>
    <w:p>
      <w:pPr>
        <w:spacing w:before="120"/>
      </w:pPr>
      <w:r>
        <w:rPr>
          <w:rFonts w:ascii="Times New Roman" w:hAnsi="Times New Roman" w:eastAsia="宋体"/>
          <w:b/>
          <w:sz w:val="21"/>
        </w:rPr>
        <w:t>English Abstract:</w:t>
      </w:r>
    </w:p>
    <w:p>
      <w:r>
        <w:rPr>
          <w:rFonts w:ascii="Times New Roman" w:hAnsi="Times New Roman" w:eastAsia="宋体"/>
          <w:sz w:val="21"/>
        </w:rPr>
        <w:t>Abstract Optical neural networks (ONNs) are emerging as a promising neuromorphic computing paradigm for object recognition, offering unprecedented advantages in light-speed computation, ultra-low power consumption, and inherent parallelism. However, most of ONNs are only capable of performing simple object classification tasks. These tasks are typically constrained to single-object scenarios, which limits their practical applications in multi-object recognition tasks. Here, we propose an anti-interference diffractive deep neural network (AI D 2 NN) that can accurately and robustly recognize targets in multi-object scenarios, including intra-class, inter-class, and dynamic interference. By employing different deep-learning-based training strategies for targets and interference, two transmissive diffractive layers form a physical network that maps the spatial information of targets all-optically into the power spectrum of the output light, while dispersing all interference as background noise. We demonstrate the effectiveness of this framework in classifying unknown handwritten digits under dynamic scenarios involving 40 categories of interference, achieving a simulated blind testing accuracy of 87.4% using terahertz waves. The presented framework can be physically scaled to operate at any electromagnetic wavelength by simply scaling the diffractive features in proportion to the wavelength range of interest. This work can greatly advance the practical application of ONNs in target recognition and pave the way for the development of real-time, high-throughput, low-power all-optical computing systems, which are expected to be applied to autonomous driving perception, precision medical diagnosis, and intelligent security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光子集成电路内部的通用损耗和增益表征</w:t>
      </w:r>
    </w:p>
    <w:p>
      <w:r>
        <w:rPr>
          <w:rFonts w:ascii="Times New Roman" w:hAnsi="Times New Roman" w:eastAsia="宋体"/>
          <w:b/>
          <w:color w:val="003264"/>
          <w:sz w:val="24"/>
        </w:rPr>
        <w:t>Universal loss and gain characterization inside photonic integrated circuits</w:t>
      </w:r>
    </w:p>
    <w:p>
      <w:r>
        <w:rPr>
          <w:rFonts w:ascii="Times New Roman" w:hAnsi="Times New Roman" w:eastAsia="宋体"/>
          <w:sz w:val="21"/>
        </w:rPr>
        <w:t>作者: Haoran Chen, Ruxuan Liu, Gedalia Y. Koehler, Fatemehsadat Tabatabaei, Xiangwen Guo, Shuman Sun, Zijiao Yang, Beichen Wang, Andreas Beling, Xu Yi</w:t>
        <w:br/>
      </w:r>
      <w:r>
        <w:rPr>
          <w:rFonts w:ascii="Times New Roman" w:hAnsi="Times New Roman" w:eastAsia="宋体"/>
          <w:sz w:val="21"/>
        </w:rPr>
        <w:t xml:space="preserve">时间: 2026-02-03 | </w:t>
      </w:r>
      <w:r>
        <w:t xml:space="preserve">链接: </w:t>
      </w:r>
      <w:hyperlink r:id="rId29">
        <w:r>
          <w:rPr>
            <w:rFonts w:ascii="Times New Roman" w:hAnsi="Times New Roman" w:eastAsia="宋体"/>
            <w:color w:val="0000FF"/>
            <w:sz w:val="21"/>
            <w:u w:val="single"/>
          </w:rPr>
          <w:t>https://doi.org/10.1038/s41566-025-01837-4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讨论了一种通用、非破坏性和可扩展的方法来精确表征光子集成电路内光学元件的损耗和增益。</w:t>
      </w:r>
    </w:p>
    <w:p>
      <w:pPr>
        <w:spacing w:before="120"/>
      </w:pPr>
      <w:r>
        <w:rPr>
          <w:rFonts w:ascii="Times New Roman" w:hAnsi="Times New Roman" w:eastAsia="宋体"/>
          <w:b/>
          <w:sz w:val="21"/>
        </w:rPr>
        <w:t>English Abstract:</w:t>
      </w:r>
    </w:p>
    <w:p>
      <w:r>
        <w:rPr>
          <w:rFonts w:ascii="Times New Roman" w:hAnsi="Times New Roman" w:eastAsia="宋体"/>
          <w:sz w:val="21"/>
        </w:rPr>
        <w:t>A universal, non-destructive and scalable method to precisely characterize loss and gain of optical components inside photonic integrated circuits is discussed.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Ke Wang, Yantao Zhao, Yucun Zhang</w:t>
        <w:br/>
      </w:r>
      <w:r>
        <w:rPr>
          <w:rFonts w:ascii="Times New Roman" w:hAnsi="Times New Roman" w:eastAsia="宋体"/>
          <w:sz w:val="21"/>
        </w:rPr>
        <w:t xml:space="preserve">时间: 2026-01-29 | </w:t>
      </w:r>
      <w:r>
        <w:t xml:space="preserve">链接: </w:t>
      </w:r>
      <w:hyperlink r:id="rId30">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形锻件的精确尺寸测量对于保证产品质量和操作安全至关重要。然而，环境干扰和制造不确定性往往会导致点云分布不均匀以及结构特征和噪声之间的尺度重叠，从而导致全局和局部几何信息之间的冲突，从而影响测量精度。为了应对这些挑战，我们提出了一种我们认为新颖的点云去噪框架——双路径结构化去噪器（DSD）——它建立了一个协作的全局-局部建模框架。 DSD通过双路径特征学习架构同时提取局部拓扑结构并捕获全局几何图案，同时将先验几何约束与基于置信度的评估相结合以加强噪声抑制。多层细化结构可以逐步过滤异常值。环形锻件样本和斯坦福数据集的实验结果表明，DSD 在精度、召回率、F1 分数和形状保持方面超越了最先进的去噪方法，验证了其在高噪声工业环境中的有效性和实际适用性。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Accurate dimensional measurement of annular forgings is crucial for ensuring product quality and operational safety. However, environmental interference and manufacturing uncertainties often result in non-uniform point cloud distributions and overlapping scales between structural features and noise, leading to conflicts between global and local geometric information that compromise measurement accuracy. To address these challenges, we propose what we believe to be a novel point cloud denoising framework—dual-path structured denoiser (DSD)—that establishes a collaborative global–local modeling framework. DSD simultaneously extracts local topological structures and captures global geometric patterns through a dual-path feature learning architecture while integrating a priori geometric constraints with confidence-based assessment to strengthen noise suppression. A multi-layer refinement structure enables progressive filtering of outliers. Experimental results on both annular forging samples and the Stanford dataset demonstrate that DSD surpasses state-of-the-art denoising methods in precision, recall, F1 score, and shape preservation, validating its effectiveness and practical applicability in high-noise industrial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08:27 ---</w:t>
      </w:r>
    </w:p>
    <w:p>
      <w:pPr>
        <w:pStyle w:val="Heading2"/>
      </w:pPr>
      <w:r/>
      <w:r>
        <w:rPr>
          <w:rFonts w:ascii="Times New Roman" w:hAnsi="Times New Roman" w:eastAsia="宋体"/>
          <w:b/>
          <w:color w:val="000000"/>
          <w:sz w:val="24"/>
        </w:rPr>
        <w:t>固态量子发射器的纳米级定位显微镜和确定性光刻</w:t>
      </w:r>
    </w:p>
    <w:p>
      <w:r>
        <w:rPr>
          <w:rFonts w:ascii="Times New Roman" w:hAnsi="Times New Roman" w:eastAsia="宋体"/>
          <w:b/>
          <w:color w:val="003264"/>
          <w:sz w:val="24"/>
        </w:rPr>
        <w:t>Nanoscale Localization Microscopy and Deterministic Lithography of Solid-State Quantum Emitters</w:t>
      </w:r>
    </w:p>
    <w:p>
      <w:r>
        <w:rPr>
          <w:rFonts w:ascii="Times New Roman" w:hAnsi="Times New Roman" w:eastAsia="宋体"/>
          <w:sz w:val="21"/>
        </w:rPr>
        <w:t>作者: Sam G. Bishop, Hüseyin B. Yağcı, Rachel N. Clark, John P. Hadden, Anthony J. Bennett</w:t>
        <w:br/>
      </w:r>
      <w:r>
        <w:rPr>
          <w:rFonts w:ascii="Times New Roman" w:hAnsi="Times New Roman" w:eastAsia="宋体"/>
          <w:sz w:val="21"/>
        </w:rPr>
        <w:t xml:space="preserve">时间: 2026-02-03 | </w:t>
      </w:r>
      <w:r>
        <w:t xml:space="preserve">链接: </w:t>
      </w:r>
      <w:hyperlink r:id="rId32">
        <w:r>
          <w:rPr>
            <w:rFonts w:ascii="Times New Roman" w:hAnsi="Times New Roman" w:eastAsia="宋体"/>
            <w:color w:val="0000FF"/>
            <w:sz w:val="21"/>
            <w:u w:val="single"/>
          </w:rPr>
          <w:t>https://doi.org/10.1021/acsphotonics.5c02864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 Id="rId24" Type="http://schemas.openxmlformats.org/officeDocument/2006/relationships/hyperlink" Target="https://doi.org/10.1016/j.optcom.2026.132991" TargetMode="External"/><Relationship Id="rId25" Type="http://schemas.openxmlformats.org/officeDocument/2006/relationships/hyperlink" Target="https://doi.org/10.1364/oe.586863" TargetMode="External"/><Relationship Id="rId26" Type="http://schemas.openxmlformats.org/officeDocument/2006/relationships/hyperlink" Target="https://doi.org/10.1364/boe.581202" TargetMode="External"/><Relationship Id="rId27" Type="http://schemas.openxmlformats.org/officeDocument/2006/relationships/hyperlink" Target="https://doi.org/10.1002/lpor.202501647" TargetMode="External"/><Relationship Id="rId28" Type="http://schemas.openxmlformats.org/officeDocument/2006/relationships/hyperlink" Target="https://doi.org/10.1038/s41377-026-02199-4" TargetMode="External"/><Relationship Id="rId29" Type="http://schemas.openxmlformats.org/officeDocument/2006/relationships/hyperlink" Target="https://doi.org/10.1038/s41566-025-01837-4" TargetMode="External"/><Relationship Id="rId30" Type="http://schemas.openxmlformats.org/officeDocument/2006/relationships/hyperlink" Target="https://doi.org/10.1364/ao.580374" TargetMode="External"/><Relationship Id="rId31" Type="http://schemas.openxmlformats.org/officeDocument/2006/relationships/hyperlink" Target="https://doi.org/10.1038/s41377-026-02188-7" TargetMode="External"/><Relationship Id="rId32" Type="http://schemas.openxmlformats.org/officeDocument/2006/relationships/hyperlink" Target="https://doi.org/10.1021/acsphotonics.5c028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