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Scientific Reports</w:t>
      </w:r>
    </w:p>
    <w:p>
      <w:pPr>
        <w:jc w:val="center"/>
      </w:pPr>
      <w:r>
        <w:t>--- 更新: 06:28 ---</w:t>
      </w:r>
    </w:p>
    <w:p>
      <w:pPr>
        <w:pStyle w:val="Heading2"/>
      </w:pPr>
      <w:r/>
      <w:r>
        <w:rPr>
          <w:rFonts w:ascii="Times New Roman" w:hAnsi="Times New Roman" w:eastAsia="宋体"/>
          <w:b/>
          <w:color w:val="000000"/>
          <w:sz w:val="24"/>
        </w:rPr>
        <w:t>氧化石墨烯/金属有机骨架复合材料作为酯化反应的有效催化剂</w:t>
      </w:r>
    </w:p>
    <w:p>
      <w:r>
        <w:rPr>
          <w:rFonts w:ascii="Times New Roman" w:hAnsi="Times New Roman" w:eastAsia="宋体"/>
          <w:b/>
          <w:color w:val="003264"/>
          <w:sz w:val="24"/>
        </w:rPr>
        <w:t>Graphene oxide/metal–organic framework composite as an effective catalyst for esterification reactions</w:t>
      </w:r>
    </w:p>
    <w:p>
      <w:r>
        <w:rPr>
          <w:rFonts w:ascii="Times New Roman" w:hAnsi="Times New Roman" w:eastAsia="宋体"/>
          <w:sz w:val="21"/>
        </w:rPr>
        <w:t>作者: Reza Masoudi, Ali Zarnegaryan, Zahra Dehbanipour</w:t>
        <w:br/>
      </w:r>
      <w:r>
        <w:rPr>
          <w:rFonts w:ascii="Times New Roman" w:hAnsi="Times New Roman" w:eastAsia="宋体"/>
          <w:sz w:val="21"/>
        </w:rPr>
        <w:t xml:space="preserve">时间: 2026-02-08 | </w:t>
      </w:r>
      <w:r>
        <w:t xml:space="preserve">链接: </w:t>
      </w:r>
      <w:hyperlink r:id="rId10">
        <w:r>
          <w:rPr>
            <w:rFonts w:ascii="Times New Roman" w:hAnsi="Times New Roman" w:eastAsia="宋体"/>
            <w:color w:val="0000FF"/>
            <w:sz w:val="21"/>
            <w:u w:val="single"/>
          </w:rPr>
          <w:t>https://doi.org/10.1038/s41598-026-36344-1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在此，我们报道了浸渍到锆基金属有机骨架（MOF-801）中的氧化石墨烯（GO）的合成和表征，表示为MOF-801@GO，作为酯化反应的催化剂。使用各种技术对合成的催化剂进行了彻底的表征，包括傅里叶变换红外（FTIR）光谱、Brunauer-Emmett-Teller（BET）表面积测量、扫描电子显微镜（SEM）、透射电子显微镜（TEM）、热重分析（TGA）、X射线衍射（XRD）和电感耦合等离子体（ICP）光谱。通过氨程序升温脱附(NH3-TPD)评价表面酸强度。 MOF-801@GO 的催化性能在不使用溶剂的羧酸与醇的酯化反应中进行了评估。在优化的反应条件下，该催化剂实现了高达95%的酯化收率。值得注意的是，该催化剂很容易回收并在多个循环中重复使用，催化活性或结构完整性的损失最小，凸显了其在实际酯化应用中的前景。</w:t>
      </w:r>
    </w:p>
    <w:p>
      <w:pPr>
        <w:spacing w:before="120"/>
      </w:pPr>
      <w:r>
        <w:rPr>
          <w:rFonts w:ascii="Times New Roman" w:hAnsi="Times New Roman" w:eastAsia="宋体"/>
          <w:b/>
          <w:sz w:val="21"/>
        </w:rPr>
        <w:t>English Abstract:</w:t>
      </w:r>
    </w:p>
    <w:p>
      <w:r>
        <w:rPr>
          <w:rFonts w:ascii="Times New Roman" w:hAnsi="Times New Roman" w:eastAsia="宋体"/>
          <w:sz w:val="21"/>
        </w:rPr>
        <w:t>Abstract Herein, we report the synthesis and characterization of graphene oxide (GO) impregnated into a Zr-based metal–organic framework (MOF-801), denoted as MOF-801@GO, as a catalyst for esterification reactions. The synthesized catalyst was thoroughly characterized using various techniques, including Fourier-transform infrared (FTIR) spectroscopy, Brunauer–Emmett–Teller (BET) surface area measurements, and scanning electron microscopy (SEM), transmission electron microscopy (TEM), thermogravimetric analysis (TGA), X-ray diffraction (XRD), and inductively coupled plasma (ICP) spectroscopy. The surface acid strength was evaluated by ammonia temperature-programmed desorption (NH₃-TPD). The catalytic performance of MOF-801@GO was assessed in the esterification of carboxylic acids with alcohols using no solvent. Under optimized reaction conditions, the catalyst achieved a high esterification yield of up to 95%. Notably, the catalyst was readily recovered and reused over multiple cycles with minimal loss of catalytic activity or structural integrity, highlighting its promise for practical esterification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蛭石基轻质地质聚合物砂浆的电磁屏蔽性能及力学性能</w:t>
      </w:r>
    </w:p>
    <w:p>
      <w:r>
        <w:rPr>
          <w:rFonts w:ascii="Times New Roman" w:hAnsi="Times New Roman" w:eastAsia="宋体"/>
          <w:b/>
          <w:color w:val="003264"/>
          <w:sz w:val="24"/>
        </w:rPr>
        <w:t>Electromagnetic shielding performance and mechanical properties of vermiculite-based lightweight geopolymer mortars</w:t>
      </w:r>
    </w:p>
    <w:p>
      <w:r>
        <w:rPr>
          <w:rFonts w:ascii="Times New Roman" w:hAnsi="Times New Roman" w:eastAsia="宋体"/>
          <w:sz w:val="21"/>
        </w:rPr>
        <w:t>作者: Ali İhsan Çelik, Ufuk Tunç, Ali Durmuş, Ercan Karaköse, Fatih Özkan Alkurt, Muharrem Karaaslan</w:t>
        <w:br/>
      </w:r>
      <w:r>
        <w:rPr>
          <w:rFonts w:ascii="Times New Roman" w:hAnsi="Times New Roman" w:eastAsia="宋体"/>
          <w:sz w:val="21"/>
        </w:rPr>
        <w:t xml:space="preserve">时间: 2026-02-09 | </w:t>
      </w:r>
      <w:r>
        <w:t xml:space="preserve">链接: </w:t>
      </w:r>
      <w:hyperlink r:id="rId11">
        <w:r>
          <w:rPr>
            <w:rFonts w:ascii="Times New Roman" w:hAnsi="Times New Roman" w:eastAsia="宋体"/>
            <w:color w:val="0000FF"/>
            <w:sz w:val="21"/>
            <w:u w:val="single"/>
          </w:rPr>
          <w:t>https://doi.org/10.1038/s41598-026-38722-1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近年来，电子设备的广泛使用导致电磁污染的增加，造成电磁干扰，降低系统的性能。此外，日益严重的电磁污染会给人类健康带来严重风险。本研究研究了用于防止电磁污染的蛭石增强轻质地质聚合物复合材料的开发。该复合材料是使用 0 至 100% 之间不同比例的 F 级粉煤灰和蛭石以及 10-13 M NaOH 溶液生产的。通过测量 3-40 GHz 频段的 S11、S21 和屏蔽效能 (SE) 来评估 160 × 140 × 40 mm 片剂样品的电磁性能，其中 16 GHz 和 32 GHz 用作交叉特性图的代表点。虽然电磁SE在3-40 GHz宽频带上进行了表征，但选择16 GHz和32 GHz频率作为详细交叉特性分析和曲面图的代表点，以说明机械和电磁性能之间的相互作用。所有混合物均表现出良好的阻抗匹配，反射值低于 − 10 dB。 SE 结果表明，V25–M12、V50–M12 和 V100–M12 混合物（尤其是在 Ka 频段）通过表现出高于 50 dB 的谐振峰值来提供高电磁衰减。由于其多孔结构，蛭石含量的增加使堆积密度降低了 8-17%。较高的摩尔浓度（尤其是 13 M）会产生较松散的微观结构。使用 25% 蛭石和 11 M 溶液获得最高的机械弯曲强度（8.9 MPa），而使用不含蛭石的对照样品获得最高的压缩强度（30-32 MPa）。田口分析表明，25% 蛭石和 11-13 M NaOH 的组合提供了最平衡的机械和电磁性能。</w:t>
      </w:r>
    </w:p>
    <w:p>
      <w:pPr>
        <w:spacing w:before="120"/>
      </w:pPr>
      <w:r>
        <w:rPr>
          <w:rFonts w:ascii="Times New Roman" w:hAnsi="Times New Roman" w:eastAsia="宋体"/>
          <w:b/>
          <w:sz w:val="21"/>
        </w:rPr>
        <w:t>English Abstract:</w:t>
      </w:r>
    </w:p>
    <w:p>
      <w:r>
        <w:rPr>
          <w:rFonts w:ascii="Times New Roman" w:hAnsi="Times New Roman" w:eastAsia="宋体"/>
          <w:sz w:val="21"/>
        </w:rPr>
        <w:t>In recent years, the widespread use of electronic devices has led to an increase in electromagnetic pollution, which causes electromagnetic interference and reduces the performance of systems. Furthermore, increasing electromagnetic pollution can pose serious risks to human health. This study investigates the development of vermiculite-reinforced lightweight geopolymer composites for protection against electromagnetic pollution. The composites were produced using F-class fly ash and vermiculite in varying proportions between 0 and 100%, along with 10–13 M NaOH solutions. The electromagnetic performance of the 160 × 140 × 40 mm tablet samples is evaluated by measuring S11, S21, and shielding effectiveness (SE) for 3–40 GHz frequency bands, 16 GHz and 32 GHz used as representative points for cross-property plots. While electromagnetic SE was characterized across the broad 3–40 GHz band, the frequencies of 16 GHz and 32 GHz are selected as representative points for detailed cross-property analysis and surface plotting to illustrate the interaction between mechanical and electromagnetic performance. All mixtures showed good impedance matching with reflection values below − 10 dB. SE results show that V25–M12, V50–M12, and V100–M12 mixtures, especially in the Ka band, provided high electromagnetic attenuation by exhibiting resonance peaks above 50 dB. The increase in vermiculite content reduced the bulk density by 8–17% due to its porous structure. Higher molarities (especially 13 M) created a looser microstructure. The highest mechanical flexural strength (8.9 MPa) is obtained with 25% vermiculite and 11 M solution, while the highest compressive strength (30–32 MPa) is obtained with the vermiculite-free control sample. Taguchi analysis showed that the combination of 25% vermiculite and 11–13 M NaOH provided the most balanced mechanical and electromagnetic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使用一维投影门控在 MRI 中进行运动鲁棒性髓磷脂成像</w:t>
      </w:r>
    </w:p>
    <w:p>
      <w:r>
        <w:rPr>
          <w:rFonts w:ascii="Times New Roman" w:hAnsi="Times New Roman" w:eastAsia="宋体"/>
          <w:b/>
          <w:color w:val="003264"/>
          <w:sz w:val="24"/>
        </w:rPr>
        <w:t>Motion-robust myelin imaging in MRI using 1D projection gating</w:t>
      </w:r>
    </w:p>
    <w:p>
      <w:r>
        <w:rPr>
          <w:rFonts w:ascii="Times New Roman" w:hAnsi="Times New Roman" w:eastAsia="宋体"/>
          <w:sz w:val="21"/>
        </w:rPr>
        <w:t>作者: Jinil Park, Sam Sedaghat, Kader Karli Oguz, Youngkyoo Jung, Eddie Fu, Nian Wang, Fang Liu, Hyungseok Jang</w:t>
        <w:br/>
      </w:r>
      <w:r>
        <w:rPr>
          <w:rFonts w:ascii="Times New Roman" w:hAnsi="Times New Roman" w:eastAsia="宋体"/>
          <w:sz w:val="21"/>
        </w:rPr>
        <w:t xml:space="preserve">时间: 2026-02-09 | </w:t>
      </w:r>
      <w:r>
        <w:t xml:space="preserve">链接: </w:t>
      </w:r>
      <w:hyperlink r:id="rId12">
        <w:r>
          <w:rPr>
            <w:rFonts w:ascii="Times New Roman" w:hAnsi="Times New Roman" w:eastAsia="宋体"/>
            <w:color w:val="0000FF"/>
            <w:sz w:val="21"/>
            <w:u w:val="single"/>
          </w:rPr>
          <w:t>https://doi.org/10.1038/s41598-026-39238-4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具有反转恢复超短回波时间 (IR-UTE) 的髓磷脂加权成像具有高度运动敏感性，但额外的硬件或更长的扫描是不切实际的。我们评估了具有位反转辐条角度的一维上下 (SI) 导航器是否可以在不扩展采集范围的情况下减轻运动伪影。双回波 IR-UTE 在 3T 下实施。绝热反转脉冲后，白质零点周围每段采集 21 个辐条，并且双回波减法抑制了残留的长 T2 信号。在每个段的末尾添加 SI 导航器可以在不延长 TR 的情况下进行运动检测。位反转用于伪随机化辐条角度。 Bloch 对 2D 合成大脑的模拟去除了 10% 的辐条以模拟门控。对三名志愿者进行了扫描：（i）按顺序排列，不运动； (ii) 位反转，无运动； (iii) 反转并故意点头。导航器在点头过程中拒绝了 12,000 个辐条中的 1,280 个（10.7%），并且在无运动数据上重建了相同的门控。仿真显示顺序排序具有相干条纹，但位反转具有各向同性点扩散函数。在体内，门控仅降低了顺序数据集。位反转保留了皮质下和深层白质细节。在有意点头期间，使用位反转的门控增强了髓磷脂对比度，优于从非门控数据重建的图像。 SI-navigator 加上位反转可实现有效的运动门控，无需硬件或时间损失，支持常规运动鲁棒性髓磷脂映射。</w:t>
      </w:r>
    </w:p>
    <w:p>
      <w:pPr>
        <w:spacing w:before="120"/>
      </w:pPr>
      <w:r>
        <w:rPr>
          <w:rFonts w:ascii="Times New Roman" w:hAnsi="Times New Roman" w:eastAsia="宋体"/>
          <w:b/>
          <w:sz w:val="21"/>
        </w:rPr>
        <w:t>English Abstract:</w:t>
      </w:r>
    </w:p>
    <w:p>
      <w:r>
        <w:rPr>
          <w:rFonts w:ascii="Times New Roman" w:hAnsi="Times New Roman" w:eastAsia="宋体"/>
          <w:sz w:val="21"/>
        </w:rPr>
        <w:t>Myelin-weighted imaging with inversion-recovery ultrashort-echo-time (IR-UTE) is highly motion-sensitive, yet extra hardware or longer scans are impractical. We evaluated whether a 1D superior–inferior (SI) navigator with bit-reversed spoke-angles mitigates motion artifacts without extending acquisition. Dual-echo IR-UTE was implemented at 3T. After an adiabatic inversion pulse, 21 spokes were acquired per segment around the white-matter null point, and dual-echo subtraction suppressed residual long-T2 signals. Adding SI-navigators at the end of each segment allows motion detection without lengthening TR. And bit-reversal is used to pseudo-randomize the spoke-angles. Bloch simulations of a 2D synthetic brain removed 10% of spokes to mimic gating. Three volunteers were scanned: (i) sequential-ordering, no-motion; (ii) bit-reversed, no-motion; (iii) bit-reversed with deliberate head nods. The navigator rejected 1,280 of 12,000 spokes (10.7%) during nodding, and the same gating was reconstructed on motion-free data. Simulation showed coherent streaks for sequential ordering but an isotropic point-spread function for bit-reversal. In vivo, gating degraded only the sequential dataset. bit-reversal preserved subcortical and deep-white-matter detail. During intentional nodding, gating with bit-reversal enhanced myelin contrast, outperforming the image reconstructed from the ungated data. The SI-navigator plus bit-reversal enables effective motion gating without hardware or time penalty, supporting routine motion-robust myelin mapping.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使用甜菜皮提取物环保合成星形锌纳米粒子并评估其抗菌、光催化和细胞毒活性</w:t>
      </w:r>
    </w:p>
    <w:p>
      <w:r>
        <w:rPr>
          <w:rFonts w:ascii="Times New Roman" w:hAnsi="Times New Roman" w:eastAsia="宋体"/>
          <w:b/>
          <w:color w:val="003264"/>
          <w:sz w:val="24"/>
        </w:rPr>
        <w:t>Eco-friendly synthesis of star-shaped Zn nanoparticles using Beta vulgaris peel extract and evaluation of their antibacterial, photocatalytic, and cytotoxic activities</w:t>
      </w:r>
    </w:p>
    <w:p>
      <w:r>
        <w:rPr>
          <w:rFonts w:ascii="Times New Roman" w:hAnsi="Times New Roman" w:eastAsia="宋体"/>
          <w:sz w:val="21"/>
        </w:rPr>
        <w:t>作者: Faeghe Sadat Mousavi Khatat, Zahra Sabouri, Majid Darroudi</w:t>
        <w:br/>
      </w:r>
      <w:r>
        <w:rPr>
          <w:rFonts w:ascii="Times New Roman" w:hAnsi="Times New Roman" w:eastAsia="宋体"/>
          <w:sz w:val="21"/>
        </w:rPr>
        <w:t xml:space="preserve">时间: 2026-02-16 | </w:t>
      </w:r>
      <w:r>
        <w:t xml:space="preserve">链接: </w:t>
      </w:r>
      <w:hyperlink r:id="rId13">
        <w:r>
          <w:rPr>
            <w:rFonts w:ascii="Times New Roman" w:hAnsi="Times New Roman" w:eastAsia="宋体"/>
            <w:color w:val="0000FF"/>
            <w:sz w:val="21"/>
            <w:u w:val="single"/>
          </w:rPr>
          <w:t>https://doi.org/10.1038/s41598-026-38842-8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在这项研究中，首次利用绿色方法利用甜菜根皮制备了纳米锌颗粒。合成的 Zn 纳米颗粒已通过 UV-Vis 光谱、Zeta 电位分析、XRD、FTIR、TEM 和 FESEM-EDX 技术进行了表征。通过光谱技术证实了锌基纳米粒子的合成。 UV-Vis 分析在 UV 区域呈现出宽吸收峰，中心位于 300 nm 附近。此外，- 21.6 mV 的 zeta 电位表征了颗粒的负表面电荷，表明具有中等的胶体稳定性。 Zn 纳米粒子的 XRD 图显示了晶体结构，Zn 纳米粒子的 FESEM 和 TEM 图像显示出星形形貌。在紫外光下研究了纳米粒子对罗丹明 B (RhB) 和亚甲基蓝 (MB) 染料颜色降解的光催化活性，结果显示分别降解 97% 和 98%。在浓度为 1 mg/mL 时，评估了 Zn 纳米颗粒对革兰氏阳性菌金黄色葡萄球菌（ATCC 1112 和临床分离株）、粪肠球菌（ATCC 和临床分离株）、革兰氏阴性菌大肠杆菌（ATCC 和临床分离株）和铜绿假单胞菌（PAO1 和 S7）的抗菌活性。在 7 至 500 µg/mL 的浓度范围内，评估了 Zn 纳米颗粒对正常 L929 成纤维细胞和 MCF-7 乳腺癌细胞的细胞毒性作用。孵育24小时后，MCF-7细胞系的IC50值为284μg/mL，而对L929细胞没有观察到明显的细胞毒性。据我们了解，这是利用普通芥子根皮作为环保还原剂​​和稳定剂合成星形锌纳米粒子的初步报告，凸显了其在环境和生物医学应用中的潜力。</w:t>
      </w:r>
    </w:p>
    <w:p>
      <w:pPr>
        <w:spacing w:before="120"/>
      </w:pPr>
      <w:r>
        <w:rPr>
          <w:rFonts w:ascii="Times New Roman" w:hAnsi="Times New Roman" w:eastAsia="宋体"/>
          <w:b/>
          <w:sz w:val="21"/>
        </w:rPr>
        <w:t>English Abstract:</w:t>
      </w:r>
    </w:p>
    <w:p>
      <w:r>
        <w:rPr>
          <w:rFonts w:ascii="Times New Roman" w:hAnsi="Times New Roman" w:eastAsia="宋体"/>
          <w:sz w:val="21"/>
        </w:rPr>
        <w:t>In this study, for the first time, Zn nanoparticles were created using the root peel of Beta vulgaris by a green method. Synthesized Zn nanoparticles have been characterized via UV–Vis spectroscopy, Zeta potential analysis, XRD, FTIR, TEM, and FESEM-EDX techniques. The synthesis of zinc-based nanoparticles was confirmed by spectroscopic techniques. UV-Vis analysis presented a broad absorption peak in the UV region, centered around 300 nm. Furthermore, a zeta potential of − 21.6 mV characterized the particles’ negative surface charge and suggested moderate colloidal stability. The XRD pattern of Zn nanoparticles revealed crystalline structures, and FESEM and TEM images of Zn nanoparticles displayed a star-shaped morphology. The photocatalytic activity of NPs for the color degradation of Rhodamine B (RhB) and Methylene Blue (MB) dyes has been investigated under UV light, and the results show 97% and 98% degradation, respectively. The antibacterial activity of the Zn nanoparticles was evaluated at a concentration of 1 mg/mL against the gram-positive bacterium Staphylococcus aureus (ATCC 1112 and clinical isolates), Enterococcus faecalis (ATCC and clinical isolates), and gram-negative bacterium Escherichia coli (ATCC and clinical isolates) and Pseudomonas aeruginosa (PAO1 and S7). The cytotoxic effects of Zn nanoparticles were assessed over a concentration range of 7 to 500 µg/mL on both normal L929 fibroblast cells and MCF-7 breast cancer cells. After 24 h of incubation, the IC₅₀ value for the MCF-7 cell line was determined to be 284 µg/mL, while no significant cytotoxicity was observed on L929 cells. To our understanding, this is the initial report synthesizing star-shaped Zn nanoparticles utilizing B. vulgaris root peel as an eco-friendly reducing and stabilizing agent, highlighting their potential for environmental and biomedical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使用自我注意增强 MLP 架构根据帕金森语音特征进行模拟抑郁症风险分类</w:t>
      </w:r>
    </w:p>
    <w:p>
      <w:r>
        <w:rPr>
          <w:rFonts w:ascii="Times New Roman" w:hAnsi="Times New Roman" w:eastAsia="宋体"/>
          <w:b/>
          <w:color w:val="003264"/>
          <w:sz w:val="24"/>
        </w:rPr>
        <w:t>Simulated depression risk classification from Parkinson’s voice features using a self-attention-enhanced MLP architecture</w:t>
      </w:r>
    </w:p>
    <w:p>
      <w:r>
        <w:rPr>
          <w:rFonts w:ascii="Times New Roman" w:hAnsi="Times New Roman" w:eastAsia="宋体"/>
          <w:sz w:val="21"/>
        </w:rPr>
        <w:t>作者: Nalineekumari Arasavali, Mohammed. Ashik, Vaddadi Nirmal, Mogadala Vinod Kumar, U Siddaraj</w:t>
        <w:br/>
      </w:r>
      <w:r>
        <w:rPr>
          <w:rFonts w:ascii="Times New Roman" w:hAnsi="Times New Roman" w:eastAsia="宋体"/>
          <w:sz w:val="21"/>
        </w:rPr>
        <w:t xml:space="preserve">时间: 2026-02-09 | </w:t>
      </w:r>
      <w:r>
        <w:t xml:space="preserve">链接: </w:t>
      </w:r>
      <w:hyperlink r:id="rId14">
        <w:r>
          <w:rPr>
            <w:rFonts w:ascii="Times New Roman" w:hAnsi="Times New Roman" w:eastAsia="宋体"/>
            <w:color w:val="0000FF"/>
            <w:sz w:val="21"/>
            <w:u w:val="single"/>
          </w:rPr>
          <w:t>https://doi.org/10.1038/s41598-026-37773-8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帕金森病会影响运动和非运动功能，包括可能表明抑郁等潜在心理健康状况的声音特征。这项工作提出了一种使用源自 UCI 帕金森数据集的声音生物标志物进行模拟抑郁症风险分类的新框架。自注意力增强型多层感知器 MLP 架构用于关键声学特征之间的交互模型，特别是谐波噪声比和抖动，它们是生成二元抑郁症风险标签的基础。所提出的模型优于传统和深度学习基准，包括支持向量机 (SVM)、k-近邻 (k-NN)、TabNet、CNN-LSTM、深度神经网络 (DNN) 和可解释增强机 (EBM)，准确度为 97%，F1 分数为 98%，召回率为 95%，特异性为 100%。虽然 EBM 提供了强大的可解释性，但注意力增强模型表现出最佳的预测能力。这些发现强调了基于语音的特征与注意力机制相结合对于早期、非侵入性识别 PD 患者抑郁风险的功效。</w:t>
      </w:r>
    </w:p>
    <w:p>
      <w:pPr>
        <w:spacing w:before="120"/>
      </w:pPr>
      <w:r>
        <w:rPr>
          <w:rFonts w:ascii="Times New Roman" w:hAnsi="Times New Roman" w:eastAsia="宋体"/>
          <w:b/>
          <w:sz w:val="21"/>
        </w:rPr>
        <w:t>English Abstract:</w:t>
      </w:r>
    </w:p>
    <w:p>
      <w:r>
        <w:rPr>
          <w:rFonts w:ascii="Times New Roman" w:hAnsi="Times New Roman" w:eastAsia="宋体"/>
          <w:sz w:val="21"/>
        </w:rPr>
        <w:t>Parkinson’s disease affects both motor and non-motor functions, including vocal features that may indicate underlying mental health conditions such as depression. This work proposes a novel framework for simulated depression risk classification using vocal biomarkers derived from the UCI Parkinson’s dataset. A Self-Attention-Enhanced Multilayer Perceptron-MLP architecture is used model interactions between key acoustic features, particularly Harmonic-to-Noise Ratio and Jitter, which serve as the basis for generating binary depression risk labels. The proposed model outperforming traditional and deep learning benchmarks including Support Vector Machine (SVM), k-Nearest Neighbors (k-NN), TabNet, CNN-LSTM, Deep Neural Network (DNN), and Explainable Boosting Machine (EBM) with an accuracy of 97%, F1-score of 98%, recall of 95%, and specificity of 100%, While EBM offers strong interpretability, the attention-enhanced model demonstrates optimal predictive capability. These findings highlight the efficacy of voice-based features combined with attention mechanisms for early, non-invasive identification of depression risk in PD patients.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伊朗不断增长的正畸人群中实际年龄、骨骼年龄和牙齿年龄（Demirjian 方法）的相关性——一项横断面研究</w:t>
      </w:r>
    </w:p>
    <w:p>
      <w:r>
        <w:rPr>
          <w:rFonts w:ascii="Times New Roman" w:hAnsi="Times New Roman" w:eastAsia="宋体"/>
          <w:b/>
          <w:color w:val="003264"/>
          <w:sz w:val="24"/>
        </w:rPr>
        <w:t>Correlation of chronological, skeletal and dental (Demirjian method) ages in an Iranian growing orthodontic population – a cross-sectional study</w:t>
      </w:r>
    </w:p>
    <w:p>
      <w:r>
        <w:rPr>
          <w:rFonts w:ascii="Times New Roman" w:hAnsi="Times New Roman" w:eastAsia="宋体"/>
          <w:sz w:val="21"/>
        </w:rPr>
        <w:t>作者: Mehraneh Mohammadian-Rastani, Fatemeh Gorjizadeh, Seyedeh Roghayeh Panahi, Ali Mousavizadeh</w:t>
        <w:br/>
      </w:r>
      <w:r>
        <w:rPr>
          <w:rFonts w:ascii="Times New Roman" w:hAnsi="Times New Roman" w:eastAsia="宋体"/>
          <w:sz w:val="21"/>
        </w:rPr>
        <w:t xml:space="preserve">时间: 2026-02-09 | </w:t>
      </w:r>
      <w:r>
        <w:t xml:space="preserve">链接: </w:t>
      </w:r>
      <w:hyperlink r:id="rId15">
        <w:r>
          <w:rPr>
            <w:rFonts w:ascii="Times New Roman" w:hAnsi="Times New Roman" w:eastAsia="宋体"/>
            <w:color w:val="0000FF"/>
            <w:sz w:val="21"/>
            <w:u w:val="single"/>
          </w:rPr>
          <w:t>https://doi.org/10.1038/s41598-026-39319-4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生长调节治疗是一种用于仍在生长的患者的正畸治疗。这些干预措施的治疗计划和时间通常基于患者的实际年龄；然而，要实现最理想的结果，需要透彻了解儿童和青少年的身体发育情况。本研究的目的是探讨需要正畸治疗的儿童和青少年的实际年龄与身体发育之间的相关性。为了评估身体发育，评估了牙龄和骨骼年龄。从 Gachsaran 的一家牙科诊所随机抽取 194 名 7 至 17 岁正畸患者的全景和侧位头影测量 X 线照片。牙齿成熟度使用 Demirjian 方法评估，而骨骼成熟度使用 Baccetti 描述的颈椎成熟阶段 (CVMS) 方法评估。使用SPSS软件27版进行数据分析。使用Pearson相关系数和Spearman等级相关计算变量之间的相关性。研究发现，患者的平均牙科年龄高于实际年龄。值得注意的是，在第一颈椎成熟阶段（CVMS1）观察到男性和女性的牙齿年龄和实际年龄之间最强的相关性，突出了其对早期生长评估的潜在临床相关性。牙齿年龄与实际年龄之间的 Pearson 正相关性，男性为 0.894，女性为 0.876。此外，牙齿年龄和骨骼年龄之间存在强烈且显着的正相关性，男性的斯皮尔曼等级相关系数为0.779，女性的斯皮尔曼等级相关系数为0.785。此外，实足年龄与骨龄之间存在强烈且显着的正相关性，男性的 Spearman 等级相关系数为 0.783，女性的 Spearman 等级相关系数为 0.707。这项研究的结果表明，实际年龄与评估身体发育的两种方法（牙齿年龄和骨骼年龄）之间存在显着的正相关性。 Demirjian 方法似乎高估了研究人群的牙齿年龄，这表明需要重新评估其在伊朗人群中的有效性。此外，在两性的 CVMS1 中观察到实际年龄和牙龄之间最强的相关性。在规划生长调节治疗时应考虑这些见解。</w:t>
      </w:r>
    </w:p>
    <w:p>
      <w:pPr>
        <w:spacing w:before="120"/>
      </w:pPr>
      <w:r>
        <w:rPr>
          <w:rFonts w:ascii="Times New Roman" w:hAnsi="Times New Roman" w:eastAsia="宋体"/>
          <w:b/>
          <w:sz w:val="21"/>
        </w:rPr>
        <w:t>English Abstract:</w:t>
      </w:r>
    </w:p>
    <w:p>
      <w:r>
        <w:rPr>
          <w:rFonts w:ascii="Times New Roman" w:hAnsi="Times New Roman" w:eastAsia="宋体"/>
          <w:sz w:val="21"/>
        </w:rPr>
        <w:t>Growth modification treatments are a type of orthodontic treatment used for patients who are still growing. The treatment plan and timing for these interventions are generally based on the chronological age of patients; however, achieving the most desirable outcome requires a thorough understanding of the physical development of children and adolescents. The aim of this study is to examine the correlation between chronological age and physical development in children and adolescents requiring orthodontic treatment. To assess physical development, both dental age and skeletal age were evaluated. Panoramic and lateral cephalometric radiographs of 194 orthodontic patients aged 7 to 17 years were randomly selected from a dental clinic in Gachsaran. Dental maturity was assessed using the Demirjian method, while skeletal maturity was evaluated using the cervical vertebral maturation stage (CVMS) method described by Baccetti. Data analysis was conducted using SPSS software version 27. The correlation between variables was calculated using Pearson’s correlation coefficient and Spearman’s rank correlation. The mean dental age of patients was found to be higher than their chronological age. Notably, the strongest correlation between dental age and chronological age for both males and females were observed at the first cervical vertebral maturation stage (CVMS1) highlighting its potential clinical relevance for early growth assessment. The positive Pearson correlation between dental age and chronological age was 0.894 in males and 0.876 in females. Moreover, a strong and significant positive correlation was found between dental age and skeletal age, with a Spearman’s rank correlation coefficient of 0.779 in males and 0.785 in females. Additionally, a strong and significant positive correlation was observed between chronological age and skeletal age, with a Spearman’s rank correlation coefficient of 0.783 in males and 0.707 in females. The results of this study indicate a significant positive correlation between chronological age and both methods of assessing physical development (dental age and skeletal age). The Demirjian method appears to overestimate dental age in the study population, suggesting a need to reassess its validity in Iranian population. Furthermore, the strongest correlation between chronological age and dental age was observed at the CVMS1 for both genders. These insights should be taken into account when planning growth modification treatments.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长期使用苯二氮卓类药物的老年焦虑患者半球间功能连接增强：一项 fNIRS 研究</w:t>
      </w:r>
    </w:p>
    <w:p>
      <w:r>
        <w:rPr>
          <w:rFonts w:ascii="Times New Roman" w:hAnsi="Times New Roman" w:eastAsia="宋体"/>
          <w:b/>
          <w:color w:val="003264"/>
          <w:sz w:val="24"/>
        </w:rPr>
        <w:t>Enhanced interhemispheric functional connectivity in elderly anxiety patients with long-term benzodiazepine use: an fNIRS study</w:t>
      </w:r>
    </w:p>
    <w:p>
      <w:r>
        <w:rPr>
          <w:rFonts w:ascii="Times New Roman" w:hAnsi="Times New Roman" w:eastAsia="宋体"/>
          <w:sz w:val="21"/>
        </w:rPr>
        <w:t>作者: Yiheng Chang, Meichen Liu, Yudan Liu, Xueting Xie, Huimin Zhang</w:t>
        <w:br/>
      </w:r>
      <w:r>
        <w:rPr>
          <w:rFonts w:ascii="Times New Roman" w:hAnsi="Times New Roman" w:eastAsia="宋体"/>
          <w:sz w:val="21"/>
        </w:rPr>
        <w:t xml:space="preserve">时间: 2026-02-09 | </w:t>
      </w:r>
      <w:r>
        <w:t xml:space="preserve">链接: </w:t>
      </w:r>
      <w:hyperlink r:id="rId16">
        <w:r>
          <w:rPr>
            <w:rFonts w:ascii="Times New Roman" w:hAnsi="Times New Roman" w:eastAsia="宋体"/>
            <w:color w:val="0000FF"/>
            <w:sz w:val="21"/>
            <w:u w:val="single"/>
          </w:rPr>
          <w:t>https://doi.org/10.1038/s41598-026-39359-w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焦虑症患者临床上经常使用苯二氮卓类药物，尤其是长期使用的患者，但这些药物对认知功能的影响仍不确定。之前的研究主要集中在流行病学数据和代谢测量上，往往忽视了皮质激活和不同大脑区域之间的同步性。这项研究调查了长期服用苯二氮卓类药物和非服用苯二氮卓类药物的人在执行认知任务期间大脑神经元活动如何受到调节，从而深入了解认知功能背后的神经机制。 50 名患有焦虑症的老年人参与了这项研究，其中包括 31 名长期服用苯二氮卓类药物（BZD 组）和 19 名非服用者（对照组）。功能性近红外光谱用于评估言语流畅性任务期间的皮质激活和功能连接。我们的研究首次发现长期服用苯二氮卓类药物的人大脑半球间的功能连接性更强。然而，两组之间在行为表现、皮质激活或氧合血红蛋白浓度变化方面没有发现显着差异。此外，苯二氮卓类药物的累积剂量对背外侧前额叶皮层的激活没有显着影响。长期使用苯二氮卓类药物不会影响大脑激活，但会影响功能连接。半球间连接的增加可能有助于维持大脑网络的稳定性，并且这种增强的连接可能与 GABA 能神经传递的长期适应性去抑制有关。</w:t>
      </w:r>
    </w:p>
    <w:p>
      <w:pPr>
        <w:spacing w:before="120"/>
      </w:pPr>
      <w:r>
        <w:rPr>
          <w:rFonts w:ascii="Times New Roman" w:hAnsi="Times New Roman" w:eastAsia="宋体"/>
          <w:b/>
          <w:sz w:val="21"/>
        </w:rPr>
        <w:t>English Abstract:</w:t>
      </w:r>
    </w:p>
    <w:p>
      <w:r>
        <w:rPr>
          <w:rFonts w:ascii="Times New Roman" w:hAnsi="Times New Roman" w:eastAsia="宋体"/>
          <w:sz w:val="21"/>
        </w:rPr>
        <w:t>Individuals with anxiety exhibit high clinical usage of benzodiazepines, particularly among those with long-term use, yet the impact of these medications on cognitive function remains inconclusive. Previous research has predominantly focused on epidemiological data and metabolic measurements, often overlooking both cortical activation and the synchrony between different brain regions. This study investigates how brain neuronal activities are modulated in both long-term benzodiazepine users and nonusers during cognitive tasks, offering insights into the neural mechanisms underlying cognitive function. Fifty older adults with anxiety disorders participated in this study, including 31 long-term benzodiazepine users (BZD group) and 19 nonusers (control group). Functional near-infrared spectroscopy was used to assess cortical activation and functional connectivity during a verbal fluency task. Our study is the first to find a greater interhemispheric functional connectivity in chronic benzodiazepine users. However, no notable differences were detected between the two groups regarding behavioral performance, cortical activation, or changes in oxygenated hemoglobin concentration. Moreover, cumulative dosage of benzodiazepines use had no significant effect on dorsolateral prefrontal cortex activation. Long-term benzodiazepines use does not affect brain activation but impacts functional connectivity. The increased interhemispheric connectivity may serve to maintain the stability of brain networks, and this enhanced connectivity could be associated with the long-term adaptive disinhibition of GABAergic neurotransmission.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通过实验数据库、建模和统计验证构建 RCA 混凝土物理引导机器学习框架</w:t>
      </w:r>
    </w:p>
    <w:p>
      <w:r>
        <w:rPr>
          <w:rFonts w:ascii="Times New Roman" w:hAnsi="Times New Roman" w:eastAsia="宋体"/>
          <w:b/>
          <w:color w:val="003264"/>
          <w:sz w:val="24"/>
        </w:rPr>
        <w:t>Physics-guided machine learning framework for RCA concrete by experimental database, modelling, and statistical validation</w:t>
      </w:r>
    </w:p>
    <w:p>
      <w:r>
        <w:rPr>
          <w:rFonts w:ascii="Times New Roman" w:hAnsi="Times New Roman" w:eastAsia="宋体"/>
          <w:sz w:val="21"/>
        </w:rPr>
        <w:t>作者: Mohamed Abdikarin Mohamud, Muhannad Riyadh Alasiri, Nebi Özdöner, Sadık Alper Yıldızel, Yasin Onuralp Özkılıç</w:t>
        <w:br/>
      </w:r>
      <w:r>
        <w:rPr>
          <w:rFonts w:ascii="Times New Roman" w:hAnsi="Times New Roman" w:eastAsia="宋体"/>
          <w:sz w:val="21"/>
        </w:rPr>
        <w:t xml:space="preserve">时间: 2026-02-09 | </w:t>
      </w:r>
      <w:r>
        <w:t xml:space="preserve">链接: </w:t>
      </w:r>
      <w:hyperlink r:id="rId17">
        <w:r>
          <w:rPr>
            <w:rFonts w:ascii="Times New Roman" w:hAnsi="Times New Roman" w:eastAsia="宋体"/>
            <w:color w:val="0000FF"/>
            <w:sz w:val="21"/>
            <w:u w:val="single"/>
          </w:rPr>
          <w:t>https://doi.org/10.1038/s41598-026-38554-z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对可持续建筑材料的追求增加了再生混凝土骨料（RCA）的使用；然而，机械性能的可变性和缺乏准确的预测工具限制了其使用。完整的实验室计划使用来自六个母体强度等级 (C5–C50) 和三个粒径级分（0–4 毫米、5–11 毫米、12–22 毫米）的 RCA，替换水平为 10%–50%。掺有 RCA 的混凝土的机械性能受到上述参数的强烈影响。本研究提出了一种物理引导的机器学习 (ML) 框架来预测 RCA 混凝土的抗压强度 (CS) 和劈裂抗拉强度 (STS)，明确解决数据稀疏性和 RCA 引起的变异性问题。建立了涵盖多个 RCA 替代水平、粒度分数和母体混凝土强度等级的综合实验数据库，并使用物理引导的数据增强策略训练梯度增强模型（XGBoost 和 LightGBM），其中在源自实验可变性的物理允许范围内生成合成样本。使用 R²、RMSE 和 MAE 评估模型的性能，并在 RCA 体系中进行补充误差分层。结果表明，所提出的框架具有很强的预测准确性和稳定的性能，即使在较高的 RCA 替代水平下，RMSE 值仍保持在实验可接受的范围内。随附的统计分析证实，观察到的与 RCA 含量增加相关的强度降低既具有统计显着性，又具有物理意义。与传统的增强方法相比，物理引导策略提高了数据集稀疏区域中的模型鲁棒性，而无需引入非物理关系。因此，该框架为数据驱动的混合物设计和可持续混凝土系统的开发提供了一种透明的、物理一致的机器学习方法。</w:t>
      </w:r>
    </w:p>
    <w:p>
      <w:pPr>
        <w:spacing w:before="120"/>
      </w:pPr>
      <w:r>
        <w:rPr>
          <w:rFonts w:ascii="Times New Roman" w:hAnsi="Times New Roman" w:eastAsia="宋体"/>
          <w:b/>
          <w:sz w:val="21"/>
        </w:rPr>
        <w:t>English Abstract:</w:t>
      </w:r>
    </w:p>
    <w:p>
      <w:r>
        <w:rPr>
          <w:rFonts w:ascii="Times New Roman" w:hAnsi="Times New Roman" w:eastAsia="宋体"/>
          <w:sz w:val="21"/>
        </w:rPr>
        <w:t>The search for sustainable construction materials has increased the use of recycled concrete aggregate (RCA); however, variability in mechanical performance and the absence of accurate forecasting tools limit its utilization. A complete laboratory program utilized RCA from six parent strength classes (C5–C50) and three particle-size fractions (0–4 mm, 5–11 mm, 12–22 mm) at 10%–50% replacement levels. The mechanical performance of concrete incorporating RCA is strongly influenced by the aforementioned parameters. This study proposes a physics-guided machine learning (ML) framework to predict the compressive strength (CS) and splitting tensile strength (STS) of RCA concrete, explicitly addressing data sparsity and RCA-induced variability. A comprehensive experimental database covering multiple RCA replacement levels, particle-size fractions, and parent concrete strength classes was established, and gradient-boosting models (XGBoost and LightGBM) were trained using a physics-guided data augmentation strategy in which synthetic samples were generated within physically admissible bounds derived from experimental variability. The model’s performance was assessed using R², RMSE, and MAE, with supplementary error stratification across RCA regimes. The results show that the proposed framework achieves strong predictive accuracy and stable performance, with RMSE values remaining within ranges considered acceptable experimentally, even at higher RCA replacement levels. The accompanying statistical analyses confirm that the observed reductions in strength associated with increasing RCA content are both statistically significant and physically meaningful. Compared with conventional augmentation approaches, the physics-guided strategy improves model robustness in sparsely populated regions of the dataset without introducing non-physical relationships. As a result, the framework provides a transparent, physically consistent machine-learning approach for data-driven mixture design and the development of sustainable concrete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单一和混合金属暴露对印度比哈尔邦成年人神经认知健康和生活质量的影响</w:t>
      </w:r>
    </w:p>
    <w:p>
      <w:r>
        <w:rPr>
          <w:rFonts w:ascii="Times New Roman" w:hAnsi="Times New Roman" w:eastAsia="宋体"/>
          <w:b/>
          <w:color w:val="003264"/>
          <w:sz w:val="24"/>
        </w:rPr>
        <w:t>Effects of single and mixed metal exposure on neurocognitive health and quality of life among adults from Bihar India</w:t>
      </w:r>
    </w:p>
    <w:p>
      <w:r>
        <w:rPr>
          <w:rFonts w:ascii="Times New Roman" w:hAnsi="Times New Roman" w:eastAsia="宋体"/>
          <w:sz w:val="21"/>
        </w:rPr>
        <w:t>作者: V. Udaya Kumar, Krishna Pandey, Arun Kumar, Nitesh Kumar, Ruckmani Kandasamy, Krishna Murti</w:t>
        <w:br/>
      </w:r>
      <w:r>
        <w:rPr>
          <w:rFonts w:ascii="Times New Roman" w:hAnsi="Times New Roman" w:eastAsia="宋体"/>
          <w:sz w:val="21"/>
        </w:rPr>
        <w:t xml:space="preserve">时间: 2026-02-09 | </w:t>
      </w:r>
      <w:r>
        <w:t xml:space="preserve">链接: </w:t>
      </w:r>
      <w:hyperlink r:id="rId18">
        <w:r>
          <w:rPr>
            <w:rFonts w:ascii="Times New Roman" w:hAnsi="Times New Roman" w:eastAsia="宋体"/>
            <w:color w:val="0000FF"/>
            <w:sz w:val="21"/>
            <w:u w:val="single"/>
          </w:rPr>
          <w:t>https://doi.org/10.1038/s41598-026-39326-5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环境中接触金属和类金属而导致的认知能力下降是一个全球性的公共卫生问题，因为它们具有潜在的神经毒性作用。虽然单独的金属暴露与认知障碍有关，但同时和联合暴露的影响仍不确定。这项横断面研究是在比哈尔邦的成年人中进行的，旨在评估铍 (Be)、钒 (V)、铬 (Cr)、钴 (Co)、砷 (As)、硒 (Se)、锶 (Sr)、银 (Ag)、镉 (Cd)、铯 (Cs)、钡 (Ba)、铅 (Pb) 和铀的负担(U) 金属及其单独和混合组合。使用 MoCA 和 WHO-QoL Brief 问卷评估认知和生活质量评分。对数转换后的金属和类金属浓度与认知评分（ρ -0.29 至 -0.78）和 HR-QoL 评分（ρ &gt; -0.5；P &lt; 0.05）呈负相关。认知得分与生活质量直接相关（ρ &gt; 0.5；P &lt; 0.05）。金属 As、V、Co、Se、Cs 和 U 对认知得分有强烈的负面影响（β &gt; -2.5；P &lt; 0.05）。 AENT 模型显示，As、Co 和 Cr 是对认知评分影响最大的金属，其中多种金属和类金属对认知障碍的综合影响为 (β = -5.75 (-6.68, -4.81) (P &lt; 0.001)。这凸显了金属和类金属对认知能力下降和 HR-QoL 较差的个体和联合有害影响，强调了对金属暴露进行临床生物监测的必要性。</w:t>
      </w:r>
    </w:p>
    <w:p>
      <w:pPr>
        <w:spacing w:before="120"/>
      </w:pPr>
      <w:r>
        <w:rPr>
          <w:rFonts w:ascii="Times New Roman" w:hAnsi="Times New Roman" w:eastAsia="宋体"/>
          <w:b/>
          <w:sz w:val="21"/>
        </w:rPr>
        <w:t>English Abstract:</w:t>
      </w:r>
    </w:p>
    <w:p>
      <w:r>
        <w:rPr>
          <w:rFonts w:ascii="Times New Roman" w:hAnsi="Times New Roman" w:eastAsia="宋体"/>
          <w:sz w:val="21"/>
        </w:rPr>
        <w:t>Cognitive decline due to environmental exposure to metals and metalloids is a global public health concern because of their potential neurotoxic effects. While individual metal exposures have been linked to cognitive impairment, the effects of simultaneous and combined exposures remain inconclusive. This cross-sectional study was conducted among the adults residing in Bihar state to evaluate the burden of beryllium (Be), vanadium (V), chromium (Cr), cobalt (Co), arsenic (As), selenium (Se), strontium (Sr), silver (Ag), cadmium (Cd), caesium (Cs), barium (Ba), lead (Pb), and uranium (U) metals and their individual and mixed associations. Cognitive and quality of life scores were assessed using the MoCA and the WHO-QoL Brief questionnaire. The log-transformed metal and metalloid concentrations were inversely correlated with the cognitive scores (ρ -0.29 to -0.78) and HR-QoL scores (ρ &gt; -0.5; P &lt; 0.05). The cognitive scores were directly associated with the QoL domains (ρ &gt; 0.5; P &lt; 0.05). The metals As, V, Co, Se, Cs, and U had a strong negative influence on cognitive scores (β &gt; -2.5; P &lt; 0.05). The AENT model revealed As, Co, and Cr as the most influential metals on the cognitive score, where the combined effect of multiple metals and metalloids on cognitive impairment was (β = -5.75 (-6.68, -4.81) (P &lt; 0.001). This highlights the individual and joint detrimental impacts of metals and metalloids on cognitive decline and poor HR-QoL, emphasising the need for clinical biomonitoring of metal exposure.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CiCLoDS：单细胞空间转录组学的联合细胞聚类和基因选择</w:t>
      </w:r>
    </w:p>
    <w:p>
      <w:r>
        <w:rPr>
          <w:rFonts w:ascii="Times New Roman" w:hAnsi="Times New Roman" w:eastAsia="宋体"/>
          <w:b/>
          <w:color w:val="003264"/>
          <w:sz w:val="24"/>
        </w:rPr>
        <w:t>CiCLoDS: Joint cell clustering and gene selection for single-cell spatial transcriptomics</w:t>
      </w:r>
    </w:p>
    <w:p>
      <w:r>
        <w:rPr>
          <w:rFonts w:ascii="Times New Roman" w:hAnsi="Times New Roman" w:eastAsia="宋体"/>
          <w:sz w:val="21"/>
        </w:rPr>
        <w:t>作者: Nuozhou Wang, Yimeng He, Edward Ray, Kyoung Jae Won, Curtis L Cetrulo, Debiao Li, Jason H Moore, Shuzhong Zhang, Xiuzhen Huang</w:t>
        <w:br/>
      </w:r>
      <w:r>
        <w:rPr>
          <w:rFonts w:ascii="Times New Roman" w:hAnsi="Times New Roman" w:eastAsia="宋体"/>
          <w:sz w:val="21"/>
        </w:rPr>
        <w:t xml:space="preserve">时间: 2026-02-09 | </w:t>
      </w:r>
      <w:r>
        <w:t xml:space="preserve">链接: </w:t>
      </w:r>
      <w:hyperlink r:id="rId19">
        <w:r>
          <w:rPr>
            <w:rFonts w:ascii="Times New Roman" w:hAnsi="Times New Roman" w:eastAsia="宋体"/>
            <w:color w:val="0000FF"/>
            <w:sz w:val="21"/>
            <w:u w:val="single"/>
          </w:rPr>
          <w:t>https://doi.org/10.1038/s41598-026-39168-1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基于成像的空间转录组 (ST) 测定现在可以分析数十万个细胞的目标基因组，同时保留组织背景，但大多数下游分析仍然需要一个紧凑的、可解释的子集。我们引入了 CiCLoDS（关键和低维子空间聚类），这是一种适用于空间转录组学的无监督框架，可在严格的、用户定义的基因预算下联合优化聚类和特征选择。该方法返回与发现的分区对齐的显式特征子集，通过正弦余弦位置编码接受空间辅助信息，并在几分钟内在商用 CPU 上收敛。我们在三个不同的数据集上对 CiCLoDS 进行基准测试：Vizgen MERFISH 小鼠肝脏（1.27 M 细胞）、10x Xenium 人类结肠（23 K 细胞）和人类 DLPFC。在肝细胞分区方面，CiCLoDS 将调整后的 Rand 指数比 PCA 和 GeneBasis 提高了高达 +0.36，以 0.89 的 kNN 重叠 AUC 保留邻域结构，并以 92.8% F1 检测血管相关空隙。在人类 DLPFC (Visium) 上，CiCLoDS 表现出强大的泛化能力，平均调整兰德指数 (ARI) 达到 0.40，超过 BayesCafe (0.32)，并在基线失败的异质样本上保持高精度。此外，我们还揭示了一个协同实用程序：使用 CiCLoDS 初始化 BayesSpace 将平均 ARI 提高到 0.50，解决了局部最小值问题，其性能优于单独使用任何一种方法。这些结果表明，轻量级、联合优化的物镜可以实现有竞争力的准确性、强大的泛化性和协同效用，同时生成可用于分析的特征面板。</w:t>
      </w:r>
    </w:p>
    <w:p>
      <w:pPr>
        <w:spacing w:before="120"/>
      </w:pPr>
      <w:r>
        <w:rPr>
          <w:rFonts w:ascii="Times New Roman" w:hAnsi="Times New Roman" w:eastAsia="宋体"/>
          <w:b/>
          <w:sz w:val="21"/>
        </w:rPr>
        <w:t>English Abstract:</w:t>
      </w:r>
    </w:p>
    <w:p>
      <w:r>
        <w:rPr>
          <w:rFonts w:ascii="Times New Roman" w:hAnsi="Times New Roman" w:eastAsia="宋体"/>
          <w:sz w:val="21"/>
        </w:rPr>
        <w:t>Imaging-based spatial transcriptomic (ST) assays now profile targeted gene panels for hundreds of thousands of cells while preserving tissue context, yet most downstream analyses still need a compact, interpretable subset. We introduce CiCLoDS (Clustering in Critical &amp; Low-Dimensional Subspace), an unsupervised framework adapted for spatial transcriptomics to jointly optimize clustering and feature selection under a strict, user-defined gene budget. The method returns an explicit feature subset aligned with the discovered partitions, accepts spatial side information via sine–cosine positional encodings, and converges in minutes on commodity CPUs. We benchmark CiCLoDS on three diverse datasets: Vizgen MERFISH mouse liver (1.27 M cells), 10x Xenium human colon (23 K cells), and Human DLPFC. On hepatocyte zonation, CiCLoDS raises the adjusted Rand index by up to +0.36 over PCA and geneBasis, preserves neighborhood structure with a kNN-overlap AUC of 0.89, and detects vessel-associated voids at 92.8% F1. On Human DLPFC (Visium), CiCLoDS demonstrates robust generalization, achieving a mean Adjusted Rand Index (ARI) of 0.40—surpassing BayesCafe (0.32)—and maintaining high accuracy on heterogeneous samples where baselines fail. Furthermore, we reveal a synergistic utility: using CiCLoDS to initialize BayesSpace raises the mean ARI to 0.50, resolving local minima issues to outperform either method alone. These results show that a lightweight, jointly optimized objective can achieve competitive accuracy, robust generalization, and synergistic utility while producing assay-ready feature panels.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 MWCNT 修饰的 TiO2/SiO2/g-C3N4 增强可见光光催化作用：有效去除纯水中和硬水中的四环素</w:t>
      </w:r>
    </w:p>
    <w:p>
      <w:r>
        <w:rPr>
          <w:rFonts w:ascii="Times New Roman" w:hAnsi="Times New Roman" w:eastAsia="宋体"/>
          <w:b/>
          <w:color w:val="003264"/>
          <w:sz w:val="24"/>
        </w:rPr>
        <w:t>Boosting visible-light photocatalysis with MWCNT-modified TiO2/SiO2/g-C3N4: efficient tetracycline removal in pure and hard water</w:t>
      </w:r>
    </w:p>
    <w:p>
      <w:r>
        <w:rPr>
          <w:rFonts w:ascii="Times New Roman" w:hAnsi="Times New Roman" w:eastAsia="宋体"/>
          <w:sz w:val="21"/>
        </w:rPr>
        <w:t>作者: Samira Mohammaddarvish, Amir Ali Masoudi, Zahra Sadat Hosseini</w:t>
        <w:br/>
      </w:r>
      <w:r>
        <w:rPr>
          <w:rFonts w:ascii="Times New Roman" w:hAnsi="Times New Roman" w:eastAsia="宋体"/>
          <w:sz w:val="21"/>
        </w:rPr>
        <w:t xml:space="preserve">时间: 2026-02-09 | </w:t>
      </w:r>
      <w:r>
        <w:t xml:space="preserve">链接: </w:t>
      </w:r>
      <w:hyperlink r:id="rId20">
        <w:r>
          <w:rPr>
            <w:rFonts w:ascii="Times New Roman" w:hAnsi="Times New Roman" w:eastAsia="宋体"/>
            <w:color w:val="0000FF"/>
            <w:sz w:val="21"/>
            <w:u w:val="single"/>
          </w:rPr>
          <w:t>https://doi.org/10.1038/s41598-026-39505-4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摘要：在本研究中，我们提出了一种简单合成的TiO 2 /SiO 2 /g-C 3 N 4 /MWCNT 复合材料，该复合材料具有光催化剂和吸附剂的双重功能，可有效消除水中的药物和染料污染物。使用 FESEM、EDX、XRD、BET、FTIR、PL 和 UV-Vis 光谱对复合材料进行了全面表征，以阐明其形貌、晶体结构和光学性能。结果揭示了分层的花状球/片结构，平均晶粒尺寸约为 21.3 nm。多壁碳纳米管（MWCNT）作为可见光光敏剂，提高光生电子空穴对的分离效率。系统研究了MWCNT含量对光催化活性的影响。含有 11 wt% CNT 的 TiO 2 /SiO 2 /g-C 3 N 4 /MWCNT 复合材料表现出优异的可见光降解性能，在 20 mg/L 亚甲基蓝 (MB) 水溶液中实现了 92% 的效率，明显优于不含 MWCNT 的对应物。此外，MWCNT 的存在显着改善了富含 CaCO 3 的水中四环素 (TC) 的去除（20 mg/L TC 与 300 mg/L CaCO 3 ）。高光催化活性归因于g-C 3 N 4 、TiO 2 /SiO 2 和MWCNT之间形成丰富的局部结，这有助于在可见光照射下通过直接Z型机制实现有效的电荷分离和迁移。</w:t>
      </w:r>
    </w:p>
    <w:p>
      <w:pPr>
        <w:spacing w:before="120"/>
      </w:pPr>
      <w:r>
        <w:rPr>
          <w:rFonts w:ascii="Times New Roman" w:hAnsi="Times New Roman" w:eastAsia="宋体"/>
          <w:b/>
          <w:sz w:val="21"/>
        </w:rPr>
        <w:t>English Abstract:</w:t>
      </w:r>
    </w:p>
    <w:p>
      <w:r>
        <w:rPr>
          <w:rFonts w:ascii="Times New Roman" w:hAnsi="Times New Roman" w:eastAsia="宋体"/>
          <w:sz w:val="21"/>
        </w:rPr>
        <w:t>Abstract In this study, we present a facile synthesis of a TiO 2 /SiO 2 /g-C 3 N 4 /MWCNT composite with dual functionality as both a photocatalyst and adsorbent for the effective elimination of pharmaceutical and dye pollutants from water. The composite was comprehensively characterized using FESEM, EDX, XRD, BET, FTIR, PL, and UV–Vis spectroscopy to elucidate its morphology, crystalline structure, and optical properties. The results revealed a hierarchical flower-like sphere/sheet architecture with an average crystallite size of about 21.3 nm. Multi-walled carbon nanotubes (MWCNTs) acted as visible-light photosensitizers, enhancing the separation efficiency of photogenerated electron–hole pairs. The influence of MWCNT content on photocatalytic activity was systematically investigated. The TiO 2 /SiO 2 /g-C 3 N 4 /MWCNT composite with 11 wt% CNT demonstrated superior visible-light degradation performance, achieving 92% efficiency for a 20 mg/L methylene blue (MB) aqueous solution significantly outperforming the MWCNT-free counterpart. Furthermore, the presence of MWCNTs remarkably improved tetracycline (TC) removal in CaCO 3 -rich water (20 mg/L TC with 300 mg/L CaCO 3 ). The high photocatalytic activity is attributed to the formation of abundant local junctions among g-C 3 N 4 , TiO 2 /SiO 2 , and MWCNTs, which facilitate efficient charge separation and migration through a direct Z-scheme mechanism under visible light illumination.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谷氨酸棒杆菌中透明质酸的工程生物合成以及用于先进抗菌伤口敷料的HA-银纳米复合材料的绿色合成</w:t>
      </w:r>
    </w:p>
    <w:p>
      <w:r>
        <w:rPr>
          <w:rFonts w:ascii="Times New Roman" w:hAnsi="Times New Roman" w:eastAsia="宋体"/>
          <w:b/>
          <w:color w:val="003264"/>
          <w:sz w:val="24"/>
        </w:rPr>
        <w:t>Engineered biosynthesis of hyaluronic acid in Corynebacterium glutamicum and green synthesis of HA-silver nanocomposites for advanced antimicrobial wound dressings</w:t>
      </w:r>
    </w:p>
    <w:p>
      <w:r>
        <w:rPr>
          <w:rFonts w:ascii="Times New Roman" w:hAnsi="Times New Roman" w:eastAsia="宋体"/>
          <w:sz w:val="21"/>
        </w:rPr>
        <w:t>作者: Mahdieh Nadali Hazaveh, Saeed Salehi, Marjan Talebi, Rouzbeh Almasi Ghale, Hamid Zilouei, Fatemeh Tabandeh</w:t>
        <w:br/>
      </w:r>
      <w:r>
        <w:rPr>
          <w:rFonts w:ascii="Times New Roman" w:hAnsi="Times New Roman" w:eastAsia="宋体"/>
          <w:sz w:val="21"/>
        </w:rPr>
        <w:t xml:space="preserve">时间: 2026-02-09 | </w:t>
      </w:r>
      <w:r>
        <w:t xml:space="preserve">链接: </w:t>
      </w:r>
      <w:hyperlink r:id="rId21">
        <w:r>
          <w:rPr>
            <w:rFonts w:ascii="Times New Roman" w:hAnsi="Times New Roman" w:eastAsia="宋体"/>
            <w:color w:val="0000FF"/>
            <w:sz w:val="21"/>
            <w:u w:val="single"/>
          </w:rPr>
          <w:t>https://doi.org/10.1038/s41598-026-39148-5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抗生素耐药性是一个日益严峻的全球挑战，预计在不久的将来将导致数百万人死亡。创新的抗菌伤口敷料含有具有恢复作用的天然物质，可以作为传统药物的替代品。本研究旨在研究含有不同比例的壳聚糖、胶原蛋白和透明质酸-银纳米复合材料的静电纺纳米纤维的抗菌性能。以重组谷氨酸棒杆菌发酵获得的透明质酸（HA）作为天然还原剂，通过绿色、无溶剂的方法合成纳米银（Ag NPs）。采用全因子设计优化生产，在 10 g/L 酵母提取物、20 g/L 大豆蛋白和 400 mg/L MgSO₄ 的条件下，产量提高了 26%。通过傅里叶变换红外光谱测量微生物发酵获得的HA的纯度。 0.01、0.1 和 1 M 的硝酸银浓度被认为可合成纳米颗粒前体。分光光度法和动态光散射分析表明，0.1 M AgNO3 产生平均尺寸为 98.5 nm 的纳米颗粒。扫描电子显微镜显示纳米纤维具有连贯且均匀的结构。评估了对大肠杆菌和金黄色葡萄球菌的抗菌活性。比例为 1:1:1 和 0.5:1:1 的纳米纤维（HA-Ag：胶原蛋白：壳聚糖）可抑制金黄色葡萄球菌生长，分别产生 1.4 cm 和 1.0 cm 的抑制区，但对大肠杆菌没有效果。通过 MTT 测定使用 L929 成纤维细胞进行的细胞毒性评估表明，活性制剂的细胞活力约为 85% 和 70%，表明具有可接受的生物相容性。总体而言，所开发的纳米复合材料负载的纳米纤维显示出用于对抗革兰氏阳性菌引起的耐抗生素伤口感染的潜力。</w:t>
      </w:r>
    </w:p>
    <w:p>
      <w:pPr>
        <w:spacing w:before="120"/>
      </w:pPr>
      <w:r>
        <w:rPr>
          <w:rFonts w:ascii="Times New Roman" w:hAnsi="Times New Roman" w:eastAsia="宋体"/>
          <w:b/>
          <w:sz w:val="21"/>
        </w:rPr>
        <w:t>English Abstract:</w:t>
      </w:r>
    </w:p>
    <w:p>
      <w:r>
        <w:rPr>
          <w:rFonts w:ascii="Times New Roman" w:hAnsi="Times New Roman" w:eastAsia="宋体"/>
          <w:sz w:val="21"/>
        </w:rPr>
        <w:t>Antibiotic resistance, a growing global challenge, is predicted to cause millions of deaths in the near future. Innovative antibacterial wound dressings loaded with natural substances that have restorative effects can serve as alternatives conventional medicine. This research aims to investigate the antibacterial properties of electrospun nanofibers containing different proportions of chitosan, collagen, and hyaluronic acid-silver nanocomposite. Silver nanoparticles (Ag NPs) were synthesized via a green, solvent‑free method, with hyaluronic acid (HA) obtained from recombinant Corynebacterium glutamicum fermentation serving as the natural reducing agent. with its production optimized using a full factorial design, resulting in a 26% yield increase under conditions of 10 g/L yeast extract, 20 g/L soy protein, and 400 mg/L MgSO₄. The purity of HA obtained from microbial fermentation was measured by Fourier-Transform Infrared spectroscopy. Silver nitrate concentrations of 0.01, 0.1, and 1 M were considered to synthesize nanoparticle precursors. Spectrophotometry and Dynamic Light Scattering analyses showed that 0.1 M AgNO3 produced nanoparticles with an average size of 98.5 nm. Scanning Electron Microscopy revealed that the nanofibers had a coherent and uniform structure. Antibacterial activity was evaluated against Escherichia coli and Staphylococcus aureus. Nanofibers with 1:1:1 and 0.5:1:1 ratios (HA-Ag: collagen: chitosan) inhibited S. aureus growth, producing inhibition zones of 1.4 cm and 1.0 cm, respectively, but showed no effect against E. coli. Cytotoxicity assessment using L929 fibroblast cells through MTT assay indicated cell viabilities of approximately 85% and 70% for the active formulations, suggesting acceptable biocompatibility. Overall, the developed nanocomposite-loaded nanofibers show potential for application against antibiotic-resistant wound infections caused by Gram-positive bacteria.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Ziziphora clinopodioides Lam 的综合植物化学、解剖学和生物学评价。 （唇形科），用作土耳其的传统茶</w:t>
      </w:r>
    </w:p>
    <w:p>
      <w:r>
        <w:rPr>
          <w:rFonts w:ascii="Times New Roman" w:hAnsi="Times New Roman" w:eastAsia="宋体"/>
          <w:b/>
          <w:color w:val="003264"/>
          <w:sz w:val="24"/>
        </w:rPr>
        <w:t>Comprehensive phytochemical, anatomical and biological evaluation of Ziziphora clinopodioides Lam. (Lamiaceae), used as a traditional tea from Türkiye</w:t>
      </w:r>
    </w:p>
    <w:p>
      <w:r>
        <w:rPr>
          <w:rFonts w:ascii="Times New Roman" w:hAnsi="Times New Roman" w:eastAsia="宋体"/>
          <w:sz w:val="21"/>
        </w:rPr>
        <w:t>作者: Ömer Çeçen</w:t>
        <w:br/>
      </w:r>
      <w:r>
        <w:rPr>
          <w:rFonts w:ascii="Times New Roman" w:hAnsi="Times New Roman" w:eastAsia="宋体"/>
          <w:sz w:val="21"/>
        </w:rPr>
        <w:t xml:space="preserve">时间: 2026-02-09 | </w:t>
      </w:r>
      <w:r>
        <w:t xml:space="preserve">链接: </w:t>
      </w:r>
      <w:hyperlink r:id="rId22">
        <w:r>
          <w:rPr>
            <w:rFonts w:ascii="Times New Roman" w:hAnsi="Times New Roman" w:eastAsia="宋体"/>
            <w:color w:val="0000FF"/>
            <w:sz w:val="21"/>
            <w:u w:val="single"/>
          </w:rPr>
          <w:t>https://doi.org/10.1038/s41598-026-39578-1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本研究对 Ziziphora clinopodioides Lam 进行了全面调查。来自土耳其的唇形科植物，重点关注其植物化学成分、生物活性以及与其作为功能性食品成分潜力相关的解剖特征。根据植物材料的干重计算，甲醇和水提取的产率分别为 28.09% 和 30.91%。精油分析确定了 98.3% 的总成分，其中含氧单萜，特别是 1,8-桉树脑 (28.2%)、萜品烯-4-醇 (12.0%) 和胡薄荷酮 (7.9%) 为主要成分。酶抑制测定显示，根据测试样品浓度计算，精油对 α-淀粉酶的抑制率为 29.3%，甲醇提取物对胆碱酯酶的抑制率为中度；然而，所有活性均低于参考药物的活性。形态分析证实该植物是一种席状多年生植物，具有浓密的多毛和头状花序。叶子解剖结构显示出双生、双面结构，具有不同的毛状体类型和组织良好的维管系统。茎解剖结构呈现四边形结构，具有不同的腺毛和非腺毛、发达的厚角组织和明显的内皮层。这项研究的结果可以揭示 Z. clinopodioides 的药用价值，并为其在各种食品或治疗应用中的使用开辟新的可能性。</w:t>
      </w:r>
    </w:p>
    <w:p>
      <w:pPr>
        <w:spacing w:before="120"/>
      </w:pPr>
      <w:r>
        <w:rPr>
          <w:rFonts w:ascii="Times New Roman" w:hAnsi="Times New Roman" w:eastAsia="宋体"/>
          <w:b/>
          <w:sz w:val="21"/>
        </w:rPr>
        <w:t>English Abstract:</w:t>
      </w:r>
    </w:p>
    <w:p>
      <w:r>
        <w:rPr>
          <w:rFonts w:ascii="Times New Roman" w:hAnsi="Times New Roman" w:eastAsia="宋体"/>
          <w:sz w:val="21"/>
        </w:rPr>
        <w:t>Abstract This study provides a comprehensive investigation of Ziziphora clinopodioides Lam. (Lamiaceae) from Türkiye, focusing on its phytochemical composition, biological activities, and anatomical characteristics relevant to its potential as a functional food ingredient. Methanol and aqueous extractions yielded 28.09% and 30.91%, respectively, calculated based on the dry weight of the plant material. Essential oil analysis identified 98.3% of the total composition, with oxygenated monoterpenes, particularly 1,8-cineole (28.2%), terpinen-4-ol (12.0%), and pulegone (7.9%), as dominant constituents. Enzyme inhibition assays revealed α-amylase inhibition of 29.3% by the essential oil, calculated based on the tested sample concentration, and moderate cholinesterase inhibition by the methanolic extract; however, all activities were lower than those of the reference drugs. Morphological analysis confirmed the plant as a mat-forming perennial with dense hirsuteness and capitate inflorescences. Leaf anatomy showed amphistomatic, bifacial structure with diverse trichome types and a well-organized vascular system. The stem anatomy exhibited a quadrangular structure with varied glandular and non-glandular trichomes, developed collenchyma, and a distinct endodermis. The findings of this research could shed light on the medicinal value of Z. clinopodioides , and open up new possibilities for its use in various food products or therapeutic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探索基因表达作为暴露于农药的伽马的亚致死终点：来自下一代测序的见解</w:t>
      </w:r>
    </w:p>
    <w:p>
      <w:r>
        <w:rPr>
          <w:rFonts w:ascii="Times New Roman" w:hAnsi="Times New Roman" w:eastAsia="宋体"/>
          <w:b/>
          <w:color w:val="003264"/>
          <w:sz w:val="24"/>
        </w:rPr>
        <w:t>Exploring gene expression as a sublethal endpoint in gammarids exposed to pesticides: insights from next-generation sequencing</w:t>
      </w:r>
    </w:p>
    <w:p>
      <w:r>
        <w:rPr>
          <w:rFonts w:ascii="Times New Roman" w:hAnsi="Times New Roman" w:eastAsia="宋体"/>
          <w:sz w:val="21"/>
        </w:rPr>
        <w:t>作者: Dominik Züger, Boris Kolvenbach, Timm Hettich, Miriam Langer, Verena Christen</w:t>
        <w:br/>
      </w:r>
      <w:r>
        <w:rPr>
          <w:rFonts w:ascii="Times New Roman" w:hAnsi="Times New Roman" w:eastAsia="宋体"/>
          <w:sz w:val="21"/>
        </w:rPr>
        <w:t xml:space="preserve">时间: 2026-02-09 | </w:t>
      </w:r>
      <w:r>
        <w:t xml:space="preserve">链接: </w:t>
      </w:r>
      <w:hyperlink r:id="rId23">
        <w:r>
          <w:rPr>
            <w:rFonts w:ascii="Times New Roman" w:hAnsi="Times New Roman" w:eastAsia="宋体"/>
            <w:color w:val="0000FF"/>
            <w:sz w:val="21"/>
            <w:u w:val="single"/>
          </w:rPr>
          <w:t>https://doi.org/10.1038/s41598-026-38052-2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地表水中经常检测到农药残留，其中几种化合物已知会对水生生物产生不利影响。由于其高敏感性及其在淡水生态系统中的核心生态作用，伽马科动物是特别适合评估此类污染物的亚致死影响的指示生物。虽然行为终点和进食率通常用于评估亚致死农药效应，但基因表达变化相对较少受到关注，尽管它们在其他生态毒理学背景下已被证明具有价值。本研究调查了基因表达作为从自然种群中收集的伽马病毒中敏感的亚致死终点的潜力。使用模型农药嘧菌酯和啶虫脒进行了实验室暴露实验，这两种农药经常在地表水中检测到。从野外收集的伽马科动物在受控条件下暴露于亚致死浓度的测试物质。随后，进行 RNA 测序 (RNA-seq) 来表征全基因组转录反应。进行了两次独立的暴露和测序实验，当将暴露的动物与对照进行比较时，每个实验鉴定出 145 和 326 个差异表达的转录本。基因本体 (GO) 术语富集分析揭示了对代谢过程、细胞增殖和细胞分化的显着影响。值得注意的是，这两个实验运行产生了不同的转录谱，尽管使用来自同一群体的伽马并且实验之间的间隔很短（12天），但差异表达转录本的重叠最小。该研究证明了转录组分析在检测现场采集的伽马射线中亚致死农药效应的适用性，并为评估非模式生物中的 RNA-seq 数据提供了实用的工作流程。与此同时，它强调了重要的局限性，包括野生种群内的高遗传变异性和不完整的转录组注释，这些共同导致了重复实验的不一致。</w:t>
      </w:r>
    </w:p>
    <w:p>
      <w:pPr>
        <w:spacing w:before="120"/>
      </w:pPr>
      <w:r>
        <w:rPr>
          <w:rFonts w:ascii="Times New Roman" w:hAnsi="Times New Roman" w:eastAsia="宋体"/>
          <w:b/>
          <w:sz w:val="21"/>
        </w:rPr>
        <w:t>English Abstract:</w:t>
      </w:r>
    </w:p>
    <w:p>
      <w:r>
        <w:rPr>
          <w:rFonts w:ascii="Times New Roman" w:hAnsi="Times New Roman" w:eastAsia="宋体"/>
          <w:sz w:val="21"/>
        </w:rPr>
        <w:t>Pesticide residues are frequently detected in surface waters, with several compounds known to adversely affect aquatic organisms. Gammarids are particularly suitable indicator organisms for assessing the sublethal effects of such contaminants due to their high sensitivity and their central ecological role in freshwater ecosystems. While behavioral endpoints and feeding rates have been commonly used to evaluate sublethal pesticide effects, gene expression changes have received comparatively little attention, despite their proven value in other ecotoxicological contexts. This study investigates the potential of gene expression as a sensitive sublethal endpoint in gammarids collected from natural populations. A laboratory exposure experiment was conducted using the model pesticides azoxystrobin and acetamiprid, both of which are regularly detected in surface waters. Gammarids collected from the wild were exposed under controlled conditions to sublethal concentrations of the test substances. Subsequently, RNA sequencing (RNA-seq) was performed to characterize genome-wide transcriptional responses. Two independent exposure and sequencing experiments were carried out, resulting in the identification of 145 and 326 differentially expressed transcripts per experiment when comparing exposed animals to controls. Gene ontology (GO) term enrichment analyses revealed significant effects on metabolic processes, cell proliferation, and cell differentiation. Notably, the two experimental runs yielded distinct transcriptional profiles, with minimal overlap in differentially expressed transcripts despite the use of gammarids from the same population and the short interval (12 days) between experiments. The study demonstrates the applicability of transcriptomic analyses for detecting sublethal pesticide effects in field-collected gammarids and provides a practical workflow for the evaluation of RNA-seq data in non-model organisms. At the same time, it highlights important limitations, including high genetic variability within wild populations and incomplete transcriptome annotation, which together contribute to inconsistencies across repeated experiments.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哈茨木霉和巴西固氮螺菌对缺水灌溉下番茄生长、果实品质、产量和水分生产率的影响</w:t>
      </w:r>
    </w:p>
    <w:p>
      <w:r>
        <w:rPr>
          <w:rFonts w:ascii="Times New Roman" w:hAnsi="Times New Roman" w:eastAsia="宋体"/>
          <w:b/>
          <w:color w:val="003264"/>
          <w:sz w:val="24"/>
        </w:rPr>
        <w:t>Effects of Trichoderma harzianum and Azospirillum brasilense on tomato growth, fruit quality, yield, and water productivity under deficit irrigation</w:t>
      </w:r>
    </w:p>
    <w:p>
      <w:r>
        <w:rPr>
          <w:rFonts w:ascii="Times New Roman" w:hAnsi="Times New Roman" w:eastAsia="宋体"/>
          <w:sz w:val="21"/>
        </w:rPr>
        <w:t>作者: Ayoub Ghorbani Dehkordi, Kambiz Mashayekhi, Seyyed Javad Mousavizadeh, Kamran Rahnama</w:t>
        <w:br/>
      </w:r>
      <w:r>
        <w:rPr>
          <w:rFonts w:ascii="Times New Roman" w:hAnsi="Times New Roman" w:eastAsia="宋体"/>
          <w:sz w:val="21"/>
        </w:rPr>
        <w:t xml:space="preserve">时间: 2026-02-09 | </w:t>
      </w:r>
      <w:r>
        <w:t xml:space="preserve">链接: </w:t>
      </w:r>
      <w:hyperlink r:id="rId24">
        <w:r>
          <w:rPr>
            <w:rFonts w:ascii="Times New Roman" w:hAnsi="Times New Roman" w:eastAsia="宋体"/>
            <w:color w:val="0000FF"/>
            <w:sz w:val="21"/>
            <w:u w:val="single"/>
          </w:rPr>
          <w:t>https://doi.org/10.1038/s41598-026-39498-0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本研究评估了哈茨木霉和巴西固氮螺菌对番茄植株生理生化变化的影响。本研究旨在确定在不同灌溉制度下，微生物接种哈茨木霉和巴西木霉是否可以缓解缺水胁迫并改善番茄生长、产量和作物水分生产率。灌溉方式分为四个级别：不灌溉、50%、75%和100%需水量（WR），并在四个处理中施用生物肥料：对照、木霉、固氮螺菌和木霉+固氮螺菌。该实验采用因子设计进行，灌溉制度和生物肥料处理的影响对于大多数测量的性状具有统计显着性。结果表明，在 100% WR 结合施用生物肥料（特别是木霉）的情况下，观察到最高的鲜根和干根重量以及叶面积。此外，在 100% WR 的生物肥料下，叶绿素含量更高。相比之下，在不灌溉条件下，叶子中类胡萝卜素（22％）、花青素（18％）、葡萄糖（79％）、蔗糖（96％）和总糖（121％）的含量最高。相反，对果实特性的评估表明，在100%WR结合施用生物肥料（尤其是木霉）下，鲜果重、干果重、鲜果产量和Wp达到最高。固氮螺菌处理以及木霉与固氮螺菌的组合在 100% WR 下实现了果实硬度、总可溶性固形物和花青素的最低水平。此外，木霉处理在 75% WR 条件下能够实现与对照处理在 100% WR 条件下相似的性能。总体而言，结果表明，木霉接种在不同灌溉方式下改善番茄生理性能和水生产率方面发挥着关键作用，对可持续水管理具有潜在影响。</w:t>
      </w:r>
    </w:p>
    <w:p>
      <w:pPr>
        <w:spacing w:before="120"/>
      </w:pPr>
      <w:r>
        <w:rPr>
          <w:rFonts w:ascii="Times New Roman" w:hAnsi="Times New Roman" w:eastAsia="宋体"/>
          <w:b/>
          <w:sz w:val="21"/>
        </w:rPr>
        <w:t>English Abstract:</w:t>
      </w:r>
    </w:p>
    <w:p>
      <w:r>
        <w:rPr>
          <w:rFonts w:ascii="Times New Roman" w:hAnsi="Times New Roman" w:eastAsia="宋体"/>
          <w:sz w:val="21"/>
        </w:rPr>
        <w:t>Abstract This study evaluated tomato plants’ physiological and biochemical changes influenced by the Trichoderma harzianum and the Azospirillum brasilense . This study aimed to determine whether microbial inoculation with T. harzianum and A. brasilense can mitigate water-deficit stress and improve tomato growth, yield, and crop water productivity under different irrigation regimes. The irrigation regime was applied at four levels: no irrigation, 50%, 75%, and 100% of the water requirement (WR), and biological fertilizer was applied in four treatments: control, Trichoderma, Azospirillum, and Trichoderma + Azospirillum. The experiment was conducted as a factorial design, and the effects of irrigation regime and biological fertilizer treatments were statistically significant for most measured traits. The results demonstrated that the highest fresh and dry root weights and leaf area, were observed under the 100% WR combined with the application of biological fertilizers, particularly Trichoderma . Additionally, chlorophyll content was higher under a 100% WR with biological fertilizers. In contrast, The highest contents of carotenoids (22%), anthocyanins (18%), glucose (79%), sucrose (96%), and total sugars (121%) in leaves were observed under no-irrigation conditions. Conversely, the assessment of fruit characteristics revealed that the highest fresh and dry fruit weights, fresh fruit yield and Wp were achieved under the 100% WR combined with applying biological fertilizers, particularly Trichoderma . Azospirillum treatment and combining Trichoderma with Azospirillum achieved the lowest levels of fruit firmness, total soluble solids, and anthocyanin in fruits under a 100% WR. Moreover, the Trichoderma treatment was able to achieve similar performance under 75% WR conditions as the control treatment under 100% WR. Overall, the results indicate that Trichoderma inoculation plays a key role in improving tomato physiological performance and water productivity under different irrigation regimes, with potential implications for sustainable water management.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同轴管真空管集热器太阳能空气采暖系统实验研究</w:t>
      </w:r>
    </w:p>
    <w:p>
      <w:r>
        <w:rPr>
          <w:rFonts w:ascii="Times New Roman" w:hAnsi="Times New Roman" w:eastAsia="宋体"/>
          <w:b/>
          <w:color w:val="003264"/>
          <w:sz w:val="24"/>
        </w:rPr>
        <w:t>Experimental investigation on solar air heating system using evacuated tube collector with coaxial tube</w:t>
      </w:r>
    </w:p>
    <w:p>
      <w:r>
        <w:rPr>
          <w:rFonts w:ascii="Times New Roman" w:hAnsi="Times New Roman" w:eastAsia="宋体"/>
          <w:sz w:val="21"/>
        </w:rPr>
        <w:t>作者: Venkatramanan Ravichandran, P. Manoj Kumar, Veerakumar Adaikalasamy, Dawit Tafesse Gebreyohannes</w:t>
        <w:br/>
      </w:r>
      <w:r>
        <w:rPr>
          <w:rFonts w:ascii="Times New Roman" w:hAnsi="Times New Roman" w:eastAsia="宋体"/>
          <w:sz w:val="21"/>
        </w:rPr>
        <w:t xml:space="preserve">时间: 2026-02-09 | </w:t>
      </w:r>
      <w:r>
        <w:t xml:space="preserve">链接: </w:t>
      </w:r>
      <w:hyperlink r:id="rId25">
        <w:r>
          <w:rPr>
            <w:rFonts w:ascii="Times New Roman" w:hAnsi="Times New Roman" w:eastAsia="宋体"/>
            <w:color w:val="0000FF"/>
            <w:sz w:val="21"/>
            <w:u w:val="single"/>
          </w:rPr>
          <w:t>https://doi.org/10.1038/s41598-026-39094-2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太阳能是一种广泛使用、环保且可持续的方式，可以满足全球不断增长的能源需求。太阳能空气加热器用于各种太阳能应用，包括空间供暖、木材调味和农业干燥。目前的工作旨在通过在印度哥印拜陀的气候条件下改变空气的质量流量和同轴管的长度来评估具有同轴管的真空管太阳能空气加热器的性能。实验装置包括集管、20个真空管太阳能集热器和鼓风机。大气在强制对流下流过同轴低碳钢管。当我们以 50 kg/h 的速度运行时，1.5 m 同轴管将空气加热到最高 94 °C，实现了 26% 的有效热效率。与此同时，较短的 0.75 m 管在相同流量下达到 78 °C，但性能稍好，有效热效率为 28%。结论是，出口空气温度很大程度上取决于流量、同轴管长度和太阳强度。该太阳能空气加热器达到的温度范围适用于中小型工业中的许多太阳能热应用。</w:t>
      </w:r>
    </w:p>
    <w:p>
      <w:pPr>
        <w:spacing w:before="120"/>
      </w:pPr>
      <w:r>
        <w:rPr>
          <w:rFonts w:ascii="Times New Roman" w:hAnsi="Times New Roman" w:eastAsia="宋体"/>
          <w:b/>
          <w:sz w:val="21"/>
        </w:rPr>
        <w:t>English Abstract:</w:t>
      </w:r>
    </w:p>
    <w:p>
      <w:r>
        <w:rPr>
          <w:rFonts w:ascii="Times New Roman" w:hAnsi="Times New Roman" w:eastAsia="宋体"/>
          <w:sz w:val="21"/>
        </w:rPr>
        <w:t>Solar energy is a widely accessible, eco-friendly, and sustainable way to fulfil the global expanding energy needs. Solar air heaters are used in a variety of solar energy applications, including space heating, timber seasoning, and agricultural drying. The present work aimed to evaluate the performance of an evacuated tube solar air heater with coaxial tube by varying the mass flow rate of air and length of the coaxial tube at climatic conditions of Coimbatore, India. The experimental setup comprises of header, 20 evacuated tube solar collector and blower. Atmospheric air made to flow through the coaxial mild steel tubes under forced convection. The 1.5 m coaxial tube heated air to a maximum of 94 °C when we ran it at 50 kg/h, achieving 26% effective thermal efficiency. Meanwhile, the shorter 0.75 m tube reached 78 °C at the same flow rate but performed slightly better with effective thermal efficiency of 28%. It is concluded that the outlet air temperature is strongly dependent on the flow rate, coaxial tube length and solar intensity. Temperature range attained by this solar air heater is suitable for many solar thermal applications in small and medium scale industries.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年轻和老年患者特异性主动脉模型中磁性药物靶向的年龄依赖性效率</w:t>
      </w:r>
    </w:p>
    <w:p>
      <w:r>
        <w:rPr>
          <w:rFonts w:ascii="Times New Roman" w:hAnsi="Times New Roman" w:eastAsia="宋体"/>
          <w:b/>
          <w:color w:val="003264"/>
          <w:sz w:val="24"/>
        </w:rPr>
        <w:t>Age-dependent efficiency of magnetic drug targeting in young and old patient-specific aortic models</w:t>
      </w:r>
    </w:p>
    <w:p>
      <w:r>
        <w:rPr>
          <w:rFonts w:ascii="Times New Roman" w:hAnsi="Times New Roman" w:eastAsia="宋体"/>
          <w:sz w:val="21"/>
        </w:rPr>
        <w:t>作者: Seyed Behzad Hosseini, Wala Almosawy, Rasoul Karimi Takrami, Negar Abdi, Saman Aminian</w:t>
        <w:br/>
      </w:r>
      <w:r>
        <w:rPr>
          <w:rFonts w:ascii="Times New Roman" w:hAnsi="Times New Roman" w:eastAsia="宋体"/>
          <w:sz w:val="21"/>
        </w:rPr>
        <w:t xml:space="preserve">时间: 2026-02-09 | </w:t>
      </w:r>
      <w:r>
        <w:t xml:space="preserve">链接: </w:t>
      </w:r>
      <w:hyperlink r:id="rId26">
        <w:r>
          <w:rPr>
            <w:rFonts w:ascii="Times New Roman" w:hAnsi="Times New Roman" w:eastAsia="宋体"/>
            <w:color w:val="0000FF"/>
            <w:sz w:val="21"/>
            <w:u w:val="single"/>
          </w:rPr>
          <w:t>https://doi.org/10.1038/s41598-026-39486-4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磁药物靶向（MDT）为改善血管疾病的治疗提供了一种非侵入性的局部方法，但其效率受到与年龄相关的血流动力学变化的强烈影响。在这项研究中，采用计算框架来比较从临床成像重建的年轻和老年患者特异性主动脉模型中的 MDT 性能。使用非牛顿 Carreau、幂律和 Casson-Papanastasiou 流变学对血液进行建模，同时在 0.5 至 1.5 T 的外部磁场下模拟纳米颗粒的运动。在所有流变模型中，捕获效率 (CE) 随着颗粒尺寸和磁场强度的增加而增加。重要的是，老年患者始终表现出比年轻患者略高的CE，这是由流速降低、主动脉腔扩大和壁剪切应力降低驱动的，这些因素共同延长了纳米颗粒的停留时间并减少了与磁捕获相反的流体动力阻力。例如，在使用 Carreau 模型的 1.5 T 场下，年轻患者和老年患者中 1000 nm 粒子的 CE 均达到 8.7%，但在中等强度（0.5-1.25 T）下，老年患者表现出更高的 CE（例如，0.5 T 时为 2.4% 与 2.1%，1.25 T 时为 7.3% 与 6.6%）。相对于非牛顿模型，牛顿流变学始终高估 CE。所有施加的磁场强度均保持在临床可接受的安全阈值内，并且场定位与感兴趣的目标区域一致。这些发现表明，血管老化可增强现实血流动力学条件下磁泳药物捕获，并强调在患者特异性 MDT 策略中进行年龄感知优化的必要性。</w:t>
      </w:r>
    </w:p>
    <w:p>
      <w:pPr>
        <w:spacing w:before="120"/>
      </w:pPr>
      <w:r>
        <w:rPr>
          <w:rFonts w:ascii="Times New Roman" w:hAnsi="Times New Roman" w:eastAsia="宋体"/>
          <w:b/>
          <w:sz w:val="21"/>
        </w:rPr>
        <w:t>English Abstract:</w:t>
      </w:r>
    </w:p>
    <w:p>
      <w:r>
        <w:rPr>
          <w:rFonts w:ascii="Times New Roman" w:hAnsi="Times New Roman" w:eastAsia="宋体"/>
          <w:sz w:val="21"/>
        </w:rPr>
        <w:t>Magnetic drug targeting (MDT) offers a non-invasive and localized approach for improving therapeutic delivery in vascular diseases, but its efficiency is strongly affected by age-related hemodynamic changes. In this study, a computational framework was employed to compare MDT performance in young and old patient-specific aortic models reconstructed from clinical imaging. Blood was modeled using non-Newtonian Carreau, Power-law, and Casson-Papanastasiou rheologies, while nanoparticle motion was simulated under external magnetic fields ranging from 0.5 to 1.5 T. Across all rheological models, capture efficiency (CE) increased with particle size and magnetic field intensity. Importantly, older patients consistently exhibited slightly higher CE than younger patients, a trend driven by their reduced flow velocity, enlarged aortic lumen, and lower wall shear stress, which collectively prolonged nanoparticle residence time and reduced hydrodynamic drag opposing magnetic capture. For example, under a 1.5 T field using the Carreau model, CE reached 8.7% for 1000 nm particles in both young and old patients, but at intermediate intensities (0.5–1.25 T), older patients showed higher CE (e.g., 2.4% vs. 2.1% at 0.5 T, and 7.3% vs. 6.6% at 1.25 T). Newtonian rheology consistently over-predicted CE relative to non-Newtonian models. All applied magnetic field strengths remained within clinically acceptable safety thresholds, and field localization coincided with the target region of interest. These findings demonstrate that vascular aging enhances magnetophoretic drug capture under realistic hemodynamic conditions and underscore the need for age-aware optimization in patient-specific MDT strategies.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用于基于血浆 miR-155 的乳腺癌检测的电化学生物传感器的人工神经网络建模和优化</w:t>
      </w:r>
    </w:p>
    <w:p>
      <w:r>
        <w:rPr>
          <w:rFonts w:ascii="Times New Roman" w:hAnsi="Times New Roman" w:eastAsia="宋体"/>
          <w:b/>
          <w:color w:val="003264"/>
          <w:sz w:val="24"/>
        </w:rPr>
        <w:t>Artificial neural network modeling and optimization of an electrochemical biosensor for plasma miR-155-based breast cancer detection</w:t>
      </w:r>
    </w:p>
    <w:p>
      <w:r>
        <w:rPr>
          <w:rFonts w:ascii="Times New Roman" w:hAnsi="Times New Roman" w:eastAsia="宋体"/>
          <w:sz w:val="21"/>
        </w:rPr>
        <w:t>作者: Aydin Imani, Soleiman Hosseinpour, Mostafa Azimzadeh, Amar Salehi</w:t>
        <w:br/>
      </w:r>
      <w:r>
        <w:rPr>
          <w:rFonts w:ascii="Times New Roman" w:hAnsi="Times New Roman" w:eastAsia="宋体"/>
          <w:sz w:val="21"/>
        </w:rPr>
        <w:t xml:space="preserve">时间: 2026-02-09 | </w:t>
      </w:r>
      <w:r>
        <w:t xml:space="preserve">链接: </w:t>
      </w:r>
      <w:hyperlink r:id="rId27">
        <w:r>
          <w:rPr>
            <w:rFonts w:ascii="Times New Roman" w:hAnsi="Times New Roman" w:eastAsia="宋体"/>
            <w:color w:val="0000FF"/>
            <w:sz w:val="21"/>
            <w:u w:val="single"/>
          </w:rPr>
          <w:t>https://doi.org/10.1038/s41598-026-36466-6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MicroRNA-155 (miR-155) 是一种临床上重要的生物标志物，涉及癌症进展、免疫调节和炎症性疾病，凸显了对灵敏且可靠的检测方法的需求。传统的生物传感器制造通常依赖于劳动密集型的试错优化，这延迟了实用诊断工具的开发。与之前大多数专注于从生物传感器信号预测分析物浓度的研究相比，这项工作开发了一个数据驱动的框架，用于对制造参数和生物传感器输出之间的非线性关系进行建模。人工神经网络 (ANN) 和自适应神经模糊推理系统 (ANFIS) 被提议对用于血浆 miR-155 检测的伏安生物传感器进行建模。使用包含生物传感器输出电流和六个制造参数的数据集。使用遗传算法（GA）确定最佳参数值。结果表明，ANN 方法优于 ANFIS，$$R^2$$ 值为 0.9845。检测探针浓度、检测探针孵育时间、MCH孵育时间、杂交时间、OB浓度和OB孵育时间的最佳制作参数分别为7.12 nM、85.22 min、6.54 min、118.02 min、0.12 mM和93.39 min，输出电流为223 nA。 ANN-GA 框架通过减少实验迭代，为生物传感器开发提供了实用且高效的策略，从而降低材料消耗并实现快速参数优化。这些发现表明，ANN 辅助优化可以加速经济高效、高性能生物传感器的开发，支持将其转化为临床诊断，以实现早期准确的 miR-155 检测。</w:t>
      </w:r>
    </w:p>
    <w:p>
      <w:pPr>
        <w:spacing w:before="120"/>
      </w:pPr>
      <w:r>
        <w:rPr>
          <w:rFonts w:ascii="Times New Roman" w:hAnsi="Times New Roman" w:eastAsia="宋体"/>
          <w:b/>
          <w:sz w:val="21"/>
        </w:rPr>
        <w:t>English Abstract:</w:t>
      </w:r>
    </w:p>
    <w:p>
      <w:r>
        <w:rPr>
          <w:rFonts w:ascii="Times New Roman" w:hAnsi="Times New Roman" w:eastAsia="宋体"/>
          <w:sz w:val="21"/>
        </w:rPr>
        <w:t>MicroRNA-155 (miR-155) is a clinically important biomarker involved in cancer progression, immune regulation, and inflammatory diseases, highlighting the need for sensitive and reliable detection methods. Conventional biosensor fabrication often relies on labor-intensive trial-and-error optimization, which delays the development of practical diagnostic tools. In contrast to most previous studies that focus on predicting analyte concentration from biosensor signals, this work develops a data-driven framework for modeling the nonlinear relationships between fabrication parameters and biosensor output. Artificial neural networks (ANN) and adaptive neuro-fuzzy inference systems (ANFIS) were proposed to model a voltammetric biosensor for plasma miR-155 detection. A dataset containing the biosensor output current and six fabrication parameters was used. The optimal parameter values were determined using a genetic algorithm (GA). The results show that the ANN approach outperforms ANFIS, achieving an $$R^2$$ value of 0.9845. The optimal fabrication parameters were 7.12 nM, 85.22 min, 6.54 min, 118.02 min, 0.12 mM, and 93.39 min for detection probe concentration, detection probe incubation time, MCH incubation time, hybridization time, OB concentration, and OB incubation time, respectively, resulting in an output current of 223 nA. The ANN-GA framework offers a practical and efficient strategy for biosensor development by reducing experimental iterations, thereby lowering material consumption and enabling rapid parameter optimization. These findings demonstrate that ANN-assisted optimization can accelerate the development of cost-effective, high-performance biosensors, supporting their translation into clinical diagnostics for early and accurate miR-155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不同结构水中的光诱导质子转移：解决经典问题的 EPR 方法</w:t>
      </w:r>
    </w:p>
    <w:p>
      <w:r>
        <w:rPr>
          <w:rFonts w:ascii="Times New Roman" w:hAnsi="Times New Roman" w:eastAsia="宋体"/>
          <w:b/>
          <w:color w:val="003264"/>
          <w:sz w:val="24"/>
        </w:rPr>
        <w:t>Photoinduced proton transfer in differently structured water: an EPR approach to solving a classic problem</w:t>
      </w:r>
    </w:p>
    <w:p>
      <w:r>
        <w:rPr>
          <w:rFonts w:ascii="Times New Roman" w:hAnsi="Times New Roman" w:eastAsia="宋体"/>
          <w:sz w:val="21"/>
        </w:rPr>
        <w:t>作者: Antonio Barbon, Anton Savitsky, Igor A. Grigoriev, Vladimir A. Reznikov, Igor A. Kirilyuk, Sofya Lushchekina, Ilia B. Moroz, Tamar Eliash, Noga Friedman, Mordehai Sheves, Raanan Carmieli, Lev Weiner</w:t>
        <w:br/>
      </w:r>
      <w:r>
        <w:rPr>
          <w:rFonts w:ascii="Times New Roman" w:hAnsi="Times New Roman" w:eastAsia="宋体"/>
          <w:sz w:val="21"/>
        </w:rPr>
        <w:t xml:space="preserve">时间: 2026-02-09 | </w:t>
      </w:r>
      <w:r>
        <w:t xml:space="preserve">链接: </w:t>
      </w:r>
      <w:hyperlink r:id="rId28">
        <w:r>
          <w:rPr>
            <w:rFonts w:ascii="Times New Roman" w:hAnsi="Times New Roman" w:eastAsia="宋体"/>
            <w:color w:val="0000FF"/>
            <w:sz w:val="21"/>
            <w:u w:val="single"/>
          </w:rPr>
          <w:t>https://doi.org/10.1038/s41598-026-38650-0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质子转移（PT）的机制以及它如何受水结构的影响，是许多化学和生物过程中的一个基本问题。 Grotthuss 在 200 多年前提出了水介质中 PT 的可能模型，该模型仍在积极研究和争论。在这项研究中，我们利用电子顺磁共振来研究水溶液中的 PT。我们提出的方法采用 pH 敏感的稳定硝酰基自由基，并利用 2-硝基苯甲醛的光解在亚纳秒时间尺度内产生质子。该方法用于研究经典离液化合物对 PT 的影响，在各种水溶液中进行研究，即 8 M 尿素、6 M 盐酸胍 (Gdn·HCl) 和氯化钾 (KCl)。我们的研究结果证实了对 PT 率的显着影响。例如，在 6 M Gdn·HCl 中，PT 发生速度比在水中慢 40 倍。该方法对水结构的敏感性得到了证明，突出了其监测冰和蛋白质中 PT 动力学的潜力。</w:t>
      </w:r>
    </w:p>
    <w:p>
      <w:pPr>
        <w:spacing w:before="120"/>
      </w:pPr>
      <w:r>
        <w:rPr>
          <w:rFonts w:ascii="Times New Roman" w:hAnsi="Times New Roman" w:eastAsia="宋体"/>
          <w:b/>
          <w:sz w:val="21"/>
        </w:rPr>
        <w:t>English Abstract:</w:t>
      </w:r>
    </w:p>
    <w:p>
      <w:r>
        <w:rPr>
          <w:rFonts w:ascii="Times New Roman" w:hAnsi="Times New Roman" w:eastAsia="宋体"/>
          <w:sz w:val="21"/>
        </w:rPr>
        <w:t>The mechanism of proton transfer (PT), and how it is affected by water structure, is a fundamental issue in numerous chemical and biological processes. Formulated more than 200 years ago, a possible model for PT in aqueous media was proposed by Grotthuss, which continues to be actively studied and debated. In this study, we exploit electron paramagnetic resonance to investigate PT in aqueous solutions. Our proposed method employs pH-sensitive stable nitroxyl radicals and makes use of photolysis of 2-nitrobenzaldehyde to generate protons in the sub-nanosecond timescale. This approach was used to study the impact of classical chaotropic compounds on PT as studied in various aqueous solutions, i.e. 8 M urea, 6 M guanidine hydrochloride (Gdn·HCl), and potassium chloride (KCl). Our findings confirm significant impacts on PT rates. For instance, in 6 M Gdn·HCl, PT occurred 40-fold slower than in water. The method’s sensitivity to water structure is demonstrated, highlighting its potential for monitoring the kinetics of PT in ice and in proteins.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用于放射生物学模拟的间期细胞核的聚合物物理模型</w:t>
      </w:r>
    </w:p>
    <w:p>
      <w:r>
        <w:rPr>
          <w:rFonts w:ascii="Times New Roman" w:hAnsi="Times New Roman" w:eastAsia="宋体"/>
          <w:b/>
          <w:color w:val="003264"/>
          <w:sz w:val="24"/>
        </w:rPr>
        <w:t>A polymer physics model of the interphase cell nucleus for radiobiological simulations</w:t>
      </w:r>
    </w:p>
    <w:p>
      <w:r>
        <w:rPr>
          <w:rFonts w:ascii="Times New Roman" w:hAnsi="Times New Roman" w:eastAsia="宋体"/>
          <w:sz w:val="21"/>
        </w:rPr>
        <w:t>作者: Man Zhao, Guomin Huang, Zi Xu, Xiaoyan Huang, Ying Liang</w:t>
        <w:br/>
      </w:r>
      <w:r>
        <w:rPr>
          <w:rFonts w:ascii="Times New Roman" w:hAnsi="Times New Roman" w:eastAsia="宋体"/>
          <w:sz w:val="21"/>
        </w:rPr>
        <w:t xml:space="preserve">时间: 2026-02-09 | </w:t>
      </w:r>
      <w:r>
        <w:t xml:space="preserve">链接: </w:t>
      </w:r>
      <w:hyperlink r:id="rId29">
        <w:r>
          <w:rPr>
            <w:rFonts w:ascii="Times New Roman" w:hAnsi="Times New Roman" w:eastAsia="宋体"/>
            <w:color w:val="0000FF"/>
            <w:sz w:val="21"/>
            <w:u w:val="single"/>
          </w:rPr>
          <w:t>https://doi.org/10.1038/s41598-026-39234-8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超分辨率成像和高通量染色体构象捕获（Hi-C）技术实现的染色质结构的进步仍有待整合到放射生物学的建模框架中。在这项研究中，通过聚合物物理原理描述了间期细胞核中染色体和染色质的相互作用。为了克服高昂的计算成本，采用多阶段松弛策略来解耦不同结构级别的松弛过程。采用距离相关的 DNA 末端重新连接模型和基于图论的连通分量分析算法来模拟染色体畸变。选择暴露于 γ 射线和 α 粒子的人类皮肤成纤维细胞染色体畸变的实验测量来衡量性能。该模型有效地再现了 3D 染色质结构，包括染色体区域和子区室、染色质结构域和环。预测的接触图和接触概率与 Hi-C 测量结果一致。模型预测的双着丝粒、间质缺失和总像差与 γ 射线和 α 粒子的实验数据一致，误差在 20% 以内，与之前的报告相比，显示出显着的改进。所提出的基于聚合物物理的模型将结构生物学和放射生物学模拟联系起来，展示了准确预测 DNA 损伤和染色体畸变的强大潜力。未来的改进将整合时空修复动力学和全基因组测序数据，以增强高 LET 放射生物学效应预测。</w:t>
      </w:r>
    </w:p>
    <w:p>
      <w:pPr>
        <w:spacing w:before="120"/>
      </w:pPr>
      <w:r>
        <w:rPr>
          <w:rFonts w:ascii="Times New Roman" w:hAnsi="Times New Roman" w:eastAsia="宋体"/>
          <w:b/>
          <w:sz w:val="21"/>
        </w:rPr>
        <w:t>English Abstract:</w:t>
      </w:r>
    </w:p>
    <w:p>
      <w:r>
        <w:rPr>
          <w:rFonts w:ascii="Times New Roman" w:hAnsi="Times New Roman" w:eastAsia="宋体"/>
          <w:sz w:val="21"/>
        </w:rPr>
        <w:t>Advances in chromatin architectures achieved through super-resolution imaging and high-throughput chromosome conformation capture (Hi-C) techniques remain to be integrated into the modeling framework of radiobiology. In this study, the chromosomal and chromatin interactions in an interphase cell nucleus were described by polymer physics principles. To overcome the prohibitive computational cost, a multi-stage relaxation strategy was employed to decouple the relaxation processes of different structural levels. A distance-dependent DNA end rejoining model and a graph theory-based connected component analysis algorithm were implemented to simulate chromosome aberrations. Experimental measurements of chromosome aberrations in human skin fibroblasts exposed to both γ-rays and α particles were selected to benchmark the performance. The model efficiently reproduced 3D chromatin architectures, including chromosome territories and subcompartments, chromatin domains and loops. The predicted contact map and contact probability were consistent with Hi-C measurements. Model predicted dicentrics, interstitial deletions, and total aberrations aligned with experimental data within 20% for γ-rays and α particles, showing substantial improvement over previous reports. The proposed polymer physics-based model bridges structural biology and radiobiological simulations, demonstrating strong potential for accurate prediction of DNA damage and chromosome aberrations. Future refinements will integrate spatio-temporal repair dynamics and whole-genome sequencing data to enhance high-LET radiobiological effect predictions.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HIV 感染者对芬太尼使用的单细胞 RNA 转录组反应</w:t>
      </w:r>
    </w:p>
    <w:p>
      <w:r>
        <w:rPr>
          <w:rFonts w:ascii="Times New Roman" w:hAnsi="Times New Roman" w:eastAsia="宋体"/>
          <w:b/>
          <w:color w:val="003264"/>
          <w:sz w:val="24"/>
        </w:rPr>
        <w:t>Single cell RNA transcriptome response to fentanyl use in persons with HIV infection</w:t>
      </w:r>
    </w:p>
    <w:p>
      <w:r>
        <w:rPr>
          <w:rFonts w:ascii="Times New Roman" w:hAnsi="Times New Roman" w:eastAsia="宋体"/>
          <w:sz w:val="21"/>
        </w:rPr>
        <w:t>作者: Krishna M. Roskin, Heidi L. Meeds, Janani Madhuravasal Krishnan, Matthew Juhascik, John M. Cafardi, Jennifer L. Brown, Caroline Freiermuth, Michael S. Lyons, Kenneth E. Sherman, Jason T. Blackard</w:t>
        <w:br/>
      </w:r>
      <w:r>
        <w:rPr>
          <w:rFonts w:ascii="Times New Roman" w:hAnsi="Times New Roman" w:eastAsia="宋体"/>
          <w:sz w:val="21"/>
        </w:rPr>
        <w:t xml:space="preserve">时间: 2026-02-09 | </w:t>
      </w:r>
      <w:r>
        <w:t xml:space="preserve">链接: </w:t>
      </w:r>
      <w:hyperlink r:id="rId30">
        <w:r>
          <w:rPr>
            <w:rFonts w:ascii="Times New Roman" w:hAnsi="Times New Roman" w:eastAsia="宋体"/>
            <w:color w:val="0000FF"/>
            <w:sz w:val="21"/>
            <w:u w:val="single"/>
          </w:rPr>
          <w:t>https://doi.org/10.1038/s41598-026-38854-4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美国正在经历一场严重的毒品流行，很大程度上归因于包括芬太尼在内的合成阿片类药物。我们考虑了艾滋病毒感染者非法使用芬太尼如何影响外周血中的基因表达谱。从 10 名诊断为阿片类药物使用障碍 (OUD) 的 HIV 阳性成人和 7 名使用非阿片类药物的 HIV 阳性对照患者中采集全血。 OUD+ 组的平均 HIV 病毒载量较高，但这种差异未达到统计学显着性（2.44 对比 1.00 log10 拷贝/mL；p = 0.12；双样本 T 检验）。通过单细胞 RNAseq 评估了 216,641 个细胞。除 NK 细胞外，阿片类药物状态的细胞频率没有差异（阿片类药物使用较低；p = 0.0045）。对于 CD4+ T 淋巴细胞，阿片类药物阳性者中有 10 个差异表达基因 (DEG) 较高，8 个较低。在 CD8+ T 淋巴细胞中，阿片类药物阳性研究参与者有 15 个较高 DEG 和 13 个较低 DEG。在单核细胞中，阿片类药物阳性参与者的 72 DEG 较高，37 DEG 较低。在 B 淋巴细胞中，阿片类药物阳性参与者与阿片类药物阴性参与者相比，17 个 DEG 较高，10 个 DEG 较低。这些发现强调了阿片类药物的使用可能导致艾滋病毒发病机制的多种途径。对艾滋病毒、阿片类药物和宿主细胞之间相互作用的严格表征可以改善临床管理范式，促进合理的公共卫生政策，并揭示新的针对特定目标的治疗干预措施的其他途径。</w:t>
      </w:r>
    </w:p>
    <w:p>
      <w:pPr>
        <w:spacing w:before="120"/>
      </w:pPr>
      <w:r>
        <w:rPr>
          <w:rFonts w:ascii="Times New Roman" w:hAnsi="Times New Roman" w:eastAsia="宋体"/>
          <w:b/>
          <w:sz w:val="21"/>
        </w:rPr>
        <w:t>English Abstract:</w:t>
      </w:r>
    </w:p>
    <w:p>
      <w:r>
        <w:rPr>
          <w:rFonts w:ascii="Times New Roman" w:hAnsi="Times New Roman" w:eastAsia="宋体"/>
          <w:sz w:val="21"/>
        </w:rPr>
        <w:t>The US is experiencing a major drug epidemic largely attributed to synthetic opioids including fentanyl. We considered how illicit fentanyl use in persons living with HIV impacted gene expression profiles in the peripheral blood. Whole blood was collected from 10 HIV-positive adults with a diagnosis of opioid use disorder (OUD) and 7 HIV-positive non-opioid using controls. Mean HIV viral loads were higher for the OUD+ group, although this difference did not reach statistical significance (2.44 versus 1.00 log10 copies/mL; p = 0.12; two-sample T test). 216,641 cells were evaluated by single cell RNAseq. Cell frequencies were not different by opioid status except for NK cells (lower for opioid use; p = 0.0045). For CD4+ T lymphocytes, 10 differentially expressed genes (DEGs) were higher and 8 were lower in opioid-positive persons. In CD8+ T lymphocytes, there were 15 higher and 13 lower DEGs for opioid-positive study participants. In monocytes, 72 DEGs were higher and 37 DEGs were lower in opioid-positive participants. In B lymphocytes, 17 DEGs were higher and 10 were lower in opioid-positive versus opioid-negative participants. These findings highlight multiple pathways by which opioid use may contribute to HIV pathogenesis. Rigorous characterization of the interactions among HIV, opioids, and host cells can improve clinical management paradigms, facilitate rational public health policies, and reveal additional pathways for novel target-specific therapeutic interventions.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工作满意度作为一种催化机制，将知识能力和内在动机转化为高等教育中讲师的持续表现</w:t>
      </w:r>
    </w:p>
    <w:p>
      <w:r>
        <w:rPr>
          <w:rFonts w:ascii="Times New Roman" w:hAnsi="Times New Roman" w:eastAsia="宋体"/>
          <w:b/>
          <w:color w:val="003264"/>
          <w:sz w:val="24"/>
        </w:rPr>
        <w:t>Job satisfaction as a catalyst mechanism transforming knowledge competence and intrinsic motivation into sustained lecturer performance in higher education</w:t>
      </w:r>
    </w:p>
    <w:p>
      <w:r>
        <w:rPr>
          <w:rFonts w:ascii="Times New Roman" w:hAnsi="Times New Roman" w:eastAsia="宋体"/>
          <w:sz w:val="21"/>
        </w:rPr>
        <w:t>作者: Peirong He, Rajanikanth Aluvalu, Ghanshyam G. Tejani</w:t>
        <w:br/>
      </w:r>
      <w:r>
        <w:rPr>
          <w:rFonts w:ascii="Times New Roman" w:hAnsi="Times New Roman" w:eastAsia="宋体"/>
          <w:sz w:val="21"/>
        </w:rPr>
        <w:t xml:space="preserve">时间: 2026-02-09 | </w:t>
      </w:r>
      <w:r>
        <w:t xml:space="preserve">链接: </w:t>
      </w:r>
      <w:hyperlink r:id="rId47">
        <w:r>
          <w:rPr>
            <w:rFonts w:ascii="Times New Roman" w:hAnsi="Times New Roman" w:eastAsia="宋体"/>
            <w:color w:val="0000FF"/>
            <w:sz w:val="21"/>
            <w:u w:val="single"/>
          </w:rPr>
          <w:t>https://doi.org/10.1038/s41598-026-38488-6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不断增长的工作量要求、竞争和教学期望的变化，全球各地的大学都面临着保持讲师质量的越来越大的压力。尽管有足够多的文献探讨了工作满意度、知识能力和动机作为讲师绩效的独立预测因素，但仍未解决的关键差距包括这三个变量对长期卓越绩效的动态相互作用和总体催化影响。本文将通过假设并实证证实一个综合三重中介模型来填补这些空白，该模型将工作满意度置于内在动机和外显知识能力交互影响讲师绩效的中间。我们使用结构方程模型和偏最小二乘估计对三个私立高等教育国家的 468 名讲师的横截面数据进行了检验，以检验基于两条中介路径的两个假设，每一个假设都是：知识能力 → 工作满意度 → 绩效，以及内在动机 → 工作满意度 → 绩效。研究结果表明，工作满意度完全介导知识能力与绩效之间的相关性（β = 0.64，p &lt; 0.001），并部分介导内在动机与绩效的相关性（β = 0.58，p &lt; 0.001）。该模型显示出非常高的拟合指数（CFI = 0.96、RMSEA = 0.048、SRMR = 0.052），并且能够解释讲师表现变化的 71%。重要的是，交互分析表明，当高知识能力和高内在动机同时存在而不是彼此独立时，工作满意度的催化作用会因高知识能力和高内在动机而增强34倍，这意味着乘法而不是加法动力。这些结果为工作满意度作为将知识资源和动机转化为绩效结果的心理过程的关键作用提供了第一个实证支持，这在制度化干预措施中充当了可操作的信息，旨在根据以满意度为中心的人力资源政策实现可持续的讲师卓越。</w:t>
      </w:r>
    </w:p>
    <w:p>
      <w:pPr>
        <w:spacing w:before="120"/>
      </w:pPr>
      <w:r>
        <w:rPr>
          <w:rFonts w:ascii="Times New Roman" w:hAnsi="Times New Roman" w:eastAsia="宋体"/>
          <w:b/>
          <w:sz w:val="21"/>
        </w:rPr>
        <w:t>English Abstract:</w:t>
      </w:r>
    </w:p>
    <w:p>
      <w:r>
        <w:rPr>
          <w:rFonts w:ascii="Times New Roman" w:hAnsi="Times New Roman" w:eastAsia="宋体"/>
          <w:sz w:val="21"/>
        </w:rPr>
        <w:t>Universities around the globe are faced with the growing pressure of maintaining lecturer quality because of the growing workload requirements, competition, and changes in pedagogical expectations. Despite sufficient literature that has explored job satisfaction, knowledge competence and motivation as independent predictors of lecturer performance, the key gaps that remain unaddressed include dynamic interactions and overall catalytic influences of the three variables on long-term performance excellence. This paper will fill these gaps by hypothesizing and empirically confirming an integrative triple-mediation model that puts job satisfaction in the middle where intrinsic motivation and explicit knowledge competence interactively influence lecturer performance. We used structural equation modelling with partial least squares estimation of cross-sectional data of 468 lecturers in three countries of private higher education to test two hypotheses based on two mediating pathways, each one being: knowledge competence → job satisfaction → performance, and intrinsic motivation → job satisfaction → performance. Findings indicated that job satisfaction has been found to completely mediate the correlation between knowledge competence and performance (β = 0.64, p &lt; 0.001) and partially mediate the intrinsic motivation-performance correlation (β = 0.58, p &lt; 0.001). The model had shown very high fit indices (CFI = 0.96, RMSEA = 0.048, SRMR = 0.052) and it was able to account 71% of the variation in lecturer performance. Importantly, the interaction analysis revealed that job satisfaction has a catalyzing effect augmented by high knowledge competence and high intrinsic motivation by a factor of 34 when present simultaneously as opposed to independent of each other, which implies multiplicative and not additive dynamics. Such results offer the first empirical support on the key role of job satisfaction as the psychological process that converts knowledge resources and motivation to performance results, which act as actionable information in institutionalizing interventions aimed to achieve sustainable lecturer excellence in the light of satisfaction-focused human resource policies.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PCSA-Net：使用 CT 图像进行多类肾脏疾病诊断的金字塔通道和空间注意网络</w:t>
      </w:r>
    </w:p>
    <w:p>
      <w:r>
        <w:rPr>
          <w:rFonts w:ascii="Times New Roman" w:hAnsi="Times New Roman" w:eastAsia="宋体"/>
          <w:b/>
          <w:color w:val="003264"/>
          <w:sz w:val="24"/>
        </w:rPr>
        <w:t>PCSA-Net: pyramid channel and spatial attention network for multiclass renal disease diagnosis using CT images</w:t>
      </w:r>
    </w:p>
    <w:p>
      <w:r>
        <w:rPr>
          <w:rFonts w:ascii="Times New Roman" w:hAnsi="Times New Roman" w:eastAsia="宋体"/>
          <w:sz w:val="21"/>
        </w:rPr>
        <w:t>作者: Nahed Tawfik, Heba M. Emara, Walid El-Shafai, Naglaa F. Soliman, Abeer D. Algarni, Fathi E. Abd El-Samie</w:t>
        <w:br/>
      </w:r>
      <w:r>
        <w:rPr>
          <w:rFonts w:ascii="Times New Roman" w:hAnsi="Times New Roman" w:eastAsia="宋体"/>
          <w:sz w:val="21"/>
        </w:rPr>
        <w:t xml:space="preserve">时间: 2026-02-09 | </w:t>
      </w:r>
      <w:r>
        <w:t xml:space="preserve">链接: </w:t>
      </w:r>
      <w:hyperlink r:id="rId54">
        <w:r>
          <w:rPr>
            <w:rFonts w:ascii="Times New Roman" w:hAnsi="Times New Roman" w:eastAsia="宋体"/>
            <w:color w:val="0000FF"/>
            <w:sz w:val="21"/>
            <w:u w:val="single"/>
          </w:rPr>
          <w:t>https://doi.org/10.1038/s41598-025-12335-6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肾衰竭是一个紧迫的全球健康问题，而肾病专家的普遍短缺进一步加剧了这一问题，因此需要开发人工智能 (AI) 驱动的系统来自动诊断肾病。这项研究的重点是三种主要肾脏疾病的诊断：肾结石、肿瘤和囊肿。深度学习 (DL) 的最新进展凸显了注意力机制在增强卷积神经网络 (CNN) 性能方面的潜力，特别是在医学图像分析方面。在这种情况下，我们提出了一种称为金字塔通道和空间注意力（PCSA）的新方法，它依靠金字塔多尺度卷积通过提取空间和通道注意力权重来重建特征表示。这种双权重提取有助于多尺度上下文信息的精确集成，从而提高模型定位和聚焦医学图像中复杂区域的能力。 PCSA 模块被设计为即插即用组件，可以无缝集成到各种 CNN 主干架构中，以提高诊断准确性。为了验证其有效性，我们将 PCSA 模块合并到多个骨干网络中并评估其性能。实验结果表明，PCSA 增强的网络优于多种最先进的图像分类方法，在肾脏疾病分类方面实现了卓越的准确性。尽管目前的研究重点是三种特定的肾脏疾病，但 PCSA-Net 的模块化架构允许未来适应更广泛的肾脏病理。这些发现强调了所提出的 PCSA 模块在支持临床环境中自动化、准确和可扩展的肾脏疾病诊断方面的潜力。模块化设计还增强了模型对实际部署的适用性，从而能够集成到不同的诊断工作流程中。</w:t>
      </w:r>
    </w:p>
    <w:p>
      <w:pPr>
        <w:spacing w:before="120"/>
      </w:pPr>
      <w:r>
        <w:rPr>
          <w:rFonts w:ascii="Times New Roman" w:hAnsi="Times New Roman" w:eastAsia="宋体"/>
          <w:b/>
          <w:sz w:val="21"/>
        </w:rPr>
        <w:t>English Abstract:</w:t>
      </w:r>
    </w:p>
    <w:p>
      <w:r>
        <w:rPr>
          <w:rFonts w:ascii="Times New Roman" w:hAnsi="Times New Roman" w:eastAsia="宋体"/>
          <w:sz w:val="21"/>
        </w:rPr>
        <w:t>Kidney failure represents a pressing global health concern, further exacerbated by the widespread shortage of nephrologists, thereby necessitating the development of ِِِArtificial Intelligence (AI)-driven systems for automated renal disease diagnosis. This study focuses on the diagnosis of three major renal conditions: kidney stones, tumors, and cysts. Recent advancements in Deep Learning (DL) have highlighted the potential of attention mechanisms in enhancing the performance of Convolutional Neural Networks (CNNs), particularly in medical image analysis. In this context, we propose a novel method termed Pyramid Channel and Spatial Attention (PCSA), which depends on pyramidal multiscale convolution to reconstruct feature representations by extracting both spatial and channel attention weights. This dual-weight extraction facilitates the precise integration of multiscale contextual information, thereby improving the model capability to localize and focus on complex regions within medical images. The PCSA module is designed as a plug-and-play component that can be seamlessly integrated into various CNN backbone architectures to enhance diagnostic accuracy. To validate its effectiveness, we incorporate the PCSA module into several backbone networks and evaluate its performance. Experimental results demonstrate that PCSA-enhanced networks outperform multiple state-of-the-art image classification methods, achieving superior accuracy in renal disease classification. Although the current study focuses on three specific renal conditions, the modular architecture of PCSA-Net allows for future adaptation to a broader spectrum of renal pathologies. These findings underscore the potential of the proposed PCSA module to support automated, accurate, and scalable kidney disease diagnosis in clinical settings. The modular design also enhances the model suitability for real-world deployment, enabling integration into diverse diagnostic workflows.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优化 Syagrus romanzoffiana 纤维生物复合材料的钻孔性能：通过 RSM 和 ANN 建模最大限度地减少分层</w:t>
      </w:r>
    </w:p>
    <w:p>
      <w:r>
        <w:rPr>
          <w:rFonts w:ascii="Times New Roman" w:hAnsi="Times New Roman" w:eastAsia="宋体"/>
          <w:b/>
          <w:color w:val="003264"/>
          <w:sz w:val="24"/>
        </w:rPr>
        <w:t>Optimizing the drilling performance of Syagrus romanzoffiana fiber biocomposites: minimizing delamination with RSM and ANN modeling</w:t>
      </w:r>
    </w:p>
    <w:p>
      <w:r>
        <w:rPr>
          <w:rFonts w:ascii="Times New Roman" w:hAnsi="Times New Roman" w:eastAsia="宋体"/>
          <w:sz w:val="21"/>
        </w:rPr>
        <w:t>作者: Oussama Ferfari, Ahmed Belaadi, Prabu Krishnasamy, Djamel Ghernaout, Herbert Mukalazi</w:t>
        <w:br/>
      </w:r>
      <w:r>
        <w:rPr>
          <w:rFonts w:ascii="Times New Roman" w:hAnsi="Times New Roman" w:eastAsia="宋体"/>
          <w:sz w:val="21"/>
        </w:rPr>
        <w:t xml:space="preserve">时间: 2026-02-09 | </w:t>
      </w:r>
      <w:r>
        <w:t xml:space="preserve">链接: </w:t>
      </w:r>
      <w:hyperlink r:id="rId55">
        <w:r>
          <w:rPr>
            <w:rFonts w:ascii="Times New Roman" w:hAnsi="Times New Roman" w:eastAsia="宋体"/>
            <w:color w:val="0000FF"/>
            <w:sz w:val="21"/>
            <w:u w:val="single"/>
          </w:rPr>
          <w:t>https://doi.org/10.1038/s41598-026-38618-0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本研究评估了 Syagrus romanzoffiana 纤维增强生物环氧生物复合材料的钻孔性能，重点是减少分层以更好地工业用途。对纤维含量为 30% 的手糊复合材料层压板进行了钻孔实验研究。该研究研究了各种因素——钻头类型（高速钢（HSS）和氮化钛涂层高速钢（HSS-TiN））、钻头直径（d，5-10毫米）、主轴转速（N，800-1600转/分钟）和进给速度（f，50-150毫米/分钟）——如何影响分层损坏，并通过数字图像分析通过分层系数（Fd）进行测量。 Fd 的预测模型是使用响应面方法 (RSM) 和人工神经网络 (ANN) 创建的。结果表明，ANN模型比二次RSM模型具有更高的预测精度（R2&gt;0.966，均方根误差（RMSE）&lt;0.032）。分析确定 f 是对分层影响最大的因素，其次是 d。此外，HSS-TiN 刀具的性能优于标准 HSS 钻头。使用意愿函数进行优化，在 f 为 50 mm/min、N 为 1419.49 rpm、d 为 10 mm 时，HSS-TiN 的最小 Fd 值为 1.02319，HSS 的最小 Fd 值为 1.03199。通过方差分析（p &lt; 0.0001）证实 RSM 模型具有统计显着性，这也揭示了 f 和 N 之间的显着相互作用。这些结果表明，在可比较的干钻条件下，该生物复合材料可实现的孔质量与碳纤维增强聚合物和玻璃纤维增​​强聚合物的孔质量相当或超过。这一证据支持了其在汽车、体育用品和非关键航空航天零部件等行业的应用潜力。</w:t>
      </w:r>
    </w:p>
    <w:p>
      <w:pPr>
        <w:spacing w:before="120"/>
      </w:pPr>
      <w:r>
        <w:rPr>
          <w:rFonts w:ascii="Times New Roman" w:hAnsi="Times New Roman" w:eastAsia="宋体"/>
          <w:b/>
          <w:sz w:val="21"/>
        </w:rPr>
        <w:t>English Abstract:</w:t>
      </w:r>
    </w:p>
    <w:p>
      <w:r>
        <w:rPr>
          <w:rFonts w:ascii="Times New Roman" w:hAnsi="Times New Roman" w:eastAsia="宋体"/>
          <w:sz w:val="21"/>
        </w:rPr>
        <w:t>This study evaluates the drilling performance of Syagrus romanzoffiana fiber-reinforced bio-epoxy biocomposites, focusing on reducing delamination for better industrial use. An experimental investigation was conducted on drilling composite laminates made by hand lay-up with 30% fiber content. The research examined how various factors—drill bit type (high-speed steel (HSS) and HSS coated with titanium nitride (HSS-TiN)), drill diameter (d, 5–10 mm), spindle speed (N, 800–1600 rpm), and feed rate (f, 50–150 mm/min)—influenced delamination damage, measured by the delamination factor (Fd) through digital image analysis. Predictive models for Fd were created using Response Surface Methodology (RSM) and an Artificial Neural Network (ANN). Results showed that the ANN model had higher predictive accuracy (R2 &gt; 0.966, root mean square error (RMSE) &lt; 0.032) than the quadratic RSM model. The analysis identified f as the most influential factor on delamination, followed by d. Additionally, HSS-TiN tools outperformed standard HSS bits. Optimization using a desirability function produced minimum Fd values of 1.02319 for HSS-TiN and 1.03199 for HSS at an f of 50 mm/min, N of 1419.49 rpm, and d of 10 mm. The RSM model was confirmed to be statistically significant through analysis of variance (p &lt; 0.0001), which also revealed a notable interaction between f and N. These results indicate that the hole quality achievable in this biocomposite matches or surpasses that of carbon fiber-reinforced polymer and glass fiber-reinforced polymer under comparable dry drilling conditions. This evidence supports its potential for use in industries such as automotive, sporting goods, and non-critical aerospace components.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苯扎氯铵离子液体碳钢缓蚀剂的合成与评价</w:t>
      </w:r>
    </w:p>
    <w:p>
      <w:r>
        <w:rPr>
          <w:rFonts w:ascii="Times New Roman" w:hAnsi="Times New Roman" w:eastAsia="宋体"/>
          <w:b/>
          <w:color w:val="003264"/>
          <w:sz w:val="24"/>
        </w:rPr>
        <w:t>Synthesis and assessment of ionic liquid derived from benzalkonium chloride as corrosion inhibitor for carbon steel</w:t>
      </w:r>
    </w:p>
    <w:p>
      <w:r>
        <w:rPr>
          <w:rFonts w:ascii="Times New Roman" w:hAnsi="Times New Roman" w:eastAsia="宋体"/>
          <w:sz w:val="21"/>
        </w:rPr>
        <w:t>作者: Ashraf M. Ashmawy, Reda Abdel-Hameed, Odeh A. O. Alshammari, Maher I. Nessim, Modather F. Hussein, Abdalrahman G. Al-Gamal</w:t>
        <w:br/>
      </w:r>
      <w:r>
        <w:rPr>
          <w:rFonts w:ascii="Times New Roman" w:hAnsi="Times New Roman" w:eastAsia="宋体"/>
          <w:sz w:val="21"/>
        </w:rPr>
        <w:t xml:space="preserve">时间: 2026-02-09 | </w:t>
      </w:r>
      <w:r>
        <w:t xml:space="preserve">链接: </w:t>
      </w:r>
      <w:hyperlink r:id="rId56">
        <w:r>
          <w:rPr>
            <w:rFonts w:ascii="Times New Roman" w:hAnsi="Times New Roman" w:eastAsia="宋体"/>
            <w:color w:val="0000FF"/>
            <w:sz w:val="21"/>
            <w:u w:val="single"/>
          </w:rPr>
          <w:t>https://doi.org/10.1038/s41598-025-14549-0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腐蚀给材料行业带来了重大挑战，特别是当碳钢（C 钢）处于 1 M HCl 等高腐蚀性环境中时。在本研究中，使用光谱技术合成并表征了四种离子液体（IL）-1-苄基-1-甲基哌啶-1-氯化鎓（ILI）、1-苄基-2-甲基吡啶-1-氯化鎓（ILII）、1-苄基-3-甲基吡啶-1-氯化鎓（ILIII）和1-苄基-4-甲基吡啶-1-氯化鎓（ILIV），包括FT-IR 和 1HNMR。动电位极化 (PP)、电化学阻抗谱 (EIS) 和电化学调频 (EFM) 等电化学分析表明，碳钢在 1 M HCl 中具有优异的保护性能，在最佳浓度 100 ppm 时最大抑制率达到 97%。极化和阻抗分析的见解证实，这些化合物通过粘附在钢表面上而充当混合型抑制剂。吸附行为遵循 Langmuir 等温线模型，ΔG0 ads 值表明物理吸附和化学吸附的结合。量子化学评估验证了实验结果，表明ILII-ILIV由于具有两个芳香环，由于其HOMO-LUMO能隙减小而表现出优异的表面相互作用和抑制效率。这些发现证实了所测试的 IL 在酸性介质中具有强大的抑制潜力。</w:t>
      </w:r>
    </w:p>
    <w:p>
      <w:pPr>
        <w:spacing w:before="120"/>
      </w:pPr>
      <w:r>
        <w:rPr>
          <w:rFonts w:ascii="Times New Roman" w:hAnsi="Times New Roman" w:eastAsia="宋体"/>
          <w:b/>
          <w:sz w:val="21"/>
        </w:rPr>
        <w:t>English Abstract:</w:t>
      </w:r>
    </w:p>
    <w:p>
      <w:r>
        <w:rPr>
          <w:rFonts w:ascii="Times New Roman" w:hAnsi="Times New Roman" w:eastAsia="宋体"/>
          <w:sz w:val="21"/>
        </w:rPr>
        <w:t>Corrosion poses a significant challenge in the materials industry, especially when carbon steel (C-steel) is subjected to highly corrosive environments such as 1 M HCl. In this study, four ionic liquids (ILs)-1-benzyl-1-methylpiperidin-1-ium chloride (ILI), 1-benzyl-2-methylpyridin-1-ium chloride (ILII), 1-benzyl-3-methylpyridin-1-ium chloride (ILIII), and 1-benzyl-4-methylpyridin-1-ium chloride (ILIV) were synthesized and characterized using spectroscopic techniques, including FT-IR and 1HNMR. Electrochemical analyses such as potentiodynamic polarization (PP), electrochemical impedance spectroscopy (EIS), and electrochemical frequency modulation (EFM) demonstrated excellent protective performance for C-steel in 1 M HCl, reaching a maximum inhibition of 97% at an optimum concentration of 100 ppm. Insights from polarization and impedance analyses confirmed that these compounds act as mixed-type inhibitors by adhering to the steel surface. The adsorption behavior followed the Langmuir isotherm model, with ΔG0 ads values suggesting a combination of physisorption and chemisorption. Quantum chemical assessments validated the experimental results, indicating that ILII–ILIV, due to their two aromatic rings, exhibited superior surface interaction and inhibition efficiency because of their reduced HOMO-LUMO energy gaps. These findings affirm the strong inhibitory potential of the tested ILs in acidic media.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氧化应激下形态和细胞生物力学变化的声全息研究</w:t>
      </w:r>
    </w:p>
    <w:p>
      <w:r>
        <w:rPr>
          <w:rFonts w:ascii="Times New Roman" w:hAnsi="Times New Roman" w:eastAsia="宋体"/>
          <w:b/>
          <w:color w:val="003264"/>
          <w:sz w:val="24"/>
        </w:rPr>
        <w:t>Acousto-holographic investigation of the changes in morphology and cellular biomechanics under oxidative stress</w:t>
      </w:r>
    </w:p>
    <w:p>
      <w:r>
        <w:rPr>
          <w:rFonts w:ascii="Times New Roman" w:hAnsi="Times New Roman" w:eastAsia="宋体"/>
          <w:sz w:val="21"/>
        </w:rPr>
        <w:t>作者: Zeynep Karavelioglu, Rahmetullah Varol, Merve Sevgi, Gulsum Gencoglan, Gokhan Bora Esmer, Rabia Cakir, Yasemin Basbinar, Huseyin Uvet</w:t>
        <w:br/>
      </w:r>
      <w:r>
        <w:rPr>
          <w:rFonts w:ascii="Times New Roman" w:hAnsi="Times New Roman" w:eastAsia="宋体"/>
          <w:sz w:val="21"/>
        </w:rPr>
        <w:t xml:space="preserve">时间: 2026-02-09 | </w:t>
      </w:r>
      <w:r>
        <w:t xml:space="preserve">链接: </w:t>
      </w:r>
      <w:hyperlink r:id="rId64">
        <w:r>
          <w:rPr>
            <w:rFonts w:ascii="Times New Roman" w:hAnsi="Times New Roman" w:eastAsia="宋体"/>
            <w:color w:val="0000FF"/>
            <w:sz w:val="21"/>
            <w:u w:val="single"/>
          </w:rPr>
          <w:t>https://doi.org/10.1038/s41598-025-32709-0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氧化应激是一种重要的细胞现象，是细胞维持代谢活动所必需的，但会因异常积累而导致不良并发症。它可能通过影响细胞膜和细胞骨架结构并引发细胞凋亡而引起细胞机械结构和行为的一些变化。此外，它与癌症、神经退行性疾病和衰老等许多疾病密切相关，因此在细胞水平上很好地检查和理解这种现象非常重要。这项研究报告了一种无标记和无接触平台，可使用声全息显微镜对活细胞的形态和机械行为进行成像。还进行了 F-肌动蛋白荧光染色和膜联蛋白 V-FITC/PI 染色来支持我们的结果。我们的方法可以在形态上区分细胞凋亡的不同阶段，同时绘制细胞的弹性模量分布。研究发现，最初弹性模量最高的C2C12成肌细胞对细胞凋亡的抵抗力较差，在氧化应激下弹性模量下降更显着。与 C2C12 和 HUVEC 细胞相比，HCT 116 癌细胞在开始时最软，在氧化应激下弹性模量下降较弱。这支持了 HCT 116 细胞对细胞凋亡的抵抗力。</w:t>
      </w:r>
    </w:p>
    <w:p>
      <w:pPr>
        <w:spacing w:before="120"/>
      </w:pPr>
      <w:r>
        <w:rPr>
          <w:rFonts w:ascii="Times New Roman" w:hAnsi="Times New Roman" w:eastAsia="宋体"/>
          <w:b/>
          <w:sz w:val="21"/>
        </w:rPr>
        <w:t>English Abstract:</w:t>
      </w:r>
    </w:p>
    <w:p>
      <w:r>
        <w:rPr>
          <w:rFonts w:ascii="Times New Roman" w:hAnsi="Times New Roman" w:eastAsia="宋体"/>
          <w:sz w:val="21"/>
        </w:rPr>
        <w:t>Oxidative stress is an important cellular phenomenon that’s necessary for the cell to maintain its metabolic activities but causes adverse complications due to abnormal accumulation. It may cause some changes in the mechanical structure and behavior of the cells by affecting the cell membrane and cytoskeleton structure and triggering apoptosis. Moreover, it’s closely related to many conditions such as cancer, neurodegenerative diseases, and aging, making it important to examine and understand this phenomenon very well at the cellular level. This study reports a label-free and contact-free platform to image the morphological and mechanical behavior of live cells using an acousto-holographic microscope. F-actin fluorescence staining and Annexin V-FITC/PI staining were also performed to support our results. Different stages of apoptosis can be morphologically distinguished by our method while mapping the elasticity modulus distribution of the cells. It’s found that C2C12 myoblast cells, which initially had the highest elasticity modulus, have less resistance to apoptosis and undergo a more significant decrease in elasticity modulus under oxidative stress. HCT 116 cancer cells, which were the softest at the beginning, experience a weaker decrease in elasticity modulus under oxidative stress compared to C2C12 and HUVEC cells. This supports the resistance of HCT 116 cells against apoptosis.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识别医生和神经系统疾病患者之间的认知差距，并使用机器学习预测这些差距</w:t>
      </w:r>
    </w:p>
    <w:p>
      <w:r>
        <w:rPr>
          <w:rFonts w:ascii="Times New Roman" w:hAnsi="Times New Roman" w:eastAsia="宋体"/>
          <w:b/>
          <w:color w:val="003264"/>
          <w:sz w:val="24"/>
        </w:rPr>
        <w:t>Identification of perception gaps between physicians and patients with neurological diseases and the prediction of these gaps using machine learning</w:t>
      </w:r>
    </w:p>
    <w:p>
      <w:r>
        <w:rPr>
          <w:rFonts w:ascii="Times New Roman" w:hAnsi="Times New Roman" w:eastAsia="宋体"/>
          <w:sz w:val="21"/>
        </w:rPr>
        <w:t>作者: Genko Oyama, Yuji Tomizawa, Taiji Tsunemi, Shuko Nojiri, Taku Hatano, Wataru Sako, Yasunobu Hoshino, Shin-ichi Ueno, Daiki Kamiyama, Yutaka Oji, Ayami Okuzumi, Daisuke Taniguchi, Haruna Haginiwa, Takuma Maeda, Yoshihiko Furusawa, Miwa Izutsu, Nobutaka Hattori</w:t>
        <w:br/>
      </w:r>
      <w:r>
        <w:rPr>
          <w:rFonts w:ascii="Times New Roman" w:hAnsi="Times New Roman" w:eastAsia="宋体"/>
          <w:sz w:val="21"/>
        </w:rPr>
        <w:t xml:space="preserve">时间: 2026-02-09 | </w:t>
      </w:r>
      <w:r>
        <w:t xml:space="preserve">链接: </w:t>
      </w:r>
      <w:hyperlink r:id="rId65">
        <w:r>
          <w:rPr>
            <w:rFonts w:ascii="Times New Roman" w:hAnsi="Times New Roman" w:eastAsia="宋体"/>
            <w:color w:val="0000FF"/>
            <w:sz w:val="21"/>
            <w:u w:val="single"/>
          </w:rPr>
          <w:t>https://doi.org/10.1038/s41598-025-33500-x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了解神经系统疾病患者与其治疗医生之间的认知和沟通差距对于优化以患者为中心的护理至关重要。 GAP-AI 研究旨在确定帕金森病、多发性硬化症或癫痫患者队列中的这些差距。这项单中心观察性研究涉及患者 (N = 197) 及其治疗医生 (N = 12)，在两次就诊期间回答问卷（18 项患者满意度问卷简表、9 项患者和医生共同决策问卷、Barthel 指数和 36 项简表子域）。主要结果是问卷中成对项目之间的差异（感知差距）。在患者满意度、共同决策、日常生活活动和生活质量方面发现了认知差距，尽管很小。显着影响认知差距的因素包括医生的年龄、经验年数/持有神经科医生资格、疾病领域和接受治疗的患者数量，经验丰富的医生往往会提供比患者自我评估更严格的评估。使用多种机器学习算法来开发基于研究数据的预测模型。 k 最近邻算法在预测患者与医生感知差距方面表现出最佳性能。我们研究的见解强调了识别、预测并最终解决这些差距的潜力，从而通过提高患者与其医生之间的理解水平来加强临床实践。</w:t>
      </w:r>
    </w:p>
    <w:p>
      <w:pPr>
        <w:spacing w:before="120"/>
      </w:pPr>
      <w:r>
        <w:rPr>
          <w:rFonts w:ascii="Times New Roman" w:hAnsi="Times New Roman" w:eastAsia="宋体"/>
          <w:b/>
          <w:sz w:val="21"/>
        </w:rPr>
        <w:t>English Abstract:</w:t>
      </w:r>
    </w:p>
    <w:p>
      <w:r>
        <w:rPr>
          <w:rFonts w:ascii="Times New Roman" w:hAnsi="Times New Roman" w:eastAsia="宋体"/>
          <w:sz w:val="21"/>
        </w:rPr>
        <w:t>Abstract Understanding perception and communication gaps between patients with neurological diseases and their treating physicians is essential for optimizing patient-centered care. The GAP-AI study aimed to identify these gaps in a cohort of patients with Parkinson’s disease, multiple sclerosis, or epilepsy. This single-center observational study involved patients (N = 197) and their treating physicians (N = 12) answering questionnaires (18-item Patient Satisfaction Questionnaire Short Form, 9-item Shared Decision Making Questionnaire for patients and physicians, Barthel Index, and 36-item Short Form subdomains) over two clinic visits. The primary outcome was the difference between pairwise items in the questionnaires (perception gap). Perception gaps, albeit minimal, were identified for patient satisfaction, shared decision-making, activities of daily living, and quality of life. Attributes that significantly influenced perception gaps included physician’s age, years of experience/holding a neurologist qualification, disease area, and the number of patients treated, with experienced physicians tending to provide more rigorous evaluations than their patients’ self-assessments. Multiple machine learning algorithms were used to develop predictive models based on study data. The k-nearest neighbors algorithm demonstrated the best performance in predicting a patient–physician perception gap. Insights from our study highlight the potential to recognize, predict, and ultimately address these gaps, thus enhancing clinical practice by increasing the level of understanding between patients and their physicians.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无患子提取物与膨润土合成的多功能抑尘剂的对比评价</w:t>
      </w:r>
    </w:p>
    <w:p>
      <w:r>
        <w:rPr>
          <w:rFonts w:ascii="Times New Roman" w:hAnsi="Times New Roman" w:eastAsia="宋体"/>
          <w:b/>
          <w:color w:val="003264"/>
          <w:sz w:val="24"/>
        </w:rPr>
        <w:t>Comparative evaluation of a multi-functional dust suppressant synthesized from Sapindus mukorossi extract and bentonite clay</w:t>
      </w:r>
    </w:p>
    <w:p>
      <w:r>
        <w:rPr>
          <w:rFonts w:ascii="Times New Roman" w:hAnsi="Times New Roman" w:eastAsia="宋体"/>
          <w:sz w:val="21"/>
        </w:rPr>
        <w:t>作者: Piyush Kumar, Sreelakshmi Diddi, Shivakumar Ramachandra, Hari Prasad Uppara</w:t>
        <w:br/>
      </w:r>
      <w:r>
        <w:rPr>
          <w:rFonts w:ascii="Times New Roman" w:hAnsi="Times New Roman" w:eastAsia="宋体"/>
          <w:sz w:val="21"/>
        </w:rPr>
        <w:t xml:space="preserve">时间: 2026-02-09 | </w:t>
      </w:r>
      <w:r>
        <w:t xml:space="preserve">链接: </w:t>
      </w:r>
      <w:hyperlink r:id="rId66">
        <w:r>
          <w:rPr>
            <w:rFonts w:ascii="Times New Roman" w:hAnsi="Times New Roman" w:eastAsia="宋体"/>
            <w:color w:val="0000FF"/>
            <w:sz w:val="21"/>
            <w:u w:val="single"/>
          </w:rPr>
          <w:t>https://doi.org/10.1038/s41598-026-39133-y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抑尘是工业、采矿和车辆交通中分散颗粒物管理的一个关键方面。这项研究旨在通过有效的灰尘控制来改善空气质量，以实现联合国可持续发展目标，即“良好的健康和福祉”和“可持续的城市和社区”。传统的化学抑尘剂通常不可生物降解，并会造成长期的生态危害。本研究的重点是对膨润土和无患子提取物的多功能抑尘剂与从工业废牛皮纸黑液及其衍生物中回收的木质素进行比较评价。这是利用无患子提取物抑制粉尘的新颖研究。通过一系列测试评价了所制备抑尘剂的多功能性能，包括风蚀性、润湿性、保湿性、抗渗透性和生物降解性。使用 X 射线衍射、傅里叶变换红外光谱、扫描电子显微镜、能量色散 X 射线光谱和光学显微镜技术对抑尘剂进行了表征。无患子提取物与膨润土的综合性能最好，风蚀失重最小，为11.2%，渗透深度为8.2 mm，水分损失为35%。它表现出良好的润湿能力（40 分钟）和良好的生物降解性（0.8）。结果表明，将无患子提取物与膨润土结合，可成为传统抑尘剂的高性能、环保且经济高效的替代品，在粉尘管理应用中具有巨大潜力。</w:t>
      </w:r>
    </w:p>
    <w:p>
      <w:pPr>
        <w:spacing w:before="120"/>
      </w:pPr>
      <w:r>
        <w:rPr>
          <w:rFonts w:ascii="Times New Roman" w:hAnsi="Times New Roman" w:eastAsia="宋体"/>
          <w:b/>
          <w:sz w:val="21"/>
        </w:rPr>
        <w:t>English Abstract:</w:t>
      </w:r>
    </w:p>
    <w:p>
      <w:r>
        <w:rPr>
          <w:rFonts w:ascii="Times New Roman" w:hAnsi="Times New Roman" w:eastAsia="宋体"/>
          <w:sz w:val="21"/>
        </w:rPr>
        <w:t>Dust suppression is a critical aspect in the management of dispersed particulate matter from industrial, mining, and vehicular traffic. This research is an effort towards realizing UN SDGs namely ‘Good Health and Wellbeing’ and ‘Sustainable Cities and Communities’ by improving air quality with effective dust control. Conventional chemical dust suppressants are often non-biodegradable and pose long-term ecological hazards. This study focuses on the comparative evaluation of a multi-functional dust suppressant from bentonite clay and Sapindus mukorossi (soapnut) extract with lignin recovered from industrial waste Kraft black liquor and its derivatives. This is novel research on utilization of soapnut extract for dust suppression. The multi-functional performance of the prepared dust suppressants was evaluated through a series of tests, including wind erosion, wetting ability, moisture retention, penetration resistance and biodegradability. The dust suppressants were characterized using X-ray Diffraction, Fourier Transform Infrared Spectroscopy, Scanning Electron Microscopy, Energy Dispersive X-ray Spectroscopy and Optical Microscopy techniques. Soapnut extract with bentonite exhibited the best overall performance, with the least wind erosion weight loss of 11.2%, penetration depth of 8.2 mm and a moisture loss of 35%. It displayed a good wetting ability of 40 min and favorable biodegradability of 0.8. The results indicate that integrating Soapnut extract with bentonite clay yields a high-performance, environmentally friendly and cost-effective alternative to conventional dust suppressants and has strong potential for dust management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根系结构和鲜重生物量性状的定量分析突出了萝卜（Raphanus sativus L.）种质的表型变异</w:t>
      </w:r>
    </w:p>
    <w:p>
      <w:r>
        <w:rPr>
          <w:rFonts w:ascii="Times New Roman" w:hAnsi="Times New Roman" w:eastAsia="宋体"/>
          <w:b/>
          <w:color w:val="003264"/>
          <w:sz w:val="24"/>
        </w:rPr>
        <w:t>Quantitative analysis of root system architecture and fresh weight biomass traits highlight phenotypic variation in radish (Raphanus sativus L.) germplasm</w:t>
      </w:r>
    </w:p>
    <w:p>
      <w:r>
        <w:rPr>
          <w:rFonts w:ascii="Times New Roman" w:hAnsi="Times New Roman" w:eastAsia="宋体"/>
          <w:sz w:val="21"/>
        </w:rPr>
        <w:t>作者: Kingsley Ochar, Dae-Won Ki, Suyun Moon, Matilda Ntowaa Bissah, Seong-Hoon Kim</w:t>
        <w:br/>
      </w:r>
      <w:r>
        <w:rPr>
          <w:rFonts w:ascii="Times New Roman" w:hAnsi="Times New Roman" w:eastAsia="宋体"/>
          <w:sz w:val="21"/>
        </w:rPr>
        <w:t xml:space="preserve">时间: 2026-02-09 | </w:t>
      </w:r>
      <w:r>
        <w:t xml:space="preserve">链接: </w:t>
      </w:r>
      <w:hyperlink r:id="rId67">
        <w:r>
          <w:rPr>
            <w:rFonts w:ascii="Times New Roman" w:hAnsi="Times New Roman" w:eastAsia="宋体"/>
            <w:color w:val="0000FF"/>
            <w:sz w:val="21"/>
            <w:u w:val="single"/>
          </w:rPr>
          <w:t>https://doi.org/10.1038/s41598-026-39212-0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萝卜在根部形态和结构方面表现出显着的多样性，这是养分和水分吸收、逆境适应和适销性的关键性状。这项研究评估了 23 个萝卜品种的根系变异性，包括野生近缘种、地方品种和栽培品种。植物在受控温室中生长，并使用配有透明丙烯酸托盘（30 厘米×20 厘米）的高分辨率平板扫描仪获取根部的二维图像。使用 WinRHIZO Pro 软件（Regent Instruments Inc.，魁北克，加拿大）进行根分析。方差分析的结果显示，除了平均链接长度之外，几乎所有性状均存在显着的基因型变异（p &lt; 0.01）。土耳其种质记录了最长的平均根长度和更大的根分枝，而中国和韩国种质表现出显着更大的根直径和更高的根生物量相关性状值。地方品种发育出最广泛的根系，野生近缘种表现出较高的性状变异性，品种的根体积和直径更加均匀。相关分析显示根长、表面积、投影面积和分枝之间存在很强的正相关性 (p &lt; 0.01)，这表明土壤勘探存在一个协调系统。主成分分析确定了五个功能簇，解释了总变异的 93.485%。本研究揭示了萝卜根部性状存在广泛的变异，为性状选择、资源利用效率和市场需求提供了基础。</w:t>
      </w:r>
    </w:p>
    <w:p>
      <w:pPr>
        <w:spacing w:before="120"/>
      </w:pPr>
      <w:r>
        <w:rPr>
          <w:rFonts w:ascii="Times New Roman" w:hAnsi="Times New Roman" w:eastAsia="宋体"/>
          <w:b/>
          <w:sz w:val="21"/>
        </w:rPr>
        <w:t>English Abstract:</w:t>
      </w:r>
    </w:p>
    <w:p>
      <w:r>
        <w:rPr>
          <w:rFonts w:ascii="Times New Roman" w:hAnsi="Times New Roman" w:eastAsia="宋体"/>
          <w:sz w:val="21"/>
        </w:rPr>
        <w:t>Radish exhibits remarkable diversity in root morphology and architecture, which are crucial traits for nutrient and water uptake, stress adaptation and marketability. This study assessed root variability in 23 radish accessions, including a wild relative, landraces, and cultivars. Plants were grown in controlled greenhouse, and 2D images of roots acquired, using a high-resolution flatbed scanner fitted with a transparent acrylic tray (30 cm × 20 cm). Root analysis was performed using the WinRHIZO Pro software (Regent Instruments Inc., Quebec, Canada). Results of the analysis of variance revealed significant genotype variation (p &lt; 0.01) for nearly all traits, except average length of link. Turkish accessions recorded the longest average root length and greater root branching, whereas Chinese and Korean accessions exhibited significantly larger root diameters and higher root biomass-related trait values. Landraces developed the most extensive root systems, wild relatives showed high trait variability, and cultivars were more uniform in root volume and diameter. Correlation analysis revealed strong positive associations (p &lt; 0.01) among root length, surface area, projected area, and branching, suggesting a coordinated system for soil exploration. Principal component analysis identified five functional clusters, explaining 93.485% of total variation. This study revealed the presence of a wide range of variation in radish root traits and provides a foundation for trait selection, targeting resource-use efficiency, and market needs.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Opto-Electronic Advances</w:t>
      </w:r>
    </w:p>
    <w:p>
      <w:pPr>
        <w:jc w:val="center"/>
      </w:pPr>
      <w:r>
        <w:t>--- 更新: 06:29 ---</w:t>
      </w:r>
    </w:p>
    <w:p>
      <w:pPr>
        <w:pStyle w:val="Heading2"/>
      </w:pPr>
      <w:r/>
      <w:r>
        <w:rPr>
          <w:rFonts w:ascii="Times New Roman" w:hAnsi="Times New Roman" w:eastAsia="宋体"/>
          <w:b/>
          <w:color w:val="000000"/>
          <w:sz w:val="24"/>
        </w:rPr>
        <w:t>用于自适应旋转深度映射和衍射限制成像的毫秒级电切换超透镜</w:t>
      </w:r>
    </w:p>
    <w:p>
      <w:r>
        <w:rPr>
          <w:rFonts w:ascii="Times New Roman" w:hAnsi="Times New Roman" w:eastAsia="宋体"/>
          <w:b/>
          <w:color w:val="003264"/>
          <w:sz w:val="24"/>
        </w:rPr>
        <w:t>Millisecond-level electrically switchable metalens for adaptive rotational depth mapping and diffraction-limited imaging</w:t>
      </w:r>
    </w:p>
    <w:p>
      <w:r>
        <w:rPr>
          <w:rFonts w:ascii="Times New Roman" w:hAnsi="Times New Roman" w:eastAsia="宋体"/>
          <w:sz w:val="21"/>
        </w:rPr>
        <w:t>作者: Yeseul Kim, Jihae Lee, Won-Sik Kim, Hyeonsu Heo, Dongmin Jeon, Beomha Yang, Xiaotong Li, Harit Keawmuang, Shiqi Hu, Young-Ki Kim, Trevon Badloe, Junsuk Rho</w:t>
        <w:br/>
      </w:r>
      <w:r>
        <w:rPr>
          <w:rFonts w:ascii="Times New Roman" w:hAnsi="Times New Roman" w:eastAsia="宋体"/>
          <w:sz w:val="21"/>
        </w:rPr>
        <w:t xml:space="preserve">时间: 2026 | </w:t>
      </w:r>
      <w:r>
        <w:t xml:space="preserve">链接: </w:t>
      </w:r>
      <w:hyperlink r:id="rId31">
        <w:r>
          <w:rPr>
            <w:rFonts w:ascii="Times New Roman" w:hAnsi="Times New Roman" w:eastAsia="宋体"/>
            <w:color w:val="0000FF"/>
            <w:sz w:val="21"/>
            <w:u w:val="single"/>
          </w:rPr>
          <w:t>https://doi.org/10.29026/oea.2026.250216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我们展示了一种电可调双模超透镜，能够进行偏振敏感焦点控制，将高分辨率成像和深度传感功能结合到一个紧凑的设备中。通过将氢化非晶硅 (a-Si:H) 超原子与液晶 (LC) 调制器集成，所提出的超表面独立操纵左旋和右旋圆偏振 (LCP/RCP) 入射光，为 LCP 生成旋转双螺旋焦点分布，并为 RCP 照明生成扩展焦深 (DOF)。使用传播和几何相位对超原子进行了严格优化，实现了精确的相位控制和 635 nm 波长下的高透射率。实验表征证实了接近衍射极限的横向和轴向分辨率，与理论预测紧密一致。集成的 LC 单元有助于在深度敏感双螺旋和高分辨率 DOF 成像模式之间进行毫秒级偏振切换。我们通过分析混合偏振照明下双图像​​焦点的旋转角度进一步验证了深度提取能力。橡胶树叶、骨骼肌横截面和活涡虫的深度分辨成像检索了颜色编码的深度，证明了对复杂生物组织的有效性。因此，这种偏振驱动的电可调超透镜提供了一个多功能且有效的光学平台，适用于生物医学成像、三维传感、自适应光学和紧凑型成像系统中的高级应用。</w:t>
      </w:r>
    </w:p>
    <w:p>
      <w:pPr>
        <w:spacing w:before="120"/>
      </w:pPr>
      <w:r>
        <w:rPr>
          <w:rFonts w:ascii="Times New Roman" w:hAnsi="Times New Roman" w:eastAsia="宋体"/>
          <w:b/>
          <w:sz w:val="21"/>
        </w:rPr>
        <w:t>English Abstract:</w:t>
      </w:r>
    </w:p>
    <w:p>
      <w:r>
        <w:rPr>
          <w:rFonts w:ascii="Times New Roman" w:hAnsi="Times New Roman" w:eastAsia="宋体"/>
          <w:sz w:val="21"/>
        </w:rPr>
        <w:t>We demonstrate an electrically tunable dual-mode metalens capable of polarization-sensitive focal control, combining high-resolution imaging and depth-sensing functionalities into a single compact device. By integrating hydrogenated amorphous silicon ( a -Si:H) meta-atoms with a liquid crystal (LC) modulator, the proposed metasurface independently manipulates left- and right-circularly polarized (LCP/RCP) incident light, generating a rotating double-helix focal distribution for LCP and an extended depth-of-focus (DOF) for RCP illumination. The meta-atoms were rigorously optimized using propagation and geometric phases, enabling precise phase control and high transmittance at a wavelength of 635 nm. Experimental characterization confirmed near-diffraction-limited lateral and axial resolutions, closely aligning with theoretical predictions. The integrated LC cell facilitates milliseconds polarizationswitching between depth-sensitive double-helix and high-resolution DOF imaging modes. We further verified depth-extraction capabilities by analyzing rotation angles from dual-image focal spots under mixed-polarization illumination. Depth-resolved imaging of a rubber-tree leaf, a skeletal-muscle cross-section, and a live planarian retrieved color-coded depths, demonstrating the effectiveness on complex biological tissues. This polarization-driven, electrically tunable metalens thus provides a versatile and effective optical platform suitable for advanced applications in biomedical imaging, three-dimensional sensing, adaptive optics, and compact imaging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基于1T'-MoTe 2 /2H-MoTe 2 范德华异质结构的超灵敏多波段红外偏振光电探测器</w:t>
      </w:r>
    </w:p>
    <w:p>
      <w:r>
        <w:rPr>
          <w:rFonts w:ascii="Times New Roman" w:hAnsi="Times New Roman" w:eastAsia="宋体"/>
          <w:b/>
          <w:color w:val="003264"/>
          <w:sz w:val="24"/>
        </w:rPr>
        <w:t>Ultra-sensitive multi-band infrared polarization photodetector based on 1T'-MoTe&lt;sub&gt;2&lt;/sub&gt;/2H-MoTe&lt;sub&gt;2&lt;/sub&gt; van der Waals heterostructure</w:t>
      </w:r>
    </w:p>
    <w:p>
      <w:r>
        <w:rPr>
          <w:rFonts w:ascii="Times New Roman" w:hAnsi="Times New Roman" w:eastAsia="宋体"/>
          <w:sz w:val="21"/>
        </w:rPr>
        <w:t>作者: Yuting Pan, Lidan Lu, Bofei Zhu, Chunhua An, Jing Yu, Guanghui Ren, Jian Zhen Ou, Mingli Dong, Zheng You, Lianqing Zhu</w:t>
        <w:br/>
      </w:r>
      <w:r>
        <w:rPr>
          <w:rFonts w:ascii="Times New Roman" w:hAnsi="Times New Roman" w:eastAsia="宋体"/>
          <w:sz w:val="21"/>
        </w:rPr>
        <w:t xml:space="preserve">时间: 2026 | </w:t>
      </w:r>
      <w:r>
        <w:t xml:space="preserve">链接: </w:t>
      </w:r>
      <w:hyperlink r:id="rId32">
        <w:r>
          <w:rPr>
            <w:rFonts w:ascii="Times New Roman" w:hAnsi="Times New Roman" w:eastAsia="宋体"/>
            <w:color w:val="0000FF"/>
            <w:sz w:val="21"/>
            <w:u w:val="single"/>
          </w:rPr>
          <w:t>https://doi.org/10.29026/oea.2026.250260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近红外偏振光电探测器应用广泛，基于过渡金属二硫化物的范德华异质结构是器件研究和应用的重要平台。同系多晶型二维硫族化物是指化学组成相同但晶体结构不同的二维硫族化物。同源多晶型二维硫属化物由于其独特的带隙特性、激子效应和可控光电特性，在近红外探测中显示出巨大的潜力。本文研究了一种基于1T'-MoTe 2 /2H-MoTe 2 结构的近红外偏振光电探测器，其中半金属1T'-MoTe 2 因其低功函数和优异的电性能而引起人们的关注。 1T'-MoTe 2 和2H-MoTe 2 形成异质结后形成良好的带隙结构，提高载流子分离效率和光电响应。该器件在宽带区域（532-2200 nm）表现出优异的高灵敏度光电探测性能，例如在1310 nm激光下显着高响应率（3.06 A·W –1 ）、比探测率（3.2 × 10 9 Jones）、良好的外量子效率（289%）以及10.56 ms/6.26 ms的快速上升和衰减响应时间。此外，该器件还具有偏振检测能力，实现了20.1的高偏振灵敏度。该器件成功实现了从可见光到近红外光的成像，凸显了1T'-MoTe 2 /2H-MoTe 2 异质结作为偏振敏感探测器的潜力。</w:t>
      </w:r>
    </w:p>
    <w:p>
      <w:pPr>
        <w:spacing w:before="120"/>
      </w:pPr>
      <w:r>
        <w:rPr>
          <w:rFonts w:ascii="Times New Roman" w:hAnsi="Times New Roman" w:eastAsia="宋体"/>
          <w:b/>
          <w:sz w:val="21"/>
        </w:rPr>
        <w:t>English Abstract:</w:t>
      </w:r>
    </w:p>
    <w:p>
      <w:r>
        <w:rPr>
          <w:rFonts w:ascii="Times New Roman" w:hAnsi="Times New Roman" w:eastAsia="宋体"/>
          <w:sz w:val="21"/>
        </w:rPr>
        <w:t>Near infrared polarized photodetectors are widely used, and van der Waals heterostructures based on transition metal dichalcogenides are important platforms for device research and application. Homologous polymorphic two-dimensional chalcogenides refer to two-dimensional chalcogenides with the same chemical composition but different crystal structures. Homologous polymorphic two-dimensional chalcogenides have shown great potential in near-infrared detection due to their unique bandgap characteristics, exciton effects, and controllable optoelectronic properties. This paper studies a near-infrared polarized photodetector based on 1T'-MoTe 2 /2H-MoTe 2 structure, in which the semimetallic 1T'-MoTe 2 has attracted attention due to its low work function and excellent electrical performance. 1T'-MoTe 2 and 2H-MoTe 2 form a favorable bandgap structure after forming a heterojunction, which improves carrier separation efficiency and photoelectric response. This device exhibits excellent high-sensitivity optoelectronic detection performance in the wideband region (532–2200 nm), such as significant high responsivity (3.06 A·W –1 ) under 1310 nm laser, specific detectivity (3.2 × 10 9 Jones), good external quantum efficiency (289%), and fast rise and decay response times of 10.56 ms/6.26 ms. In addition, the device has polarization detection capability, achieving a high polarization sensitivity of 20.1. The device has successfully achieved imaging from visible light to near-infrared light, highlighting the potential of 1T'-MoTe 2 /2H-MoTe 2 heterojunction as a polarization sensitive detector.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具有同轴透镜对透镜小眼的可调谐复眼，用于协作双焦成像</w:t>
      </w:r>
    </w:p>
    <w:p>
      <w:r>
        <w:rPr>
          <w:rFonts w:ascii="Times New Roman" w:hAnsi="Times New Roman" w:eastAsia="宋体"/>
          <w:b/>
          <w:color w:val="003264"/>
          <w:sz w:val="24"/>
        </w:rPr>
        <w:t>Tunable compound eyes with coaxial lens-on-lens ommatidia for cooperative bi-focal imaging</w:t>
      </w:r>
    </w:p>
    <w:p>
      <w:r>
        <w:rPr>
          <w:rFonts w:ascii="Times New Roman" w:hAnsi="Times New Roman" w:eastAsia="宋体"/>
          <w:sz w:val="21"/>
        </w:rPr>
        <w:t>作者: Zhi-Juan Sun, Wei-Jian Zhong, Qing Cai, Yi-Fan Lu, Chang-Xu Li, Dong-Dong Han, Yong-Lai Zhang</w:t>
        <w:br/>
      </w:r>
      <w:r>
        <w:rPr>
          <w:rFonts w:ascii="Times New Roman" w:hAnsi="Times New Roman" w:eastAsia="宋体"/>
          <w:sz w:val="21"/>
        </w:rPr>
        <w:t xml:space="preserve">时间: 2026 | </w:t>
      </w:r>
      <w:r>
        <w:t xml:space="preserve">链接: </w:t>
      </w:r>
      <w:hyperlink r:id="rId33">
        <w:r>
          <w:rPr>
            <w:rFonts w:ascii="Times New Roman" w:hAnsi="Times New Roman" w:eastAsia="宋体"/>
            <w:color w:val="0000FF"/>
            <w:sz w:val="21"/>
            <w:u w:val="single"/>
          </w:rPr>
          <w:t>https://doi.org/10.29026/oea.2026.250197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复眼（CE）为开发人工微光学系统提供了独特的设计范例。然而，目前的仿生CE在性能方面仍明显低于昆虫同类，特别是在小眼空间排列、尺寸分布、视野适应性和环境感知方面。受 Sympetrum freques 的 CE 启发，我们通过将灵活的透镜叠加透镜 (LoL) 阵列与微流体集成，开发了一种具有双焦点小眼的可调谐仿生 CE，从而实现同时双焦点成像。聚二甲基硅氧烷 (PDMS) LoL 阵列是通过连续的处理步骤制造的，包括石英玻璃的飞秒激光双重改性、两步湿法蚀刻以及使用所得玻璃模板的软光刻。这种灵活的 LoL 阵列与微流控芯片的集成产生了具有双焦点小眼的可调 CE，允许对 CE 配置进行液压调制。我们系统地研究了 LoL 小眼和集成 CE 的光学性能，包括双焦聚焦/成像特性、可调视场 (FOV)、大 FOV 成像和运动目标监控。这种具有 LoL 小眼的可调 CE 展示了尖端应用的巨大潜力。</w:t>
      </w:r>
    </w:p>
    <w:p>
      <w:pPr>
        <w:spacing w:before="120"/>
      </w:pPr>
      <w:r>
        <w:rPr>
          <w:rFonts w:ascii="Times New Roman" w:hAnsi="Times New Roman" w:eastAsia="宋体"/>
          <w:b/>
          <w:sz w:val="21"/>
        </w:rPr>
        <w:t>English Abstract:</w:t>
      </w:r>
    </w:p>
    <w:p>
      <w:r>
        <w:rPr>
          <w:rFonts w:ascii="Times New Roman" w:hAnsi="Times New Roman" w:eastAsia="宋体"/>
          <w:sz w:val="21"/>
        </w:rPr>
        <w:t>Compound eyes (CEs) offer a unique design paradigm for developing artificial micro-optical systems. However, current bionic CEs still fall significantly short of their insect counterparts in performance, particularly regarding ommatidial spatial arrangement, size distribution, visual field adaptability and environmental perception. Inspired by the CEs of Sympetrum frequens, we developed a tunable bionic CE with bi-focal ommatidia by integrating a flexible lens-on-lens (LoL) array with microfluidics, enabling simultaneous bi-focal imaging. The polydimethylsiloxane (PDMS) LoL array was fabricated through sequential processing steps, including femtosecond laser dual-modification of quartz glass, two-step wet etching, and soft lithography using the resulting glass template. Integration of this flexible LoL array with a microfluidic chip produced a tunable CE with bi-focal ommatidia, allowing liquid-pressure modulation of CE configurations. We systematically investigated the optical performance of both LoL ommatidia and the integrated CE, including bi-focal focusing/imaging properties, tunable field-of-view (FOV), large-FOV imaging, and moving target monitoring. This tunable CE with LoL ommatidia demonstrates significant potential for cutting-edge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用于太赫兹集成传感和成像的像素化 BIC 超表面</w:t>
      </w:r>
    </w:p>
    <w:p>
      <w:r>
        <w:rPr>
          <w:rFonts w:ascii="Times New Roman" w:hAnsi="Times New Roman" w:eastAsia="宋体"/>
          <w:b/>
          <w:color w:val="003264"/>
          <w:sz w:val="24"/>
        </w:rPr>
        <w:t>Pixelated BIC metasurfaces for terahertz integrated sensing and imaging</w:t>
      </w:r>
    </w:p>
    <w:p>
      <w:r>
        <w:rPr>
          <w:rFonts w:ascii="Times New Roman" w:hAnsi="Times New Roman" w:eastAsia="宋体"/>
          <w:sz w:val="21"/>
        </w:rPr>
        <w:t>作者: Zhanqiang Xue, Guizhen Xu, Junliang Chen, Junxing Fan, Hongyang Xing, Ye Zhou, Longqing Cong</w:t>
        <w:br/>
      </w:r>
      <w:r>
        <w:rPr>
          <w:rFonts w:ascii="Times New Roman" w:hAnsi="Times New Roman" w:eastAsia="宋体"/>
          <w:sz w:val="21"/>
        </w:rPr>
        <w:t xml:space="preserve">时间: 2026 | </w:t>
      </w:r>
      <w:r>
        <w:t xml:space="preserve">链接: </w:t>
      </w:r>
      <w:hyperlink r:id="rId34">
        <w:r>
          <w:rPr>
            <w:rFonts w:ascii="Times New Roman" w:hAnsi="Times New Roman" w:eastAsia="宋体"/>
            <w:color w:val="0000FF"/>
            <w:sz w:val="21"/>
            <w:u w:val="single"/>
          </w:rPr>
          <w:t>https://doi.org/10.29026/oea.2026.250211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传统的太赫兹（THz）单像素成像依赖于涉及压缩传感的顺序过程，这需要空间调制器并且通常非常耗时。在这里，我们提出了一种新的太赫兹单像素成像方案，以像素化超表面的并行方式运行，并在标准太赫兹时域光谱系统中进行了演示。这种方法通过基于连续体 (BIC) 物理中的束缚态的多个窄线宽共振对空间信息进行编码，并且支持 BIC 的像素化超表面通过局部场增强促进近场分布式传感。我们在概念验证实验中使用 2×2 超表面阵列验证了这种集成成像和传感功能，并可扩展至更大的阵列。该方法通过单个太赫兹脉冲实现了 100% 的二元成像重建精度，并实现了灵敏度高于 14.39 GHz/RIU 的折射率传感。利用太赫兹辐射的固有穿透能力，该技术为下一代非侵入性应用（例如半导体芯片和药品的安全检查和缺陷检测）提供了巨大的前景。</w:t>
      </w:r>
    </w:p>
    <w:p>
      <w:pPr>
        <w:spacing w:before="120"/>
      </w:pPr>
      <w:r>
        <w:rPr>
          <w:rFonts w:ascii="Times New Roman" w:hAnsi="Times New Roman" w:eastAsia="宋体"/>
          <w:b/>
          <w:sz w:val="21"/>
        </w:rPr>
        <w:t>English Abstract:</w:t>
      </w:r>
    </w:p>
    <w:p>
      <w:r>
        <w:rPr>
          <w:rFonts w:ascii="Times New Roman" w:hAnsi="Times New Roman" w:eastAsia="宋体"/>
          <w:sz w:val="21"/>
        </w:rPr>
        <w:t>Conventional terahertz (THz) single-pixel imaging relies on a sequential process involving compressed sensing, which requires a spatial modulator and is often time-intensive. Here, we propose a new THz single-pixel imaging scheme operating in a parallelized fashion with a pixelated metasurface, demonstrated within a standard THz time-domain spectroscopy system. This approach encodes spatial information through multiple narrow linewidth resonances based on bound states in the continuum (BIC) physics, and the BIC-enabled pixelated metasurface facilitates the near-field distributed sensing through local field enhancement. We validate this integrated imaging and sensing capability using a 2×2 metasurface array in a proof-of-concept experiment, with scalability to larger arrays. The approach achieves 100% accuracy in binary imaging reconstruction from a single THz pulse and enables refractive index sensing with a sensitivity higher than 14.39 GHz/RIU. Leveraging the intrinsic penetration capability of THz radiation, this technique offers significant promise for next-generation noninvasive applications such as security inspection and defect detection in semiconductor chips and pharmaceutical products.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t>--- 更新: 06:29 ---</w:t>
      </w:r>
    </w:p>
    <w:p>
      <w:pPr>
        <w:pStyle w:val="Heading2"/>
      </w:pPr>
      <w:r/>
      <w:r>
        <w:rPr>
          <w:rFonts w:ascii="Times New Roman" w:hAnsi="Times New Roman" w:eastAsia="宋体"/>
          <w:b/>
          <w:color w:val="000000"/>
          <w:sz w:val="24"/>
        </w:rPr>
        <w:t>作为其中之一运行：用于多模态检索的基于 CLIP 的语义融合哈希</w:t>
      </w:r>
    </w:p>
    <w:p>
      <w:r>
        <w:rPr>
          <w:rFonts w:ascii="Times New Roman" w:hAnsi="Times New Roman" w:eastAsia="宋体"/>
          <w:b/>
          <w:color w:val="003264"/>
          <w:sz w:val="24"/>
        </w:rPr>
        <w:t>Run as one: CLIP-based semantic fusion hashing for multi-modal retrieval</w:t>
      </w:r>
    </w:p>
    <w:p>
      <w:r>
        <w:rPr>
          <w:rFonts w:ascii="Times New Roman" w:hAnsi="Times New Roman" w:eastAsia="宋体"/>
          <w:sz w:val="21"/>
        </w:rPr>
        <w:t>作者: Yanpu Zhao, Faming Gong, Chengze Du, Xiaofeng Ji, Dongxu Li, Xing Yan, Junjie Xu</w:t>
        <w:br/>
      </w:r>
      <w:r>
        <w:rPr>
          <w:rFonts w:ascii="Times New Roman" w:hAnsi="Times New Roman" w:eastAsia="宋体"/>
          <w:sz w:val="21"/>
        </w:rPr>
        <w:t xml:space="preserve">时间: 2026-02-01 | </w:t>
      </w:r>
      <w:r>
        <w:t xml:space="preserve">链接: </w:t>
      </w:r>
      <w:hyperlink r:id="rId35">
        <w:r>
          <w:rPr>
            <w:rFonts w:ascii="Times New Roman" w:hAnsi="Times New Roman" w:eastAsia="宋体"/>
            <w:color w:val="0000FF"/>
            <w:sz w:val="21"/>
            <w:u w:val="single"/>
          </w:rPr>
          <w:t>https://doi.org/10.1016/j.displa.2026.103383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06:29 ---</w:t>
      </w:r>
    </w:p>
    <w:p>
      <w:pPr>
        <w:pStyle w:val="Heading2"/>
      </w:pPr>
      <w:r/>
      <w:r>
        <w:rPr>
          <w:rFonts w:ascii="Times New Roman" w:hAnsi="Times New Roman" w:eastAsia="宋体"/>
          <w:b/>
          <w:color w:val="000000"/>
          <w:sz w:val="24"/>
        </w:rPr>
        <w:t>结构光和运动学 MVPS 的协同集成用于动态镜面的 3D 测量</w:t>
      </w:r>
    </w:p>
    <w:p>
      <w:r>
        <w:rPr>
          <w:rFonts w:ascii="Times New Roman" w:hAnsi="Times New Roman" w:eastAsia="宋体"/>
          <w:b/>
          <w:color w:val="003264"/>
          <w:sz w:val="24"/>
        </w:rPr>
        <w:t>Synergistic Integration of Structured Light and Kinematic MVPS for 3D Measurement of Dynamic Specular Surfaces</w:t>
      </w:r>
    </w:p>
    <w:p>
      <w:r>
        <w:rPr>
          <w:rFonts w:ascii="Times New Roman" w:hAnsi="Times New Roman" w:eastAsia="宋体"/>
          <w:sz w:val="21"/>
        </w:rPr>
        <w:t>作者: Jiajun Song, Qinghui Zhang, Lei Lu, Chenxia Wan, Cheng Yuan</w:t>
        <w:br/>
      </w:r>
      <w:r>
        <w:rPr>
          <w:rFonts w:ascii="Times New Roman" w:hAnsi="Times New Roman" w:eastAsia="宋体"/>
          <w:sz w:val="21"/>
        </w:rPr>
        <w:t xml:space="preserve">时间: 2026-02-01 | </w:t>
      </w:r>
      <w:r>
        <w:t xml:space="preserve">链接: </w:t>
      </w:r>
      <w:hyperlink r:id="rId36">
        <w:r>
          <w:rPr>
            <w:rFonts w:ascii="Times New Roman" w:hAnsi="Times New Roman" w:eastAsia="宋体"/>
            <w:color w:val="0000FF"/>
            <w:sz w:val="21"/>
            <w:u w:val="single"/>
          </w:rPr>
          <w:t>https://doi.org/10.1016/j.optcom.2026.133007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06:29 ---</w:t>
      </w:r>
    </w:p>
    <w:p>
      <w:pPr>
        <w:pStyle w:val="Heading2"/>
      </w:pPr>
      <w:r/>
      <w:r>
        <w:rPr>
          <w:rFonts w:ascii="Times New Roman" w:hAnsi="Times New Roman" w:eastAsia="宋体"/>
          <w:b/>
          <w:color w:val="000000"/>
          <w:sz w:val="24"/>
        </w:rPr>
        <w:t>使用一步 CVD 制造的 SnS/SnS 2 异质结构薄膜进行高性能光电检测</w:t>
      </w:r>
    </w:p>
    <w:p>
      <w:r>
        <w:rPr>
          <w:rFonts w:ascii="Times New Roman" w:hAnsi="Times New Roman" w:eastAsia="宋体"/>
          <w:b/>
          <w:color w:val="003264"/>
          <w:sz w:val="24"/>
        </w:rPr>
        <w:t>High-performance photodetection using one-step CVD-fabricated SnS/SnS 2 heterostructure film</w:t>
      </w:r>
    </w:p>
    <w:p>
      <w:r>
        <w:rPr>
          <w:rFonts w:ascii="Times New Roman" w:hAnsi="Times New Roman" w:eastAsia="宋体"/>
          <w:sz w:val="21"/>
        </w:rPr>
        <w:t>作者: Jiaxin Guo, Xinyu Li, Xiao Zhang, Sihan Liu, Xiaoning Guan, Pengfei Lu, Chengwei Gao, Ying Xie, Changgui Lin, Xiang Shen, Haohai Yu, Huaijin Zhang</w:t>
        <w:br/>
      </w:r>
      <w:r>
        <w:rPr>
          <w:rFonts w:ascii="Times New Roman" w:hAnsi="Times New Roman" w:eastAsia="宋体"/>
          <w:sz w:val="21"/>
        </w:rPr>
        <w:t xml:space="preserve">时间: 2026-01-26 | </w:t>
      </w:r>
      <w:r>
        <w:t xml:space="preserve">链接: </w:t>
      </w:r>
      <w:hyperlink r:id="rId37">
        <w:r>
          <w:rPr>
            <w:rFonts w:ascii="Times New Roman" w:hAnsi="Times New Roman" w:eastAsia="宋体"/>
            <w:color w:val="0000FF"/>
            <w:sz w:val="21"/>
            <w:u w:val="single"/>
          </w:rPr>
          <w:t>https://doi.org/10.1364/oe.587479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独特的能带结构和界面特性，二维异质结在光电应用中具有广阔的前景。然而，传统的制造技术存在界面污染、规模化生产困难和工艺控制差等问题，导致器件性能下降和不稳定。在这项工作中，我们开发了一种一步式原位化学气相沉积策略，用于控制合成高质量的 SnS/SnS 2 异质结构。这种方法利用固有的过程控制来实现干净的界面和可扩展的生产。所设计的Au-SnS/SnS 2 -Au三明治异质结构光电探测器由块状SnS和超薄SnS 2 组成，表现出主要的空间电荷限制电流机制。应用双向偏压后，光电流显示出超线性增加，这归因于有效的载流子管理行为。因此，该器件实现了优异的光响应：光响应率为119.1 mA/W，探测灵敏度为5.73 × 10 11 Jones，响应速度为16.8 ms。该研究不仅为合成高质量二维异质结提供了一条简便的途径，而且还通过有效的相互作用材料合成和器件物理展示了它们在高性能光电子学方面的巨大潜力。</w:t>
      </w:r>
    </w:p>
    <w:p>
      <w:pPr>
        <w:spacing w:before="120"/>
      </w:pPr>
      <w:r>
        <w:rPr>
          <w:rFonts w:ascii="Times New Roman" w:hAnsi="Times New Roman" w:eastAsia="宋体"/>
          <w:b/>
          <w:sz w:val="21"/>
        </w:rPr>
        <w:t>English Abstract:</w:t>
      </w:r>
    </w:p>
    <w:p>
      <w:r>
        <w:rPr>
          <w:rFonts w:ascii="Times New Roman" w:hAnsi="Times New Roman" w:eastAsia="宋体"/>
          <w:sz w:val="21"/>
        </w:rPr>
        <w:t>Two-dimensional heterojunctions hold great promise for optoelectronic applications since the unique band structures and interfacial properties. However, conventional fabrication techniques suffer from problems like interface contamination, difficulties in scaling production, and poor process control, leading to degraded and unstable device performance. In this work, we develop a one-step in-situ chemical vapor deposition strategy for the controlled synthesis of high-quality SnS/SnS 2 heterostructures. This approach leverages the inherent process control to achieve clean interfaces and scalable production. The designed Au-SnS/SnS 2 -Au sandwich heterostructure photodetector, comprising bulk SnS and ultrathin SnS 2 , exhibits a dominant space-charge-limited current mechanism. With bidirectional bias applied, the photocurrent shows a superlinear increase, which is attributed to efficient carrier management behavior. Consequently, this device achieves superior photoresponse: the photoresponsivity of 119.1 mA/W, the detectivity of 5.73 × 10 11 Jones, and fast response speed of 16.8 ms. The study not only provides a facile pathway for synthesizing high-quality 2D heterojunctions, but also demonstrates their significant potential for high-performance optoelectronics through the effective interplay material synthesis and device physics.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基于场-热-应力耦合模型的复合多波长辐照激光损伤预测</w:t>
      </w:r>
    </w:p>
    <w:p>
      <w:r>
        <w:rPr>
          <w:rFonts w:ascii="Times New Roman" w:hAnsi="Times New Roman" w:eastAsia="宋体"/>
          <w:b/>
          <w:color w:val="003264"/>
          <w:sz w:val="24"/>
        </w:rPr>
        <w:t>Laser damage prediction under composite multi-wavelength irradiation based on field-thermal-stress coupled model</w:t>
      </w:r>
    </w:p>
    <w:p>
      <w:r>
        <w:rPr>
          <w:rFonts w:ascii="Times New Roman" w:hAnsi="Times New Roman" w:eastAsia="宋体"/>
          <w:sz w:val="21"/>
        </w:rPr>
        <w:t>作者: Zhen Wang, Xinda Zhou, Yinbo Zheng, Jie Li, Rongzhu Zhang</w:t>
        <w:br/>
      </w:r>
      <w:r>
        <w:rPr>
          <w:rFonts w:ascii="Times New Roman" w:hAnsi="Times New Roman" w:eastAsia="宋体"/>
          <w:sz w:val="21"/>
        </w:rPr>
        <w:t xml:space="preserve">时间: 2026-01-26 | </w:t>
      </w:r>
      <w:r>
        <w:t xml:space="preserve">链接: </w:t>
      </w:r>
      <w:hyperlink r:id="rId38">
        <w:r>
          <w:rPr>
            <w:rFonts w:ascii="Times New Roman" w:hAnsi="Times New Roman" w:eastAsia="宋体"/>
            <w:color w:val="0000FF"/>
            <w:sz w:val="21"/>
            <w:u w:val="single"/>
          </w:rPr>
          <w:t>https://doi.org/10.1364/oe.582434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建立了多层薄膜复合双/多波长辐照下激光损伤的分析模型。它是一个场-热-应力耦合模型，可以预测基波 (1ω) 能量及其互补三次谐波 (3ω) 能量不同比率下的损伤类型。理论和实验结果都表明，薄膜损伤在前后表面上是不对称的。在激光总能量固定的情况下，当1ω能量比达到95%时，前表面主要表现出场致损伤。然而，当这一比例下降到92%或以下时，前表面损伤演变成以场应力耦合为主的纳米级断裂型损伤。相比之下，无论能量比如何，后表面的损伤部位始终表现为微米级重熔结构，以热应力耦合为主。理论预测与实验观察到的损伤形貌和拉曼光谱变化吻合良好，验证了模型的适用性和可靠性。</w:t>
      </w:r>
    </w:p>
    <w:p>
      <w:pPr>
        <w:spacing w:before="120"/>
      </w:pPr>
      <w:r>
        <w:rPr>
          <w:rFonts w:ascii="Times New Roman" w:hAnsi="Times New Roman" w:eastAsia="宋体"/>
          <w:b/>
          <w:sz w:val="21"/>
        </w:rPr>
        <w:t>English Abstract:</w:t>
      </w:r>
    </w:p>
    <w:p>
      <w:r>
        <w:rPr>
          <w:rFonts w:ascii="Times New Roman" w:hAnsi="Times New Roman" w:eastAsia="宋体"/>
          <w:sz w:val="21"/>
        </w:rPr>
        <w:t>An analytical model for laser-induced damage under composite dual/multi-wavelength irradiation is established for a multilayer film. It is a field-thermal-stress coupled model that can predict the damage types under varying ratios of the fundamental harmonic (1ω) energy and its complementary third harmonic (3ω). Both the theoretical and experimental results revealed that the film damage is asymmetric on the front and rear surfaces. At a fixed total laser energy, the front surface primarily exhibited field-induced damage when the 1ω energy ratio reached 95%. However, as this ratio decreased to 92% or below, the front surface damage evolved into nanoscale fracture-type damage, dominated by field-stress coupling. In contrast, regardless of the energy ratio, damage sites on the rear surface consistently manifested as micrometer-scale remelted structures, dominated by thermal-stress coupling. The theoretical predictions agree well with experimentally observed damage morphologies and Raman spectral changes, validating the applicability and reliability of the model.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药物胶囊的快速太赫兹无损检测</w:t>
      </w:r>
    </w:p>
    <w:p>
      <w:r>
        <w:rPr>
          <w:rFonts w:ascii="Times New Roman" w:hAnsi="Times New Roman" w:eastAsia="宋体"/>
          <w:b/>
          <w:color w:val="003264"/>
          <w:sz w:val="24"/>
        </w:rPr>
        <w:t>Rapid THz nondestructive inspection of medicine capsules</w:t>
      </w:r>
    </w:p>
    <w:p>
      <w:r>
        <w:rPr>
          <w:rFonts w:ascii="Times New Roman" w:hAnsi="Times New Roman" w:eastAsia="宋体"/>
          <w:sz w:val="21"/>
        </w:rPr>
        <w:t>作者: T. H. Jeong, Hyeong-Ryeol Park, Y. H. Ahn</w:t>
        <w:br/>
      </w:r>
      <w:r>
        <w:rPr>
          <w:rFonts w:ascii="Times New Roman" w:hAnsi="Times New Roman" w:eastAsia="宋体"/>
          <w:sz w:val="21"/>
        </w:rPr>
        <w:t xml:space="preserve">时间: 2026-01-23 | </w:t>
      </w:r>
      <w:r>
        <w:t xml:space="preserve">链接: </w:t>
      </w:r>
      <w:hyperlink r:id="rId39">
        <w:r>
          <w:rPr>
            <w:rFonts w:ascii="Times New Roman" w:hAnsi="Times New Roman" w:eastAsia="宋体"/>
            <w:color w:val="0000FF"/>
            <w:sz w:val="21"/>
            <w:u w:val="single"/>
          </w:rPr>
          <w:t>https://doi.org/10.1364/oe.577130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在这项研究中，我们开发了一种快速识别两片式药物胶囊缺陷的筛查工具。我们通过结合电动橡胶辊来使用太赫兹飞行时间 (ToF) 成像，这样可以沿着胶囊的圆柱形表面快速检查胶囊。我们获得了具有横截面信息（包括折叠区域）的 3D 图像。特别是，THz-ToF 图像可用于以非破坏性方式识别由湿气、异物和孔洞引起的缺陷。沿胶囊表面的层厚度统计数据可以对胶囊质量进行快速质量评估，同时可以通过分析 3D 成像数据来确定缺陷类型的详细信息。</w:t>
      </w:r>
    </w:p>
    <w:p>
      <w:pPr>
        <w:spacing w:before="120"/>
      </w:pPr>
      <w:r>
        <w:rPr>
          <w:rFonts w:ascii="Times New Roman" w:hAnsi="Times New Roman" w:eastAsia="宋体"/>
          <w:b/>
          <w:sz w:val="21"/>
        </w:rPr>
        <w:t>English Abstract:</w:t>
      </w:r>
    </w:p>
    <w:p>
      <w:r>
        <w:rPr>
          <w:rFonts w:ascii="Times New Roman" w:hAnsi="Times New Roman" w:eastAsia="宋体"/>
          <w:sz w:val="21"/>
        </w:rPr>
        <w:t>In this study, we developed a screening tool for the rapid identification of defects in two-piece medicine capsules. We used THz time-of-flight (ToF) imaging by incorporating motorized rubber rollers, which allows rapid inspection of the capsules along their cylindrical surface. We obtained 3D images with the cross-sectional information, including the folded area. In particular, THz-ToF images are useful for identifying defects induced by moisture, alien substances, and holes in a nondestructive manner. The statistics for the layer thickness along capsule surfaces enable the rapid quality assessment of capsule quality, while the details on the types of defects can be determined by analyzing the 3D imaging data.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海洋中颗粒光反向散射的光谱变化：解析精细尺度光学特征及其生物地球化学意义</w:t>
      </w:r>
    </w:p>
    <w:p>
      <w:r>
        <w:rPr>
          <w:rFonts w:ascii="Times New Roman" w:hAnsi="Times New Roman" w:eastAsia="宋体"/>
          <w:b/>
          <w:color w:val="003264"/>
          <w:sz w:val="24"/>
        </w:rPr>
        <w:t>Spectral variability in particulate light backscattering in the sea: resolving fine-scale optical features and their biogeochemical significance</w:t>
      </w:r>
    </w:p>
    <w:p>
      <w:r>
        <w:rPr>
          <w:rFonts w:ascii="Times New Roman" w:hAnsi="Times New Roman" w:eastAsia="宋体"/>
          <w:sz w:val="21"/>
        </w:rPr>
        <w:t>作者: Michael G. Novak, Rüdiger Röttgers</w:t>
        <w:br/>
      </w:r>
      <w:r>
        <w:rPr>
          <w:rFonts w:ascii="Times New Roman" w:hAnsi="Times New Roman" w:eastAsia="宋体"/>
          <w:sz w:val="21"/>
        </w:rPr>
        <w:t xml:space="preserve">时间: 2026-02-06 | </w:t>
      </w:r>
      <w:r>
        <w:t xml:space="preserve">链接: </w:t>
      </w:r>
      <w:hyperlink r:id="rId40">
        <w:r>
          <w:rPr>
            <w:rFonts w:ascii="Times New Roman" w:hAnsi="Times New Roman" w:eastAsia="宋体"/>
            <w:color w:val="0000FF"/>
            <w:sz w:val="21"/>
            <w:u w:val="single"/>
          </w:rPr>
          <w:t>https://doi.org/10.1364/oe.579542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然水域中光后向散射的准确表征对于解释遥感反射率和反演海洋生物地球化学特性至关重要。虽然光吸收已被广泛测量，但由于仪器的限制，解决颗粒光反向散射的精细光谱变化仍然具有挑战性。在这里，我们展示了新开发的 HyFi-bb 仪器在波罗的海和德国湾的野外活动期间进行的高光谱反向散射测量。高光谱分辨率（∼2 nm，350–850 nm）揭示了独特的生物光学特征，包括颜料特异性特征和颜料吸收带附近的异常色散，这些在多光谱测量中无法解决。跨区域比较表明，以成矿颗粒为主的德国湾的后向散射比高于浮游植物丰富的波罗的海水域，后向散射比的光谱斜率反映了底层颗粒的组成。研究发现，&lt;0.2 µm 颗粒的贡献很小，这表明它们在沿海水域总后向散射中的作用有限。我们的结果表明，高光谱反向散射为光学变异性的生物地球化学驱动因素提供了新的见解。</w:t>
      </w:r>
    </w:p>
    <w:p>
      <w:pPr>
        <w:spacing w:before="120"/>
      </w:pPr>
      <w:r>
        <w:rPr>
          <w:rFonts w:ascii="Times New Roman" w:hAnsi="Times New Roman" w:eastAsia="宋体"/>
          <w:b/>
          <w:sz w:val="21"/>
        </w:rPr>
        <w:t>English Abstract:</w:t>
      </w:r>
    </w:p>
    <w:p>
      <w:r>
        <w:rPr>
          <w:rFonts w:ascii="Times New Roman" w:hAnsi="Times New Roman" w:eastAsia="宋体"/>
          <w:sz w:val="21"/>
        </w:rPr>
        <w:t>Accurate characterization of light backscattering in natural waters is critical for interpreting remote sensing reflectance and retrieving marine biogeochemical properties. While light absorption has been extensively measured, resolving fine-scale spectral variability in particulate light backscattering has remained challenging due to instrumental limitations. Here, we present hyperspectral backscattering measurements from the newly developed HyFi-bb instrument during field campaigns in the Baltic Sea and German Bight. The high spectral resolution (∼2 nm, 350–850 nm) reveals distinct bio-optical features, including pigment-specific signatures and anomalous dispersion near the pigment absorption bands, which are not resolved in multispectral measurements. Comparisons across regions show that backscattering ratios are higher in the minerogenic particle–dominated German Bight than in phytoplankton-rich Baltic waters, with spectral slopes of the backscattering ratios reflecting underlying particle composition. Contributions from particles &lt;0.2 µm were found to be minor, suggesting their limited role in total backscattering in coastal waters. Our results demonstrate that hyperspectral backscattering provides new insights into the biogeochemical drivers of optical variability.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激光二极管耦合腔系统中的双模自注入锁定</w:t>
      </w:r>
    </w:p>
    <w:p>
      <w:r>
        <w:rPr>
          <w:rFonts w:ascii="Times New Roman" w:hAnsi="Times New Roman" w:eastAsia="宋体"/>
          <w:b/>
          <w:color w:val="003264"/>
          <w:sz w:val="24"/>
        </w:rPr>
        <w:t>Dual-mode self-injection locking in a laser diode-coupled-cavity system</w:t>
      </w:r>
    </w:p>
    <w:p>
      <w:r>
        <w:rPr>
          <w:rFonts w:ascii="Times New Roman" w:hAnsi="Times New Roman" w:eastAsia="宋体"/>
          <w:sz w:val="21"/>
        </w:rPr>
        <w:t>作者: Wen-Qi Shi, Kai-Rong Chen, Zun-Hao Hu, Jin-Long Xiao, You-Ling Chen, Yong-Zhen Huang, Yue-De Yang</w:t>
        <w:br/>
      </w:r>
      <w:r>
        <w:rPr>
          <w:rFonts w:ascii="Times New Roman" w:hAnsi="Times New Roman" w:eastAsia="宋体"/>
          <w:sz w:val="21"/>
        </w:rPr>
        <w:t xml:space="preserve">时间: 2026-01-28 | </w:t>
      </w:r>
      <w:r>
        <w:t xml:space="preserve">链接: </w:t>
      </w:r>
      <w:hyperlink r:id="rId41">
        <w:r>
          <w:rPr>
            <w:rFonts w:ascii="Times New Roman" w:hAnsi="Times New Roman" w:eastAsia="宋体"/>
            <w:color w:val="0000FF"/>
            <w:sz w:val="21"/>
            <w:u w:val="single"/>
          </w:rPr>
          <w:t>https://doi.org/10.1364/oe.575815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自注入锁定的稳定窄线宽激光源和孤子微梳推动了从计量到天文学应用的革命性进步。最近，耦合腔在光学频率梳生成中显示出至关重要的意义，特别是在实现高转换效率和实现超宽带孤子微梳的形成方面。在这项工作中，我们开发了一种研究具有瑞利反向散射的激光二极管耦合腔系统中的自注入锁定的方法。我们推导了一组速率方程来描述系统，获得了有效失谐的解析表达式，并分析了耦合腔的临界耦合条件和锁定范围。分析和数值模拟结果表明，当耦合腔结构引起模式分裂时，自注入锁定系统表现出双模锁定行为。此外，辅助腔向耦合腔引入了额外的相位和损耗，并且谐振分裂的物理解释源于泵失谐对附加相位的相位平衡效应。另一方面，通过调节波导与主腔之间的耦合强度，可以有效补偿辅助腔引入的损耗。因此，我们还推导了此类激光二极管耦合腔系统中临界耦合系数的解析表达式。该方法可以扩展到研究多耦合腔系统中的自注入锁定，并为实现稳定的多频窄线宽激光源和高效宽带孤子微梳提供理论基础。</w:t>
      </w:r>
    </w:p>
    <w:p>
      <w:pPr>
        <w:spacing w:before="120"/>
      </w:pPr>
      <w:r>
        <w:rPr>
          <w:rFonts w:ascii="Times New Roman" w:hAnsi="Times New Roman" w:eastAsia="宋体"/>
          <w:b/>
          <w:sz w:val="21"/>
        </w:rPr>
        <w:t>English Abstract:</w:t>
      </w:r>
    </w:p>
    <w:p>
      <w:r>
        <w:rPr>
          <w:rFonts w:ascii="Times New Roman" w:hAnsi="Times New Roman" w:eastAsia="宋体"/>
          <w:sz w:val="21"/>
        </w:rPr>
        <w:t>Stabilized narrow-linewidth laser sources and soliton microcombs based on self-injection locking have driven revolutionary advancements from metrological to astronomical applications. Recently, coupled cavities have shown critical significance in optical frequency comb generation, particularly in achieving high conversion efficiency and enabling the formation of ultra-broadband soliton microcombs. In this work, we have developed a methodology for investigating self-injection locking in a laser diode-coupled-cavity system with Rayleigh backscattering. We have derived a set of rate equations to describe the system, obtained the analytical expression for effective detuning, and analyzed the critical coupling conditions and locking range for the coupled cavities. The analytical and numerical simulation results demonstrate that when the coupled-cavity structures induce mode splitting, the self-injection locking system exhibits dual-mode locking behavior. Furthermore, the auxiliary cavity introduces additional phase and losses to the coupled cavity, and the physical explanation for resonance splitting arises from the phase-balancing effect of pump detuning on the additional phase. On the other hand, the losses introduced by the auxiliary cavity can be effectively compensated by tuning the coupling strength between the waveguide and the main cavity. Therefore, we have also derived an analytical expression for the critical coupling coefficient in such laser diode-coupled-cavity systems. The proposed method can be extended to investigate self-injection locking in multi-coupled-cavity systems and provides a theoretical foundation for the realization of stabilized multi-frequency narrow-linewidth laser sources and high-efficiency, broadband soliton microcombs.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基于碳化硅散热器的连续波 600 W Yb:Y 2 O 3 陶瓷薄盘激光器</w:t>
      </w:r>
    </w:p>
    <w:p>
      <w:r>
        <w:rPr>
          <w:rFonts w:ascii="Times New Roman" w:hAnsi="Times New Roman" w:eastAsia="宋体"/>
          <w:b/>
          <w:color w:val="003264"/>
          <w:sz w:val="24"/>
        </w:rPr>
        <w:t>Continuous-wave 600 W Yb:Y 2 O 3 ceramic thin-disk laser based on a silicon carbide heat sink</w:t>
      </w:r>
    </w:p>
    <w:p>
      <w:r>
        <w:rPr>
          <w:rFonts w:ascii="Times New Roman" w:hAnsi="Times New Roman" w:eastAsia="宋体"/>
          <w:sz w:val="21"/>
        </w:rPr>
        <w:t>作者: Dongliang Xing, Jie Ma, Jun Wang, Naijie Zhang, Xiaohui Zhao, Wenlan Gao, Jian Zhang, Zhan Sui, Deyuan Shen, Dingyuan Tang</w:t>
        <w:br/>
      </w:r>
      <w:r>
        <w:rPr>
          <w:rFonts w:ascii="Times New Roman" w:hAnsi="Times New Roman" w:eastAsia="宋体"/>
          <w:sz w:val="21"/>
        </w:rPr>
        <w:t xml:space="preserve">时间: 2026-01-23 | </w:t>
      </w:r>
      <w:r>
        <w:t xml:space="preserve">链接: </w:t>
      </w:r>
      <w:hyperlink r:id="rId42">
        <w:r>
          <w:rPr>
            <w:rFonts w:ascii="Times New Roman" w:hAnsi="Times New Roman" w:eastAsia="宋体"/>
            <w:color w:val="0000FF"/>
            <w:sz w:val="21"/>
            <w:u w:val="single"/>
          </w:rPr>
          <w:t>https://doi.org/10.1364/oe.587571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我们报告了一种带有单晶碳化硅（SiC）散热器的连续波高功率 Yb:Y 2 O 3 透明陶瓷薄盘激光器。该薄盘激光器以 976 nm 泵浦，在 1031.7 nm 处提供 600 W 的最大输出功率，光光效率为 60.5%。据我们所知，这项工作首次实现了采用 SiC 衬底的数百瓦 Yb:Y 2 O 3 陶瓷薄盘激光器。所取得的结果验证了将 Yb:三氧化物陶瓷与 SiC 散热器集成用于高功率薄盘激光器操作的潜力。</w:t>
      </w:r>
    </w:p>
    <w:p>
      <w:pPr>
        <w:spacing w:before="120"/>
      </w:pPr>
      <w:r>
        <w:rPr>
          <w:rFonts w:ascii="Times New Roman" w:hAnsi="Times New Roman" w:eastAsia="宋体"/>
          <w:b/>
          <w:sz w:val="21"/>
        </w:rPr>
        <w:t>English Abstract:</w:t>
      </w:r>
    </w:p>
    <w:p>
      <w:r>
        <w:rPr>
          <w:rFonts w:ascii="Times New Roman" w:hAnsi="Times New Roman" w:eastAsia="宋体"/>
          <w:sz w:val="21"/>
        </w:rPr>
        <w:t>We report a continuous-wave high-power Yb:Y 2 O 3 transparent ceramics thin-disk laser with a single-crystal silicon carbide (SiC) heat sink. Pumped at 976 nm, the thin-disk laser delivered a maximum output power of 600 W at 1031.7 nm with an optical-to-optical efficiency of 60.5%. To the best of our knowledge, this work reports the first realization of a multi-hundred-watt Yb:Y 2 O 3 ceramic thin-disk laser employing a SiC substrate. The achieved results validate the potential of integrating Yb:sesquioxide ceramics with SiC heat sinks for high-power thin-disk laser operation.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用于人造指腹皮肤触觉感知的时间深层神经网络</w:t>
      </w:r>
    </w:p>
    <w:p>
      <w:r>
        <w:rPr>
          <w:rFonts w:ascii="Times New Roman" w:hAnsi="Times New Roman" w:eastAsia="宋体"/>
          <w:b/>
          <w:color w:val="003264"/>
          <w:sz w:val="24"/>
        </w:rPr>
        <w:t>Temporal deep neural network for tactile sensing in artificial finger pulp skin</w:t>
      </w:r>
    </w:p>
    <w:p>
      <w:r>
        <w:rPr>
          <w:rFonts w:ascii="Times New Roman" w:hAnsi="Times New Roman" w:eastAsia="宋体"/>
          <w:sz w:val="21"/>
        </w:rPr>
        <w:t>作者: Zhiyuan Xu, Hongye Wang, Youxing Li, Taolue Yang, Donghui Wang, Hongwei Li, Libo Yuan</w:t>
        <w:br/>
      </w:r>
      <w:r>
        <w:rPr>
          <w:rFonts w:ascii="Times New Roman" w:hAnsi="Times New Roman" w:eastAsia="宋体"/>
          <w:sz w:val="21"/>
        </w:rPr>
        <w:t xml:space="preserve">时间: 2026-01-26 | </w:t>
      </w:r>
      <w:r>
        <w:t xml:space="preserve">链接: </w:t>
      </w:r>
      <w:hyperlink r:id="rId43">
        <w:r>
          <w:rPr>
            <w:rFonts w:ascii="Times New Roman" w:hAnsi="Times New Roman" w:eastAsia="宋体"/>
            <w:color w:val="0000FF"/>
            <w:sz w:val="21"/>
            <w:u w:val="single"/>
          </w:rPr>
          <w:t>https://doi.org/10.1364/oe.584154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触觉感知在人造指腹皮肤中起着至关重要的作用，特别是在负责抓握和触摸任务的区域，精确感知变形位置和施加的力至关重要。传统的解调方法往往无法充分利用按压过程中数据的时间相关性，从而限制了触觉解调的准确性。为了解决这个问题，我们提出了一种基于集成到人造指腹皮肤中的准分布式光纤布拉格光栅（FBG）的触觉传感系统，以及两级混合 LSTM-Transformer 神经网络（TSH-LTNN）来共同重建按压位置和力量。该网络通过在三个连续时间步长上构建可能的数据变化来训练时间解调模型，其中 LSTM 捕获短期连续性，Transformer 提取长期依赖性，自适应融合模块集成它们的互补特征。实验结果表明，所提出的模型优于现有方法。在 0–30 mm 压力范围和 0–14.71 N 力范围内，位置预测的平均绝对误差 (MAE) 为 0.2331 mm (R 2 = 0.9971)，力预测的平均绝对误差 (MAE) 为 0.303 N (R 2 = 0.9829)。与随机森林模型相比，TSH-LTNN 的位置 R 2 提高了 2.34%，MAE 降低了 66.06%。对于力预测，R 2 提高了 2.48%，MAE 降低了 31.94%。这些结果证实了所提出的系统提供了精确、稳定和实时的压力状态解调，在高精度触觉反馈应用中具有强大的潜力。</w:t>
      </w:r>
    </w:p>
    <w:p>
      <w:pPr>
        <w:spacing w:before="120"/>
      </w:pPr>
      <w:r>
        <w:rPr>
          <w:rFonts w:ascii="Times New Roman" w:hAnsi="Times New Roman" w:eastAsia="宋体"/>
          <w:b/>
          <w:sz w:val="21"/>
        </w:rPr>
        <w:t>English Abstract:</w:t>
      </w:r>
    </w:p>
    <w:p>
      <w:r>
        <w:rPr>
          <w:rFonts w:ascii="Times New Roman" w:hAnsi="Times New Roman" w:eastAsia="宋体"/>
          <w:sz w:val="21"/>
        </w:rPr>
        <w:t>Tactile perception plays a vital role in artificial finger pulp skin, especially in regions responsible for grasping and touching tasks, where precise sensing of deformation position and applied force is critical. Conventional demodulation methods often fail to fully leverage temporal correlations in data during the pressing process, limiting the accuracy of tactile demodulation. To address this, we propose a tactile sensing system based on quasi-distributed Fiber Bragg Gratings (FBGs) integrated into artificial finger pulp skin, along with a two-stage hybrid LSTM–Transformer neural network (TSH-LTNN) to jointly reconstruct pressing position and force. The network trains a temporal demodulation model by constructing possible data variations over three consecutive time steps, where the LSTM captures short-term continuity, the Transformer extracts long-range dependencies, and an adaptive fusion module integrates their complementary features. Experimental results show that the proposed model outperforms existing methods. In the 0–30 mm pressing range and 0–14.71 N force range, the mean absolute error (MAE) for position prediction is 0.2331 mm (R 2 = 0.9971), and for force prediction, it is 0.303 N (R 2 = 0.9829). Compared to the Random Forest model, the TSH-LTNN achieves a 2.34% improvement in position R 2 and a 66.06% reduction in MAE. For force prediction, it demonstrates a 2.48% improvement in R 2 and a 31.94% reduction in MAE. These results confirm that the proposed system offers precise, stable, and real-time pressure-state demodulation, with strong potential for high-precision haptic feedback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基于超紧凑和宽带任意模式到单模式功率分配器的架构，可实现灵活的片上模式转换和路由</w:t>
      </w:r>
    </w:p>
    <w:p>
      <w:r>
        <w:rPr>
          <w:rFonts w:ascii="Times New Roman" w:hAnsi="Times New Roman" w:eastAsia="宋体"/>
          <w:b/>
          <w:color w:val="003264"/>
          <w:sz w:val="24"/>
        </w:rPr>
        <w:t>Ultra-compact and broadband arbitrary-to-single-mode power divider-based architecture for flexible on-chip mode conversion and routing</w:t>
      </w:r>
    </w:p>
    <w:p>
      <w:r>
        <w:rPr>
          <w:rFonts w:ascii="Times New Roman" w:hAnsi="Times New Roman" w:eastAsia="宋体"/>
          <w:sz w:val="21"/>
        </w:rPr>
        <w:t>作者: Lei Zhang, Jun Feng, Zhenzhao Guo, Chen Zhang, Jinbiao Xiao, X. Steve Yao, Shengbao Wu</w:t>
        <w:br/>
      </w:r>
      <w:r>
        <w:rPr>
          <w:rFonts w:ascii="Times New Roman" w:hAnsi="Times New Roman" w:eastAsia="宋体"/>
          <w:sz w:val="21"/>
        </w:rPr>
        <w:t xml:space="preserve">时间: 2026-01-26 | </w:t>
      </w:r>
      <w:r>
        <w:t xml:space="preserve">链接: </w:t>
      </w:r>
      <w:hyperlink r:id="rId44">
        <w:r>
          <w:rPr>
            <w:rFonts w:ascii="Times New Roman" w:hAnsi="Times New Roman" w:eastAsia="宋体"/>
            <w:color w:val="0000FF"/>
            <w:sz w:val="21"/>
            <w:u w:val="single"/>
          </w:rPr>
          <w:t>https://doi.org/10.1364/oe.585950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我们提出了一种基于任意到单模功率分配器（ASPD）的多功能片上模式操纵架构，可在多模光子系统中实现灵活的模式转换和路由。该架构由两个反向级联的 ASPD 单元组成，以类似马赫-曾德尔干涉仪的配置排列，利用移相器和模式路由器等标准单模组件来实现高度灵活的多模操作。这种方法具有两个关键优势：仅基于 ASPD 单元和标准单模组件的紧凑、可扩展设计，以及将高阶模式直接分解为基本模式，从而简化布线并消除对复杂多模元件的需求。作为概念验证，使用通过智能算法优化的亚波长光栅结构设计了几种超紧凑 ASPD。对于常用的低阶模式 (TE 0 –TE 3 )，这些器件的封装尺寸低于 9.5 µm，并在 300 nm 带宽 (1400–1700nm) 范围内保持超额损耗 (EL) 低于 0.35 dB。值得注意的是，TE 0 /TE 1 ASPD 在创纪录的 500 nm 范围 (1300–1800nm) 内实现了 &lt; 0.15 dB EL。基于这些 ASPD，我们通过实验证明了灵活的模式转换和切换，证实了它们对于多模式信号控制的有效性。此外，数值结果表明，该方案可以扩展到高阶模式（TE 4 –TE 7 ），同时保持优异的性能和紧凑的占位面积（8 µm），并且可以与标准单模交叉相结合以实现灵活的多模互连。这些结果验证了所提出的基于 ASPD 的平台的可行性和可扩展性，为可重构多模光子集成电路提供了一条有前途的途径。</w:t>
      </w:r>
    </w:p>
    <w:p>
      <w:pPr>
        <w:spacing w:before="120"/>
      </w:pPr>
      <w:r>
        <w:rPr>
          <w:rFonts w:ascii="Times New Roman" w:hAnsi="Times New Roman" w:eastAsia="宋体"/>
          <w:b/>
          <w:sz w:val="21"/>
        </w:rPr>
        <w:t>English Abstract:</w:t>
      </w:r>
    </w:p>
    <w:p>
      <w:r>
        <w:rPr>
          <w:rFonts w:ascii="Times New Roman" w:hAnsi="Times New Roman" w:eastAsia="宋体"/>
          <w:sz w:val="21"/>
        </w:rPr>
        <w:t>We propose a versatile on-chip mode manipulation architecture based on arbitrary-to-single-mode power dividers (ASPDs), enabling flexible mode conversion and routing in multimode photonic systems. The architecture comprises two oppositely cascaded ASPD units arranged in a Mach–Zehnder–interferometer-like configuration, leveraging standard single-mode components such as phase shifters and mode routers to achieve highly flexible multimode manipulation. This approach offers two key advantages: a compact, scalable design based solely on ASPD units and standard single-mode components, and direct decomposition of higher-order modes into the fundamental mode, simplifying routing and removing the need for complex multimode elements. As a proof of concept, several ultra-compact ASPDs were designed using subwavelength grating structures optimized via intelligent algorithms. For commonly used low-order modes (TE 0 –TE 3 ), the devices exhibit footprints below 9.5 µm and maintain excess losses (ELs) below 0.35 dB across a 300 nm bandwidth (1400–1700nm). Notably, TE 0 /TE 1 ASPDs achieve ELs &lt; 0.15 dB over a record-wide 500 nm range (1300–1800nm). Based on these ASPDs, we experimentally demonstrate flexible mode conversion and switching, confirming their effectiveness for multimode signal control. Furthermore, numerical results show that the scheme can be extended to higher-order modes (TE 4 –TE 7 ) while maintaining excellent performance and compact footprints (8 µm), and can be combined with standard single-mode crossings for flexible multimode interconnections. These results validate the feasibility and scalability of the proposed ASPD-based platform, offering a promising route toward reconfigurable multimode photonic integrated circuits.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用于紧凑型量子传感器的焦点和景深可调检测系统</w:t>
      </w:r>
    </w:p>
    <w:p>
      <w:r>
        <w:rPr>
          <w:rFonts w:ascii="Times New Roman" w:hAnsi="Times New Roman" w:eastAsia="宋体"/>
          <w:b/>
          <w:color w:val="003264"/>
          <w:sz w:val="24"/>
        </w:rPr>
        <w:t>Focus and depth of field tunable detection system for compact quantum sensors</w:t>
      </w:r>
    </w:p>
    <w:p>
      <w:r>
        <w:rPr>
          <w:rFonts w:ascii="Times New Roman" w:hAnsi="Times New Roman" w:eastAsia="宋体"/>
          <w:sz w:val="21"/>
        </w:rPr>
        <w:t>作者: Kai Frye-Arndt, Arne Wacker, Patrick Brunssen, Til Dralle, Holger Ahlers, Waldemar Herr, Ernst Rasel, Christian Schubert</w:t>
        <w:br/>
      </w:r>
      <w:r>
        <w:rPr>
          <w:rFonts w:ascii="Times New Roman" w:hAnsi="Times New Roman" w:eastAsia="宋体"/>
          <w:sz w:val="21"/>
        </w:rPr>
        <w:t xml:space="preserve">时间: 2026-01-26 | </w:t>
      </w:r>
      <w:r>
        <w:t xml:space="preserve">链接: </w:t>
      </w:r>
      <w:hyperlink r:id="rId45">
        <w:r>
          <w:rPr>
            <w:rFonts w:ascii="Times New Roman" w:hAnsi="Times New Roman" w:eastAsia="宋体"/>
            <w:color w:val="0000FF"/>
            <w:sz w:val="21"/>
            <w:u w:val="single"/>
          </w:rPr>
          <w:t>https://doi.org/10.1364/oe.582238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吸收成像是一种确定原子系综的原子数和空间分布的成熟方法，传统上仅限于单个焦平面和固定景深。然而，随着原子光学实验变得越来越复杂，原子云可能会超出景深或离开焦平面，如大型原子阵列或气泡玻色-爱因斯坦凝聚体 (BEC) 中所见。在这里，我们提出了一种吸收成像系统，可以将 88.9 mm 的物距调整 ±5 mm，并将景深从 26 µm 调整到 203 µm。我们确定与原子实验相关的性能指标，例如分辨率和光学畸变。</w:t>
      </w:r>
    </w:p>
    <w:p>
      <w:pPr>
        <w:spacing w:before="120"/>
      </w:pPr>
      <w:r>
        <w:rPr>
          <w:rFonts w:ascii="Times New Roman" w:hAnsi="Times New Roman" w:eastAsia="宋体"/>
          <w:b/>
          <w:sz w:val="21"/>
        </w:rPr>
        <w:t>English Abstract:</w:t>
      </w:r>
    </w:p>
    <w:p>
      <w:r>
        <w:rPr>
          <w:rFonts w:ascii="Times New Roman" w:hAnsi="Times New Roman" w:eastAsia="宋体"/>
          <w:sz w:val="21"/>
        </w:rPr>
        <w:t>Absorption imaging is a well-established method for determining both the atom number and spatial distribution of atomic ensembles, traditionally limited to a single focal plane and a fixed depth of field. However, as atom optics experiments grow more complex, atomic clouds can exceed the depth of field or leave the focal plane, as seen in large atomic arrays or bubble Bose-Einstein condensates (BECs). Here, we present an absorption imaging system that allows for tuning the object distance of 88.9 mm by ±5 mm and the depth of field from 26 µm to 203 µm. We determine performance metrics relevant for atomic experiments, such as the resolution and the optical distortion.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基于链嵌入掩码的高安全性浮动概率加密方法</w:t>
      </w:r>
    </w:p>
    <w:p>
      <w:r>
        <w:rPr>
          <w:rFonts w:ascii="Times New Roman" w:hAnsi="Times New Roman" w:eastAsia="宋体"/>
          <w:b/>
          <w:color w:val="003264"/>
          <w:sz w:val="24"/>
        </w:rPr>
        <w:t>High-security floating probabilistic encryption methods based on chain-embedded masking</w:t>
      </w:r>
    </w:p>
    <w:p>
      <w:r>
        <w:rPr>
          <w:rFonts w:ascii="Times New Roman" w:hAnsi="Times New Roman" w:eastAsia="宋体"/>
          <w:sz w:val="21"/>
        </w:rPr>
        <w:t>作者: Haisu Qian, Bo Liu, Jianxin Ren, Yaya Mao, Shuaidong Chen, Jianye Zhao, Xiumin Song, Lei Zhu, Qinghua Tian, Rahat Ullah, Dongxu Zhu, Weiming Chen, Jiyuan Wang</w:t>
        <w:br/>
      </w:r>
      <w:r>
        <w:rPr>
          <w:rFonts w:ascii="Times New Roman" w:hAnsi="Times New Roman" w:eastAsia="宋体"/>
          <w:sz w:val="21"/>
        </w:rPr>
        <w:t xml:space="preserve">时间: 2026-01-28 | </w:t>
      </w:r>
      <w:r>
        <w:t xml:space="preserve">链接: </w:t>
      </w:r>
      <w:hyperlink r:id="rId49">
        <w:r>
          <w:rPr>
            <w:rFonts w:ascii="Times New Roman" w:hAnsi="Times New Roman" w:eastAsia="宋体"/>
            <w:color w:val="0000FF"/>
            <w:sz w:val="21"/>
            <w:u w:val="single"/>
          </w:rPr>
          <w:t>https://doi.org/10.1364/oe.584530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光接入网络对传输性能和安全性的要求不断提高，提出一种基于链式嵌入掩码的高安全性浮动概率加密方法。这种链式结构的星座点以链状图案分布在同心圆上。核心六边形由原点周围第一层上的点形成。然后使用外部三角形将第二层扩展为星形结构，而其余点则固定在最外层的环中。它有效降低了平均传输功率和峰值功率，同时保持最小欧几里德距离为1，从而使星座品质因数（CFM）值为0.444。基于该结构，进一步提出了浮动链嵌入加密方案。采用洛伦兹混沌模型根据“0保持、1移动一步、2移动两步”规则生成动态扰动链状结构内外环星座点位置的序列。在七芯光纤传输系统上进行了实验验证。结果表明，在误码率为 3.8 × 10 -3 时，所提出的分层三角失真六边形 (HTDH) 16 正交幅度调制 (16QAM) 星座与传统 16QAM 相比，接收器灵敏度提高了 0.48 dB。与未加密信号相比，加密信号的灵敏度额外提高了 0.33 dB。这表明该加密机制不仅增强了安全性，而且与星座的能量集中特性相协同，最终实现传输安全性和系统灵敏度的协同优化。</w:t>
      </w:r>
    </w:p>
    <w:p>
      <w:pPr>
        <w:spacing w:before="120"/>
      </w:pPr>
      <w:r>
        <w:rPr>
          <w:rFonts w:ascii="Times New Roman" w:hAnsi="Times New Roman" w:eastAsia="宋体"/>
          <w:b/>
          <w:sz w:val="21"/>
        </w:rPr>
        <w:t>English Abstract:</w:t>
      </w:r>
    </w:p>
    <w:p>
      <w:r>
        <w:rPr>
          <w:rFonts w:ascii="Times New Roman" w:hAnsi="Times New Roman" w:eastAsia="宋体"/>
          <w:sz w:val="21"/>
        </w:rPr>
        <w:t>With the increasing demands for transmission performance and security in optical access networks, this paper proposes a high-security floating probabilistic encryption method based on chain-embedded masking. The constellation points of this chained structure are distributed in a chain-like pattern across concentric circles. A core hexagon is formed by the points on the first layer around the origin. The second layer is then expanded into a star-shaped structure using external triangles, while the remaining points are fixed in the outermost ring. It effectively reduces both the average transmission power and the peak power while maintaining a minimum Euclidean distance of 1, resulting in a constellation figure of merit (CFM) value of 0.444. Based on this structure, a floating chain-embedded encryption scheme is further proposed. A Lorenz chaotic model is employed to generate sequences that dynamically perturb the positions of the outer-ring constellation points within the chain-like structure according to a “0-hold, 1-shift one step, 2-shift two steps” rule. Experimental validation was performed on a seven-core fiber transmission system. The results demonstrate that at a bit error rate of 3.8 × 10 −3 , the proposed Hierarchical Triangular-Distorted Hexagonal (HTDH) 16 Quadrature Amplitude Modulation (16QAM) constellation achieves a 0.48 dB improvement in receiver sensitivity compared with conventional 16QAM. The encrypted signals exhibit an additional 0.33 dB sensitivity enhancement over unencrypted signals. This indicates that the encryption mechanism not only enhances security but also synergizes with the energy concentration characteristics of the constellation, ultimately achieving co-optimization of transmission security and system sensitivity.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Science &amp; Applications</w:t>
      </w:r>
    </w:p>
    <w:p>
      <w:pPr>
        <w:jc w:val="center"/>
      </w:pPr>
      <w:r>
        <w:t>--- 更新: 06:30 ---</w:t>
      </w:r>
    </w:p>
    <w:p>
      <w:pPr>
        <w:pStyle w:val="Heading2"/>
      </w:pPr>
      <w:r/>
      <w:r>
        <w:rPr>
          <w:rFonts w:ascii="Times New Roman" w:hAnsi="Times New Roman" w:eastAsia="宋体"/>
          <w:b/>
          <w:color w:val="000000"/>
          <w:sz w:val="24"/>
        </w:rPr>
        <w:t>量子极限的场镜检查</w:t>
      </w:r>
    </w:p>
    <w:p>
      <w:r>
        <w:rPr>
          <w:rFonts w:ascii="Times New Roman" w:hAnsi="Times New Roman" w:eastAsia="宋体"/>
          <w:b/>
          <w:color w:val="003264"/>
          <w:sz w:val="24"/>
        </w:rPr>
        <w:t>Fieldoscopy at the quantum limit</w:t>
      </w:r>
    </w:p>
    <w:p>
      <w:r>
        <w:rPr>
          <w:rFonts w:ascii="Times New Roman" w:hAnsi="Times New Roman" w:eastAsia="宋体"/>
          <w:sz w:val="21"/>
        </w:rPr>
        <w:t>作者: Dmitry A. Zimin, Arjun Ashoka, Florentin Reiter, Akshay Rao</w:t>
        <w:br/>
      </w:r>
      <w:r>
        <w:rPr>
          <w:rFonts w:ascii="Times New Roman" w:hAnsi="Times New Roman" w:eastAsia="宋体"/>
          <w:sz w:val="21"/>
        </w:rPr>
        <w:t xml:space="preserve">时间: 2026-02-09 | </w:t>
      </w:r>
      <w:r>
        <w:t xml:space="preserve">链接: </w:t>
      </w:r>
      <w:hyperlink r:id="rId46">
        <w:r>
          <w:rPr>
            <w:rFonts w:ascii="Times New Roman" w:hAnsi="Times New Roman" w:eastAsia="宋体"/>
            <w:color w:val="0000FF"/>
            <w:sz w:val="21"/>
            <w:u w:val="single"/>
          </w:rPr>
          <w:t>https://doi.org/10.1038/s41377-025-02066-8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摘要：我们展示了一种测量从太赫兹级光子到单光子状态的时变电场瞬变的新概念。我们观察到与我们的蒙特卡洛模型一致的经典制度的明显崩溃。我们达到了前所未有的约焦耳级 (10⁻²⁴ J) 灵敏度和超过 90 分贝的动态范围。我们利用这种能力来测量脉冲内光相干性——这是传统的时间平均光谱无法实现的机制。这为量子信息、密码学和亚周期时间尺度上的量子光与物质相互作用开辟了新的途径，具有阿秒精度。</w:t>
      </w:r>
    </w:p>
    <w:p>
      <w:pPr>
        <w:spacing w:before="120"/>
      </w:pPr>
      <w:r>
        <w:rPr>
          <w:rFonts w:ascii="Times New Roman" w:hAnsi="Times New Roman" w:eastAsia="宋体"/>
          <w:b/>
          <w:sz w:val="21"/>
        </w:rPr>
        <w:t>English Abstract:</w:t>
      </w:r>
    </w:p>
    <w:p>
      <w:r>
        <w:rPr>
          <w:rFonts w:ascii="Times New Roman" w:hAnsi="Times New Roman" w:eastAsia="宋体"/>
          <w:sz w:val="21"/>
        </w:rPr>
        <w:t>Abstract We demonstrate a novel concept for measuring time-varying electric field transients of petahertz-scale photons down to a single-photon regime. We observe a clear breakdown of the classical regime consistent with our Monte Carlo model. We reach unprecedented yoctojoule-level (10⁻²⁴ J) sensitivity and a dynamic range exceeding 90 decibels. We utilize this capability to measure intrapulse light coherence - a regime inaccessible to conventional, time-averaged spectroscopy. This opens new avenues for quantum information, cryptography, and quantum light-matter interactions on sub-cycle time scales with attosecond precision.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非互易光相互作用中异常的冲量-动量关系</w:t>
      </w:r>
    </w:p>
    <w:p>
      <w:r>
        <w:rPr>
          <w:rFonts w:ascii="Times New Roman" w:hAnsi="Times New Roman" w:eastAsia="宋体"/>
          <w:b/>
          <w:color w:val="003264"/>
          <w:sz w:val="24"/>
        </w:rPr>
        <w:t>Unusual impulse-momentum relationship in non-reciprocal light interactions</w:t>
      </w:r>
    </w:p>
    <w:p>
      <w:r>
        <w:rPr>
          <w:rFonts w:ascii="Times New Roman" w:hAnsi="Times New Roman" w:eastAsia="宋体"/>
          <w:sz w:val="21"/>
        </w:rPr>
        <w:t>作者: Yuhui Zhuang, Juan Wu, Siyu Li, Yi Hu, Zhigang Chen, Jingjun Xu</w:t>
        <w:br/>
      </w:r>
      <w:r>
        <w:rPr>
          <w:rFonts w:ascii="Times New Roman" w:hAnsi="Times New Roman" w:eastAsia="宋体"/>
          <w:sz w:val="21"/>
        </w:rPr>
        <w:t xml:space="preserve">时间: 2026-02-09 | </w:t>
      </w:r>
      <w:r>
        <w:t xml:space="preserve">链接: </w:t>
      </w:r>
      <w:hyperlink r:id="rId63">
        <w:r>
          <w:rPr>
            <w:rFonts w:ascii="Times New Roman" w:hAnsi="Times New Roman" w:eastAsia="宋体"/>
            <w:color w:val="0000FF"/>
            <w:sz w:val="21"/>
            <w:u w:val="single"/>
          </w:rPr>
          <w:t>https://doi.org/10.1038/s41377-025-02139-8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非互惠相互作用以作用和反应之间的不对称关系为特征，是生命和人工系统中奇异现象的基础。尽管进行了广泛的研究，但它们在波的非线性相互作用中的研究还很有限。在这项工作中，我们报告了光学孤立波的不寻常的脉冲动量关系，其内部相互作用是不可逆的。相对于施加到其两个分量之一的脉冲，孤立波获得增强的动量或反向的动量。在孤立波未被击穿的情况下，冲量-动量关系被发现是线性的，但其斜率却很不寻常——要么超过1，要么甚至为负。我们的结果可能引发与非互易波相互作用相关的更基本的考虑，这对于设计新颖的非厄米设备非常有用。</w:t>
      </w:r>
    </w:p>
    <w:p>
      <w:pPr>
        <w:spacing w:before="120"/>
      </w:pPr>
      <w:r>
        <w:rPr>
          <w:rFonts w:ascii="Times New Roman" w:hAnsi="Times New Roman" w:eastAsia="宋体"/>
          <w:b/>
          <w:sz w:val="21"/>
        </w:rPr>
        <w:t>English Abstract:</w:t>
      </w:r>
    </w:p>
    <w:p>
      <w:r>
        <w:rPr>
          <w:rFonts w:ascii="Times New Roman" w:hAnsi="Times New Roman" w:eastAsia="宋体"/>
          <w:sz w:val="21"/>
        </w:rPr>
        <w:t>Abstract Non-reciprocal interactions, featured with an asymmetric relation between action and reaction, underpin exotic phenomena across living and artificial systems. Albeit extensively studied, they have been largely underexplored in nonlinear interactions of waves. In this work, we report an unusual impulse-momentum relationship for an optical solitary wave whose internal interactions are non-reciprocal. The solitary wave gains either an enhanced or a reversed momentum relative to an impulse that is applied to one of its two components. In the regime where the solitary wave is not broken down, the impulse-momentum relationship is found to be linear, yet its slope is unusual - either exceeding one or even being negative. Our results may initiate more fundamental considerations related to non-reciprocal wave interactions that are useful for designing novel non-Hermitian devices.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Advanced Manufacturing</w:t>
      </w:r>
    </w:p>
    <w:p>
      <w:pPr>
        <w:jc w:val="center"/>
      </w:pPr>
      <w:r>
        <w:t>--- 更新: 08:27 ---</w:t>
      </w:r>
    </w:p>
    <w:p>
      <w:pPr>
        <w:pStyle w:val="Heading2"/>
      </w:pPr>
      <w:r/>
      <w:r>
        <w:rPr>
          <w:rFonts w:ascii="Times New Roman" w:hAnsi="Times New Roman" w:eastAsia="宋体"/>
          <w:b/>
          <w:color w:val="000000"/>
          <w:sz w:val="24"/>
        </w:rPr>
        <w:t>用于单次全斯托克斯映射的反射式元光栅旋光计：迈向数字组织病理学</w:t>
      </w:r>
    </w:p>
    <w:p>
      <w:r>
        <w:rPr>
          <w:rFonts w:ascii="Times New Roman" w:hAnsi="Times New Roman" w:eastAsia="宋体"/>
          <w:b/>
          <w:color w:val="003264"/>
          <w:sz w:val="24"/>
        </w:rPr>
        <w:t>Reflective metagrating polarimeter for single-shot full stokes mapping: toward digital histopathology</w:t>
      </w:r>
    </w:p>
    <w:p>
      <w:r>
        <w:rPr>
          <w:rFonts w:ascii="Times New Roman" w:hAnsi="Times New Roman" w:eastAsia="宋体"/>
          <w:sz w:val="21"/>
        </w:rPr>
        <w:t>作者: Paul Thrane, Chao Meng, Alexander Bykov, Oleksii Sieryi, Fei Ding, Igor Meglinski, Christopher A. Dirdal, Sergey I. Bozhevolnyi</w:t>
        <w:br/>
      </w:r>
      <w:r>
        <w:rPr>
          <w:rFonts w:ascii="Times New Roman" w:hAnsi="Times New Roman" w:eastAsia="宋体"/>
          <w:sz w:val="21"/>
        </w:rPr>
        <w:t xml:space="preserve">时间: 2026 | </w:t>
      </w:r>
      <w:r>
        <w:t xml:space="preserve">链接: </w:t>
      </w:r>
      <w:hyperlink r:id="rId48">
        <w:r>
          <w:rPr>
            <w:rFonts w:ascii="Times New Roman" w:hAnsi="Times New Roman" w:eastAsia="宋体"/>
            <w:color w:val="0000FF"/>
            <w:sz w:val="21"/>
            <w:u w:val="single"/>
          </w:rPr>
          <w:t>https://doi.org/10.37188/lam.2026.030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用于集成光学衍射器件的石英上支持激光纳米打印的多级纳米级相位编码</w:t>
      </w:r>
    </w:p>
    <w:p>
      <w:r>
        <w:rPr>
          <w:rFonts w:ascii="Times New Roman" w:hAnsi="Times New Roman" w:eastAsia="宋体"/>
          <w:b/>
          <w:color w:val="003264"/>
          <w:sz w:val="24"/>
        </w:rPr>
        <w:t>Laser-nanoprinting-enabled multilevel nanoscale phase encoding on quartz for integrated optical diffractive devices</w:t>
      </w:r>
    </w:p>
    <w:p>
      <w:r>
        <w:rPr>
          <w:rFonts w:ascii="Times New Roman" w:hAnsi="Times New Roman" w:eastAsia="宋体"/>
          <w:sz w:val="21"/>
        </w:rPr>
        <w:t>作者: Haitao Luan, Youtao Xing, Yuchi Bai, Yibo Dong, Min Gu</w:t>
        <w:br/>
      </w:r>
      <w:r>
        <w:rPr>
          <w:rFonts w:ascii="Times New Roman" w:hAnsi="Times New Roman" w:eastAsia="宋体"/>
          <w:sz w:val="21"/>
        </w:rPr>
        <w:t xml:space="preserve">时间: 2026 | </w:t>
      </w:r>
      <w:r>
        <w:t xml:space="preserve">链接: </w:t>
      </w:r>
      <w:hyperlink r:id="rId57">
        <w:r>
          <w:rPr>
            <w:rFonts w:ascii="Times New Roman" w:hAnsi="Times New Roman" w:eastAsia="宋体"/>
            <w:color w:val="0000FF"/>
            <w:sz w:val="21"/>
            <w:u w:val="single"/>
          </w:rPr>
          <w:t>https://doi.org/10.37188/lam.2026.031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亚碲酸盐反谐振空心光纤：制备、中红外飞秒激光传输及其在组织消融中的应用</w:t>
      </w:r>
    </w:p>
    <w:p>
      <w:r>
        <w:rPr>
          <w:rFonts w:ascii="Times New Roman" w:hAnsi="Times New Roman" w:eastAsia="宋体"/>
          <w:b/>
          <w:color w:val="003264"/>
          <w:sz w:val="24"/>
        </w:rPr>
        <w:t>Tellurite anti-resonant hollow-core fiber: fabrication, mid-infrared femtosecond laser transmission, and application in tissue ablation</w:t>
      </w:r>
    </w:p>
    <w:p>
      <w:r>
        <w:rPr>
          <w:rFonts w:ascii="Times New Roman" w:hAnsi="Times New Roman" w:eastAsia="宋体"/>
          <w:sz w:val="21"/>
        </w:rPr>
        <w:t>作者: Jun Zhu, Chengzhen Liu, Ang Deng, Ziqian Zhang, Yanjie Chang, Hao Zhang, Yantao Xu, Xusheng Xiao, Yang Xiao, Zhizhuo Fu, Dunxiang Zhang, Chaoqi Hou, Houkun Liang, Yuxi Fu, Haitao Guo</w:t>
        <w:br/>
      </w:r>
      <w:r>
        <w:rPr>
          <w:rFonts w:ascii="Times New Roman" w:hAnsi="Times New Roman" w:eastAsia="宋体"/>
          <w:sz w:val="21"/>
        </w:rPr>
        <w:t xml:space="preserve">时间: 2026 | </w:t>
      </w:r>
      <w:r>
        <w:t xml:space="preserve">链接: </w:t>
      </w:r>
      <w:hyperlink r:id="rId68">
        <w:r>
          <w:rPr>
            <w:rFonts w:ascii="Times New Roman" w:hAnsi="Times New Roman" w:eastAsia="宋体"/>
            <w:color w:val="0000FF"/>
            <w:sz w:val="21"/>
            <w:u w:val="single"/>
          </w:rPr>
          <w:t>https://doi.org/10.37188/lam.2026.032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Biomedical Optics Express</w:t>
      </w:r>
    </w:p>
    <w:p>
      <w:pPr>
        <w:jc w:val="center"/>
      </w:pPr>
      <w:r>
        <w:t>--- 更新: 08:28 ---</w:t>
      </w:r>
    </w:p>
    <w:p>
      <w:pPr>
        <w:pStyle w:val="Heading2"/>
      </w:pPr>
      <w:r/>
      <w:r>
        <w:rPr>
          <w:rFonts w:ascii="Times New Roman" w:hAnsi="Times New Roman" w:eastAsia="宋体"/>
          <w:b/>
          <w:color w:val="000000"/>
          <w:sz w:val="24"/>
        </w:rPr>
        <w:t>用于评估药物-细胞相互作用的高光谱相干反斯托克斯拉曼散射体积投影显微镜</w:t>
      </w:r>
    </w:p>
    <w:p>
      <w:r>
        <w:rPr>
          <w:rFonts w:ascii="Times New Roman" w:hAnsi="Times New Roman" w:eastAsia="宋体"/>
          <w:b/>
          <w:color w:val="003264"/>
          <w:sz w:val="24"/>
        </w:rPr>
        <w:t>Hyperspectral coherent anti-Stokes Raman scattering volumetric projection microscopy for assessing drug–cell interaction</w:t>
      </w:r>
    </w:p>
    <w:p>
      <w:r>
        <w:rPr>
          <w:rFonts w:ascii="Times New Roman" w:hAnsi="Times New Roman" w:eastAsia="宋体"/>
          <w:sz w:val="21"/>
        </w:rPr>
        <w:t>作者: Chao Zhang, Yanping Li, Qianglong Yang, Ye Fang, Guangbo Zhang, Sisi Zhou, Rui Hu, Junle Qu, Liwei Liu</w:t>
        <w:br/>
      </w:r>
      <w:r>
        <w:rPr>
          <w:rFonts w:ascii="Times New Roman" w:hAnsi="Times New Roman" w:eastAsia="宋体"/>
          <w:sz w:val="21"/>
        </w:rPr>
        <w:t xml:space="preserve">时间: 2026-01-23 | </w:t>
      </w:r>
      <w:r>
        <w:t xml:space="preserve">链接: </w:t>
      </w:r>
      <w:hyperlink r:id="rId50">
        <w:r>
          <w:rPr>
            <w:rFonts w:ascii="Times New Roman" w:hAnsi="Times New Roman" w:eastAsia="宋体"/>
            <w:color w:val="0000FF"/>
            <w:sz w:val="21"/>
            <w:u w:val="single"/>
          </w:rPr>
          <w:t>https://doi.org/10.1364/boe.584061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脂滴作为反映细胞生理状态的动态细胞器，不仅为细胞生命活动提供必需物质，而且其定量分析对于评价药效至关重要。相干反斯托克斯拉曼散射（CARS）显微镜具有免标记、非侵入性、高灵敏度、亚微米分辨率等成像优势，是药效评估的理想工具。然而，传统的高斯光束激发的CARS显微镜需要长时间聚焦进行3D断层扫描，耗时长，造成明显的光损伤，并且容易改变细胞微环境，影响脂滴比例定量分析的准确性。我们采用双贝塞尔光束激发CARS信号，将景深提高5倍，分辨率提高1.17倍，从而能够通过单次2D扫描获取3D信息和体积拉曼光谱。通过光谱相量分割检测用盐酸阿霉素梯度浓度处理的 HeLa 细胞，发现与药物作用相关的脂滴积累减少，支持脂滴的快速定量可视化和药物-细胞相互作用的研究。</w:t>
      </w:r>
    </w:p>
    <w:p>
      <w:pPr>
        <w:spacing w:before="120"/>
      </w:pPr>
      <w:r>
        <w:rPr>
          <w:rFonts w:ascii="Times New Roman" w:hAnsi="Times New Roman" w:eastAsia="宋体"/>
          <w:b/>
          <w:sz w:val="21"/>
        </w:rPr>
        <w:t>English Abstract:</w:t>
      </w:r>
    </w:p>
    <w:p>
      <w:r>
        <w:rPr>
          <w:rFonts w:ascii="Times New Roman" w:hAnsi="Times New Roman" w:eastAsia="宋体"/>
          <w:sz w:val="21"/>
        </w:rPr>
        <w:t>As dynamic organelles reflecting cellular physiological states, lipid droplets not only provide essential substances for cellular life activities, but also their quantitative analysis is crucial for evaluating drug efficacy. Coherent anti-Stokes Raman scattering (CARS) microscopy, with imaging advantages including label-free, non-invasive, high sensitivity, and submicron resolution, is an ideal tool for drug efficacy assessment. However, traditional CARS microscopy excited by Gaussian beams requires prolonged focusing for 3D tomography, which is time-consuming, causes significant photodamage, and easily alters the cellular microenvironment, affecting the accuracy of quantitative analysis of lipid droplet proportion. We adopted dual Bessel beams to excite CARS signals, increasing the depth of field by 5 times and resolution by 1.17 times, enabling 3D information and volumetric Raman spectra acquisition with a single 2D scan. Detecting HeLa cells treated with gradient concentrations of doxorubicin hydrochloride via spectral phasor segmentation revealed reduced lipid droplet accumulation correlated with drug effect, supporting rapid quantitative visualization of lipid droplets and research on drug-cell interactions.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在多发性硬化症小鼠模型中使用三次谐波发生显微镜对体内皮层下白质降解进行无标记跟踪</w:t>
      </w:r>
    </w:p>
    <w:p>
      <w:r>
        <w:rPr>
          <w:rFonts w:ascii="Times New Roman" w:hAnsi="Times New Roman" w:eastAsia="宋体"/>
          <w:b/>
          <w:color w:val="003264"/>
          <w:sz w:val="24"/>
        </w:rPr>
        <w:t>Label-free tracking of subcortical white matter degradation in vivo using third harmonic generation microscopy in a mouse model of multiple sclerosis</w:t>
      </w:r>
    </w:p>
    <w:p>
      <w:r>
        <w:rPr>
          <w:rFonts w:ascii="Times New Roman" w:hAnsi="Times New Roman" w:eastAsia="宋体"/>
          <w:sz w:val="21"/>
        </w:rPr>
        <w:t>作者: Nicole E. Chernavsky, Nuri Hong, Lianne J. Trigiani, Nozomi Nishimura, Chris B. Schaffer</w:t>
        <w:br/>
      </w:r>
      <w:r>
        <w:rPr>
          <w:rFonts w:ascii="Times New Roman" w:hAnsi="Times New Roman" w:eastAsia="宋体"/>
          <w:sz w:val="21"/>
        </w:rPr>
        <w:t xml:space="preserve">时间: 2026-01-29 | </w:t>
      </w:r>
      <w:r>
        <w:t xml:space="preserve">链接: </w:t>
      </w:r>
      <w:hyperlink r:id="rId59">
        <w:r>
          <w:rPr>
            <w:rFonts w:ascii="Times New Roman" w:hAnsi="Times New Roman" w:eastAsia="宋体"/>
            <w:color w:val="0000FF"/>
            <w:sz w:val="21"/>
            <w:u w:val="single"/>
          </w:rPr>
          <w:t>https://doi.org/10.1364/boe.576538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白质 (WM) 中髓磷脂降解的表征对于理解神经变性非常重要。我们使用三次谐波发生 (THG) 显微镜在 1320 nm 激发下，通过完整的皮质，展示了小鼠 WM 中髓磷脂结构的无标记体内成像。多发性硬化症小鼠模型中相同轴突的纵向 THG 成像揭示了髓磷脂起泡的动态。此外，我们测量了 Ranvier 体内节点的结内距离，并根据最亮 THG 信号的空间浓度开发了一种新的髓磷脂结构变化指标。我们还通过与 THG 显微镜并行成像 WM 中的 GFP 标记的小胶质细胞，证明了与三光子激发荧光显微镜的兼容性，从而能够详细跟踪神经退行性疾病模型中的皮层下髓磷脂和其他细胞动力学。</w:t>
      </w:r>
    </w:p>
    <w:p>
      <w:pPr>
        <w:spacing w:before="120"/>
      </w:pPr>
      <w:r>
        <w:rPr>
          <w:rFonts w:ascii="Times New Roman" w:hAnsi="Times New Roman" w:eastAsia="宋体"/>
          <w:b/>
          <w:sz w:val="21"/>
        </w:rPr>
        <w:t>English Abstract:</w:t>
      </w:r>
    </w:p>
    <w:p>
      <w:r>
        <w:rPr>
          <w:rFonts w:ascii="Times New Roman" w:hAnsi="Times New Roman" w:eastAsia="宋体"/>
          <w:sz w:val="21"/>
        </w:rPr>
        <w:t>Characterization of myelin degradation in the white matter (WM) is important for understanding neurodegeneration. We demonstrate label-free in vivo imaging of myelin structure in the WM of mice, through intact cortex, using third harmonic generation (THG) microscopy at 1320-nm excitation. Longitudinal THG imaging of the same axons in the cuprizone mouse model of multiple sclerosis revealed dynamics of myelin blistering. Further, we measured intranodal distance at nodes of Ranvier in vivo and developed a novel metric of myelin structural change based on spatial concentration of the brightest THG signal. We also demonstrated compatibility with three-photon excited fluorescence microscopy by imaging GFP-labeled microglia in the WM in parallel with THG microscopy, thereby enabling detailed tracking of subcortical myelin and other cellular dynamics in neurodegenerative disease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用于软样品同步相位和弹性映射的在线机械振动全息术</w:t>
      </w:r>
    </w:p>
    <w:p>
      <w:r>
        <w:rPr>
          <w:rFonts w:ascii="Times New Roman" w:hAnsi="Times New Roman" w:eastAsia="宋体"/>
          <w:b/>
          <w:color w:val="003264"/>
          <w:sz w:val="24"/>
        </w:rPr>
        <w:t>Inline mechano-vibration holography for simultaneous phase and elasticity mapping of soft samples</w:t>
      </w:r>
    </w:p>
    <w:p>
      <w:r>
        <w:rPr>
          <w:rFonts w:ascii="Times New Roman" w:hAnsi="Times New Roman" w:eastAsia="宋体"/>
          <w:sz w:val="21"/>
        </w:rPr>
        <w:t>作者: Hasan Berkay Abdioglu, Yagmur Isik, Merve Sevgi, Esmahan Caglar, Gokhan Bora Esmer, Huseyin Uvet, Ali Anil Demircali</w:t>
        <w:br/>
      </w:r>
      <w:r>
        <w:rPr>
          <w:rFonts w:ascii="Times New Roman" w:hAnsi="Times New Roman" w:eastAsia="宋体"/>
          <w:sz w:val="21"/>
        </w:rPr>
        <w:t xml:space="preserve">时间: 2026-01-23 | </w:t>
      </w:r>
      <w:r>
        <w:t xml:space="preserve">链接: </w:t>
      </w:r>
      <w:hyperlink r:id="rId60">
        <w:r>
          <w:rPr>
            <w:rFonts w:ascii="Times New Roman" w:hAnsi="Times New Roman" w:eastAsia="宋体"/>
            <w:color w:val="0000FF"/>
            <w:sz w:val="21"/>
            <w:u w:val="single"/>
          </w:rPr>
          <w:t>https://doi.org/10.1364/boe.584264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离轴全息术可以实现单次相位检索，但会减少空间带宽，而内联相移干涉测量法可以保留带宽，但需要参考路径步进，并且对漂移敏感，从而限制了动态测量。此外，粘弹性映射很少能从相同的全息测量中获得。我们提出了振动编码在线马赫-曾德尔全息术，用于同时绘制软样品的厚度和粘弹性图。使用基于贝塞尔的谐波反演和鲁棒回归分析在一个振动周期内获取的十二张全息图，以恢复静态相位、调制深度和相位滞后、屈服厚度以及开尔文-沃伊特存储和损耗模量图（E '，E ''）。模拟在较宽的 E ''/ E ' 范围内将 E ' 和 E '' 恢复到 ~2% 以内，并在 20-45 μm 珠子上实现亚微米厚度误差。校准聚丙烯酰胺珠的实验显示亚微米厚度重复性（40 次重复的中位数~0.57 μm）和刚度估计通常在地面真实值的 10% 以内，我们进一步在贴壁 MCF-7 细胞上证明了该方法。</w:t>
      </w:r>
    </w:p>
    <w:p>
      <w:pPr>
        <w:spacing w:before="120"/>
      </w:pPr>
      <w:r>
        <w:rPr>
          <w:rFonts w:ascii="Times New Roman" w:hAnsi="Times New Roman" w:eastAsia="宋体"/>
          <w:b/>
          <w:sz w:val="21"/>
        </w:rPr>
        <w:t>English Abstract:</w:t>
      </w:r>
    </w:p>
    <w:p>
      <w:r>
        <w:rPr>
          <w:rFonts w:ascii="Times New Roman" w:hAnsi="Times New Roman" w:eastAsia="宋体"/>
          <w:sz w:val="21"/>
        </w:rPr>
        <w:t>Off-axis holography enables single-shot phase retrieval but reduces spatial bandwidth, while in-line phase-shifting interferometry preserves bandwidth yet requires reference-path stepping and is sensitive to drift, limiting dynamic measurements. Moreover, viscoelastic mapping is rarely available from the same holographic measurement. We propose vibration-encoded in-line Mach-Zehnder holography for simultaneous thickness and viscoelasticity mapping of soft samples. Twelve holograms acquired over one vibration cycle are analyzed using Bessel-based harmonic inversion and robust regression to recover the static phase, modulation depth, and phase lag, yielding thickness and Kelvin-Voigt storage and loss modulus maps ( E ′, E ″). Simulations recover E ′ and E ′′ to within ∼2% across a wide E ′′/ E ′ range and achieve sub-micron thickness error over 20-45 μ m beads. Experiments on calibrated polyacrylamide beads show sub-micron thickness repeatability (median ∼0.57 μ m over 40 repeats) and stiffness estimates typically within 10% of ground truth, and we further demonstrate the approach on adherent MCF-7 cells.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Continuum</w:t>
      </w:r>
    </w:p>
    <w:p>
      <w:pPr>
        <w:jc w:val="center"/>
      </w:pPr>
      <w:r>
        <w:t>--- 更新: 08:28 ---</w:t>
      </w:r>
    </w:p>
    <w:p>
      <w:pPr>
        <w:pStyle w:val="Heading2"/>
      </w:pPr>
      <w:r/>
      <w:r>
        <w:rPr>
          <w:rFonts w:ascii="Times New Roman" w:hAnsi="Times New Roman" w:eastAsia="宋体"/>
          <w:b/>
          <w:color w:val="000000"/>
          <w:sz w:val="24"/>
        </w:rPr>
        <w:t>通过近红外快照高光谱成像实时监测蒸散动态</w:t>
      </w:r>
    </w:p>
    <w:p>
      <w:r>
        <w:rPr>
          <w:rFonts w:ascii="Times New Roman" w:hAnsi="Times New Roman" w:eastAsia="宋体"/>
          <w:b/>
          <w:color w:val="003264"/>
          <w:sz w:val="24"/>
        </w:rPr>
        <w:t>Real-time monitoring of evapotranspiration dynamics through snapshot hyperspectral imaging at near-infrared</w:t>
      </w:r>
    </w:p>
    <w:p>
      <w:r>
        <w:rPr>
          <w:rFonts w:ascii="Times New Roman" w:hAnsi="Times New Roman" w:eastAsia="宋体"/>
          <w:sz w:val="21"/>
        </w:rPr>
        <w:t>作者: Desheng Zheng, Roger McNichols, Haimu Cao, Christopher Flynn, Razvan I. Stoian, Jiawei Lu, Bruce C. Kindel, Ethan Gutmann, David Alexander, Tomasz S. Tkaczyk</w:t>
        <w:br/>
      </w:r>
      <w:r>
        <w:rPr>
          <w:rFonts w:ascii="Times New Roman" w:hAnsi="Times New Roman" w:eastAsia="宋体"/>
          <w:sz w:val="21"/>
        </w:rPr>
        <w:t xml:space="preserve">时间: 2026-01-12 | </w:t>
      </w:r>
      <w:r>
        <w:t xml:space="preserve">链接: </w:t>
      </w:r>
      <w:hyperlink r:id="rId51">
        <w:r>
          <w:rPr>
            <w:rFonts w:ascii="Times New Roman" w:hAnsi="Times New Roman" w:eastAsia="宋体"/>
            <w:color w:val="0000FF"/>
            <w:sz w:val="21"/>
            <w:u w:val="single"/>
          </w:rPr>
          <w:t>https://doi.org/10.1364/optcon.580185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监测大气水蒸气动态对于许多大气和水文应用非常重要，从天气预报和农业实践到气候影响和洪水防备。为了提高监测水蒸气动力学的传统方法的时空分辨率，我们开发了一种在近红外范围（跨度 1100 nm 至 1300 nm）运行的快照光谱成像仪。该成像仪采用定制设计的光纤束重新映射和棱镜色散技术。通过覆盖 1140 nm 处的水蒸气敏感波段和 1260 nm 处的水蒸气不敏感波段，我们的系统有望在挑战传统测量技术的许多异质环境中跟踪水蒸气动态。通过细致的光机械设计，当前的加固配置保持便携性，同时保持约 35,000 个位置的自适应空间采样和 20 多个自适应光谱采样通道。实验室测试验证了其灵敏度，能够检测小至 70 微米的可沉淀水蒸气的变化。在各种植被类型上进行的现场实验展示了成像仪的功效，并证明了成像仪监测不同景观中水蒸气的时间和空间波动的能力。水指数变化的实时绘图为大气、环境、农业和太阳能研究等多种应用带来了希望。此处描述的仪器实现的实时测量提供了监测水蒸气的新功能。</w:t>
      </w:r>
    </w:p>
    <w:p>
      <w:pPr>
        <w:spacing w:before="120"/>
      </w:pPr>
      <w:r>
        <w:rPr>
          <w:rFonts w:ascii="Times New Roman" w:hAnsi="Times New Roman" w:eastAsia="宋体"/>
          <w:b/>
          <w:sz w:val="21"/>
        </w:rPr>
        <w:t>English Abstract:</w:t>
      </w:r>
    </w:p>
    <w:p>
      <w:r>
        <w:rPr>
          <w:rFonts w:ascii="Times New Roman" w:hAnsi="Times New Roman" w:eastAsia="宋体"/>
          <w:sz w:val="21"/>
        </w:rPr>
        <w:t>Monitoring atmospheric water vapor dynamics is important for many atmospheric and hydrologic applications, ranging from weather forecasting and agricultural practices to climate impacts and flood preparedness. To improve the spatiotemporal resolution of conventional methods for monitoring water vapor dynamics, we have developed a snapshot spectral imager operating in the near-infrared range, spanning 1100 nm to 1300 nm. This imager utilizes a custom-designed fiber bundle remapping and prism dispersion technique. By covering the vapor-sensitive band at 1140 nm and the water vapor-insensitive shoulder at 1260 nm, our system holds promise for tracking water vapor dynamics across many heterogeneous environments that challenge traditional measurement techniques. Through meticulous optomechanical design, the current ruggedized configuration remains portable while maintaining an adaptive spatial sampling of approximately 35,000 locations and over 20 adaptive spectral sampling channels. Laboratory tests have validated its sensitivity, capable of detecting changes as small as 70 micrometers of precipitable water vapor. Field experiments conducted across various vegetation types have showcased the imager's efficacy and demonstrated the imager's ability to monitor temporal and spatial fluctuations in water vapor across different landscapes. Real-time mapping of water index variations holds promise for diverse applications, including atmospheric, environmental, agricultural, and solar energy research. The real-time measurements enabled by the instrument described here provide new capabilities to monitor water vapor.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基于掺镱光纤和非线性光纤的全光纤类噪声脉冲生成，工作波长约为 1040–1060 nm</w:t>
      </w:r>
    </w:p>
    <w:p>
      <w:r>
        <w:rPr>
          <w:rFonts w:ascii="Times New Roman" w:hAnsi="Times New Roman" w:eastAsia="宋体"/>
          <w:b/>
          <w:color w:val="003264"/>
          <w:sz w:val="24"/>
        </w:rPr>
        <w:t>All-fiber noise-like pulse generation based on Yb-doped fiber and nonlinear fibers operating around 1040–1060 nm wavelengths</w:t>
      </w:r>
    </w:p>
    <w:p>
      <w:r>
        <w:rPr>
          <w:rFonts w:ascii="Times New Roman" w:hAnsi="Times New Roman" w:eastAsia="宋体"/>
          <w:sz w:val="21"/>
        </w:rPr>
        <w:t>作者: Yu-Fang Su, Pei-Ying Tsai, Jia-Ming Liu</w:t>
        <w:br/>
      </w:r>
      <w:r>
        <w:rPr>
          <w:rFonts w:ascii="Times New Roman" w:hAnsi="Times New Roman" w:eastAsia="宋体"/>
          <w:sz w:val="21"/>
        </w:rPr>
        <w:t xml:space="preserve">时间: 2026-01-06 | </w:t>
      </w:r>
      <w:r>
        <w:t xml:space="preserve">链接: </w:t>
      </w:r>
      <w:hyperlink r:id="rId61">
        <w:r>
          <w:rPr>
            <w:rFonts w:ascii="Times New Roman" w:hAnsi="Times New Roman" w:eastAsia="宋体"/>
            <w:color w:val="0000FF"/>
            <w:sz w:val="21"/>
            <w:u w:val="single"/>
          </w:rPr>
          <w:t>https://doi.org/10.1364/optcon.580971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我们展示了一种紧凑型全光纤被动锁模掺镱光纤（YDF）激光器，它通过非线性偏振旋转产生高质量的类噪声脉冲（NLP）。该系统采用 976 nm 激光二极管进行泵浦，并具有完全熔接腔，消除了对对准敏感的自由空间组件。为了增强非线性效应并确保稳定的 NLP 生成，我们探索了几种高度非线性的光纤配置，包括超高数值孔径（UHNA3）光纤和零色散波长为 760 nm 的光子晶体光纤（PCF）。该激光器的发射波长范围为 1040–1060 nm，平均输出功率可在 20 mW 至 35 mW 范围内调节，具体取决于腔体配置。最佳性能是通过混合配置实现的，该混合配置由夹在两个 10 cm UHNA3 光纤段之间的 20 cm PCF 段组成，在 1042.8 nm 处产生稳定的锁模，平均输出功率为 31.5 mW，脉冲具有 23.05 ps 包络和 105.1 fs 子结构。与之前报道的基于非线性偏振旋转的系统相比，我们的设计实现了显着更短的脉冲持续时间和更对称的光谱，同时保持了稳健的免对准架构。这些结果凸显了非线性增强和色散管理在高效脉冲整形和宽带频谱生成中的重要性。由于其稳定性、紧凑性和优异的脉冲质量，所提出的激光器在超连续谱产生、超快计量、光通信和量子光子学方面显示出巨大的应用潜力。</w:t>
      </w:r>
    </w:p>
    <w:p>
      <w:pPr>
        <w:spacing w:before="120"/>
      </w:pPr>
      <w:r>
        <w:rPr>
          <w:rFonts w:ascii="Times New Roman" w:hAnsi="Times New Roman" w:eastAsia="宋体"/>
          <w:b/>
          <w:sz w:val="21"/>
        </w:rPr>
        <w:t>English Abstract:</w:t>
      </w:r>
    </w:p>
    <w:p>
      <w:r>
        <w:rPr>
          <w:rFonts w:ascii="Times New Roman" w:hAnsi="Times New Roman" w:eastAsia="宋体"/>
          <w:sz w:val="21"/>
        </w:rPr>
        <w:t>We demonstrate a compact all-fiber passively mode-locked ytterbium-doped fiber (YDF) laser that generates high-quality noise-like pulses (NLPs) via nonlinear polarization rotation. The system employs a 976 nm laser diode for pumping and features a fully fusion-spliced cavity, eliminating alignment-sensitive free-space components. To enhance nonlinear effects and ensure stable NLP generation, we explored several highly nonlinear fiber configurations, including ultra-high numerical aperture (UHNA3) fiber and photonic crystal fiber (PCF) with a zero-dispersion wavelength at 760 nm. The laser exhibits emission in the 1040–1060 nm wavelength range, with an average output power tunable from 20 mW to 35 mW depending on the cavity configuration. The best performance was achieved with a hybrid configuration consisting of a 20-cm PCF segment sandwiched between two 10-cm UHNA3 fiber segments, producing stable mode-locking at 1042.8 nm with a 31.5 mW average output power and pulses featuring a 23.05 ps envelope with 105.1 fs substructures. Compared to previously reported systems based on nonlinear polarization rotation, our design achieves significantly shorter pulse durations and more symmetric spectra, all while maintaining a robust, alignment-free architecture. These results highlight the importance of nonlinear enhancement and dispersion management in efficient pulse shaping and broadband spectral generation. Owing to its stability, compactness, and superior pulse quality, the proposed laser shows strong potential for applications in supercontinuum generation, ultrafast metrology, optical communications, and quantum photonics.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t>--- 更新: 08:28 ---</w:t>
      </w:r>
    </w:p>
    <w:p>
      <w:pPr>
        <w:pStyle w:val="Heading2"/>
      </w:pPr>
      <w:r/>
      <w:r>
        <w:rPr>
          <w:rFonts w:ascii="Times New Roman" w:hAnsi="Times New Roman" w:eastAsia="宋体"/>
          <w:b/>
          <w:color w:val="000000"/>
          <w:sz w:val="24"/>
        </w:rPr>
        <w:t>用于高对比度结构照明显微镜的幅度和相位可编程双色光子芯片</w:t>
      </w:r>
    </w:p>
    <w:p>
      <w:r>
        <w:rPr>
          <w:rFonts w:ascii="Times New Roman" w:hAnsi="Times New Roman" w:eastAsia="宋体"/>
          <w:b/>
          <w:color w:val="003264"/>
          <w:sz w:val="24"/>
        </w:rPr>
        <w:t>Amplitude- and Phase-Programmable Dual-Color Photonic Chip for High-Contrast Structured Illumination Microscopy</w:t>
      </w:r>
    </w:p>
    <w:p>
      <w:r>
        <w:rPr>
          <w:rFonts w:ascii="Times New Roman" w:hAnsi="Times New Roman" w:eastAsia="宋体"/>
          <w:sz w:val="21"/>
        </w:rPr>
        <w:t>作者: Paolo Maran, Abhiram Rajan, Francesco Ceccarelli, Roberto Osellame, Petra Paiè, Alessia Candeo, Francesca Bragheri, Andrea Bassi</w:t>
        <w:br/>
      </w:r>
      <w:r>
        <w:rPr>
          <w:rFonts w:ascii="Times New Roman" w:hAnsi="Times New Roman" w:eastAsia="宋体"/>
          <w:sz w:val="21"/>
        </w:rPr>
        <w:t xml:space="preserve">时间: 2026-02-08 | </w:t>
      </w:r>
      <w:r>
        <w:t xml:space="preserve">链接: </w:t>
      </w:r>
      <w:hyperlink r:id="rId52">
        <w:r>
          <w:rPr>
            <w:rFonts w:ascii="Times New Roman" w:hAnsi="Times New Roman" w:eastAsia="宋体"/>
            <w:color w:val="0000FF"/>
            <w:sz w:val="21"/>
            <w:u w:val="single"/>
          </w:rPr>
          <w:t>https://doi.org/10.1021/acsphotonics.5c02733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基于聚焦表面等离子体场和空间光谱融合方法的片上太赫兹干涉传感</w:t>
      </w:r>
    </w:p>
    <w:p>
      <w:r>
        <w:rPr>
          <w:rFonts w:ascii="Times New Roman" w:hAnsi="Times New Roman" w:eastAsia="宋体"/>
          <w:b/>
          <w:color w:val="003264"/>
          <w:sz w:val="24"/>
        </w:rPr>
        <w:t>On-Chip Terahertz Interferometric Sensing Based on Focused Surface Plasmonic Field and Spatial Spectral Fusion Methodology</w:t>
      </w:r>
    </w:p>
    <w:p>
      <w:r>
        <w:rPr>
          <w:rFonts w:ascii="Times New Roman" w:hAnsi="Times New Roman" w:eastAsia="宋体"/>
          <w:sz w:val="21"/>
        </w:rPr>
        <w:t>作者: Chengwei Song, Yiming Wang, Yunyun Ji, Peng Shen, Shiqiang Zhao, Liang Ma, Xianghui Wang, Shengjiang Chang, Fei Fan</w:t>
        <w:br/>
      </w:r>
      <w:r>
        <w:rPr>
          <w:rFonts w:ascii="Times New Roman" w:hAnsi="Times New Roman" w:eastAsia="宋体"/>
          <w:sz w:val="21"/>
        </w:rPr>
        <w:t xml:space="preserve">时间: 2026-02-09 | </w:t>
      </w:r>
      <w:r>
        <w:t xml:space="preserve">链接: </w:t>
      </w:r>
      <w:hyperlink r:id="rId53">
        <w:r>
          <w:rPr>
            <w:rFonts w:ascii="Times New Roman" w:hAnsi="Times New Roman" w:eastAsia="宋体"/>
            <w:color w:val="0000FF"/>
            <w:sz w:val="21"/>
            <w:u w:val="single"/>
          </w:rPr>
          <w:t>https://doi.org/10.1021/acsphotonics.5c03087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eLight</w:t>
      </w:r>
    </w:p>
    <w:p>
      <w:pPr>
        <w:jc w:val="center"/>
      </w:pPr>
      <w:r>
        <w:t>--- 更新: 11:28 ---</w:t>
      </w:r>
    </w:p>
    <w:p>
      <w:pPr>
        <w:pStyle w:val="Heading2"/>
      </w:pPr>
      <w:r/>
      <w:r>
        <w:rPr>
          <w:rFonts w:ascii="Times New Roman" w:hAnsi="Times New Roman" w:eastAsia="宋体"/>
          <w:b/>
          <w:color w:val="000000"/>
          <w:sz w:val="24"/>
        </w:rPr>
        <w:t>通过调制和加权微环谐振器实现紧凑、可重构和可扩展的光子神经元</w:t>
      </w:r>
    </w:p>
    <w:p>
      <w:r>
        <w:rPr>
          <w:rFonts w:ascii="Times New Roman" w:hAnsi="Times New Roman" w:eastAsia="宋体"/>
          <w:b/>
          <w:color w:val="003264"/>
          <w:sz w:val="24"/>
        </w:rPr>
        <w:t>Compact, reconfigurable, and scalable photonic neurons by modulation-and-weighting microring resonators</w:t>
      </w:r>
    </w:p>
    <w:p>
      <w:r>
        <w:rPr>
          <w:rFonts w:ascii="Times New Roman" w:hAnsi="Times New Roman" w:eastAsia="宋体"/>
          <w:sz w:val="21"/>
        </w:rPr>
        <w:t>作者: Weipeng Zhang, Yuxin Wang, Joshua C. Lederman, Bhavin J. Shastri, Paul R. Prucnal</w:t>
        <w:br/>
      </w:r>
      <w:r>
        <w:rPr>
          <w:rFonts w:ascii="Times New Roman" w:hAnsi="Times New Roman" w:eastAsia="宋体"/>
          <w:sz w:val="21"/>
        </w:rPr>
        <w:t xml:space="preserve">时间: 2026-02-09 | </w:t>
      </w:r>
      <w:r>
        <w:t xml:space="preserve">链接: </w:t>
      </w:r>
      <w:hyperlink r:id="rId58">
        <w:r>
          <w:rPr>
            <w:rFonts w:ascii="Times New Roman" w:hAnsi="Times New Roman" w:eastAsia="宋体"/>
            <w:color w:val="0000FF"/>
            <w:sz w:val="21"/>
            <w:u w:val="single"/>
          </w:rPr>
          <w:t>https://doi.org/10.1186/s43593-026-00122-3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神经形态光子学有望实现亚纳秒延迟、超宽带宽和高并行性，但实际的可扩展性受到制造公差、光谱对准和调谐能量的限制。在这里，我们提出了一种大规模、紧凑且可重构的光子神经元，其中每个微环同时执行调制和加权。通过在单个器件内利用载流子和热调谐，该架构减少了占地面积，放宽了对两个光学元件的光谱对准要求，并产生陡峭的传输响应，从而降低了调谐能量。所提出的神经元支持多种操作配置，使其动态行为能够适应不同的计算任务。特别是，短的电反馈路径可以实现循环操作，为时间处理提供可调的短期和长期记忆。使用 10 微环谐振器阵列，我们演示了空间和时间计算，包括用于图像处理的 3 $$\times$$ × 3 卷积，误差 &lt;5% 和高频金融时间序列预测。每个调制加权元素占用 80 $$\times$$ × 45 $$\upmu$$ μ m $$^2$$ 2 ，平均消耗 0.186 mW ，对应于 4.67 TOPS/s/mm $$^2$$ 2 的计算密度。不计电子功率，片上调谐效率达到约 105 TOPs/W，与最先进的实现相当。这些结果表明，调制和加权微环谐振器组为大规模神经形态光子系统提供了可扩展的构建块，提供了紧凑的占地面积、低功耗和功能灵活性的有利组合。</w:t>
      </w:r>
    </w:p>
    <w:p>
      <w:pPr>
        <w:spacing w:before="120"/>
      </w:pPr>
      <w:r>
        <w:rPr>
          <w:rFonts w:ascii="Times New Roman" w:hAnsi="Times New Roman" w:eastAsia="宋体"/>
          <w:b/>
          <w:sz w:val="21"/>
        </w:rPr>
        <w:t>English Abstract:</w:t>
      </w:r>
    </w:p>
    <w:p>
      <w:r>
        <w:rPr>
          <w:rFonts w:ascii="Times New Roman" w:hAnsi="Times New Roman" w:eastAsia="宋体"/>
          <w:sz w:val="21"/>
        </w:rPr>
        <w:t>Abstract Neuromorphic photonics promises sub-nanosecond latency, ultrawide bandwidth, and high parallelism, but practical scalability is constrained by fabrication tolerances, spectral alignment, and tuning energy. Here, we present a large-scale, compact, and reconfigurable photonic neuron in which each microring performs modulation and weighting simultaneously. By exploiting both carrier and thermal tuning within a single device, this architecture reduces footprint, relaxes spectral alignment requirements to just two optical components, and yields a steep transfer response that lowers tuning energy. The proposed neuron supports multiple operating configurations, allowing its dynamical behavior to be adapted to different computational tasks. In particular, a short electrical feedback path enables recurrent operation, providing tunable short- and long-term memory for temporal processing. Using a 10-microring resonator array, we demonstrate both spatial and temporal computing, including a 3 $$\times$$ × 3 convolution for image processing with an error of &lt;5% and high-frequency financial time-series prediction. Each modulation-weighting element occupies 80 $$\times$$ × 45 $$\upmu$$ μ m $$^2$$ 2 and consumes an average of 0.186 mW, corresponding to a compute density of 4.67 TOPS/s/mm $$^2$$ 2 . Excluding electronic power, the on-chip tuning efficiency reaches approximately 105 TOPs/W, which is comparable to state-of-the-art implementations. These results indicate that modulation-and-weighting microring resonator banks provide a scalable building block for large-scale neuromorphic photonic systems, offering a favorable combination of compact footprint, low power consumption, and functional flexibility.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Laser &amp; Photonics Reviews</w:t>
      </w:r>
    </w:p>
    <w:p>
      <w:pPr>
        <w:jc w:val="center"/>
      </w:pPr>
      <w:r>
        <w:t>--- 更新: 11:28 ---</w:t>
      </w:r>
    </w:p>
    <w:p>
      <w:pPr>
        <w:pStyle w:val="Heading2"/>
      </w:pPr>
      <w:r/>
      <w:r>
        <w:rPr>
          <w:rFonts w:ascii="Times New Roman" w:hAnsi="Times New Roman" w:eastAsia="宋体"/>
          <w:b/>
          <w:color w:val="000000"/>
          <w:sz w:val="24"/>
        </w:rPr>
        <w:t>具有光电倍增功能的可调谐可见光/近红外双窄带有机光电探测器，用于抗干扰光通信</w:t>
      </w:r>
    </w:p>
    <w:p>
      <w:r>
        <w:rPr>
          <w:rFonts w:ascii="Times New Roman" w:hAnsi="Times New Roman" w:eastAsia="宋体"/>
          <w:b/>
          <w:color w:val="003264"/>
          <w:sz w:val="24"/>
        </w:rPr>
        <w:t>Tunable Visible/NIR Dual‐Narrowband Organic Photodetectors with Photomultiplication for Interference‐Resistant Optical Communication</w:t>
      </w:r>
    </w:p>
    <w:p>
      <w:r>
        <w:rPr>
          <w:rFonts w:ascii="Times New Roman" w:hAnsi="Times New Roman" w:eastAsia="宋体"/>
          <w:sz w:val="21"/>
        </w:rPr>
        <w:t>作者: Xi Luo, Xin Hu, Ying Lu, Yifan Ji, Lu Lu, Guangyu Zhou, Dongdong Chu, Ning Li, Xiubao Sui, Qian Chen</w:t>
        <w:br/>
      </w:r>
      <w:r>
        <w:rPr>
          <w:rFonts w:ascii="Times New Roman" w:hAnsi="Times New Roman" w:eastAsia="宋体"/>
          <w:sz w:val="21"/>
        </w:rPr>
        <w:t xml:space="preserve">时间: 2026-02-09 | </w:t>
      </w:r>
      <w:r>
        <w:t xml:space="preserve">链接: </w:t>
      </w:r>
      <w:hyperlink r:id="rId62">
        <w:r>
          <w:rPr>
            <w:rFonts w:ascii="Times New Roman" w:hAnsi="Times New Roman" w:eastAsia="宋体"/>
            <w:color w:val="0000FF"/>
            <w:sz w:val="21"/>
            <w:u w:val="single"/>
          </w:rPr>
          <w:t>https://doi.org/10.1002/lpor.202502956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窄带光信号检测能力在光通信、精确目标识别等方面具有重要意义。本研究提出了一种基于单个器件光电特性协同调节的增益实现​​双窄带可见光/近红外检测的方法。该器件以背对背配置集成了两个不同的体异质结 (BHJ)，一个具有可见光，另一个具有近红外吸收。该设计可通过光电倍增实现偏置可切换的可见光/近红外双波段检测，这是通过调节外部电路的载流子注入来控制的。此外，通过结合光学微腔来调制光场分布，实现了可调谐可见光/近红外双窄带光电探测，并能够通过改变偏置极性来切换两个波长。例如，实现了 450 和 810 nm 的窄带响应，其中可以通过改变偏置极性来切换两种模式。在 450 nm 处获得 1050% 的峰值外量子效率 (EQE)，半峰全宽 (FWHM) 为 50 nm。在 810 nm 处观察到峰值 EQE 为 130%，FWHM 为 75 nm。值得注意的是，该器件在抗干扰光通信方面表现出优异的性能，无需额外的光滤波器即可运行。</w:t>
      </w:r>
    </w:p>
    <w:p>
      <w:pPr>
        <w:spacing w:before="120"/>
      </w:pPr>
      <w:r>
        <w:rPr>
          <w:rFonts w:ascii="Times New Roman" w:hAnsi="Times New Roman" w:eastAsia="宋体"/>
          <w:b/>
          <w:sz w:val="21"/>
        </w:rPr>
        <w:t>English Abstract:</w:t>
      </w:r>
    </w:p>
    <w:p>
      <w:r>
        <w:rPr>
          <w:rFonts w:ascii="Times New Roman" w:hAnsi="Times New Roman" w:eastAsia="宋体"/>
          <w:sz w:val="21"/>
        </w:rPr>
        <w:t>ABSTRACT The ability to detect narrowband optical signals is important in optical communication, precise target identification, etc. This study proposes a method to achieve dual‐narrowband visible/NIR detection with gain based on the synergistic regulation of optical and electrical properties of a single device. The device integrates two distinct bulk‐heterojunctions (BHJs), one with visible and the other with NIR absorption, in a back‐to‐back configuration. This design enables bias‐switchable visible/NIR dual‐band detection with photomultiplication, which is controlled by regulating carrier injection from the external circuit. Furthermore, by incorporating an optical microcavity to modulate the light field distribution, tunable visible/NIR dual‐narrowband photodetection is achieved, with a capability to switch the two wavelengths by changing the polarity of bias. For example, narrowband responses at 450 and 810 nm are achieved, where the two modes can be switched by changing the bias polarity. A peak external quantum efficiency (EQE) of 1050% is obtained at 450 nm with a full width at half maximum (FWHM) of 50 nm. A peak EQE of 130% with an FWHM of 75 nm is observed at 810 nm. Notably, this device demonstrates excellent performance in anti‐interference optical communication, operating without the need for additional optical filters.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Photonics</w:t>
      </w:r>
    </w:p>
    <w:p>
      <w:pPr>
        <w:jc w:val="center"/>
      </w:pPr>
      <w:r>
        <w:t>--- 更新: 13:27 ---</w:t>
      </w:r>
    </w:p>
    <w:p>
      <w:pPr>
        <w:pStyle w:val="Heading2"/>
      </w:pPr>
      <w:r/>
      <w:r>
        <w:rPr>
          <w:rFonts w:ascii="Times New Roman" w:hAnsi="Times New Roman" w:eastAsia="宋体"/>
          <w:b/>
          <w:color w:val="000000"/>
          <w:sz w:val="24"/>
        </w:rPr>
        <w:t>通过动态修复调节实现超高能辐射的高灵敏且稳定的钙钛矿探测器</w:t>
      </w:r>
    </w:p>
    <w:p>
      <w:r>
        <w:rPr>
          <w:rFonts w:ascii="Times New Roman" w:hAnsi="Times New Roman" w:eastAsia="宋体"/>
          <w:b/>
          <w:color w:val="003264"/>
          <w:sz w:val="24"/>
        </w:rPr>
        <w:t>Highly sensitive and stable perovskite detector for ultrahigh-energy radiations via dynamic repair regulation</w:t>
      </w:r>
    </w:p>
    <w:p>
      <w:r>
        <w:rPr>
          <w:rFonts w:ascii="Times New Roman" w:hAnsi="Times New Roman" w:eastAsia="宋体"/>
          <w:sz w:val="21"/>
        </w:rPr>
        <w:t>作者: Hang Yin, Haodi Wu, Yang Zhang, Fei Liu, Qi Bai, Shuwen Yan, Tong Jin, Jincong Pang, Yuting Gao, Qinghao Ling, Kan-Hao Xue, Chongqin Zhu, Luying Li, Ziling Zhou, Zhen Li, Zhiping Zheng, Ling Xu, Qian Chu, Jiang Tang, Guangda Niu</w:t>
        <w:br/>
      </w:r>
      <w:r>
        <w:rPr>
          <w:rFonts w:ascii="Times New Roman" w:hAnsi="Times New Roman" w:eastAsia="宋体"/>
          <w:sz w:val="21"/>
        </w:rPr>
        <w:t xml:space="preserve">时间: 2026-02-09 | </w:t>
      </w:r>
      <w:r>
        <w:t xml:space="preserve">链接: </w:t>
      </w:r>
      <w:hyperlink r:id="rId69">
        <w:r>
          <w:rPr>
            <w:rFonts w:ascii="Times New Roman" w:hAnsi="Times New Roman" w:eastAsia="宋体"/>
            <w:color w:val="0000FF"/>
            <w:sz w:val="21"/>
            <w:u w:val="single"/>
          </w:rPr>
          <w:t>https://doi.org/10.1038/s41566-026-01849-8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研究人员利用有机-无机杂化钙钛矿中的晶格锚定增强动态修复来展示单晶探测器，其灵敏度为165.6 μC mGy−1 cm−3，并且在高通量6-MeV X射线（6.4 × 1011光子 cm−2）和1.2-MeV电子（6 × 1016电子 cm−2）下具有辐射稳定性。这些发现可能对多种应用产生影响，包括放射治疗、天文学和核技术。</w:t>
      </w:r>
    </w:p>
    <w:p>
      <w:pPr>
        <w:spacing w:before="120"/>
      </w:pPr>
      <w:r>
        <w:rPr>
          <w:rFonts w:ascii="Times New Roman" w:hAnsi="Times New Roman" w:eastAsia="宋体"/>
          <w:b/>
          <w:sz w:val="21"/>
        </w:rPr>
        <w:t>English Abstract:</w:t>
      </w:r>
    </w:p>
    <w:p>
      <w:r>
        <w:rPr>
          <w:rFonts w:ascii="Times New Roman" w:hAnsi="Times New Roman" w:eastAsia="宋体"/>
          <w:sz w:val="21"/>
        </w:rPr>
        <w:t>The researchers exploit lattice-anchoring-enhanced dynamic repair in organic–inorganic hybrid perovskites to demonstrate a single-crystal detector with a sensitivity of 165.6 μC mGy−1 cm−3 and radiation stability under high-fluence 6-MeV X-rays (6.4 × 1011 photons cm−2) and 1.2-MeV electrons (6 × 1016 electrons cm−2). The findings may have implications for diverse applications, including radiation therapy, astronomy and nuclear technology.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Holography &amp; CGH</w:t>
      </w:r>
    </w:p>
    <w:p>
      <w:pPr>
        <w:jc w:val="center"/>
      </w:pPr>
      <w:r>
        <w:t>--- 更新: 13:28 ---</w:t>
      </w:r>
    </w:p>
    <w:p>
      <w:pPr>
        <w:pStyle w:val="Heading2"/>
      </w:pPr>
      <w:r/>
      <w:r>
        <w:rPr>
          <w:rFonts w:ascii="Times New Roman" w:hAnsi="Times New Roman" w:eastAsia="宋体"/>
          <w:b/>
          <w:color w:val="000000"/>
          <w:sz w:val="24"/>
        </w:rPr>
        <w:t>通过激光写入几何相位全息图的小型化多平面光转换器</w:t>
      </w:r>
    </w:p>
    <w:p>
      <w:r>
        <w:rPr>
          <w:rFonts w:ascii="Times New Roman" w:hAnsi="Times New Roman" w:eastAsia="宋体"/>
          <w:b/>
          <w:color w:val="003264"/>
          <w:sz w:val="24"/>
        </w:rPr>
        <w:t>Miniaturised multi-plane light converters via laser-written geometric phase holograms</w:t>
      </w:r>
    </w:p>
    <w:p>
      <w:r>
        <w:rPr>
          <w:rFonts w:ascii="Times New Roman" w:hAnsi="Times New Roman" w:eastAsia="宋体"/>
          <w:sz w:val="21"/>
        </w:rPr>
        <w:t>作者: David B. Phillips</w:t>
        <w:br/>
      </w:r>
      <w:r>
        <w:rPr>
          <w:rFonts w:ascii="Times New Roman" w:hAnsi="Times New Roman" w:eastAsia="宋体"/>
          <w:sz w:val="21"/>
        </w:rPr>
        <w:t xml:space="preserve">时间: 2026-02-06T22:11:32Z | </w:t>
      </w:r>
      <w:r>
        <w:t xml:space="preserve">链接: </w:t>
      </w:r>
      <w:hyperlink r:id="rId70">
        <w:r>
          <w:rPr>
            <w:rFonts w:ascii="Times New Roman" w:hAnsi="Times New Roman" w:eastAsia="宋体"/>
            <w:color w:val="0000FF"/>
            <w:sz w:val="21"/>
            <w:u w:val="single"/>
          </w:rPr>
          <w:t>https://arxiv.org/abs/2602.07222v1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多平面光转换器 (MPLC) 是一种新兴的 3D 光束整形技术，能够确定性地将输入空间光模式的基础映射到新的输出模式的基础。执行这种空间重新格式化操作的能力在经典光子学和量子光子学中具有许多未来应用，从光通信到光子计算和成像。 MPLC 是复杂的光学系统，由一系列反向设计的衍射光学元件组成，通常由自由空间分隔。在这项工作中，我们研究了使用单步直接激光写入在玻璃芯片内制造小型化全封装透射式 MPLC。我们的方法依赖于具有空间可控快轴方向的飞秒激光诱导双折射纳米光栅的形成。玻璃芯片内部用这些纳米光栅层进行图案化，以创建多个几何相位全息图，将可控相位图案印在传播通过它们的圆偏振光上。我们通过实验演示了两种概念验证玻璃嵌入式 700x700x2000 微米立方 MPLC：3 模和 10 模埃尔米特高斯模式分类器。我们讨论这些设备的制造挑战和未来的改进。我们的工作为稳健的单片 MPLC 技术的快速原型设计开辟了一条道路。</w:t>
      </w:r>
    </w:p>
    <w:p>
      <w:pPr>
        <w:spacing w:before="120"/>
      </w:pPr>
      <w:r>
        <w:rPr>
          <w:rFonts w:ascii="Times New Roman" w:hAnsi="Times New Roman" w:eastAsia="宋体"/>
          <w:b/>
          <w:sz w:val="21"/>
        </w:rPr>
        <w:t>English Abstract:</w:t>
      </w:r>
    </w:p>
    <w:p>
      <w:r>
        <w:rPr>
          <w:rFonts w:ascii="Times New Roman" w:hAnsi="Times New Roman" w:eastAsia="宋体"/>
          <w:sz w:val="21"/>
        </w:rPr>
        <w:t>Multi-plane light converters (MPLCs) are an emerging 3D beam shaping technology capable of deterministically mapping a basis of input spatial light modes to a new basis of output modes. The ability to perform such spatial reformatting operations has many future applications in both classical and quantum photonics, spanning from optical communications to photonic computing and imaging. MPLCs are intricate optical systems consisting of a cascade of inverse-designed diffractive optical elements, typically separated by free-space. In this work we investigate the fabrication of miniaturised fully-encapsulated transmissive MPLCs within a glass chip using single-step direct laser writing. Our approach relies on the formation of femto-second laser induced birefringent nanogratings with a spatially controllable fast axis orientation. The glass chip is internally patterned with layers of these nanogratings to create multiple geometric phase holograms which imprint controllable phase patterns onto circularly polarised light propagating through them. We experimentally demonstrate two proof-of-concept glass-embedded 700x700x2000 micrometer cubed MPLCs: a 3-mode and a 10-mode Hermite-Gaussian mode sorter. We discuss the fabrication challenges and future improvements of these devices. Our work plots a path towards the rapid prototyping of robust monolithic MPLC technology.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Wave &amp; Ray Optics</w:t>
      </w:r>
    </w:p>
    <w:p>
      <w:pPr>
        <w:jc w:val="center"/>
      </w:pPr>
      <w:r>
        <w:t>--- 更新: 13:28 ---</w:t>
      </w:r>
    </w:p>
    <w:p>
      <w:pPr>
        <w:pStyle w:val="Heading2"/>
      </w:pPr>
      <w:r/>
      <w:r>
        <w:rPr>
          <w:rFonts w:ascii="Times New Roman" w:hAnsi="Times New Roman" w:eastAsia="宋体"/>
          <w:b/>
          <w:color w:val="000000"/>
          <w:sz w:val="24"/>
        </w:rPr>
        <w:t>Sunrise III：波前校正系统</w:t>
      </w:r>
    </w:p>
    <w:p>
      <w:r>
        <w:rPr>
          <w:rFonts w:ascii="Times New Roman" w:hAnsi="Times New Roman" w:eastAsia="宋体"/>
          <w:b/>
          <w:color w:val="003264"/>
          <w:sz w:val="24"/>
        </w:rPr>
        <w:t>Sunrise III: The Wavefront Correction System</w:t>
      </w:r>
    </w:p>
    <w:p>
      <w:r>
        <w:rPr>
          <w:rFonts w:ascii="Times New Roman" w:hAnsi="Times New Roman" w:eastAsia="宋体"/>
          <w:sz w:val="21"/>
        </w:rPr>
        <w:t>作者: Michael Carpenter</w:t>
        <w:br/>
      </w:r>
      <w:r>
        <w:rPr>
          <w:rFonts w:ascii="Times New Roman" w:hAnsi="Times New Roman" w:eastAsia="宋体"/>
          <w:sz w:val="21"/>
        </w:rPr>
        <w:t xml:space="preserve">时间: 2026-02-07T08:55:16Z | </w:t>
      </w:r>
      <w:r>
        <w:t xml:space="preserve">链接: </w:t>
      </w:r>
      <w:hyperlink r:id="rId71">
        <w:r>
          <w:rPr>
            <w:rFonts w:ascii="Times New Roman" w:hAnsi="Times New Roman" w:eastAsia="宋体"/>
            <w:color w:val="0000FF"/>
            <w:sz w:val="21"/>
            <w:u w:val="single"/>
          </w:rPr>
          <w:t>https://arxiv.org/abs/2602.07448v1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本文介绍了为 Sunrise III 气球载望远镜开发的波前校正和图像稳定系统 (CWS)，并提供了在集成到望远镜期间和 2024 年科学飞行期间测得的有关其性能的信息。快速图像稳定由相关跟踪器 (CT) 和快速倾斜镜完成，散焦和慧差等低阶像差由六元件夏克-哈特曼波前传感器 (WFS) 测量，并由主动望远镜副镜进行校正，以实现自动聚焦和手动慧差校正。 CWS 指定可提供精度为 0.005 弧秒 (rms) 的稳定图像。自动对焦调整指定为在 CWS 焦平面上保持 0.01 波的焦点稳定性。</w:t>
      </w:r>
    </w:p>
    <w:p>
      <w:pPr>
        <w:spacing w:before="120"/>
      </w:pPr>
      <w:r>
        <w:rPr>
          <w:rFonts w:ascii="Times New Roman" w:hAnsi="Times New Roman" w:eastAsia="宋体"/>
          <w:b/>
          <w:sz w:val="21"/>
        </w:rPr>
        <w:t>English Abstract:</w:t>
      </w:r>
    </w:p>
    <w:p>
      <w:r>
        <w:rPr>
          <w:rFonts w:ascii="Times New Roman" w:hAnsi="Times New Roman" w:eastAsia="宋体"/>
          <w:sz w:val="21"/>
        </w:rPr>
        <w:t>This paper describes the wave-front correction and image stabilisation system (CWS) developed for the Sunrise III balloon-borne telescope, and provides information about its performance as measured during the integration into the telescope and during the 2024 science flight. The fast image stabilisation is done by a correlation tracker (CT) and a fast tip-tilt mirror, low order aberrations such as defocus and coma are measured by a six-element Shack-Hartmann wavefront sensor (WFS) and corrected by an active telescope secondary mirror for automated focus and manual coma correction. The CWS is specified to deliver a stabilised image with a precision of 0.005 arcsec (rms). The autofocus adjustment is specified to maintain a focus stability of 0.01 waves in the focal plane of the CWS.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通过潜在空间扩散模型加速黑洞图像生成</w:t>
      </w:r>
    </w:p>
    <w:p>
      <w:r>
        <w:rPr>
          <w:rFonts w:ascii="Times New Roman" w:hAnsi="Times New Roman" w:eastAsia="宋体"/>
          <w:b/>
          <w:color w:val="003264"/>
          <w:sz w:val="24"/>
        </w:rPr>
        <w:t>Accelerating Black Hole Image Generation via Latent Space Diffusion Models</w:t>
      </w:r>
    </w:p>
    <w:p>
      <w:r>
        <w:rPr>
          <w:rFonts w:ascii="Times New Roman" w:hAnsi="Times New Roman" w:eastAsia="宋体"/>
          <w:sz w:val="21"/>
        </w:rPr>
        <w:t>作者: Jieci Wang</w:t>
        <w:br/>
      </w:r>
      <w:r>
        <w:rPr>
          <w:rFonts w:ascii="Times New Roman" w:hAnsi="Times New Roman" w:eastAsia="宋体"/>
          <w:sz w:val="21"/>
        </w:rPr>
        <w:t xml:space="preserve">时间: 2026-02-08T03:00:15Z | </w:t>
      </w:r>
      <w:r>
        <w:t xml:space="preserve">链接: </w:t>
      </w:r>
      <w:hyperlink r:id="rId72">
        <w:r>
          <w:rPr>
            <w:rFonts w:ascii="Times New Roman" w:hAnsi="Times New Roman" w:eastAsia="宋体"/>
            <w:color w:val="0000FF"/>
            <w:sz w:val="21"/>
            <w:u w:val="single"/>
          </w:rPr>
          <w:t>https://arxiv.org/abs/2602.07786v1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目前解释视界尺度黑洞图像依赖于计算密集型广义相对论射线追踪（GRRT）模拟，这对强场重力的快速参数探索和高精度测试构成了重大瓶颈。我们证明，由磁化吸积流合成的物理精确的黑洞图像本质上驻留在低维流形上，编码时空几何、等离子体分布和相对论发射的基本特征。利用这种结构，我们引入了一种物理条件扩散模型，该模型在紧凑的潜在空间中运行，直接从物理参数生成高保真黑洞图像。该模型准确地再现了完整 GRRT 模拟的关键观测特征，例如阴影直径、光子环结构和相对论亮度不对称性，同时计算费用减少了四倍以上。与上一代去噪扩散模型相比，该方法在图像质量、重建保真度和参数估计精度方面取得了显着提高，同时将每张黑洞图像的平均推理时间从 5.25 秒减少到 1.15 秒。我们的工作建立了基于扩散的潜在模型，作为传统辐射传输求解器的高效且可扩展的替代品，为下一代黑洞成像的实时建模和推理提供了实用的框架。</w:t>
      </w:r>
    </w:p>
    <w:p>
      <w:pPr>
        <w:spacing w:before="120"/>
      </w:pPr>
      <w:r>
        <w:rPr>
          <w:rFonts w:ascii="Times New Roman" w:hAnsi="Times New Roman" w:eastAsia="宋体"/>
          <w:b/>
          <w:sz w:val="21"/>
        </w:rPr>
        <w:t>English Abstract:</w:t>
      </w:r>
    </w:p>
    <w:p>
      <w:r>
        <w:rPr>
          <w:rFonts w:ascii="Times New Roman" w:hAnsi="Times New Roman" w:eastAsia="宋体"/>
          <w:sz w:val="21"/>
        </w:rPr>
        <w:t>Interpreting horizon-scale black hole images currently relies on computationally intensive General Relativistic Ray Tracing (GRRT) simulations, which pose a significant bottleneck for rapid parameter exploration and high-precision tests of strong-field gravity. We demonstrate that physically accurate black hole images, synthesized from magnetized accretion flows, inherently reside on a low-dimensional manifold-encoding the essential features of spacetime geometry, plasma distribution, and relativistic emission. Leveraging this structure, we introduce a physics-conditioned diffusion model that operates in a compact latent space to generate high-fidelity black hole imagery directly from physical parameters. The model accurately reproduces critical observational signatures from full GRRT simulations-such as shadow diameter, photon-ring structure, and relativistic brightness asymmetry-while achieving over a fourfold reduction in computational expense. Compared with the previous generation of denoising diffusion models, the proposed approach achieves significant improvements in image quality, reconstruction fidelity, and parameter estimation accuracy, while reducing the average inference time per black hole image from 5.25 seconds to 1.15 seconds. Our work establishes diffusion-based latent models as efficient and scalable substitutes for traditional radiative transfer solvers, offering a practical framework toward real-time modeling and inference for next-generation black hole imaging.</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Physics - Optics</w:t>
      </w:r>
    </w:p>
    <w:p>
      <w:pPr>
        <w:jc w:val="center"/>
      </w:pPr>
      <w:r>
        <w:t>--- 更新: 13:28 ---</w:t>
      </w:r>
    </w:p>
    <w:p>
      <w:pPr>
        <w:pStyle w:val="Heading2"/>
      </w:pPr>
      <w:r/>
      <w:r>
        <w:rPr>
          <w:rFonts w:ascii="Times New Roman" w:hAnsi="Times New Roman" w:eastAsia="宋体"/>
          <w:b/>
          <w:color w:val="000000"/>
          <w:sz w:val="24"/>
        </w:rPr>
        <w:t>YAl3(BO3)4:Pr3+ 中 Pr3+ 离子的高分辨率光谱。晶体场、超精细和电子变形相互作用</w:t>
      </w:r>
    </w:p>
    <w:p>
      <w:r>
        <w:rPr>
          <w:rFonts w:ascii="Times New Roman" w:hAnsi="Times New Roman" w:eastAsia="宋体"/>
          <w:b/>
          <w:color w:val="003264"/>
          <w:sz w:val="24"/>
        </w:rPr>
        <w:t>High-resolution spectroscopy of Pr3+ions in YAl3(BO3)4:Pr3+. Crystal-field, hyperfine,and electron-deformation interactions</w:t>
      </w:r>
    </w:p>
    <w:p>
      <w:r>
        <w:rPr>
          <w:rFonts w:ascii="Times New Roman" w:hAnsi="Times New Roman" w:eastAsia="宋体"/>
          <w:sz w:val="21"/>
        </w:rPr>
        <w:t>作者: M. N. Popova</w:t>
        <w:br/>
      </w:r>
      <w:r>
        <w:rPr>
          <w:rFonts w:ascii="Times New Roman" w:hAnsi="Times New Roman" w:eastAsia="宋体"/>
          <w:sz w:val="21"/>
        </w:rPr>
        <w:t xml:space="preserve">时间: 2026-02-06T19:20:49Z | </w:t>
      </w:r>
      <w:r>
        <w:t xml:space="preserve">链接: </w:t>
      </w:r>
      <w:hyperlink r:id="rId73">
        <w:r>
          <w:rPr>
            <w:rFonts w:ascii="Times New Roman" w:hAnsi="Times New Roman" w:eastAsia="宋体"/>
            <w:color w:val="0000FF"/>
            <w:sz w:val="21"/>
            <w:u w:val="single"/>
          </w:rPr>
          <w:t>https://arxiv.org/abs/2602.07138v1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掺杂浓度为 1 和 2.5 的 Pr3+ 离子的 YAl3(BO3)4 晶体的光学透射光谱。通过高分辨率（高达 0.05 cm-1）傅立叶光谱研究，包括在平行于晶体三角 c 轴的磁场中。确定了几种 Pr3+ 晶体场双峰的 g 因子。使用交换电荷模型和高分辨率光谱数据进行的晶体场计算使我们能够获得一组物理上合理的晶体场参数。在零磁场中观察到的许多双峰的分裂可以通过随机晶格变形的存在来解释。对观察到的变形双峰的轮廓进行了模拟，同时考虑了超精细和电子变形相互作用。估计随机应变的分布函数的宽度。讨论了 YAl3(BO3)4:Pr3+ 晶体中随机应变的主要来源。</w:t>
      </w:r>
    </w:p>
    <w:p>
      <w:pPr>
        <w:spacing w:before="120"/>
      </w:pPr>
      <w:r>
        <w:rPr>
          <w:rFonts w:ascii="Times New Roman" w:hAnsi="Times New Roman" w:eastAsia="宋体"/>
          <w:b/>
          <w:sz w:val="21"/>
        </w:rPr>
        <w:t>English Abstract:</w:t>
      </w:r>
    </w:p>
    <w:p>
      <w:r>
        <w:rPr>
          <w:rFonts w:ascii="Times New Roman" w:hAnsi="Times New Roman" w:eastAsia="宋体"/>
          <w:sz w:val="21"/>
        </w:rPr>
        <w:t>Optical transmission spectra of YAl3(BO3)4 crystals doped with the Pr3+ ions in concentrations 1 and 2.5 at. % were studied by high-resolution (up to 0.05 cm-1) Fourier spectroscopy, including in magnetic field parallel to the trigonal c axis of the crystal. The g factors of several crystal-field doublets of Pr3+ were determined. The crystal-field calculations performed using the exchange-charge model and high-resolution spectroscopy data allowed us to obtain a physically reasonable set of crystal-field parameters. The observed splitting of a number of doublets in zero magnetic field is explained by the presence of random lattice deformations. Simulation of the profiles of observed deformational doublets was carried out taking into account both hyperfine and electron-deformation interactions. The width of the distribution function of random strains was estimated. The main sources of random strains in YAl3(BO3)4:Pr3+ crystals are discussed.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结晶度对手性钙钛矿圆二色性和线性二色性信号的影响</w:t>
      </w:r>
    </w:p>
    <w:p>
      <w:r>
        <w:rPr>
          <w:rFonts w:ascii="Times New Roman" w:hAnsi="Times New Roman" w:eastAsia="宋体"/>
          <w:b/>
          <w:color w:val="003264"/>
          <w:sz w:val="24"/>
        </w:rPr>
        <w:t>Impact of crystallinity on the circular and linear dichroism signals in chiral perovskite</w:t>
      </w:r>
    </w:p>
    <w:p>
      <w:r>
        <w:rPr>
          <w:rFonts w:ascii="Times New Roman" w:hAnsi="Times New Roman" w:eastAsia="宋体"/>
          <w:sz w:val="21"/>
        </w:rPr>
        <w:t>作者: Wanyi Nie</w:t>
        <w:br/>
      </w:r>
      <w:r>
        <w:rPr>
          <w:rFonts w:ascii="Times New Roman" w:hAnsi="Times New Roman" w:eastAsia="宋体"/>
          <w:sz w:val="21"/>
        </w:rPr>
        <w:t xml:space="preserve">时间: 2026-02-06T22:31:01Z | </w:t>
      </w:r>
      <w:r>
        <w:t xml:space="preserve">链接: </w:t>
      </w:r>
      <w:hyperlink r:id="rId74">
        <w:r>
          <w:rPr>
            <w:rFonts w:ascii="Times New Roman" w:hAnsi="Times New Roman" w:eastAsia="宋体"/>
            <w:color w:val="0000FF"/>
            <w:sz w:val="21"/>
            <w:u w:val="single"/>
          </w:rPr>
          <w:t>https://arxiv.org/abs/2602.07236v1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手性钙钛矿由于其破缺镜面对称性，表现出对圆偏振光的选择性吸收，表现出强烈的圆二色性（CD）。 CD 光谱一直是了解手性钙钛矿以及这些半导体如何在分子水平上实现手性的关键技术。然而，关于观察到的 CD 是手性晶体结构固有的还是受外在现象特别是线性二色性 (LD) 和线性双折射 (LB) 效应的调节，存在争议。这项工作通过深入研究 LD 和 LB 对观察到的 CD 信号的贡献，研究了 $(R-/S-\text{MBA})_2\mathrm{CuCl}_4$ (MBA = 甲基苄基铵) 系列的手性光学性质。高度取向和随机取向薄膜的比较显示出 LD 和 LB 对观察到的 CD 的显着贡献，这是由取向相关的电场相互作用和局部各向异性引起的。随机和高度取向的薄膜都表现出不同的 CD 响应，其中 LD--LB 效应在高度取向的薄膜中主要主导 CD。观察到的 CD 信号明显转变为吸收边缘以下 ($\sim 430$ nm) 区域和特征展宽，揭示了这一点。我们的研究结果表明，仔细考虑晶体取向和结构效应对于正确解释手性钙钛矿薄膜中的圆二色光谱是必要的。</w:t>
      </w:r>
    </w:p>
    <w:p>
      <w:pPr>
        <w:spacing w:before="120"/>
      </w:pPr>
      <w:r>
        <w:rPr>
          <w:rFonts w:ascii="Times New Roman" w:hAnsi="Times New Roman" w:eastAsia="宋体"/>
          <w:b/>
          <w:sz w:val="21"/>
        </w:rPr>
        <w:t>English Abstract:</w:t>
      </w:r>
    </w:p>
    <w:p>
      <w:r>
        <w:rPr>
          <w:rFonts w:ascii="Times New Roman" w:hAnsi="Times New Roman" w:eastAsia="宋体"/>
          <w:sz w:val="21"/>
        </w:rPr>
        <w:t>Chiral perovskites owing to their broken mirror symmetry exhibit selective absorption of circularly polarized light manifesting a strong circular dichroism (CD). CD spectroscopy has been a key technique to understand chiral perovskites and how these semiconductors achieve chirality at the molecular level. However, there is a debate on whether the observed CD is intrinsic to the chiral crystal structures or is modulated by extrinsic phenomena particularly linear dichroism (LD) and linear birefringence (LB) effects. This work investigates the chiroptical properties of $(R-/S-\text{MBA})_2\mathrm{CuCl}_4$ (MBA = Methylbenzyl ammonium) series by thoroughly studying the contribution from LD and LB to the observed CD signals. The comparison of highly oriented and randomly oriented films exhibits notable LD and LB contributions to the observed CD, which are caused by orientation-dependent electric-field interactions and local anisotropy. Both randomly and highly oriented films exhibit distinct CD responses, with LD--LB effects largely dominating the CD in highly oriented films. This has been revealed by the obvious shift in the observed CD signals to the below-absorption-edge ($\sim 430$ nm) regime and broadening of features. Our findings demonstrate that careful consideration of crystal orientation and structural effects is necessary for appropriate interpretation of CD spectra in chiral perovskite thin films.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使用铌酸锂纳米光子波导实现超过 100 THz 的可见双梳光谱</w:t>
      </w:r>
    </w:p>
    <w:p>
      <w:r>
        <w:rPr>
          <w:rFonts w:ascii="Times New Roman" w:hAnsi="Times New Roman" w:eastAsia="宋体"/>
          <w:b/>
          <w:color w:val="003264"/>
          <w:sz w:val="24"/>
        </w:rPr>
        <w:t>Visible dual-comb spectroscopy across more than 100 THz with lithium niobate nanophotonic waveguides</w:t>
      </w:r>
    </w:p>
    <w:p>
      <w:r>
        <w:rPr>
          <w:rFonts w:ascii="Times New Roman" w:hAnsi="Times New Roman" w:eastAsia="宋体"/>
          <w:sz w:val="21"/>
        </w:rPr>
        <w:t>作者: Scott A. Diddams</w:t>
        <w:br/>
      </w:r>
      <w:r>
        <w:rPr>
          <w:rFonts w:ascii="Times New Roman" w:hAnsi="Times New Roman" w:eastAsia="宋体"/>
          <w:sz w:val="21"/>
        </w:rPr>
        <w:t xml:space="preserve">时间: 2026-02-06T22:32:52Z | </w:t>
      </w:r>
      <w:r>
        <w:t xml:space="preserve">链接: </w:t>
      </w:r>
      <w:hyperlink r:id="rId75">
        <w:r>
          <w:rPr>
            <w:rFonts w:ascii="Times New Roman" w:hAnsi="Times New Roman" w:eastAsia="宋体"/>
            <w:color w:val="0000FF"/>
            <w:sz w:val="21"/>
            <w:u w:val="single"/>
          </w:rPr>
          <w:t>https://arxiv.org/abs/2602.07239v1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可见光和紫外线的宽带和高分辨率光谱是基础量子物理、生物学、大气科学和天文学等多个领域进步的核心。传统上，这些测量是通过使用非相干光源的光栅或傅里叶变换光谱仪来执行的。利用相干光可以实现强大的基于频率梳的技术，但受到从相对窄带和光谱遥远的激光源有效生成宽光谱带宽的技术复杂性的限制。当前的可见双梳光谱仪需要在光学带宽、实验简单性和采集速度之间进行隐式折衷。在这项工作中，我们介绍了一种简单高效的双梳光谱仪，可通过薄膜铌酸锂 (TFLN) 纳米光子波导将强大的 Er:光纤频率梳从近红外转换为紫外和可见光。使用实时信号处理，我们以 100 MHz 光谱分辨率检索可见光中近 120 THz 同步带宽的相干平均双梳光谱。借助这些功能，我们测量了分子碘 (I2) 的宽带吸收光谱，展示了迄今为止双梳光谱仪最宽的可见光谱覆盖范围。对 NO2、原子铷和原子钠的额外测量进一步说明了光谱带宽、分辨率和固有频率精度的可实现组合。我们的结果证明了低功率频率梳、非线性纳米光子学和数字信号处理的强大集成，能够以紧凑、高效和通用的方法对紫外-可见和近红外光谱区域中 500 THz 的复杂吸收光谱进行高分辨率映射，适用于研究实验室之外的多种应用</w:t>
      </w:r>
    </w:p>
    <w:p>
      <w:pPr>
        <w:spacing w:before="120"/>
      </w:pPr>
      <w:r>
        <w:rPr>
          <w:rFonts w:ascii="Times New Roman" w:hAnsi="Times New Roman" w:eastAsia="宋体"/>
          <w:b/>
          <w:sz w:val="21"/>
        </w:rPr>
        <w:t>English Abstract:</w:t>
      </w:r>
    </w:p>
    <w:p>
      <w:r>
        <w:rPr>
          <w:rFonts w:ascii="Times New Roman" w:hAnsi="Times New Roman" w:eastAsia="宋体"/>
          <w:sz w:val="21"/>
        </w:rPr>
        <w:t>Broadband and high-resolution spectroscopy in the visible and ultraviolet is central to advances in multiple fields, including fundamental quantum physics, biology, atmospheric science and astronomy. Traditionally, these measurements are performed with grating or Fourier-transform spectrometers using incoherent light sources. Leveraging coherent light enables powerful frequency-comb-based techniques, but is limited by the technical complexity of efficiently generating broad spectral bandwidths from relatively narrowband and spectrally distant laser sources. Current visible dual-comb spectrometers require implicit compromises between optical bandwidth, experimental simplicity, and acquisition speed. In this work, we introduce a simple and efficient dual-comb spectrometer that converts robust Er:fiber frequency combs from the near-infrared to the ultraviolet and visible with thin-film lithium niobate (TFLN) nanophotonic waveguides. Using real-time signal processing, we retrieve coherently averaged dual-comb spectra over nearly 120 THz of simultaneous bandwidth in the visible with 100 MHz spectral resolution. With these capabilities, we measure the broadband absorption spectrum of molecular iodine (I2), demonstrating the broadest visible spectral coverage of a dual-comb spectrometer to date. Additional measurements of NO2, atomic rubidium, and atomic sodium further illustrate the achievable combination of spectroscopic bandwidth, resolution, and intrinsic frequency accuracy. Our results demonstrate the powerful integration of low-power frequency combs, nonlinear nanophotonics, and digital signal processing to enable a compact, efficient and versatile approach to high-resolution mapping of complex absorption spectra across 500 THz in the UV-visible and near-infrared spectral regions for multiple applications beyond the research lab</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排出势中束缚态的连续谱</w:t>
      </w:r>
    </w:p>
    <w:p>
      <w:r>
        <w:rPr>
          <w:rFonts w:ascii="Times New Roman" w:hAnsi="Times New Roman" w:eastAsia="宋体"/>
          <w:b/>
          <w:color w:val="003264"/>
          <w:sz w:val="24"/>
        </w:rPr>
        <w:t>The continuous spectrum of bound states in expulsive potentials</w:t>
      </w:r>
    </w:p>
    <w:p>
      <w:r>
        <w:rPr>
          <w:rFonts w:ascii="Times New Roman" w:hAnsi="Times New Roman" w:eastAsia="宋体"/>
          <w:sz w:val="21"/>
        </w:rPr>
        <w:t>作者: E. G. Charalampidis</w:t>
        <w:br/>
      </w:r>
      <w:r>
        <w:rPr>
          <w:rFonts w:ascii="Times New Roman" w:hAnsi="Times New Roman" w:eastAsia="宋体"/>
          <w:sz w:val="21"/>
        </w:rPr>
        <w:t xml:space="preserve">时间: 2026-02-07T00:10:49Z | </w:t>
      </w:r>
      <w:r>
        <w:t xml:space="preserve">链接: </w:t>
      </w:r>
      <w:hyperlink r:id="rId76">
        <w:r>
          <w:rPr>
            <w:rFonts w:ascii="Times New Roman" w:hAnsi="Times New Roman" w:eastAsia="宋体"/>
            <w:color w:val="0000FF"/>
            <w:sz w:val="21"/>
            <w:u w:val="single"/>
          </w:rPr>
          <w:t>https://arxiv.org/abs/2602.07281v1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与陡峭的排斥势使量子态广泛离域的普遍直觉相反，我们证明一维和二维（1D 和 2D）薛定谔方程，其中包括 \emph{比二次}（反谐波振荡器）方程更陡的排斥势，产生 \emph{可归一化}（有效局域化）本征态。这些状态在一维和二维情况下都构成完整的连续光谱。在一维中，这些是空间偶数和奇数本征态。二维状态可以携带任何涡量值（又名磁量子数）。通过分析推导了远离中心有效的一维和二维本征态波函数的渐近近似，证明与数值上找到的对应物具有良好的一致性。在二维情况下获得了涡旋状态的特殊精确解。这些发现表明连续体中束缚态概念在量子力学和近轴光子学中的扩展。 Gross-Pitaevskii 方程被视为一维和二维设置的非线性扩展。在一维中，三次非线性使本征态发生轻微变形，从而保持其稳定性。另一方面，一维模型的光子版本中出现的五次自聚焦项会引发范数超过临界值的状态的动态崩溃。</w:t>
      </w:r>
    </w:p>
    <w:p>
      <w:pPr>
        <w:spacing w:before="120"/>
      </w:pPr>
      <w:r>
        <w:rPr>
          <w:rFonts w:ascii="Times New Roman" w:hAnsi="Times New Roman" w:eastAsia="宋体"/>
          <w:b/>
          <w:sz w:val="21"/>
        </w:rPr>
        <w:t>English Abstract:</w:t>
      </w:r>
    </w:p>
    <w:p>
      <w:r>
        <w:rPr>
          <w:rFonts w:ascii="Times New Roman" w:hAnsi="Times New Roman" w:eastAsia="宋体"/>
          <w:sz w:val="21"/>
        </w:rPr>
        <w:t>On the contrary to the common intuition that a steep expulsive potential makes quantum states widely delocalized, we demonstrate that one- and two-dimensional (1D and 2D) Schrödinger equations, which include expulsive potentials that are \emph{steeper than the quadratic} (anti-harmonic-oscillator) ones, give rise to \emph{normalizable} (effectively localized) eigenstates. These states constitute full continuous spectra in the 1D and 2D cases alike. In 1D, these are spatially even and odd eigenstates. The 2D states may carry any value of the vorticity (alias magnetic quantum number). Asymptotic approximations for wave functions of the 1D and 2D eigenstates, valid far from the center, are derived analytically, demonstrating excellent agreement with numerically found counterparts. Special exact solutions for vortex states are obtained in the 2D case. These findings suggest an extension of the concept of bound states in the continuum, in quantum mechanics and paraxial photonics. Gross-Pitaevskii equations are considered as the nonlinear extension of the 1D and 2D settings. In 1D, the cubic nonlinearity slightly deforms the eigenstates, maintaining their stability. On the other hand, the quintic self-focusing term, which occurs in the photonic version of the 1D model, initiates the dynamical collapse of states whose norm exceeds a critical value.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高通量原位制造纤维膜可实现可扩展的被动辐射冷却</w:t>
      </w:r>
    </w:p>
    <w:p>
      <w:r>
        <w:rPr>
          <w:rFonts w:ascii="Times New Roman" w:hAnsi="Times New Roman" w:eastAsia="宋体"/>
          <w:b/>
          <w:color w:val="003264"/>
          <w:sz w:val="24"/>
        </w:rPr>
        <w:t>High-Throughput In-Situ Fabrication of Fibrous Membranes Enables Scalable Passive Radiative Cooling</w:t>
      </w:r>
    </w:p>
    <w:p>
      <w:r>
        <w:rPr>
          <w:rFonts w:ascii="Times New Roman" w:hAnsi="Times New Roman" w:eastAsia="宋体"/>
          <w:sz w:val="21"/>
        </w:rPr>
        <w:t>作者: Yuehui Lu</w:t>
        <w:br/>
      </w:r>
      <w:r>
        <w:rPr>
          <w:rFonts w:ascii="Times New Roman" w:hAnsi="Times New Roman" w:eastAsia="宋体"/>
          <w:sz w:val="21"/>
        </w:rPr>
        <w:t xml:space="preserve">时间: 2026-02-07T03:01:04Z | </w:t>
      </w:r>
      <w:r>
        <w:t xml:space="preserve">链接: </w:t>
      </w:r>
      <w:hyperlink r:id="rId77">
        <w:r>
          <w:rPr>
            <w:rFonts w:ascii="Times New Roman" w:hAnsi="Times New Roman" w:eastAsia="宋体"/>
            <w:color w:val="0000FF"/>
            <w:sz w:val="21"/>
            <w:u w:val="single"/>
          </w:rPr>
          <w:t>https://arxiv.org/abs/2602.07328v1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大型且不规则的表面上部署用于被动日间辐射冷却（PDRC）的纤维膜是非常理想的，但由于传统静电纺丝中沉积速率缓慢且需要导电基材，因此仍然具有挑战性。在这里，我们展示了一种通过溶液吹纺纺丝制造纳米复合材料 PDRC 纤维膜的高通量原位策略。该方法的沉积速率比静电纺丝快 8-12 倍，并且可以直接应用于非平面、非导电物体。由此产生的膜由嵌入 Y2O3 纳米粒子的苯乙烯-乙烯-丁烯-苯乙烯 (SEBS) 纤维组成，可在室外实现高达 7.0 °C 的低于环境温度的冷却，有效延迟冰融化。此外，通过简单的清洁、溶解和再加工，它们可以完全回收利用。这种可扩展且可持续的制造路线提供了一个多功能且实用的平台，用于在不同的表面上集成 PDRC 纤维膜，为现实世界的热管理应用铺平了道路。</w:t>
      </w:r>
    </w:p>
    <w:p>
      <w:pPr>
        <w:spacing w:before="120"/>
      </w:pPr>
      <w:r>
        <w:rPr>
          <w:rFonts w:ascii="Times New Roman" w:hAnsi="Times New Roman" w:eastAsia="宋体"/>
          <w:b/>
          <w:sz w:val="21"/>
        </w:rPr>
        <w:t>English Abstract:</w:t>
      </w:r>
    </w:p>
    <w:p>
      <w:r>
        <w:rPr>
          <w:rFonts w:ascii="Times New Roman" w:hAnsi="Times New Roman" w:eastAsia="宋体"/>
          <w:sz w:val="21"/>
        </w:rPr>
        <w:t>Deploying fibrous membranes for passive daytime radiative cooling (PDRC) on large and irregular surfaces is highly desirable but remains challenging, owing to the slow deposition rates and the need for electrically conductive substrates in conventional electrospinning. Here, we demonstrate a high-throughput in-situ strategy for fabricating nanocomposite PDRC fibrous membranes via solution blow spinning. This method achieves deposition rates 8-12 times faster than electrospinning and can be applied directly onto nonplanar, nonconductive objects. The resulting membranes, composed of styrene-ethylene-butylene-styrene (SEBS) fibers embedded with Y2O3 nanoparticles, achieve sub-ambient cooling of up to 7.0 °C outdoors, effectively delaying ice melting. Moreover, they are fully recyclable through simple cleaning, dissolution, and reprocessing. This scalable and sustainable fabrication route provides a versatile and practical platform for integrating PDRC fibrous membranes across diverse surfaces, paving the way toward real-world thermal management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具有亚赫兹梳线宽的宽带太赫兹梳</w:t>
      </w:r>
    </w:p>
    <w:p>
      <w:r>
        <w:rPr>
          <w:rFonts w:ascii="Times New Roman" w:hAnsi="Times New Roman" w:eastAsia="宋体"/>
          <w:b/>
          <w:color w:val="003264"/>
          <w:sz w:val="24"/>
        </w:rPr>
        <w:t>Broadband terahertz comb with sub-Hz comb linewidth</w:t>
      </w:r>
    </w:p>
    <w:p>
      <w:r>
        <w:rPr>
          <w:rFonts w:ascii="Times New Roman" w:hAnsi="Times New Roman" w:eastAsia="宋体"/>
          <w:sz w:val="21"/>
        </w:rPr>
        <w:t>作者: Heping Zeng</w:t>
        <w:br/>
      </w:r>
      <w:r>
        <w:rPr>
          <w:rFonts w:ascii="Times New Roman" w:hAnsi="Times New Roman" w:eastAsia="宋体"/>
          <w:sz w:val="21"/>
        </w:rPr>
        <w:t xml:space="preserve">时间: 2026-02-07T03:37:16Z | </w:t>
      </w:r>
      <w:r>
        <w:t xml:space="preserve">链接: </w:t>
      </w:r>
      <w:hyperlink r:id="rId78">
        <w:r>
          <w:rPr>
            <w:rFonts w:ascii="Times New Roman" w:hAnsi="Times New Roman" w:eastAsia="宋体"/>
            <w:color w:val="0000FF"/>
            <w:sz w:val="21"/>
            <w:u w:val="single"/>
          </w:rPr>
          <w:t>https://arxiv.org/abs/2602.07337v1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太赫兹 (THz) 频率梳对于光谱学、计量学和量子科学越来越重要。然而，生成密集的均匀间隔的超窄太赫兹梳状线阵列具有挑战性。在这里，我们演示了使用光电导天线产生宽带太赫兹梳，该天线将噪声抑制的近红外电光（EO）梳传输到太赫兹域。我们的噪声抑制策略利用孤子自频移和频谱滤波，有效抑制电光梳状相位噪声，而无需主动稳定。由此产生的太赫兹梳具有宽光谱覆盖范围（0.05-4太赫兹）、窄梳线宽（傅里叶变换极限为0.3赫兹）和出色的频率稳定性（1秒积分时为8.6*10^-14）。我们进一步演示了异步太赫兹时域光谱，可解析约 36,000 条间隔为 50 MHz 的梳状线。至关重要的是，电光梳固有的频率捷变性能够实现太赫兹梳线间距的快速、大范围调整。这些属性使我们的太赫兹梳成为高分辨率分子光谱和精密太赫兹计量学的多功能工具。</w:t>
      </w:r>
    </w:p>
    <w:p>
      <w:pPr>
        <w:spacing w:before="120"/>
      </w:pPr>
      <w:r>
        <w:rPr>
          <w:rFonts w:ascii="Times New Roman" w:hAnsi="Times New Roman" w:eastAsia="宋体"/>
          <w:b/>
          <w:sz w:val="21"/>
        </w:rPr>
        <w:t>English Abstract:</w:t>
      </w:r>
    </w:p>
    <w:p>
      <w:r>
        <w:rPr>
          <w:rFonts w:ascii="Times New Roman" w:hAnsi="Times New Roman" w:eastAsia="宋体"/>
          <w:sz w:val="21"/>
        </w:rPr>
        <w:t>Terahertz (THz) frequency combs are increasingly essential for spectroscopy, metrology, and quantum science. However, generating a dense array of evenly spaced ultra-narrow THz comb lines is challenging. Here, we demonstrate broadband THz comb generation using a photoconductive antenna that transfers a noise-suppressed near-infrared electro-optical (EO) comb into the THz domain. Our noise-suppression strategy, leveraging soliton self-frequency shift and spectral filtering, effectively suppresses EO comb phase noise without requiring active stabilization. The resulting THz comb exhibits broad spectral coverage (0.05-4 THz), narrow comb linewidths (0.3 Hz at the Fourier-transform limit), and excellent frequency stability (8.6*10^-14 at 1-second integration). We further demonstrate asynchronous THz time-domain spectroscopy, resolving ~36,000 comb lines with 50 MHz spacing. Crucially, the inherent frequency agility of the EO comb enables rapid and wide-range tuning of the THz comb line spacing. These attributes position our THz comb as a versatile tool for high-resolution molecular spectroscopy and precision THz metrology.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具有可饱和非线性的渐变折射率光纤内的光束传播</w:t>
      </w:r>
    </w:p>
    <w:p>
      <w:r>
        <w:rPr>
          <w:rFonts w:ascii="Times New Roman" w:hAnsi="Times New Roman" w:eastAsia="宋体"/>
          <w:b/>
          <w:color w:val="003264"/>
          <w:sz w:val="24"/>
        </w:rPr>
        <w:t>Optical beam propagation inside a graded-index fiber with saturable nonlinearity</w:t>
      </w:r>
    </w:p>
    <w:p>
      <w:r>
        <w:rPr>
          <w:rFonts w:ascii="Times New Roman" w:hAnsi="Times New Roman" w:eastAsia="宋体"/>
          <w:sz w:val="21"/>
        </w:rPr>
        <w:t>作者: Govind P. Agrawal</w:t>
        <w:br/>
      </w:r>
      <w:r>
        <w:rPr>
          <w:rFonts w:ascii="Times New Roman" w:hAnsi="Times New Roman" w:eastAsia="宋体"/>
          <w:sz w:val="21"/>
        </w:rPr>
        <w:t xml:space="preserve">时间: 2026-02-07T07:30:15Z | </w:t>
      </w:r>
      <w:r>
        <w:t xml:space="preserve">链接: </w:t>
      </w:r>
      <w:hyperlink r:id="rId79">
        <w:r>
          <w:rPr>
            <w:rFonts w:ascii="Times New Roman" w:hAnsi="Times New Roman" w:eastAsia="宋体"/>
            <w:color w:val="0000FF"/>
            <w:sz w:val="21"/>
            <w:u w:val="single"/>
          </w:rPr>
          <w:t>https://arxiv.org/abs/2602.07416v1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从理论上研究了表现出可饱和非线性的渐变折射率光纤内光束的空间演化。利用基于变分原理的方法，我们确定了这种非线性介质内存在双稳态空间孤子，通过线性稳定性分析分析其稳定性是由于非线性的饱和性质。空间孤子遵循特定的幅度-宽度关系。与此关系的任何偏差都会导致振荡型解，其周期随着非线性饱和度的增加而增加。这一时期的理论计算值与数值结果非常吻合。</w:t>
      </w:r>
    </w:p>
    <w:p>
      <w:pPr>
        <w:spacing w:before="120"/>
      </w:pPr>
      <w:r>
        <w:rPr>
          <w:rFonts w:ascii="Times New Roman" w:hAnsi="Times New Roman" w:eastAsia="宋体"/>
          <w:b/>
          <w:sz w:val="21"/>
        </w:rPr>
        <w:t>English Abstract:</w:t>
      </w:r>
    </w:p>
    <w:p>
      <w:r>
        <w:rPr>
          <w:rFonts w:ascii="Times New Roman" w:hAnsi="Times New Roman" w:eastAsia="宋体"/>
          <w:sz w:val="21"/>
        </w:rPr>
        <w:t>We study theoretically the spatial evolution of optical beams inside a graded-index fiber exhibiting saturable nonlinearity. Utilizing an approach based on the variational principle, we identify the existence of bistable spatial solitons inside such a nonlinear medium, whose stability, analyzed through a linear stability analysis, is due to the saturating nature of the nonlinearity. Spatial solitons adhere to a specific amplitude-width relationship. Any deviation from this relationship leads to oscillating-type solutions with a period that increases with saturation level of the nonlinearity. Theoretically calculated values of this period agree well with numerical findings.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低品质因数悬浮微磁体基态冷却的挤压增强双通道干扰</w:t>
      </w:r>
    </w:p>
    <w:p>
      <w:r>
        <w:rPr>
          <w:rFonts w:ascii="Times New Roman" w:hAnsi="Times New Roman" w:eastAsia="宋体"/>
          <w:b/>
          <w:color w:val="003264"/>
          <w:sz w:val="24"/>
        </w:rPr>
        <w:t>Squeezing-enhanced dual-channel interference for ground-state cooling of a levitated micromagnet with low quality factor</w:t>
      </w:r>
    </w:p>
    <w:p>
      <w:r>
        <w:rPr>
          <w:rFonts w:ascii="Times New Roman" w:hAnsi="Times New Roman" w:eastAsia="宋体"/>
          <w:sz w:val="21"/>
        </w:rPr>
        <w:t>作者: Zhi-Rong Zhong</w:t>
        <w:br/>
      </w:r>
      <w:r>
        <w:rPr>
          <w:rFonts w:ascii="Times New Roman" w:hAnsi="Times New Roman" w:eastAsia="宋体"/>
          <w:sz w:val="21"/>
        </w:rPr>
        <w:t xml:space="preserve">时间: 2026-02-07T13:00:35Z | </w:t>
      </w:r>
      <w:r>
        <w:t xml:space="preserve">链接: </w:t>
      </w:r>
      <w:hyperlink r:id="rId80">
        <w:r>
          <w:rPr>
            <w:rFonts w:ascii="Times New Roman" w:hAnsi="Times New Roman" w:eastAsia="宋体"/>
            <w:color w:val="0000FF"/>
            <w:sz w:val="21"/>
            <w:u w:val="single"/>
          </w:rPr>
          <w:t>https://arxiv.org/abs/2602.07531v1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将宏观振荡器的质心 (CM) 运动冷却至其量子基态是在宏观尺度上测试量子力学的基本先决条件。然而，目前对超高机械品质因数 ($Q_c$) 的严格要求阻碍了这一目标的实现。在这里，我们提出了一种基于混合悬浮腔磁力机械系统内挤压增强量子干涉的双通道冷却方案，以克服这一限制。通过协同挤压效应与磁振子-CM 和腔-CM 通道之间的量子干涉，我们的方案同时抑制斯托克斯（加热）散射，同时增强反斯托克斯（冷却）散射。〜我们证明，这种冷却机制将基态冷却所需的临界 $Q_c$ 降低了三个数量级，使其可以在 $Q_c \sim 10^4$ 的实验可访问范围内实现。此外，与传统单通道冷却相比，净冷却速率提高了近180倍。这一改进伴随着稳态 CM 占用率和冷却时间减少两个数量级。重要的是，即使在未解析的边带区域深处，这种增强的性能仍然保持强劲。我们的研究结果为通过主动控制冷却动力学来制备宏观量子态提供了一条可行的途径，从而放宽了对固有材料性能的限制。</w:t>
      </w:r>
    </w:p>
    <w:p>
      <w:pPr>
        <w:spacing w:before="120"/>
      </w:pPr>
      <w:r>
        <w:rPr>
          <w:rFonts w:ascii="Times New Roman" w:hAnsi="Times New Roman" w:eastAsia="宋体"/>
          <w:b/>
          <w:sz w:val="21"/>
        </w:rPr>
        <w:t>English Abstract:</w:t>
      </w:r>
    </w:p>
    <w:p>
      <w:r>
        <w:rPr>
          <w:rFonts w:ascii="Times New Roman" w:hAnsi="Times New Roman" w:eastAsia="宋体"/>
          <w:sz w:val="21"/>
        </w:rPr>
        <w:t>Cooling the center-of-mass (CM) motion of a macroscopic oscillator to its quantum ground state is a fundamental prerequisite for testing quantum mechanics at macroscopic scales. However, achieving this goal is currently hindered by the stringent requirement for an ultrahigh mechanical quality factor ($Q_c$). Here, we propose a dual-channel cooling scheme based on squeezing-enhanced quantum interference within a hybrid levitated cavity-magnomechanical system to overcome this limitation. By synergizing squeezing effects with quantum interference between the magnon-CM and cavity-CM channels, our scheme simultaneously suppresses Stokes (heating) scattering while enhancing anti-Stokes (cooling) scattering.~We demonstrate that this cooling mechanism reduces the critical $Q_c$ required for ground-state cooling by three orders of magnitude, making it achievable in the experimentally accessible regime of $Q_c \sim 10^4$. Furthermore, the net cooling rate is enhanced by nearly 180-fold compared to that of conventional single-channel cooling. This improvement is accompanied by a two orders of magnitude reduction in both the steady-state CM occupancy and the cooling time. Importantly, this enhanced performance remains robust even deep within the unresolved-sideband regime. Our results provide a feasible path toward preparing macroscopic quantum states by actively controlling the cooling dynamics, thereby relaxing the constraints on intrinsic material properties.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用于基于 NV 的传感应用的光纤中自发荧光的表征</w:t>
      </w:r>
    </w:p>
    <w:p>
      <w:r>
        <w:rPr>
          <w:rFonts w:ascii="Times New Roman" w:hAnsi="Times New Roman" w:eastAsia="宋体"/>
          <w:b/>
          <w:color w:val="003264"/>
          <w:sz w:val="24"/>
        </w:rPr>
        <w:t>Characterization of Autofluorescence in Optical Fibers for NV-based Sensing Applications</w:t>
      </w:r>
    </w:p>
    <w:p>
      <w:r>
        <w:rPr>
          <w:rFonts w:ascii="Times New Roman" w:hAnsi="Times New Roman" w:eastAsia="宋体"/>
          <w:sz w:val="21"/>
        </w:rPr>
        <w:t>作者: Artur Widera</w:t>
        <w:br/>
      </w:r>
      <w:r>
        <w:rPr>
          <w:rFonts w:ascii="Times New Roman" w:hAnsi="Times New Roman" w:eastAsia="宋体"/>
          <w:sz w:val="21"/>
        </w:rPr>
        <w:t xml:space="preserve">时间: 2026-02-07T13:19:58Z | </w:t>
      </w:r>
      <w:r>
        <w:t xml:space="preserve">链接: </w:t>
      </w:r>
      <w:hyperlink r:id="rId81">
        <w:r>
          <w:rPr>
            <w:rFonts w:ascii="Times New Roman" w:hAnsi="Times New Roman" w:eastAsia="宋体"/>
            <w:color w:val="0000FF"/>
            <w:sz w:val="21"/>
            <w:u w:val="single"/>
          </w:rPr>
          <w:t>https://arxiv.org/abs/2602.07536v1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纤对于各种传感应用中的光引导至关重要。特别是对于量子传感器，例如金刚石中的氮空位（NV）中心，它们可以实现光控制和设备小型化。然而，光纤内的荧光和散射（通常称为光纤背景、自发荧光或自发光）可能与 NV 中心的荧光在光谱上重叠，从而降低信噪比，从而限制传感器灵敏度。在这里，我们研究了标准光纤的光谱，考虑了材料依赖性、物理影响及其荧光随激发功率和波长的变化。我们的结果识别了光谱成分和光纤类型，将不需要的背景信号降至最低，从而指导选择用于基于 NV 的量子传感的最佳光纤。</w:t>
      </w:r>
    </w:p>
    <w:p>
      <w:pPr>
        <w:spacing w:before="120"/>
      </w:pPr>
      <w:r>
        <w:rPr>
          <w:rFonts w:ascii="Times New Roman" w:hAnsi="Times New Roman" w:eastAsia="宋体"/>
          <w:b/>
          <w:sz w:val="21"/>
        </w:rPr>
        <w:t>English Abstract:</w:t>
      </w:r>
    </w:p>
    <w:p>
      <w:r>
        <w:rPr>
          <w:rFonts w:ascii="Times New Roman" w:hAnsi="Times New Roman" w:eastAsia="宋体"/>
          <w:sz w:val="21"/>
        </w:rPr>
        <w:t>Optical fibers are crucial for guiding light in various sensing applications. Especially for quantum sensors such as the nitrogen-vacancy (NV) center in diamond, they enable light control and device miniaturization. However, fluorescence and scattering within the fiber, often referred to as fiber background, autofluorescence, or autoluminescence, can overlap spectrally with the NV centers' fluorescence, degrading the signal-to-noise ratio and thus limiting sensor sensitivity. Here, we investigate the optical spectra of standard optical fibers, considering material dependencies, physical influences, and their fluorescence scaling with excitation power and wavelength. Our results identify spectral components and fiber types with minimal unwanted background signals, guiding the selection of optimal fibers for NV-based quantum sensing.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频闪非线性动力学：与时间无关的理论框架</w:t>
      </w:r>
    </w:p>
    <w:p>
      <w:r>
        <w:rPr>
          <w:rFonts w:ascii="Times New Roman" w:hAnsi="Times New Roman" w:eastAsia="宋体"/>
          <w:b/>
          <w:color w:val="003264"/>
          <w:sz w:val="24"/>
        </w:rPr>
        <w:t>Stroboscopic nonlinear dynamics: a time-independent theoretical framework</w:t>
      </w:r>
    </w:p>
    <w:p>
      <w:r>
        <w:rPr>
          <w:rFonts w:ascii="Times New Roman" w:hAnsi="Times New Roman" w:eastAsia="宋体"/>
          <w:sz w:val="21"/>
        </w:rPr>
        <w:t>作者: Jingjun Xu</w:t>
        <w:br/>
      </w:r>
      <w:r>
        <w:rPr>
          <w:rFonts w:ascii="Times New Roman" w:hAnsi="Times New Roman" w:eastAsia="宋体"/>
          <w:sz w:val="21"/>
        </w:rPr>
        <w:t xml:space="preserve">时间: 2026-02-07T16:08:47Z | </w:t>
      </w:r>
      <w:r>
        <w:t xml:space="preserve">链接: </w:t>
      </w:r>
      <w:hyperlink r:id="rId82">
        <w:r>
          <w:rPr>
            <w:rFonts w:ascii="Times New Roman" w:hAnsi="Times New Roman" w:eastAsia="宋体"/>
            <w:color w:val="0000FF"/>
            <w:sz w:val="21"/>
            <w:u w:val="single"/>
          </w:rPr>
          <w:t>https://arxiv.org/abs/2602.07600v1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的实验证明了通过时间调制操纵非线性相互作用的能力，从而产生了所谓的频闪非线性。然而迄今为止，这种现象尚未经过严格的理论分析。在这项工作中，我们阐明了频闪非线性动力学的物理机制，并在合适的调制条件下建立了有效的与时间无关的模型。所提出的模型几乎准确地再现了准稳态下的完全瞬态动力学，并且显着优于之前使用的经验描述。我们的结果提供了频闪非线性动力学的清晰物理图像，并建立了通​​过时间调制工程非线性相互作用的通用框架。</w:t>
      </w:r>
    </w:p>
    <w:p>
      <w:pPr>
        <w:spacing w:before="120"/>
      </w:pPr>
      <w:r>
        <w:rPr>
          <w:rFonts w:ascii="Times New Roman" w:hAnsi="Times New Roman" w:eastAsia="宋体"/>
          <w:b/>
          <w:sz w:val="21"/>
        </w:rPr>
        <w:t>English Abstract:</w:t>
      </w:r>
    </w:p>
    <w:p>
      <w:r>
        <w:rPr>
          <w:rFonts w:ascii="Times New Roman" w:hAnsi="Times New Roman" w:eastAsia="宋体"/>
          <w:sz w:val="21"/>
        </w:rPr>
        <w:t>Recent experiments have demonstrated the ability to manipulate nonlinear interactions via time modulation, giving rise to the so-called stroboscopic nonlinearity. To date, however, this phenomenon has not been subjected to a rigorous theoretical analysis. In this work, we elucidate the physical mechanism underlying stroboscopic nonlinear dynamics and establish an effective time-independent model under suitable modulation conditions. The proposed model almost exactly reproduces the full time-dependent dynamics in the quasi-steady state and significantly outperforms empirical descriptions used previously. Our results provide a clear physical picture of stroboscopic nonlinear dynamics and establish a general framework for engineering nonlinear interactions through temporal modulation.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来自平面化 Y 耦合太赫兹激光器的短锁模脉冲</w:t>
      </w:r>
    </w:p>
    <w:p>
      <w:r>
        <w:rPr>
          <w:rFonts w:ascii="Times New Roman" w:hAnsi="Times New Roman" w:eastAsia="宋体"/>
          <w:b/>
          <w:color w:val="003264"/>
          <w:sz w:val="24"/>
        </w:rPr>
        <w:t>Short mode-locked pulses from planarized Y-coupled THz lasers</w:t>
      </w:r>
    </w:p>
    <w:p>
      <w:r>
        <w:rPr>
          <w:rFonts w:ascii="Times New Roman" w:hAnsi="Times New Roman" w:eastAsia="宋体"/>
          <w:sz w:val="21"/>
        </w:rPr>
        <w:t>作者: Giacomo Scalari</w:t>
        <w:br/>
      </w:r>
      <w:r>
        <w:rPr>
          <w:rFonts w:ascii="Times New Roman" w:hAnsi="Times New Roman" w:eastAsia="宋体"/>
          <w:sz w:val="21"/>
        </w:rPr>
        <w:t xml:space="preserve">时间: 2026-02-07T18:13:02Z | </w:t>
      </w:r>
      <w:r>
        <w:t xml:space="preserve">链接: </w:t>
      </w:r>
      <w:hyperlink r:id="rId83">
        <w:r>
          <w:rPr>
            <w:rFonts w:ascii="Times New Roman" w:hAnsi="Times New Roman" w:eastAsia="宋体"/>
            <w:color w:val="0000FF"/>
            <w:sz w:val="21"/>
            <w:u w:val="single"/>
          </w:rPr>
          <w:t>https://arxiv.org/abs/2602.07649v1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太赫兹短脉冲对于这一电磁频谱欠发达区域的基础研究和实际应用都极具吸引力。通常，太赫兹脉冲是使用非线性光学方法生成的，从高功率可见光或近红外锁模源开始，但通常转换效率较低。在这里，我们提出了一种基于逆向设计的平面化 Y 耦合太赫兹量子级联激光器的主动锁模的直接片上相干短脉冲序列太赫兹源。通过采用非对称激光腔的准谐振微波调制，可生成短至 2.3 ps 的锁模脉冲，发射带宽在 2.9 THz 的中心频率下跨越 500 和 700 GHz。</w:t>
      </w:r>
    </w:p>
    <w:p>
      <w:pPr>
        <w:spacing w:before="120"/>
      </w:pPr>
      <w:r>
        <w:rPr>
          <w:rFonts w:ascii="Times New Roman" w:hAnsi="Times New Roman" w:eastAsia="宋体"/>
          <w:b/>
          <w:sz w:val="21"/>
        </w:rPr>
        <w:t>English Abstract:</w:t>
      </w:r>
    </w:p>
    <w:p>
      <w:r>
        <w:rPr>
          <w:rFonts w:ascii="Times New Roman" w:hAnsi="Times New Roman" w:eastAsia="宋体"/>
          <w:sz w:val="21"/>
        </w:rPr>
        <w:t>Short THz pulses are highly attractive both for fundamental research and practical applications in this underdeveloped region of the electromagnetic spectrum. Typically, THz pulses are generated using nonlinear optical methods, starting from a high-power visible or near-IR mode-locked source, but usually suffer from low conversion efficiencies. Here, we present a direct on-chip THz source of coherent short pulse trains based on active mode-locking of an inverse-designed planarized Y-coupled THz quantum cascade laser. By employing quasi-resonant microwave modulation of the asymmetric laser cavity, mode-locked pulses as short as 2.3 ps are generated, with emission bandwidths spanning 500 and 700 GHz at a central frequency of 2.9 THz.</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基于强度测量的太赫兹多光谱偏振成像</w:t>
      </w:r>
    </w:p>
    <w:p>
      <w:r>
        <w:rPr>
          <w:rFonts w:ascii="Times New Roman" w:hAnsi="Times New Roman" w:eastAsia="宋体"/>
          <w:b/>
          <w:color w:val="003264"/>
          <w:sz w:val="24"/>
        </w:rPr>
        <w:t>Terahertz multispectral polarimetric imaging based on intensity measurement</w:t>
      </w:r>
    </w:p>
    <w:p>
      <w:r>
        <w:rPr>
          <w:rFonts w:ascii="Times New Roman" w:hAnsi="Times New Roman" w:eastAsia="宋体"/>
          <w:sz w:val="21"/>
        </w:rPr>
        <w:t>作者: Francois Blanchard</w:t>
        <w:br/>
      </w:r>
      <w:r>
        <w:rPr>
          <w:rFonts w:ascii="Times New Roman" w:hAnsi="Times New Roman" w:eastAsia="宋体"/>
          <w:sz w:val="21"/>
        </w:rPr>
        <w:t xml:space="preserve">时间: 2026-02-07T18:33:07Z | </w:t>
      </w:r>
      <w:r>
        <w:t xml:space="preserve">链接: </w:t>
      </w:r>
      <w:hyperlink r:id="rId84">
        <w:r>
          <w:rPr>
            <w:rFonts w:ascii="Times New Roman" w:hAnsi="Times New Roman" w:eastAsia="宋体"/>
            <w:color w:val="0000FF"/>
            <w:sz w:val="21"/>
            <w:u w:val="single"/>
          </w:rPr>
          <w:t>https://arxiv.org/abs/2602.07657v1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使用偏振敏感频率选择表面 (PS-FSS) 和基于强度的快速检测演示了紧凑型太赫兹 (THz) 偏振光谱仪和成像系统。实时斯托克斯参数提取可实现线偏振角 (AoLP) 测量和 1 毫米厚 x 切割石英晶体（此处用作基准各向异性样品）双折射的定量检索。提取的双折射与基于太赫兹时域光谱的测量结果非常一致，验证了所提出的太赫兹偏振方法的准确性。 0.23-0.41 THz 范围内的信噪比 (SNR) 高达 87 dB，确保可靠地区分本底噪声之上的测量频谱分量。使用不同的 PS-FSS 方向（0°、45°、90° 和 135°）将此方法扩展到光栅扫描太赫兹成像，可以同时映射频率相关的斯托克斯参数。由此产生的线性偏振度 (DoLP) 和 AoLP 图表现出良好分辨的偏振对比度，与数值模拟和独立的可见光偏振测量一致。该系统完全无需场分辨检测或机械延迟阶段，为太赫兹偏振光谱和各向异性材料成像提供了一个强大而紧凑的平台。</w:t>
      </w:r>
    </w:p>
    <w:p>
      <w:pPr>
        <w:spacing w:before="120"/>
      </w:pPr>
      <w:r>
        <w:rPr>
          <w:rFonts w:ascii="Times New Roman" w:hAnsi="Times New Roman" w:eastAsia="宋体"/>
          <w:b/>
          <w:sz w:val="21"/>
        </w:rPr>
        <w:t>English Abstract:</w:t>
      </w:r>
    </w:p>
    <w:p>
      <w:r>
        <w:rPr>
          <w:rFonts w:ascii="Times New Roman" w:hAnsi="Times New Roman" w:eastAsia="宋体"/>
          <w:sz w:val="21"/>
        </w:rPr>
        <w:t>A compact terahertz (THz) polarimetric spectrometer and imaging system is demonstrated using polarization-sensitive frequency-selective surfaces (PS-FSS) and rapid, intensity-based detection. Real-time Stokes parameter extraction enables angle-of-linear-polarization (AoLP) measurements and quantitative retrieval of the birefringence of a 1-mm-thick x-cut quartz crystal, used here as a benchmark anisotropic sample. The extracted birefringence is in good agreement with THz time domain spectroscopy-based measurements, validating the accuracy of the proposed THz polarimetric approach. Signal-to-noise ratios (SNR) up to 87 dB across 0.23-0.41 THz ensure reliable discrimination of the measured spectral components above the noise floor. Extending this approach to raster-scanned THz imaging using distinct PS-FSS orientations (0°, 45°, 90°, and 135°) enables simultaneous mapping of frequency-dependent Stokes parameters. The resulting degree of linear polarization (DoLP) and AoLP maps exhibit well-resolved polarimetric contrast, consistent with numerical simulations and independent visible polarimetric measurements. Operating entirely without field-resolved detection or mechanical delay stages, the system provides a robust and compact platform for THz polarimetric spectroscopy and imaging of anisotropic materials.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用于无失真稳定和 Lamb-Dip 光谱的太赫兹合成 FM 三重态</w:t>
      </w:r>
    </w:p>
    <w:p>
      <w:r>
        <w:rPr>
          <w:rFonts w:ascii="Times New Roman" w:hAnsi="Times New Roman" w:eastAsia="宋体"/>
          <w:b/>
          <w:color w:val="003264"/>
          <w:sz w:val="24"/>
        </w:rPr>
        <w:t>Terahertz Synthetic FM Triplet for Distortion-Free Stabilization and Lamb-Dip Spectroscopy</w:t>
      </w:r>
    </w:p>
    <w:p>
      <w:r>
        <w:rPr>
          <w:rFonts w:ascii="Times New Roman" w:hAnsi="Times New Roman" w:eastAsia="宋体"/>
          <w:sz w:val="21"/>
        </w:rPr>
        <w:t>作者: Koichiro Tanaka</w:t>
        <w:br/>
      </w:r>
      <w:r>
        <w:rPr>
          <w:rFonts w:ascii="Times New Roman" w:hAnsi="Times New Roman" w:eastAsia="宋体"/>
          <w:sz w:val="21"/>
        </w:rPr>
        <w:t xml:space="preserve">时间: 2026-02-08T00:09:21Z | </w:t>
      </w:r>
      <w:r>
        <w:t xml:space="preserve">链接: </w:t>
      </w:r>
      <w:hyperlink r:id="rId85">
        <w:r>
          <w:rPr>
            <w:rFonts w:ascii="Times New Roman" w:hAnsi="Times New Roman" w:eastAsia="宋体"/>
            <w:color w:val="0000FF"/>
            <w:sz w:val="21"/>
            <w:u w:val="single"/>
          </w:rPr>
          <w:t>https://arxiv.org/abs/2602.07737v1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我们展示了一种使用“合成调频三重态”的无失真太赫兹频率稳定技术，以克服与分子钟中高密度谱线相关的调制边带干扰。通过将此方法应用于乙腈 (CH$_3$CN) 的旋转跃迁，我们成功地生成了干净的导数波形，不受线间干扰的影响，在平均时间为 $1~\mathrm{s}$ 时实现了 $1 \times 10^{-9}$ 的分数频率不稳定性。此外，我们报告了使用这种高保真方法对 Lamb-dips 的观察。我们的研究结果确立了乙腈作为高敏捷分子钟的有前途的候选者，并为具有复杂超精细结构的分子的精密光谱提供了可靠的解决方案。</w:t>
      </w:r>
    </w:p>
    <w:p>
      <w:pPr>
        <w:spacing w:before="120"/>
      </w:pPr>
      <w:r>
        <w:rPr>
          <w:rFonts w:ascii="Times New Roman" w:hAnsi="Times New Roman" w:eastAsia="宋体"/>
          <w:b/>
          <w:sz w:val="21"/>
        </w:rPr>
        <w:t>English Abstract:</w:t>
      </w:r>
    </w:p>
    <w:p>
      <w:r>
        <w:rPr>
          <w:rFonts w:ascii="Times New Roman" w:hAnsi="Times New Roman" w:eastAsia="宋体"/>
          <w:sz w:val="21"/>
        </w:rPr>
        <w:t>We demonstrate a distortion-free terahertz frequency stabilization technique using a "synthetic FM triplet" to overcome modulation sideband interference associated with high-density spectral lines in molecular clocks. By applying this method to the rotational transitions of acetonitrile (CH$_3$CN), we successfully generated clean derivative waveforms free from inter-line interference, achieving a fractional frequency instability of $1 \times 10^{-9}$ at an averaging time of $1~\mathrm{s}$. Furthermore, we report the observation of Lamb-dips using this high-fidelity approach. Our results establish acetonitrile as a promising candidate for high-agility molecular clocks and provide a robust solution for precision spectroscopy of molecules with complex hyperfine structures.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通过微谐振器锚定扫频激光器克服中红外光谱中的灵敏度与带宽权衡</w:t>
      </w:r>
    </w:p>
    <w:p>
      <w:r>
        <w:rPr>
          <w:rFonts w:ascii="Times New Roman" w:hAnsi="Times New Roman" w:eastAsia="宋体"/>
          <w:b/>
          <w:color w:val="003264"/>
          <w:sz w:val="24"/>
        </w:rPr>
        <w:t>Overcoming sensitivity-bandwidth trade-off in mid-infrared spectroscopy by a microresonator-anchored swept laser</w:t>
      </w:r>
    </w:p>
    <w:p>
      <w:r>
        <w:rPr>
          <w:rFonts w:ascii="Times New Roman" w:hAnsi="Times New Roman" w:eastAsia="宋体"/>
          <w:sz w:val="21"/>
        </w:rPr>
        <w:t>作者: Chengying Bao</w:t>
        <w:br/>
      </w:r>
      <w:r>
        <w:rPr>
          <w:rFonts w:ascii="Times New Roman" w:hAnsi="Times New Roman" w:eastAsia="宋体"/>
          <w:sz w:val="21"/>
        </w:rPr>
        <w:t xml:space="preserve">时间: 2026-02-08T01:31:37Z | </w:t>
      </w:r>
      <w:r>
        <w:t xml:space="preserve">链接: </w:t>
      </w:r>
      <w:hyperlink r:id="rId86">
        <w:r>
          <w:rPr>
            <w:rFonts w:ascii="Times New Roman" w:hAnsi="Times New Roman" w:eastAsia="宋体"/>
            <w:color w:val="0000FF"/>
            <w:sz w:val="21"/>
            <w:u w:val="single"/>
          </w:rPr>
          <w:t>https://arxiv.org/abs/2602.07757v1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光学频率梳彻底改变了高精度光谱，但光谱信噪比 (sSNR) 和测量带宽 ($B$) 之间的内在权衡从根本上限制了灵敏的宽带测量。虽然宽带扫频激光器提供了一种潜在的解决方案，但生成窄线宽的宽带、超快和线性扫频激光器仍然是一项重大挑战，特别是在指纹中红外 (mid-IR) 频段。在这里，我们通过使用微谐振器锚定超快扫描傅里叶域锁模（FDML）激光器进行中红外光谱克服了这一限制。我们引入了双微谐振器-锚点方法：微梳提供频率校准，高 Q 微谐振器解析瞬时 FDML 激光线形。该策略能够精确校正 FDML 激光器在近红外范围内的扫描非线性和宽线宽，从而使 FDML 激光器能够通过差频生成充当高保真中红外光。该系统实现了创纪录的 sSNR$\times$$B$ 1.3$\times$10$^5$ THz$\cdot \sqrt{\rm Hz}$ 和 9 ppb$\cdot$m$\cdot$$\sqrt{\rm s}$ 的甲烷传感精度，同时保留了 GHz 分辨率来区分甲烷同位素。我们进一步展示了中红外宽带、相干扫频激光相位光谱，可承受高达 78 dB 的损耗。这项工作利用集成光子学的进步来克服精密光谱的基本限制，为下一代宽带和超灵敏中红外光谱传感系统铺平道路。</w:t>
      </w:r>
    </w:p>
    <w:p>
      <w:pPr>
        <w:spacing w:before="120"/>
      </w:pPr>
      <w:r>
        <w:rPr>
          <w:rFonts w:ascii="Times New Roman" w:hAnsi="Times New Roman" w:eastAsia="宋体"/>
          <w:b/>
          <w:sz w:val="21"/>
        </w:rPr>
        <w:t>English Abstract:</w:t>
      </w:r>
    </w:p>
    <w:p>
      <w:r>
        <w:rPr>
          <w:rFonts w:ascii="Times New Roman" w:hAnsi="Times New Roman" w:eastAsia="宋体"/>
          <w:sz w:val="21"/>
        </w:rPr>
        <w:t>Optical frequency combs have revolutionized high-precision spectroscopy, yet an intrinsic trade-off between spectroscopic signal-to-noise ratio (sSNR) and measurement bandwidth ($B$) fundamentally constrains sensitive, broadband measurements. While broadband swept lasers offer a potential solution, generating broadband, ultrafast and linearly sweeping lasers with a narrow linewidth remains a significant challenge, particularly in the fingerprint mid-infrared (mid-IR) band. Here we overcome this limitation by using a microresonator-anchored ultrafast sweeping Fourier domain mode-locked (FDML) laser for mid-IR spectroscopy. We introduce a dual-microresonator-anchor approach: a microcomb provides frequency calibration and a high-Q microresonator resolves the instantaneous FDML lasing lineshape. The strategy enables accurate correction of the FDML laser's sweep nonlinearity and broad linewidth in the near-IR, allowing the FDML laser to function as a high-fidelity mid-IR light via difference frequency generation. The system achieves a record sSNR$\times$$B$ of 1.3$\times$10$^5$ THz$\cdot \sqrt{\rm Hz}$ and methane sensing precision of 9 ppb$\cdot$m$\cdot$$\sqrt{\rm s}$, while retaining GHz resolution to distinguish methane isotope. We further demonstrate broadband, coherent swept laser phase spectroscopy in the mid-IR, tolerating losses up to 78 dB. This work leverages advances in integrated photonics to overcome the fundamental limitations of precision spectroscopy, paving the way for next-generation, broadband, and ultra-sensitive mid-IR spectroscopic sensing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使用双光子显微镜和数字成像处理系统分析周期性极化铌酸锂波导中的铁电畴动力学</w:t>
      </w:r>
    </w:p>
    <w:p>
      <w:r>
        <w:rPr>
          <w:rFonts w:ascii="Times New Roman" w:hAnsi="Times New Roman" w:eastAsia="宋体"/>
          <w:b/>
          <w:color w:val="003264"/>
          <w:sz w:val="24"/>
        </w:rPr>
        <w:t>Systematic Analysis of Ferroelectric Domain Dynamics in Periodically Poled Lithium Niobate Waveguides Using Two-Photon Microscopy and Digital Imaging Processing</w:t>
      </w:r>
    </w:p>
    <w:p>
      <w:r>
        <w:rPr>
          <w:rFonts w:ascii="Times New Roman" w:hAnsi="Times New Roman" w:eastAsia="宋体"/>
          <w:sz w:val="21"/>
        </w:rPr>
        <w:t>作者: Dennis Prather</w:t>
        <w:br/>
      </w:r>
      <w:r>
        <w:rPr>
          <w:rFonts w:ascii="Times New Roman" w:hAnsi="Times New Roman" w:eastAsia="宋体"/>
          <w:sz w:val="21"/>
        </w:rPr>
        <w:t xml:space="preserve">时间: 2026-02-08T03:11:56Z | </w:t>
      </w:r>
      <w:r>
        <w:t xml:space="preserve">链接: </w:t>
      </w:r>
      <w:hyperlink r:id="rId87">
        <w:r>
          <w:rPr>
            <w:rFonts w:ascii="Times New Roman" w:hAnsi="Times New Roman" w:eastAsia="宋体"/>
            <w:color w:val="0000FF"/>
            <w:sz w:val="21"/>
            <w:u w:val="single"/>
          </w:rPr>
          <w:t>https://arxiv.org/abs/2602.07792v1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我们提出了一种适合批量生产的表征和分析方法，使用双光子 (2P) 显微镜和定量图像处理来表征和优化 x 切割薄膜周期性极化铌酸锂 (PPLN) 器件。该方法能够以非破坏性的方式直接提取大型设备组的关键结构参数，例如占空比、相位匹配行为和域均匀性。通过将 2P 显微镜衍生的结构指标与极化条件的系统变化相关联，我们建立了一种可扩展的图像驱动方法来评估和改进 PPLN 制造。由此产生的工作流程支持晶圆级工艺开发，并加速铌酸锂光子集成电路（PIC）的制造和封装。</w:t>
      </w:r>
    </w:p>
    <w:p>
      <w:pPr>
        <w:spacing w:before="120"/>
      </w:pPr>
      <w:r>
        <w:rPr>
          <w:rFonts w:ascii="Times New Roman" w:hAnsi="Times New Roman" w:eastAsia="宋体"/>
          <w:b/>
          <w:sz w:val="21"/>
        </w:rPr>
        <w:t>English Abstract:</w:t>
      </w:r>
    </w:p>
    <w:p>
      <w:r>
        <w:rPr>
          <w:rFonts w:ascii="Times New Roman" w:hAnsi="Times New Roman" w:eastAsia="宋体"/>
          <w:sz w:val="21"/>
        </w:rPr>
        <w:t>We present a characterization and analysis methodology suitable for volume production for characterizing and optimizing x-cut thin-film periodically poled lithium niobate (PPLN) devices using two-photon (2P) microscopy with quantitative image processing. This method enables direct extraction of key structural parameters, such as duty cycle, phase-matching behavior, and domain uniformity, across large device sets in a non-destructive manner. By correlating 2P microscopy-derived structural metrics with systematic variations in poling conditions, we establish a scalable, image-driven approach for evaluating and improving PPLN fabrication. The resulting workflow supports wafer-level process development and accelerates the manufacturing and packaging of lithium niobate photonic integrated circuits (PICs).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来自结构化近轴电子的几何辐射</w:t>
      </w:r>
    </w:p>
    <w:p>
      <w:r>
        <w:rPr>
          <w:rFonts w:ascii="Times New Roman" w:hAnsi="Times New Roman" w:eastAsia="宋体"/>
          <w:b/>
          <w:color w:val="003264"/>
          <w:sz w:val="24"/>
        </w:rPr>
        <w:t>Geometry-Enabled Radiation from Structured Paraxial Electrons</w:t>
      </w:r>
    </w:p>
    <w:p>
      <w:r>
        <w:rPr>
          <w:rFonts w:ascii="Times New Roman" w:hAnsi="Times New Roman" w:eastAsia="宋体"/>
          <w:sz w:val="21"/>
        </w:rPr>
        <w:t>作者: S. S. Baturin</w:t>
        <w:br/>
      </w:r>
      <w:r>
        <w:rPr>
          <w:rFonts w:ascii="Times New Roman" w:hAnsi="Times New Roman" w:eastAsia="宋体"/>
          <w:sz w:val="21"/>
        </w:rPr>
        <w:t xml:space="preserve">时间: 2026-02-08T08:10:56Z | </w:t>
      </w:r>
      <w:r>
        <w:t xml:space="preserve">链接: </w:t>
      </w:r>
      <w:hyperlink r:id="rId88">
        <w:r>
          <w:rPr>
            <w:rFonts w:ascii="Times New Roman" w:hAnsi="Times New Roman" w:eastAsia="宋体"/>
            <w:color w:val="0000FF"/>
            <w:sz w:val="21"/>
            <w:u w:val="single"/>
          </w:rPr>
          <w:t>https://arxiv.org/abs/2602.07858v1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我们提出了通过不均匀轴对称磁场传播的扭曲（近轴）电子自发光子发射的微观计算。我们通过将 Foldy-Wouthuysen 变换与基于 Lewis-Ermakov 不变量和元波变换的几何框架相结合，构建了包含横模结构和波前曲率的精确电子态。我们表明，这种结构态的演化对应于二次形式空间中的开放路径，从而对发射幅度产生几何贡献，而这种贡献无法通过规范选择或绝热论证来消除。电子波前的曲率半径的倒数作为有效的几何场出现，即使在外部磁场局部消失的区域也能实现辐射。该机制将朗道能级辐射推广到非渐近的结构化电子态，并在非循环几何演化和光子发射之间建立了直接联系。</w:t>
      </w:r>
    </w:p>
    <w:p>
      <w:pPr>
        <w:spacing w:before="120"/>
      </w:pPr>
      <w:r>
        <w:rPr>
          <w:rFonts w:ascii="Times New Roman" w:hAnsi="Times New Roman" w:eastAsia="宋体"/>
          <w:b/>
          <w:sz w:val="21"/>
        </w:rPr>
        <w:t>English Abstract:</w:t>
      </w:r>
    </w:p>
    <w:p>
      <w:r>
        <w:rPr>
          <w:rFonts w:ascii="Times New Roman" w:hAnsi="Times New Roman" w:eastAsia="宋体"/>
          <w:sz w:val="21"/>
        </w:rPr>
        <w:t>We present a microscopic calculation of spontaneous photon emission by twisted (paraxial) electrons propagating through inhomogeneous, axisymmetric magnetic fields. We construct exact electron states that incorporate transverse mode structure and wavefront curvature by combining the Foldy-Wouthuysen transformation with a geometric framework based on Lewis-Ermakov invariants and metaplectic transformations. We show that the evolution of such structured states corresponds to an open path in the space of quadratic forms, giving rise to a geometric contribution to the emission amplitude that cannot be eliminated by gauge choice or adiabatic arguments. The inverse radius of curvature of the electron wavefront emerges as an effective geometric field that enables radiation even in regions where the external magnetic field vanishes locally. This mechanism generalizes Landau-level radiation to nonasymptotic, structured electron states and establishes a direct connection between noncyclic geometric evolution and photon emission.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叠加技术实验实现矢量光束的起源：几何相位</w:t>
      </w:r>
    </w:p>
    <w:p>
      <w:r>
        <w:rPr>
          <w:rFonts w:ascii="Times New Roman" w:hAnsi="Times New Roman" w:eastAsia="宋体"/>
          <w:b/>
          <w:color w:val="003264"/>
          <w:sz w:val="24"/>
        </w:rPr>
        <w:t>Origin of Experimental Realization of Vector Beams by Superposition Technique: Geometric Phase</w:t>
      </w:r>
    </w:p>
    <w:p>
      <w:r>
        <w:rPr>
          <w:rFonts w:ascii="Times New Roman" w:hAnsi="Times New Roman" w:eastAsia="宋体"/>
          <w:sz w:val="21"/>
        </w:rPr>
        <w:t>作者: A. Srinivasa Rao</w:t>
        <w:br/>
      </w:r>
      <w:r>
        <w:rPr>
          <w:rFonts w:ascii="Times New Roman" w:hAnsi="Times New Roman" w:eastAsia="宋体"/>
          <w:sz w:val="21"/>
        </w:rPr>
        <w:t xml:space="preserve">时间: 2026-02-08T11:20:55Z | </w:t>
      </w:r>
      <w:r>
        <w:t xml:space="preserve">链接: </w:t>
      </w:r>
      <w:hyperlink r:id="rId89">
        <w:r>
          <w:rPr>
            <w:rFonts w:ascii="Times New Roman" w:hAnsi="Times New Roman" w:eastAsia="宋体"/>
            <w:color w:val="0000FF"/>
            <w:sz w:val="21"/>
            <w:u w:val="single"/>
          </w:rPr>
          <w:t>https://arxiv.org/abs/2602.07914v1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基于叠加技术的光矢量光束生成[Phys。莱特牧师。 107(5), 053601 (2011)]由于其简单性和成本效益而引起了基础光学和应用光学的极大兴趣。在这种方法中，叠加模式存在于正交偏振态，因此不会相互干扰。当使用光学器件进行表征时，可以观察到相应的偏振分布。在这项工作中，我们报告矢量光束的特征（非均匀）偏振分布并不固有地存在于其场分布中。相反，在表征过程中观察到的偏振特征是由于光学器件在叠加模式之间引入的几何相位差而出现的。该分析为理解各类矢量光束开辟了新方向，并为结构光束光学领域提供了潜在的进展。</w:t>
      </w:r>
    </w:p>
    <w:p>
      <w:pPr>
        <w:spacing w:before="120"/>
      </w:pPr>
      <w:r>
        <w:rPr>
          <w:rFonts w:ascii="Times New Roman" w:hAnsi="Times New Roman" w:eastAsia="宋体"/>
          <w:b/>
          <w:sz w:val="21"/>
        </w:rPr>
        <w:t>English Abstract:</w:t>
      </w:r>
    </w:p>
    <w:p>
      <w:r>
        <w:rPr>
          <w:rFonts w:ascii="Times New Roman" w:hAnsi="Times New Roman" w:eastAsia="宋体"/>
          <w:sz w:val="21"/>
        </w:rPr>
        <w:t>Optical vector beam generation based on the superposition technique [Phys. Rev. Lett. 107(5), 053601 (2011)] has attracted significant interest in both fundamental and applied optics due to its simplicity and cost-effectiveness. In this approach, the superposed modes exist in orthogonal polarization states and therefore do not interfere with each other. When optical gadgets are employed for characterization, the corresponding polarization distribution can be observed. In this work, we report that the characteristic (non-uniform) polarization distribution of vector beams is not inherently present in their field distribution. Instead, the observed polarization features arise during characterization as a consequence of the geometric phase difference introduced between the superposed modes by the optical gadgets. This analysis opens a new direction in the understanding of various classes of vector beams and offers potential advances in the field of structured beam optics.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作为复合扭曲态光子源的三频螺旋波荡器</w:t>
      </w:r>
    </w:p>
    <w:p>
      <w:r>
        <w:rPr>
          <w:rFonts w:ascii="Times New Roman" w:hAnsi="Times New Roman" w:eastAsia="宋体"/>
          <w:b/>
          <w:color w:val="003264"/>
          <w:sz w:val="24"/>
        </w:rPr>
        <w:t>Three-frequency helical undulator as a source of photons in composite twisted states</w:t>
      </w:r>
    </w:p>
    <w:p>
      <w:r>
        <w:rPr>
          <w:rFonts w:ascii="Times New Roman" w:hAnsi="Times New Roman" w:eastAsia="宋体"/>
          <w:sz w:val="21"/>
        </w:rPr>
        <w:t>作者: V. A. Ryakin</w:t>
        <w:br/>
      </w:r>
      <w:r>
        <w:rPr>
          <w:rFonts w:ascii="Times New Roman" w:hAnsi="Times New Roman" w:eastAsia="宋体"/>
          <w:sz w:val="21"/>
        </w:rPr>
        <w:t xml:space="preserve">时间: 2026-02-08T12:27:51Z | </w:t>
      </w:r>
      <w:r>
        <w:t xml:space="preserve">链接: </w:t>
      </w:r>
      <w:hyperlink r:id="rId90">
        <w:r>
          <w:rPr>
            <w:rFonts w:ascii="Times New Roman" w:hAnsi="Times New Roman" w:eastAsia="宋体"/>
            <w:color w:val="0000FF"/>
            <w:sz w:val="21"/>
            <w:u w:val="single"/>
          </w:rPr>
          <w:t>https://arxiv.org/abs/2602.07942v1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三频螺旋波荡器的辐射特性进行了彻底研究。研究表明，这种波荡器可用于产生所谓复合扭曲态的光子，这种态是模式的线性叠加，具有总角动量、振幅、相对相位和偏振的明确投影。我们找到了这些参数的显式表达式和选择规则，并确定可以通过调整多频螺旋波荡器的参数来以可预测的方式控制它们。具体地，通过调整包括三频波荡器的一频波荡器的相位，可以使在具有确定能量的复合状态下选择规则所允许的任意三种模式的相位变得任意。通过求解丢番图方程，我们得到了三频螺旋波荡器发射的光子相干态复振幅以及三频螺旋波荡器频率比为有理数时辐射扭曲光子的平均数量的简单表达式。对辐射光子的共振发展和复合态控制进行了数值研究，证实了理论结论。</w:t>
      </w:r>
    </w:p>
    <w:p>
      <w:pPr>
        <w:spacing w:before="120"/>
      </w:pPr>
      <w:r>
        <w:rPr>
          <w:rFonts w:ascii="Times New Roman" w:hAnsi="Times New Roman" w:eastAsia="宋体"/>
          <w:b/>
          <w:sz w:val="21"/>
        </w:rPr>
        <w:t>English Abstract:</w:t>
      </w:r>
    </w:p>
    <w:p>
      <w:r>
        <w:rPr>
          <w:rFonts w:ascii="Times New Roman" w:hAnsi="Times New Roman" w:eastAsia="宋体"/>
          <w:sz w:val="21"/>
        </w:rPr>
        <w:t>The properties of radiation from a three-frequency helical undulator are thoroughly investigated. It is shown that such undulators can be employed for generating photons in the so-called composite twisted states -- the states that are linear superpositions of modes with definite projections of the total angular momentum, amplitudes, relative phases, and polarizations. We find the explicit expressions and the selection rules for these parameters and establish that they can be governed in a predictable way by adjusting the parameters of the multifrequency helical undulator. In particular, the phases of three arbitrary modes admissible by selection rules in the composite state with definite energy can be made arbitrary by tuning the phases of one-frequency undulators comprising the three-frequency one. By solving Diophantine equations, we obtain simple expressions for the complex amplitude of coherent state of photons emitted by a three-frequency helical undulator and for the average number of radiated twisted photons in the case when the ratios of frequencies of the three-frequency undulator are rational numbers. The development of resonances and the control of composite states of radiated photons are studied numerically confirming the theoretical conclusions.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自发参量下转换产生的时空纠缠态的完整施密特表征</w:t>
      </w:r>
    </w:p>
    <w:p>
      <w:r>
        <w:rPr>
          <w:rFonts w:ascii="Times New Roman" w:hAnsi="Times New Roman" w:eastAsia="宋体"/>
          <w:b/>
          <w:color w:val="003264"/>
          <w:sz w:val="24"/>
        </w:rPr>
        <w:t>Full Schmidt characterization of spatiotemporally entangled states produced from spontaneous parametric down-conversion</w:t>
      </w:r>
    </w:p>
    <w:p>
      <w:r>
        <w:rPr>
          <w:rFonts w:ascii="Times New Roman" w:hAnsi="Times New Roman" w:eastAsia="宋体"/>
          <w:sz w:val="21"/>
        </w:rPr>
        <w:t>作者: Girish Kulkarni</w:t>
        <w:br/>
      </w:r>
      <w:r>
        <w:rPr>
          <w:rFonts w:ascii="Times New Roman" w:hAnsi="Times New Roman" w:eastAsia="宋体"/>
          <w:sz w:val="21"/>
        </w:rPr>
        <w:t xml:space="preserve">时间: 2026-02-08T12:46:24Z | </w:t>
      </w:r>
      <w:r>
        <w:t xml:space="preserve">链接: </w:t>
      </w:r>
      <w:hyperlink r:id="rId91">
        <w:r>
          <w:rPr>
            <w:rFonts w:ascii="Times New Roman" w:hAnsi="Times New Roman" w:eastAsia="宋体"/>
            <w:color w:val="0000FF"/>
            <w:sz w:val="21"/>
            <w:u w:val="single"/>
          </w:rPr>
          <w:t>https://arxiv.org/abs/2602.07949v1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状态的大维数所产生的巨大计算复杂性，自发参量下转换（SPDC）产生的时空纠缠态的完整施密特分解至今尚未进行。在这封信中，我们利用状态的旋转对称性将复杂性降低至少四个数量级，并进行分解以揭示时空施密特模式和跨越 10^4 模式的施密特谱的精确形式。我们证明施密特模式具有具有横向空间涡旋结构的相位轮廓，赋予它们在所有频率下的轨道角动量。在高增益状态下，随着泵浦强度的增加，这些施密特模式变宽，施密特谱变窄。我们的工作可以激发利用 SPDC 产生的纠缠态的量子成像和光谱学交叉领域的新颖应用。</w:t>
      </w:r>
    </w:p>
    <w:p>
      <w:pPr>
        <w:spacing w:before="120"/>
      </w:pPr>
      <w:r>
        <w:rPr>
          <w:rFonts w:ascii="Times New Roman" w:hAnsi="Times New Roman" w:eastAsia="宋体"/>
          <w:b/>
          <w:sz w:val="21"/>
        </w:rPr>
        <w:t>English Abstract:</w:t>
      </w:r>
    </w:p>
    <w:p>
      <w:r>
        <w:rPr>
          <w:rFonts w:ascii="Times New Roman" w:hAnsi="Times New Roman" w:eastAsia="宋体"/>
          <w:sz w:val="21"/>
        </w:rPr>
        <w:t>The full Schmidt decomposition of spatiotemporally entangled states generated from spontaneous parametric down-conversion (SPDC) has not been carried out until now due to the immense computational complexity arising from the large dimensionalities of the states. In this Letter, we utilize the rotational symmetry of the states to reduce the complexity by at least four orders of magnitude and carry out the decomposition to reveal the precise forms of the spatiotemporal Schmidt modes and the Schmidt spectrum spanning over 10^4 modes. We show that the Schmidt modes have a phase profile with a transverse spatial vortex structure that endows them with orbital angular momentum at all frequencies. In the high-gain regime, these Schmidt modes broaden and the Schmidt spectrum narrows with increasing pump strength. Our work can spur novel applications at the intersection of quantum imaging and spectroscopy that utilize entangled states produced from SPDC.</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一维环境中的拓扑光子学</w:t>
      </w:r>
    </w:p>
    <w:p>
      <w:r>
        <w:rPr>
          <w:rFonts w:ascii="Times New Roman" w:hAnsi="Times New Roman" w:eastAsia="宋体"/>
          <w:b/>
          <w:color w:val="003264"/>
          <w:sz w:val="24"/>
        </w:rPr>
        <w:t>Topological photonics in one-dimensional settings</w:t>
      </w:r>
    </w:p>
    <w:p>
      <w:r>
        <w:rPr>
          <w:rFonts w:ascii="Times New Roman" w:hAnsi="Times New Roman" w:eastAsia="宋体"/>
          <w:sz w:val="21"/>
        </w:rPr>
        <w:t>作者: Zhigang Chen</w:t>
        <w:br/>
      </w:r>
      <w:r>
        <w:rPr>
          <w:rFonts w:ascii="Times New Roman" w:hAnsi="Times New Roman" w:eastAsia="宋体"/>
          <w:sz w:val="21"/>
        </w:rPr>
        <w:t xml:space="preserve">时间: 2026-02-08T15:26:51Z | </w:t>
      </w:r>
      <w:r>
        <w:t xml:space="preserve">链接: </w:t>
      </w:r>
      <w:hyperlink r:id="rId92">
        <w:r>
          <w:rPr>
            <w:rFonts w:ascii="Times New Roman" w:hAnsi="Times New Roman" w:eastAsia="宋体"/>
            <w:color w:val="0000FF"/>
            <w:sz w:val="21"/>
            <w:u w:val="single"/>
          </w:rPr>
          <w:t>https://arxiv.org/abs/2602.08011v1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过去的十年中，拓扑光子学已经成为一个充满活力的领域，引起了广泛的关注并取得了显着的进步。这种增长可归因于其基本吸引力及其为非常规光控制提供的独特机会，以及下一代光子器件的有希望的创新。拓扑光子学的核心是一维 (1D) SSH 模型。该模型最初旨在阐明聚乙炔分子链的物理原理，现已广泛应用于探索光子学及其他领域的各种拓扑现象。在本章中，我们的目标是概述一维（1D）设置中的拓扑光子学。在简要介绍了 SSH、Rice-Mele 和 AAH 模型等范式一维模型后，我们回顾了基于一维平台的拓扑光子学实验研究和应用的最新进展。我们的讨论重点介绍了一些示例，例如厄米和非厄米光子 SSH 晶格中拓扑态的非线性调谐，以及 SSH 型光子微结构中的非线性谐波生成和拓扑激光。我们进一步讨论其他代表性一维环境中的特征拓扑现象，包括 Floquet 系统、拓扑泵浦、准晶体和合成非厄米系统。最后，我们研究了与 SSH 模型密切相关的二维 (2D) 光子拓扑晶体绝缘体的选定示例。最后，我们总结了本章并提供了主要贡献列表，以及对一维拓扑光子学未来可能方向的展望。虽然这篇综述特别关注一维拓扑光子学，但它并不旨在全面或详尽。</w:t>
      </w:r>
    </w:p>
    <w:p>
      <w:pPr>
        <w:spacing w:before="120"/>
      </w:pPr>
      <w:r>
        <w:rPr>
          <w:rFonts w:ascii="Times New Roman" w:hAnsi="Times New Roman" w:eastAsia="宋体"/>
          <w:b/>
          <w:sz w:val="21"/>
        </w:rPr>
        <w:t>English Abstract:</w:t>
      </w:r>
    </w:p>
    <w:p>
      <w:r>
        <w:rPr>
          <w:rFonts w:ascii="Times New Roman" w:hAnsi="Times New Roman" w:eastAsia="宋体"/>
          <w:sz w:val="21"/>
        </w:rPr>
        <w:t>Over the past decade, topological photonics has emerged as a vibrant field, attracting significant attention and witnessing remarkable advancements. This growth can be attributed to its fundamental appeal and the unique opportunities it offers for unconventional control of light, promising innovations in next-generation photonic devices. At the heart of topological photonics lies the one-dimensional (1D) SSH model. Originally conceived to elucidate the physics of a molecular chain of polyacetylene, this model has found widespread applications in exploring a wide range of topological phenomena in photonics and beyond. In this chapter, we aim to provide an overview of topological photonics in one-dimensional (1D) settings. After briefly introducing paradigmatic 1D models, including the SSH, Rice-Mele, and AAH models, we review recent advances in experimental studies and applications of topological photonics based on 1D platforms. Our discussion highlights demonstrated examples, such as the nonlinear tuning of topological states in both Hermitian and non-Hermitian photonic SSH lattices, as well as nonlinear harmonic generation and topological lasing in SSH-type photonic microstructures. We further discuss characteristic topological phenomena in other representative 1D settings, including Floquet systems, topological pumping, quasicrystals, and synthetic non-Hermitian systems. Finally, we examine selected examples of two-dimensional (2D) photonic topological crystalline insulators that are closely linked to the SSH model. Towards the end, we summarize the chapter and provide a list of key contributions, together with an outlook on possible future directions in 1D topological photonics. While this review focuses specifically on 1D topological photonics, it is not intended to be comprehensive or exhaustive.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布里渊光谱揭示了水合之外的机械特性</w:t>
      </w:r>
    </w:p>
    <w:p>
      <w:r>
        <w:rPr>
          <w:rFonts w:ascii="Times New Roman" w:hAnsi="Times New Roman" w:eastAsia="宋体"/>
          <w:b/>
          <w:color w:val="003264"/>
          <w:sz w:val="24"/>
        </w:rPr>
        <w:t>Brillouin Spectroscopy Reveals Mechanical Properties Beyond Hydration</w:t>
      </w:r>
    </w:p>
    <w:p>
      <w:r>
        <w:rPr>
          <w:rFonts w:ascii="Times New Roman" w:hAnsi="Times New Roman" w:eastAsia="宋体"/>
          <w:sz w:val="21"/>
        </w:rPr>
        <w:t>作者: Christine Selhuber-Unkel</w:t>
        <w:br/>
      </w:r>
      <w:r>
        <w:rPr>
          <w:rFonts w:ascii="Times New Roman" w:hAnsi="Times New Roman" w:eastAsia="宋体"/>
          <w:sz w:val="21"/>
        </w:rPr>
        <w:t xml:space="preserve">时间: 2026-02-08T22:49:41Z | </w:t>
      </w:r>
      <w:r>
        <w:t xml:space="preserve">链接: </w:t>
      </w:r>
      <w:hyperlink r:id="rId93">
        <w:r>
          <w:rPr>
            <w:rFonts w:ascii="Times New Roman" w:hAnsi="Times New Roman" w:eastAsia="宋体"/>
            <w:color w:val="0000FF"/>
            <w:sz w:val="21"/>
            <w:u w:val="single"/>
          </w:rPr>
          <w:t>https://arxiv.org/abs/2602.08150v1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表征细胞和细胞外基质的微观机械特性对于机械生物学至关重要。为了满足这一需求，布里渊光散射 (BLS) 作为一种非接触式高分辨率弹性成像工具应运而生，可探测材料的 GHz 频率纵向模量。该纵向模量反映了微观尺度上的弹性和粘性行为。然而，解释生物样本中的布里渊谱具有挑战性：在高度水合的样品中，布里渊位移由水动力学主导，并且 GHz 纵向模量并不直接等于传统的低频刚度测量（例如杨氏模量或剪切模量）。关于水合和聚合物松弛如何影响布里渊信号以及如何将其与宏观生物力学联系起来的争论仍然存在。特别是，通过布里渊散射测量的纵向粘度包括体积粘度的贡献，这在标准剪切流变学中不存在并且经常被忽视。为了解决这些问题，我们使用不同的水凝胶系统和溶剂混合物来证明布里渊光谱受到水合作用的调节，但不受水合作用的支配。通过改变明胶浓度，我们证明布里渊位移可以与水含量呈正相关或负相关，具体取决于潜在的机械响应。对乙醇水混合物的测量进一步阐明了这种行为。尽管布里渊位移随成分变化很大，但它并不单调地遵循水含量，而是反映了混合物机械性能的变化。通过比较纵向、体积和剪切粘度，我们还表明体积粘性耗散在布里渊响应中起着重要作用。这些结果建立了解释水合和生物分子系统中布里渊谱的机械框架。</w:t>
      </w:r>
    </w:p>
    <w:p>
      <w:pPr>
        <w:spacing w:before="120"/>
      </w:pPr>
      <w:r>
        <w:rPr>
          <w:rFonts w:ascii="Times New Roman" w:hAnsi="Times New Roman" w:eastAsia="宋体"/>
          <w:b/>
          <w:sz w:val="21"/>
        </w:rPr>
        <w:t>English Abstract:</w:t>
      </w:r>
    </w:p>
    <w:p>
      <w:r>
        <w:rPr>
          <w:rFonts w:ascii="Times New Roman" w:hAnsi="Times New Roman" w:eastAsia="宋体"/>
          <w:sz w:val="21"/>
        </w:rPr>
        <w:t>Characterizing the micromechanical properties of cells and extracellular matrices is critical in mechanobiology. To meet this need, Brillouin light scattering (BLS) has emerged as a noncontact, high-resolution elastography tool that probes the GHz-frequency longitudinal modulus of materials. This longitudinal modulus reflects both elastic and viscous behavior at microscopic scales. However, interpreting Brillouin spectra in biological specimens is challenging: in highly hydrated samples the Brillouin shift is dominated by water dynamics, and the GHz longitudinal modulus does not directly equate to conventional low-frequency stiffness measures (e.g. Young's or shear moduli). Debates remain about how hydration and polymer relaxation influence the Brillouin signal, and how to relate it to macroscopic biomechanics. In particular, the longitudinal viscosity measured by Brillouin scattering includes a contribution from bulk viscosity, which is absent in standard shear rheology and often overlooked. To address these issues, we used different hydrogel systems and solvent mixtures to show Brillouin spectra are modulated but not dominated by hydration. By varying gelatin concentration, we demonstrated that Brillouin shifts can either positively or negatively correlate with water content, depending on the underlying mechanical response. Measurements on ethanol water mixtures further clarify this behavior. Although the Brillouin shift varies strongly with composition, it does not follow water content monotonically and instead reflects changes in the mixture's mechanical properties. By comparing longitudinal, bulk, and shear viscosities, we also showed that bulk viscous dissipation plays a significant role in the Brillouin response. These results established a mechanical framework for interpreting Brillouin spectrum in hydrated and biomolecular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使用时变超表面放大电磁波上转换</w:t>
      </w:r>
    </w:p>
    <w:p>
      <w:r>
        <w:rPr>
          <w:rFonts w:ascii="Times New Roman" w:hAnsi="Times New Roman" w:eastAsia="宋体"/>
          <w:b/>
          <w:color w:val="003264"/>
          <w:sz w:val="24"/>
        </w:rPr>
        <w:t>Amplified up-conversion of electromagnetic waves using time-varying metasurfaces</w:t>
      </w:r>
    </w:p>
    <w:p>
      <w:r>
        <w:rPr>
          <w:rFonts w:ascii="Times New Roman" w:hAnsi="Times New Roman" w:eastAsia="宋体"/>
          <w:sz w:val="21"/>
        </w:rPr>
        <w:t>作者: Ilya Shadrivov</w:t>
        <w:br/>
      </w:r>
      <w:r>
        <w:rPr>
          <w:rFonts w:ascii="Times New Roman" w:hAnsi="Times New Roman" w:eastAsia="宋体"/>
          <w:sz w:val="21"/>
        </w:rPr>
        <w:t xml:space="preserve">时间: 2026-02-09T01:24:24Z | </w:t>
      </w:r>
      <w:r>
        <w:t xml:space="preserve">链接: </w:t>
      </w:r>
      <w:hyperlink r:id="rId94">
        <w:r>
          <w:rPr>
            <w:rFonts w:ascii="Times New Roman" w:hAnsi="Times New Roman" w:eastAsia="宋体"/>
            <w:color w:val="0000FF"/>
            <w:sz w:val="21"/>
            <w:u w:val="single"/>
          </w:rPr>
          <w:t>https://arxiv.org/abs/2602.08193v1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时变超材料和光子时间晶体通过材料参数的时间调制提供了强大的波放大途径。在这里，我们通过实验证明了微波范围内自由空间电磁波的放大上变频，由于级联放大过程，转换效率超过了曼利-罗关系式所施加的限制。使用由变容二极管负载耦合开环谐振器阵列组成的时变超表面，我们研究了参数放大、上变频和波生成。非简并和简并状态下的直接测量表明，当泵浦频率大约是入射波频率的两倍时，曼利-罗极限可以超过入射波频率的整数倍。这些结果将时变超表面确立为微波和太赫兹频段电磁波放大、生成和频率转换的有效平台，并有可能通过超快调制技术扩展到光频率。</w:t>
      </w:r>
    </w:p>
    <w:p>
      <w:pPr>
        <w:spacing w:before="120"/>
      </w:pPr>
      <w:r>
        <w:rPr>
          <w:rFonts w:ascii="Times New Roman" w:hAnsi="Times New Roman" w:eastAsia="宋体"/>
          <w:b/>
          <w:sz w:val="21"/>
        </w:rPr>
        <w:t>English Abstract:</w:t>
      </w:r>
    </w:p>
    <w:p>
      <w:r>
        <w:rPr>
          <w:rFonts w:ascii="Times New Roman" w:hAnsi="Times New Roman" w:eastAsia="宋体"/>
          <w:sz w:val="21"/>
        </w:rPr>
        <w:t>Time-varying metamaterials and photonic time crystals offer a powerful route to wave amplification through temporal modulation of material parameters. Here, we experimentally demonstrate amplified up-conversion of free-space electromagnetic waves in the microwave regime, with conversion efficiency exceeding the limits imposed by the Manley-Rowe relations as a result of a cascaded amplification process. Using a time-varying metasurface composed of an array of varactor-loaded coupled split-ring resonators, we investigate parametric amplification, frequency up-conversion and wave generation. Direct measurements in both non-degenerate and degenerate regimes show that the Manley-Rowe limits can be surpassed near integer multiples of the incident wave frequency when the pump frequency is approximately twice that of the incident wave. These results establish time-varying metasurfaces as an efficient platform for amplification, generation, and frequency conversion of electromagnetic waves in the microwave and terahertz bands, with potential extension to optical frequencies via ultrafast modulation techniques.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SiON/Si 中介层上的 2.5D 共封装光学 I/O 芯片组可实现 4 $\times$ 100G 光学互连</w:t>
      </w:r>
    </w:p>
    <w:p>
      <w:r>
        <w:rPr>
          <w:rFonts w:ascii="Times New Roman" w:hAnsi="Times New Roman" w:eastAsia="宋体"/>
          <w:b/>
          <w:color w:val="003264"/>
          <w:sz w:val="24"/>
        </w:rPr>
        <w:t>2.5D co-packaged optical I/O chipsets on a SiON/Si interposer for 4 $\times$ 100G optical interconnection</w:t>
      </w:r>
    </w:p>
    <w:p>
      <w:r>
        <w:rPr>
          <w:rFonts w:ascii="Times New Roman" w:hAnsi="Times New Roman" w:eastAsia="宋体"/>
          <w:sz w:val="21"/>
        </w:rPr>
        <w:t>作者: Chaoyuan Jin</w:t>
        <w:br/>
      </w:r>
      <w:r>
        <w:rPr>
          <w:rFonts w:ascii="Times New Roman" w:hAnsi="Times New Roman" w:eastAsia="宋体"/>
          <w:sz w:val="21"/>
        </w:rPr>
        <w:t xml:space="preserve">时间: 2026-02-09T05:31:40Z | </w:t>
      </w:r>
      <w:r>
        <w:t xml:space="preserve">链接: </w:t>
      </w:r>
      <w:hyperlink r:id="rId95">
        <w:r>
          <w:rPr>
            <w:rFonts w:ascii="Times New Roman" w:hAnsi="Times New Roman" w:eastAsia="宋体"/>
            <w:color w:val="0000FF"/>
            <w:sz w:val="21"/>
            <w:u w:val="single"/>
          </w:rPr>
          <w:t>https://arxiv.org/abs/2602.08284v1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光学I/O技术已成为AI/ML计算加速中高性能数据互连的潜在工业解决方案。虽然光学 I/O 通过共封装光学器件 (CPO) 部署在计算芯片的边缘，但仍需要探索灵活且高性能的集成架构来解决系统级挑战。在这项工作中，我们提出并通过实验演示了一种基于 SiON/Si 的光学中介层，它集成了高带宽和节能的光学 I/O 芯片组。高性能光子和电子元件共同封装在中介层上，从而实现低损耗、信号完整性友好和热效率高的特性。该光学中介层采用低损耗 SiON 光子电路，可实现可扩展的波导路由和波分复用 (WDM)，具有偏振不敏感操作和高制造公差，同时支持与 InP 基有源器件的倒装芯片集成，包括电吸收调制激光器 (EML) 和光电探测器 (PD)。基于该架构，实现了 400 Gb/s 单纤光收发器并进行了实验评估。清晰的眼图和高接收器灵敏度证明了可靠的高速数据传输，为未来的高性能计算集群提供了可扩展的高带宽光学 I/O。</w:t>
      </w:r>
    </w:p>
    <w:p>
      <w:pPr>
        <w:spacing w:before="120"/>
      </w:pPr>
      <w:r>
        <w:rPr>
          <w:rFonts w:ascii="Times New Roman" w:hAnsi="Times New Roman" w:eastAsia="宋体"/>
          <w:b/>
          <w:sz w:val="21"/>
        </w:rPr>
        <w:t>English Abstract:</w:t>
      </w:r>
    </w:p>
    <w:p>
      <w:r>
        <w:rPr>
          <w:rFonts w:ascii="Times New Roman" w:hAnsi="Times New Roman" w:eastAsia="宋体"/>
          <w:sz w:val="21"/>
        </w:rPr>
        <w:t>Optical I/O technologies have emerged as a potential industrial solution for high-performance data interconnection in AI/ML computing acceleration. While optical I/Os are deployed at the edge of computational chips by co-packaged optics (CPO), flexible and high-performance integration architectures need to be explored to address system-level challenges. In this work, we present and experimentally demonstrate a SiON/Si-based optical interposer that integrates high-bandwidth and energy-efficient optical I/O chipsets. High-performance photonic and electronic components are co-packaged on the interposer, leading to low-loss, signal-integrity-friendly, and thermally efficient characteristics. The optical interposer incorporates low-loss SiON photonic circuits to realize scalable waveguide routing and wavelength-division multiplexing (WDM) with polarization-insensitive operation and high fabrication tolerance, while supporting flip-chip integration with InP-based active devices, including electro-absorption modulated lasers (EMLs) and photodetectors (PDs). Based on this architecture, a 400-Gb/s single-fiber optical transceiver is implemented and experimentally evaluated. Clear eye diagrams and high receiver sensitivity demonstrate reliable high-speed data transmission, which offers scalable, high-bandwidth optical I/Os in future high-performance computational clusters.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CsPbBr3 量子点超晶格的室温集体闪烁和光子聚束</w:t>
      </w:r>
    </w:p>
    <w:p>
      <w:r>
        <w:rPr>
          <w:rFonts w:ascii="Times New Roman" w:hAnsi="Times New Roman" w:eastAsia="宋体"/>
          <w:b/>
          <w:color w:val="003264"/>
          <w:sz w:val="24"/>
        </w:rPr>
        <w:t>Room Temperature Collective Blinking and Photon Bunching from CsPbBr3 Quantum Dot Superlattice</w:t>
      </w:r>
    </w:p>
    <w:p>
      <w:r>
        <w:rPr>
          <w:rFonts w:ascii="Times New Roman" w:hAnsi="Times New Roman" w:eastAsia="宋体"/>
          <w:sz w:val="21"/>
        </w:rPr>
        <w:t>作者: Martin Vacha</w:t>
        <w:br/>
      </w:r>
      <w:r>
        <w:rPr>
          <w:rFonts w:ascii="Times New Roman" w:hAnsi="Times New Roman" w:eastAsia="宋体"/>
          <w:sz w:val="21"/>
        </w:rPr>
        <w:t xml:space="preserve">时间: 2026-02-09T06:11:53Z | </w:t>
      </w:r>
      <w:r>
        <w:t xml:space="preserve">链接: </w:t>
      </w:r>
      <w:hyperlink r:id="rId96">
        <w:r>
          <w:rPr>
            <w:rFonts w:ascii="Times New Roman" w:hAnsi="Times New Roman" w:eastAsia="宋体"/>
            <w:color w:val="0000FF"/>
            <w:sz w:val="21"/>
            <w:u w:val="single"/>
          </w:rPr>
          <w:t>https://arxiv.org/abs/2602.08301v1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开发量子光源和寻找能够支持集体多体态的量子系统对于现代量子技术的进一步进步至关重要。金属卤化物钙钛矿量子点（QD）已成为量子光源的有前途的候选者，因为即使在室温下，单个量子点也是可靠的单光子发射器。然而，光子聚束是集体多体态的一个关键特征，迄今为止主要在钙钛矿材料的低温下观察到，限制了它们在环境条件下的应用。在这里，我们报告了室温下钙钛矿量子点超晶格中集体闪烁和光子聚集的观察结果。通过自组装工艺制造的亚波长尺寸（100 - 500 nm）CsPbBr3 QD 超晶格，表现出​​与单个 QD 类似的不寻常的两级闪烁行为，并表现出高达 2.75 度的光子聚束。时间分辨光致发光 (PL) 测量和超分辨率成像表明，超晶格的 PL 寿命明显长于单个量子点，并且它们的发射在空间上仅限于数十纳米大小的区域。这些观察表明，长程激子迁移到超晶格内的局部能量陷阱。聚束的激发功率依赖性程度和聚束动力学分析表明，光子聚束源自激子-双激子级联发射，这是产生纠缠光子的关键机制。这些发现将钙钛矿量子点超晶格确立为室温集体光学现象和量子光产生的有前途的平台，从而推进可扩展的量子光子技术。</w:t>
      </w:r>
    </w:p>
    <w:p>
      <w:pPr>
        <w:spacing w:before="120"/>
      </w:pPr>
      <w:r>
        <w:rPr>
          <w:rFonts w:ascii="Times New Roman" w:hAnsi="Times New Roman" w:eastAsia="宋体"/>
          <w:b/>
          <w:sz w:val="21"/>
        </w:rPr>
        <w:t>English Abstract:</w:t>
      </w:r>
    </w:p>
    <w:p>
      <w:r>
        <w:rPr>
          <w:rFonts w:ascii="Times New Roman" w:hAnsi="Times New Roman" w:eastAsia="宋体"/>
          <w:sz w:val="21"/>
        </w:rPr>
        <w:t>Development of quantum light sources and search for quantum systems capable of supporting collective many-body states are crucial for further progress of modern quantum technologies. Metal halide perovskite quantum dots (QDs) have emerged as a promising candidate for quantum light sources, as individual QDs are reliable single photon emitters even at room temperature. However, photon bunching, a key signature of collective many-body states, has been so far largely observed at cryogenic temperatures in perovskite materials, limiting their applications under ambient conditions. Here, we report the observation of collective blinking and photon bunching in perovskite QD superlattices at room temperature. Sub-wavelength-sized (100 - 500 nm) CsPbBr3 QD superlattices, fabricated via a self-assembly process, exhibit an unusual two-level blinking behavior similar to that of single QDs, and demonstrate photon bunching with a degree of up to 2.75. Time-resolved photoluminescence (PL) measurements and super-resolution imaging reveal that the superlattices have a significantly longer PL lifetime than individual QDs and that their emission is spatially confined to regions tens of nanometers in size. These observations suggest long-range exciton migration to a localized energy trap within the superlattice. Excitation power dependent degree of bunching and analysis of the bunching dynamics indicate that the photon bunching originates from exciton-biexciton cascade emission, a key mechanism for generating entangled photons. These findings establish perovskite QD superlattices as a promising platform for room-temperature collective optical phenomena and quantum light generation, advancing scalable quantum photonic technologies.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通过滚动折纸实现圆柱形莫尔晶格的广角发射</w:t>
      </w:r>
    </w:p>
    <w:p>
      <w:r>
        <w:rPr>
          <w:rFonts w:ascii="Times New Roman" w:hAnsi="Times New Roman" w:eastAsia="宋体"/>
          <w:b/>
          <w:color w:val="003264"/>
          <w:sz w:val="24"/>
        </w:rPr>
        <w:t>Wide-angle emission in cylindrical moiré lattices enabled by rolling origami</w:t>
      </w:r>
    </w:p>
    <w:p>
      <w:r>
        <w:rPr>
          <w:rFonts w:ascii="Times New Roman" w:hAnsi="Times New Roman" w:eastAsia="宋体"/>
          <w:sz w:val="21"/>
        </w:rPr>
        <w:t>作者: Libo Ma</w:t>
        <w:br/>
      </w:r>
      <w:r>
        <w:rPr>
          <w:rFonts w:ascii="Times New Roman" w:hAnsi="Times New Roman" w:eastAsia="宋体"/>
          <w:sz w:val="21"/>
        </w:rPr>
        <w:t xml:space="preserve">时间: 2026-02-09T08:00:49Z | </w:t>
      </w:r>
      <w:r>
        <w:t xml:space="preserve">链接: </w:t>
      </w:r>
      <w:hyperlink r:id="rId97">
        <w:r>
          <w:rPr>
            <w:rFonts w:ascii="Times New Roman" w:hAnsi="Times New Roman" w:eastAsia="宋体"/>
            <w:color w:val="0000FF"/>
            <w:sz w:val="21"/>
            <w:u w:val="single"/>
          </w:rPr>
          <w:t>https://arxiv.org/abs/2602.08364v1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形成莫尔超晶格的扭曲光子晶格由于其独特的性质而引起了人们的广泛关注，例如强场限制和高质量因子，其中局域光学模式可以用作高效光源。然而，在传统的莫尔晶格中，受限模式的发射方向通常是固定的，通过简单的调制实现宽范围的发射角仍然是一个重大挑战。在这里，我们使用纳米膜折纸技术将单层莫尔光子晶格设计并制造成圆柱形几何形状。这种方法能够实现广角局域模式发射，同时保持稳定的单模操作和出色的光谱均匀性。莫尔超级晶胞支持各种有效扭转角下的局域平带模式，从而可以在较宽的方位角范围内观察到周期性局域模式发射。我们的研究提供了一种在曲面上开发莫尔光源的方法，在需要空间光控制的应用中提供了巨大的潜力，包括三维成像、光检测和测距以及拓扑状态操纵。</w:t>
      </w:r>
    </w:p>
    <w:p>
      <w:pPr>
        <w:spacing w:before="120"/>
      </w:pPr>
      <w:r>
        <w:rPr>
          <w:rFonts w:ascii="Times New Roman" w:hAnsi="Times New Roman" w:eastAsia="宋体"/>
          <w:b/>
          <w:sz w:val="21"/>
        </w:rPr>
        <w:t>English Abstract:</w:t>
      </w:r>
    </w:p>
    <w:p>
      <w:r>
        <w:rPr>
          <w:rFonts w:ascii="Times New Roman" w:hAnsi="Times New Roman" w:eastAsia="宋体"/>
          <w:sz w:val="21"/>
        </w:rPr>
        <w:t>Twisted photonic lattices that form moiré superlattices have attracted significant attention owing to their unique properties, such as strong field confinement and high-quality factors, in which the localized optical modes can serve as efficient light sources. However, in conventional moiré lattices, the emission direction of confined modes is typically fixed, and achieving a broad range of emission angles through simple modulation remains a significant challenge. Here, we design and fabricate single-layer moiré photonic lattices into cylindrical geometries using a nanomembrane origami technique. This approach enables wide-angle localized-mode emission while maintaining stable single-mode operation and excellent spectral uniformity. The moiré supercells support localized flat-band modes under various effective twist angles, resulting in the observation of periodic localized-mode emission over a wide range of azimuthal angles. Our research provides an approach for developing moiré light sources on curved surfaces, offering significant potential in applications that demand spatial light control, including three dimensional imaging, light detection and ranging, and topological states manipulation.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通过多通道光谱细化和 Savitzky-Golay 平滑优化基于 MXene 的超表面中的光谱预测</w:t>
      </w:r>
    </w:p>
    <w:p>
      <w:r>
        <w:rPr>
          <w:rFonts w:ascii="Times New Roman" w:hAnsi="Times New Roman" w:eastAsia="宋体"/>
          <w:b/>
          <w:color w:val="003264"/>
          <w:sz w:val="24"/>
        </w:rPr>
        <w:t>Optimizing Spectral Prediction in MXene-Based Metasurfaces Through Multi-Channel Spectral Refinement and Savitzky-Golay Smoothing</w:t>
      </w:r>
    </w:p>
    <w:p>
      <w:r>
        <w:rPr>
          <w:rFonts w:ascii="Times New Roman" w:hAnsi="Times New Roman" w:eastAsia="宋体"/>
          <w:sz w:val="21"/>
        </w:rPr>
        <w:t>作者: Waleed Iqbal Waseer</w:t>
        <w:br/>
      </w:r>
      <w:r>
        <w:rPr>
          <w:rFonts w:ascii="Times New Roman" w:hAnsi="Times New Roman" w:eastAsia="宋体"/>
          <w:sz w:val="21"/>
        </w:rPr>
        <w:t xml:space="preserve">时间: 2026-02-09T09:09:32Z | </w:t>
      </w:r>
      <w:r>
        <w:t xml:space="preserve">链接: </w:t>
      </w:r>
      <w:hyperlink r:id="rId98">
        <w:r>
          <w:rPr>
            <w:rFonts w:ascii="Times New Roman" w:hAnsi="Times New Roman" w:eastAsia="宋体"/>
            <w:color w:val="0000FF"/>
            <w:sz w:val="21"/>
            <w:u w:val="single"/>
          </w:rPr>
          <w:t>https://arxiv.org/abs/2602.08406v1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 MXene 的太阳能吸收器的电磁光谱预测是一项计算密集型任务，传统上使用全波求解器来解决。本研究引入了一种高效的深度学习框架，结合了迁移学习、多通道光谱细化 (MCSR) 和 Savitzky-Golay 平滑，以加速和提高光谱预测精度。所提出的架构利用了预训练的 MobileNetV2 模型，该模型经过微调可以从 64\times64$ 超表面设计中预测 102 点吸收光谱。此外，MCSR 模块通过多通道卷积处理特征图，增强特征提取，而 Savitzky-Golay 平滑可减轻高频噪声。实验评估表明，该模型显着优于基线卷积神经网络（CNN）和可变形CNN模型，平均均方根误差（RMSE）为0.0245，决定系数\（R^2 \）为0.9578，峰值信噪比（PSNR）为32.98 dB。所提出的框架为传统求解器提供了一种可扩展且计算高效的替代方案，将其定位为纳米光子设计工作流程中快速光谱预测的可行候选者。</w:t>
      </w:r>
    </w:p>
    <w:p>
      <w:pPr>
        <w:spacing w:before="120"/>
      </w:pPr>
      <w:r>
        <w:rPr>
          <w:rFonts w:ascii="Times New Roman" w:hAnsi="Times New Roman" w:eastAsia="宋体"/>
          <w:b/>
          <w:sz w:val="21"/>
        </w:rPr>
        <w:t>English Abstract:</w:t>
      </w:r>
    </w:p>
    <w:p>
      <w:r>
        <w:rPr>
          <w:rFonts w:ascii="Times New Roman" w:hAnsi="Times New Roman" w:eastAsia="宋体"/>
          <w:sz w:val="21"/>
        </w:rPr>
        <w:t>The prediction of electromagnetic spectra for MXene-based solar absorbers is a computationally intensive task, traditionally addressed using full-wave solvers. This study introduces an efficient deep learning framework incorporating transfer learning, multi-channel spectral refinement (MCSR), and Savitzky-Golay smoothing to accelerate and enhance spectral prediction accuracy. The proposed architecture leverages a pretrained MobileNetV2 model, fine-tuned to predict 102-point absorption spectra from $64\times64$ metasurface designs. Additionally, the MCSR module processes the feature map through multi-channel convolutions, enhancing feature extraction, while Savitzky-Golay smoothing mitigates high-frequency noise. Experimental evaluations demonstrate that the proposed model significantly outperforms baseline Convolutional Neural Network (CNN) and deformable CNN models, achieving an average root mean squared error (RMSE) of 0.0245, coefficient of determination \( R^2 \) of 0.9578, and peak signal-to-noise ratio (PSNR) of 32.98 dB. The proposed framework presents a scalable and computationally efficient alternative to conventional solvers, positioning it as a viable candidate for rapid spectral prediction in nanophotonic design workflows.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CSPR-Net：用于非平面投影中几何畸变校正的自监督曲面投影校正网络</w:t>
      </w:r>
    </w:p>
    <w:p>
      <w:r>
        <w:rPr>
          <w:rFonts w:ascii="Times New Roman" w:hAnsi="Times New Roman" w:eastAsia="宋体"/>
          <w:b/>
          <w:color w:val="003264"/>
          <w:sz w:val="24"/>
        </w:rPr>
        <w:t>CSPR-Net: Self-supervised Curved Surface Projection Rectification Network for Geometric Distortion Correction in Non-planar Projections</w:t>
      </w:r>
    </w:p>
    <w:p>
      <w:r>
        <w:rPr>
          <w:rFonts w:ascii="Times New Roman" w:hAnsi="Times New Roman" w:eastAsia="宋体"/>
          <w:sz w:val="21"/>
        </w:rPr>
        <w:t>作者: Xiang Hao</w:t>
        <w:br/>
      </w:r>
      <w:r>
        <w:rPr>
          <w:rFonts w:ascii="Times New Roman" w:hAnsi="Times New Roman" w:eastAsia="宋体"/>
          <w:sz w:val="21"/>
        </w:rPr>
        <w:t xml:space="preserve">时间: 2026-02-09T09:44:39Z | </w:t>
      </w:r>
      <w:r>
        <w:t xml:space="preserve">链接: </w:t>
      </w:r>
      <w:hyperlink r:id="rId99">
        <w:r>
          <w:rPr>
            <w:rFonts w:ascii="Times New Roman" w:hAnsi="Times New Roman" w:eastAsia="宋体"/>
            <w:color w:val="0000FF"/>
            <w:sz w:val="21"/>
            <w:u w:val="single"/>
          </w:rPr>
          <w:t>https://arxiv.org/abs/2602.08433v1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将图像投影到非平面表面上不可避免地会引入几何失真，从而降低视觉质量。传统的校正方法通常需要繁琐的手动校准或结构光序列来建立像素级的对应关系。在本文中，我们开发了曲面投影校正网络（CSPR-Net），这是一种用于自动失真校正的自监督深度学习框架。我们的方法采用基于双坐标的神经网络来学习投影仪和相机空间之间的双向映射。通过强制执行稳健的循环一致性约束，CSPR-Net 可自主解决复杂的几何变换，而无需地面实况变形场。此外，引入基于梯度的损失函数来减轻复杂环境光干扰的影响并准确捕获高频几何变化。物理实验场景的定量评估表明，CSPR-Net在端到端保真度（SSIM）方面实现了20.7%的改进，并且在SSIM方面的正向和逆向映射方面分别优于多项式基线3.8%和5.4%，有效地生成用于无缝投影的高精度预变形图像。</w:t>
      </w:r>
    </w:p>
    <w:p>
      <w:pPr>
        <w:spacing w:before="120"/>
      </w:pPr>
      <w:r>
        <w:rPr>
          <w:rFonts w:ascii="Times New Roman" w:hAnsi="Times New Roman" w:eastAsia="宋体"/>
          <w:b/>
          <w:sz w:val="21"/>
        </w:rPr>
        <w:t>English Abstract:</w:t>
      </w:r>
    </w:p>
    <w:p>
      <w:r>
        <w:rPr>
          <w:rFonts w:ascii="Times New Roman" w:hAnsi="Times New Roman" w:eastAsia="宋体"/>
          <w:sz w:val="21"/>
        </w:rPr>
        <w:t>Projecting images onto non-planar surfaces inevitably introduces geometric distortions that degrade visual quality. Traditional correction methods often require tedious manual calibration or structured light sequences to establish pixel-wise correspondences. In this paper, we develop the Curved Surface Projection Rectification Network (CSPR-Net), a self-supervised deep learning framework for automated distortion correction. Our approach employs dual coordinate-based neural networks to learn the bi-directional mapping between the projector and camera spaces. By enforcing a robust cycle-consistency constraint, CSPR-Net autonomously resolves complex geometric transformations without requiring ground-truth deformation fields. Furthermore, a gradient-based loss function is introduced to mitigate the impact of complex ambient light interference and accurately capture high-frequency geometric variations. Quantitative evaluations in physical experimental scenarios demonstrate that CSPR-Net achieves a 20.7% improvement in end-to-end fidelity (SSIM) and outperforms the polynomial baseline by 3.8% and 5.4% in forward and inverse mapping in terms of SSIM respectively, effectively generating high-precision pre-warped images for seamless projection.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在磁化等离子体中使用径向偏振激光脉冲产生方位偏振太赫兹辐射</w:t>
      </w:r>
    </w:p>
    <w:p>
      <w:r>
        <w:rPr>
          <w:rFonts w:ascii="Times New Roman" w:hAnsi="Times New Roman" w:eastAsia="宋体"/>
          <w:b/>
          <w:color w:val="003264"/>
          <w:sz w:val="24"/>
        </w:rPr>
        <w:t>Azimuthally polarized terahertz radiation generation using radially polarized laser pulse in magnetized plasma</w:t>
      </w:r>
    </w:p>
    <w:p>
      <w:r>
        <w:rPr>
          <w:rFonts w:ascii="Times New Roman" w:hAnsi="Times New Roman" w:eastAsia="宋体"/>
          <w:sz w:val="21"/>
        </w:rPr>
        <w:t>作者: Pallavi Jha</w:t>
        <w:br/>
      </w:r>
      <w:r>
        <w:rPr>
          <w:rFonts w:ascii="Times New Roman" w:hAnsi="Times New Roman" w:eastAsia="宋体"/>
          <w:sz w:val="21"/>
        </w:rPr>
        <w:t xml:space="preserve">时间: 2026-02-09T09:50:36Z | </w:t>
      </w:r>
      <w:r>
        <w:t xml:space="preserve">链接: </w:t>
      </w:r>
      <w:hyperlink r:id="rId100">
        <w:r>
          <w:rPr>
            <w:rFonts w:ascii="Times New Roman" w:hAnsi="Times New Roman" w:eastAsia="宋体"/>
            <w:color w:val="0000FF"/>
            <w:sz w:val="21"/>
            <w:u w:val="single"/>
          </w:rPr>
          <w:t>https://arxiv.org/abs/2602.08438v1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洛伦兹力、连续性和麦克斯韦方程提出了在均匀磁化等离子体中传播的径向偏振激光脉冲的分析公式。扰动技术和准静态近似（QSA）已用于研究非线性区域中生成的场。所产生的具有相等幅度的缓慢、振荡、横向电场和磁场构成频率在太赫兹（THz）范围内的辐射场。细胞内粒子 (PIC) 模拟代码 FBPIC 用于验证分析结果。模拟研究还表明，产生的太赫兹辐射场传播到等离子体边界之外，表明相干电磁辐射发射。此外，场振幅随等离子体密度呈非线性变化，并随外部磁场强度呈线性增加，突出了这些参数在控制辐射振幅中的作用。</w:t>
      </w:r>
    </w:p>
    <w:p>
      <w:pPr>
        <w:spacing w:before="120"/>
      </w:pPr>
      <w:r>
        <w:rPr>
          <w:rFonts w:ascii="Times New Roman" w:hAnsi="Times New Roman" w:eastAsia="宋体"/>
          <w:b/>
          <w:sz w:val="21"/>
        </w:rPr>
        <w:t>English Abstract:</w:t>
      </w:r>
    </w:p>
    <w:p>
      <w:r>
        <w:rPr>
          <w:rFonts w:ascii="Times New Roman" w:hAnsi="Times New Roman" w:eastAsia="宋体"/>
          <w:sz w:val="21"/>
        </w:rPr>
        <w:t>An analytical formulation of a radially polarized laser pulse propagating in a homogeneous, magnetized plasma is presented using Lorentz force, continuity and Maxwells equations. Perturbation technique and quasi-static approximation (QSA) have been used to study the generated fields in nonlinear regime. The generated slow, oscillating, transverse electric and magnetic fields having equal amplitude, constitute a radiation field having frequency in the terahertz (THz) range. Particle-in-cell (PIC) simulation code FBPIC is used to validate analytical findings. Simulation studies also show that the generated THz radiation field propagates beyond the plasma boundary, indicating coherent electromagnetic radiation emission. Furthermore, the field amplitude scales nonlinearly with plasma density and increases linearly with external magnetic field strength, highlighting the role of these parameters in controlling radiation amplitude.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用于可扩展量子网络的量子中继器的构建块</w:t>
      </w:r>
    </w:p>
    <w:p>
      <w:r>
        <w:rPr>
          <w:rFonts w:ascii="Times New Roman" w:hAnsi="Times New Roman" w:eastAsia="宋体"/>
          <w:b/>
          <w:color w:val="003264"/>
          <w:sz w:val="24"/>
        </w:rPr>
        <w:t>A building block of quantum repeaters for scalable quantum networks</w:t>
      </w:r>
    </w:p>
    <w:p>
      <w:r>
        <w:rPr>
          <w:rFonts w:ascii="Times New Roman" w:hAnsi="Times New Roman" w:eastAsia="宋体"/>
          <w:sz w:val="21"/>
        </w:rPr>
        <w:t>作者: Jian-Wei Pan</w:t>
        <w:br/>
      </w:r>
      <w:r>
        <w:rPr>
          <w:rFonts w:ascii="Times New Roman" w:hAnsi="Times New Roman" w:eastAsia="宋体"/>
          <w:sz w:val="21"/>
        </w:rPr>
        <w:t xml:space="preserve">时间: 2026-02-09T10:19:31Z | </w:t>
      </w:r>
      <w:r>
        <w:t xml:space="preserve">链接: </w:t>
      </w:r>
      <w:hyperlink r:id="rId101">
        <w:r>
          <w:rPr>
            <w:rFonts w:ascii="Times New Roman" w:hAnsi="Times New Roman" w:eastAsia="宋体"/>
            <w:color w:val="0000FF"/>
            <w:sz w:val="21"/>
            <w:u w:val="single"/>
          </w:rPr>
          <w:t>https://arxiv.org/abs/2602.08472v1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量子网络集成了量子通信、量子计量和分布式量子计算，可以提供安全高效的信息传输、高分辨率传感和信息处理的指数级加速。长距离确定性纠缠分布是可扩展量子网络的先决条件，从而能够利用设备无关的量子密钥分配（DI-QKD）和量子隐形传态来实现安全高效的信息传输。然而，光纤中的指数光子损耗阻碍了有效且确定性的纠缠分布。量子中继器将纠缠交换和纠缠净化与量子存储器相结合，为克服基于光纤的量子网络中的这一限制提供了最有前途的方法。尽管为实现量子中继器做出了许多开创性的努力，但一个关键的瓶颈仍然存在，因为远程记忆-记忆纠缠发生退相干的速度比长距离建立和纯化的速度更快。我们通过开发长寿命的俘​​获离子存储器、高效的电信接口和高可见度的单光子纠缠协议来克服这个问题。这使我们能够在相同距离的平均纠缠建立时间内在 10 公里光纤上建立并维持记忆-记忆纠缠。作为直接应用，我们演示了大都市规模的 DI-QKD，从超过 10 公里的 4.05*10^5 贝尔对中提取 1,917 个密钥。我们进一步报告了在渐近极限下超过 101 公里的正关键速率，将可实现的距离延长了两个数量级以上。我们的工作为量子中继器提供了关键的构建模块，标志着迈向可扩展量子网络的重要一步。</w:t>
      </w:r>
    </w:p>
    <w:p>
      <w:pPr>
        <w:spacing w:before="120"/>
      </w:pPr>
      <w:r>
        <w:rPr>
          <w:rFonts w:ascii="Times New Roman" w:hAnsi="Times New Roman" w:eastAsia="宋体"/>
          <w:b/>
          <w:sz w:val="21"/>
        </w:rPr>
        <w:t>English Abstract:</w:t>
      </w:r>
    </w:p>
    <w:p>
      <w:r>
        <w:rPr>
          <w:rFonts w:ascii="Times New Roman" w:hAnsi="Times New Roman" w:eastAsia="宋体"/>
          <w:sz w:val="21"/>
        </w:rPr>
        <w:t>Quantum networks, integrating quantum communication, quantum metrology, and distributed quantum computing, could provide secure and efficient information transfer, high-resolution sensing, and an exponential speed-up in information processing. Deterministic entanglement distribution over long distances is a prerequisite for scalable quantum networks, enabling the utilization of device-independent quantum key distribution (DI-QKD) and quantum teleportation to achieve secure and efficient information transfer. However, the exponential photon loss in optical fibres prohibits efficient and deterministic entanglement distribution. Quantum repeaters, incorporating entanglement swapping and entanglement purification with quantum memories, offer the most promising means to overcome this limitation in fibre-based quantum networks. Despite numerous pioneering efforts toward realizing quantum repeaters, a critical bottleneck remains, as remote memory-memory entanglement suffers from decoherence more rapidly than it can be established and purified over long distances. We overcome this by developing long-lived trapped-ion memories, an efficient telecom interface, and a high-visibility single-photon entanglement protocol. This allows us to establish and maintain memory-memory entanglement over a 10 km fibre within the average entanglement establishment time for the same distance. As a direct application, we demonstrate metropolitan-scale DI-QKD, distilling 1,917 secret keys out of 4.05*10^5 Bell pairs over 10 km. We further report a positive key rate over 101 km in the asymptotic limit, extending the achievable distance by more than two orders of magnitude. Our work provides a critical building block for quantum repeaters and marks an important step toward scalable quantum networks.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多芯光纤中的拓扑光束搅拌</w:t>
      </w:r>
    </w:p>
    <w:p>
      <w:r>
        <w:rPr>
          <w:rFonts w:ascii="Times New Roman" w:hAnsi="Times New Roman" w:eastAsia="宋体"/>
          <w:b/>
          <w:color w:val="003264"/>
          <w:sz w:val="24"/>
        </w:rPr>
        <w:t>Topological beam stirring in a multicore fiber</w:t>
      </w:r>
    </w:p>
    <w:p>
      <w:r>
        <w:rPr>
          <w:rFonts w:ascii="Times New Roman" w:hAnsi="Times New Roman" w:eastAsia="宋体"/>
          <w:sz w:val="21"/>
        </w:rPr>
        <w:t>作者: Sergey Babin</w:t>
        <w:br/>
      </w:r>
      <w:r>
        <w:rPr>
          <w:rFonts w:ascii="Times New Roman" w:hAnsi="Times New Roman" w:eastAsia="宋体"/>
          <w:sz w:val="21"/>
        </w:rPr>
        <w:t xml:space="preserve">时间: 2026-02-09T13:29:48Z | </w:t>
      </w:r>
      <w:r>
        <w:t xml:space="preserve">链接: </w:t>
      </w:r>
      <w:hyperlink r:id="rId102">
        <w:r>
          <w:rPr>
            <w:rFonts w:ascii="Times New Roman" w:hAnsi="Times New Roman" w:eastAsia="宋体"/>
            <w:color w:val="0000FF"/>
            <w:sz w:val="21"/>
            <w:u w:val="single"/>
          </w:rPr>
          <w:t>https://arxiv.org/abs/2602.08635v1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多芯光纤 (MCF) 是电信、传感、成像和激光技术的前景介质。在这里，据我们所知，首次观察到在约 10 m 长的 7 芯光纤中传播的几千瓦峰值功率的亚纳秒变换限制脉冲的弱耦合纤芯之间的光束搅拌效应。与低功率域相比，纤芯中的输出功率分布是随机的，并且波动对光纤干扰敏感，而在注入中心纤芯的输入脉冲的高功率下，输出功率在纤芯之间变得均衡，波动减少到 &lt;5%，对干扰不敏感。在缩减实验中观察到类似的行为，表明在约 5 m 的距离处接近等分配。所执行的建模很好地描述了实验结果，并阐明了新效应的机制，该新效应是由沿脉冲变化的大非线性相移引起的，从而导致核心之间多向功率传输过程的脉冲长度的统计平均，从而实现鲁棒平衡（六边形 MCF 拓扑的等分配）。同时，在远场测量的组合输出光束在低功率下呈现稳定的钟形轮廓，而不是散斑光束，类似于多模光纤中的光束自清洁效应。</w:t>
      </w:r>
    </w:p>
    <w:p>
      <w:pPr>
        <w:spacing w:before="120"/>
      </w:pPr>
      <w:r>
        <w:rPr>
          <w:rFonts w:ascii="Times New Roman" w:hAnsi="Times New Roman" w:eastAsia="宋体"/>
          <w:b/>
          <w:sz w:val="21"/>
        </w:rPr>
        <w:t>English Abstract:</w:t>
      </w:r>
    </w:p>
    <w:p>
      <w:r>
        <w:rPr>
          <w:rFonts w:ascii="Times New Roman" w:hAnsi="Times New Roman" w:eastAsia="宋体"/>
          <w:sz w:val="21"/>
        </w:rPr>
        <w:t>Multicore fibers (MCF) are perspective media for telecommunications, sensing, imaging and laser technologies. Here, the effect of beam stirring between weakly coupled cores is observed for sub-nanosecond transform-limited pulses of several kW peak power propagating in ~10 m long 7-core fiber, for the first time to our knowledge. In contrast to low-power domain where the output power distribution in the cores is random with large fluctuations sensitive to fiber disturbances, at high power of the input pulse injected in the central core the output power becomes equalized between the cores with fluctuations reduced to &lt;5% being insensitive to disturbances. Similar behavior is observed in cut-back experiments showing that equi-partition is approached at a distance of ~5 m. The performed modeling describes well the experimental results and clarifies mechanisms of the new effect reasoned by a large nonlinear phase shift changing along the pulse and thereby resulting in statistical averaging over the pulse length of multidirectional power transfer processes between cores, thus leading to the robust equilibrium (equi-partitition for hexagonal MCF topology). At the same time, the combined output beam measured in a far field takes a stable bell-shaped profile instead of speckled beam at low powers, similar to the beam self-cleaning effect in multimode fibers.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紧凑的线性非耦合谐振器通过角相位匹配实现高效自发参数下变频</w:t>
      </w:r>
    </w:p>
    <w:p>
      <w:r>
        <w:rPr>
          <w:rFonts w:ascii="Times New Roman" w:hAnsi="Times New Roman" w:eastAsia="宋体"/>
          <w:b/>
          <w:color w:val="003264"/>
          <w:sz w:val="24"/>
        </w:rPr>
        <w:t>Compact linearly uncoupled resonators for efficient spontaneous parametric downconversion via angular phase matching</w:t>
      </w:r>
    </w:p>
    <w:p>
      <w:r>
        <w:rPr>
          <w:rFonts w:ascii="Times New Roman" w:hAnsi="Times New Roman" w:eastAsia="宋体"/>
          <w:sz w:val="21"/>
        </w:rPr>
        <w:t>作者: Marco Liscidini</w:t>
        <w:br/>
      </w:r>
      <w:r>
        <w:rPr>
          <w:rFonts w:ascii="Times New Roman" w:hAnsi="Times New Roman" w:eastAsia="宋体"/>
          <w:sz w:val="21"/>
        </w:rPr>
        <w:t xml:space="preserve">时间: 2026-02-09T13:48:12Z | </w:t>
      </w:r>
      <w:r>
        <w:t xml:space="preserve">链接: </w:t>
      </w:r>
      <w:hyperlink r:id="rId103">
        <w:r>
          <w:rPr>
            <w:rFonts w:ascii="Times New Roman" w:hAnsi="Times New Roman" w:eastAsia="宋体"/>
            <w:color w:val="0000FF"/>
            <w:sz w:val="21"/>
            <w:u w:val="single"/>
          </w:rPr>
          <w:t>https://arxiv.org/abs/2602.08654v1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一种基于线性非耦合谐振器和角相位匹配的高效二阶非线性相互作用的集成平台。所提出的架构将相位控制限制在器件的有限部分，最大化场增强和有效非线性相互作用长度，同时减少总体占地面积。作为示例，我们展示了绝缘体上 AlGaAs 结构的结果，证明连续波状态下的光子对生成率为 3.16 GHz/mW，脉冲泵浦下的光子对生成率为 5.89 MHz。生成的双光子态表现出施密特数 K=1.02，表明几乎不相关的光子对。这种方法的紧凑性和可重构性，以及它独立于特定材料的极化技术，使其适用于广泛的集成 $χ_2$ 非线性平台。</w:t>
      </w:r>
    </w:p>
    <w:p>
      <w:pPr>
        <w:spacing w:before="120"/>
      </w:pPr>
      <w:r>
        <w:rPr>
          <w:rFonts w:ascii="Times New Roman" w:hAnsi="Times New Roman" w:eastAsia="宋体"/>
          <w:b/>
          <w:sz w:val="21"/>
        </w:rPr>
        <w:t>English Abstract:</w:t>
      </w:r>
    </w:p>
    <w:p>
      <w:r>
        <w:rPr>
          <w:rFonts w:ascii="Times New Roman" w:hAnsi="Times New Roman" w:eastAsia="宋体"/>
          <w:sz w:val="21"/>
        </w:rPr>
        <w:t>We report an integrated platform for efficient second-order nonlinear interactions based on linearly uncoupled resonators and angular phase matching. The proposed architecture confines phase control to a limited section of the device, maximizing field enhancement and effective nonlinear interaction length while simultaneously reducing the overall footprint. As an example we show the results for an AlGaAs-on-insulator structure demonstrating a photon-pair generation rate of 3.16 GHz/mW in the continuous-wave regime and 5.89 MHz under pulsed pumping. The generated biphoton state exhibits a Schmidt number K=1.02, indicating nearly uncorrelated photon pairs. The compact and reconfigurable nature of this approach, together with its independence from material-specific poling techniques, makes it applicable to a broad class of integrated $χ_2$ nonlinear platforms.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PtTe$_2$ 过渡金属二硫属化物的增强三次谐波响应</w:t>
      </w:r>
    </w:p>
    <w:p>
      <w:r>
        <w:rPr>
          <w:rFonts w:ascii="Times New Roman" w:hAnsi="Times New Roman" w:eastAsia="宋体"/>
          <w:b/>
          <w:color w:val="003264"/>
          <w:sz w:val="24"/>
        </w:rPr>
        <w:t>Enhanced third harmonic response of the PtTe$_2$ transition metal dichalcogenide</w:t>
      </w:r>
    </w:p>
    <w:p>
      <w:r>
        <w:rPr>
          <w:rFonts w:ascii="Times New Roman" w:hAnsi="Times New Roman" w:eastAsia="宋体"/>
          <w:sz w:val="21"/>
        </w:rPr>
        <w:t>作者: Andrea Marini</w:t>
        <w:br/>
      </w:r>
      <w:r>
        <w:rPr>
          <w:rFonts w:ascii="Times New Roman" w:hAnsi="Times New Roman" w:eastAsia="宋体"/>
          <w:sz w:val="21"/>
        </w:rPr>
        <w:t xml:space="preserve">时间: 2026-02-09T13:53:01Z | </w:t>
      </w:r>
      <w:r>
        <w:t xml:space="preserve">链接: </w:t>
      </w:r>
      <w:hyperlink r:id="rId104">
        <w:r>
          <w:rPr>
            <w:rFonts w:ascii="Times New Roman" w:hAnsi="Times New Roman" w:eastAsia="宋体"/>
            <w:color w:val="0000FF"/>
            <w:sz w:val="21"/>
            <w:u w:val="single"/>
          </w:rPr>
          <w:t>https://arxiv.org/abs/2602.08663v1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我们研究了二碲化铂 (PtTe$_2$) 的三次谐波响应，二碲化铂是一种属于过渡金属二硫化物类的狄拉克半金属。由于其拓扑特性，这种材料引起了广泛关注，特别是因为它在 $\rm A-Γ-\rm A$ 高对称方向上具有 II 型（超临界倾斜）狄拉克费米子。采用直接从密度泛函理论能带结构模拟拟合的低能模型，我们分析计算了非线性电导率。我们观察到，三阶光学非线性通过锥体倾斜得到有效调制，从而显着增强了非线性敏感性。我们的结果除了揭示二碲化铂的拓扑转变之外，还与利用 II 型狄拉克费米子的可调非线性特性的未来纳米光子器件相关。</w:t>
      </w:r>
    </w:p>
    <w:p>
      <w:pPr>
        <w:spacing w:before="120"/>
      </w:pPr>
      <w:r>
        <w:rPr>
          <w:rFonts w:ascii="Times New Roman" w:hAnsi="Times New Roman" w:eastAsia="宋体"/>
          <w:b/>
          <w:sz w:val="21"/>
        </w:rPr>
        <w:t>English Abstract:</w:t>
      </w:r>
    </w:p>
    <w:p>
      <w:r>
        <w:rPr>
          <w:rFonts w:ascii="Times New Roman" w:hAnsi="Times New Roman" w:eastAsia="宋体"/>
          <w:sz w:val="21"/>
        </w:rPr>
        <w:t>We investigate the third harmonic response of platinum ditelluride (PtTe$_2$), a Dirac semimetal belonging to the transition metal dichalcogenides class. Due to its topological properties, this material has drawn a lot of attention, particularly because it hosts type-II (super-critically tilted) Dirac fermions in the $\rm A-Γ-\rm A$ high symmetry direction. Adopting a low-energy model fitted directly from density functional theory band structure simulations, we calculate analytically the nonlinear conductivity. We observe that third-order optical nonlinearities are efficiently modulated by the cones tilting, which produces a significant enhancement of the nonlinear susceptibility. Our results, besides shedding light on topological transitions of platinum ditelluride, are relevant for future nanophotonic devices exploiting the tunable nonlinear properties of type-II Dirac fermions.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通过多重散射实现扭曲光的手性相位记忆</w:t>
      </w:r>
    </w:p>
    <w:p>
      <w:r>
        <w:rPr>
          <w:rFonts w:ascii="Times New Roman" w:hAnsi="Times New Roman" w:eastAsia="宋体"/>
          <w:b/>
          <w:color w:val="003264"/>
          <w:sz w:val="24"/>
        </w:rPr>
        <w:t>Chiral phase memory of twisted light through multiple scattering</w:t>
      </w:r>
    </w:p>
    <w:p>
      <w:r>
        <w:rPr>
          <w:rFonts w:ascii="Times New Roman" w:hAnsi="Times New Roman" w:eastAsia="宋体"/>
          <w:sz w:val="21"/>
        </w:rPr>
        <w:t>作者: Alexander Bykov</w:t>
        <w:br/>
      </w:r>
      <w:r>
        <w:rPr>
          <w:rFonts w:ascii="Times New Roman" w:hAnsi="Times New Roman" w:eastAsia="宋体"/>
          <w:sz w:val="21"/>
        </w:rPr>
        <w:t xml:space="preserve">时间: 2026-02-09T14:00:19Z | </w:t>
      </w:r>
      <w:r>
        <w:t xml:space="preserve">链接: </w:t>
      </w:r>
      <w:hyperlink r:id="rId105">
        <w:r>
          <w:rPr>
            <w:rFonts w:ascii="Times New Roman" w:hAnsi="Times New Roman" w:eastAsia="宋体"/>
            <w:color w:val="0000FF"/>
            <w:sz w:val="21"/>
            <w:u w:val="single"/>
          </w:rPr>
          <w:t>https://arxiv.org/abs/2602.08677v1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手性光信号（对分子旋向性敏感的光学响应）会被多重散射迅速抑制，从根本上限制了它们在浑浊介质中的使用。在这里，我们展示了将分子手性与扭曲光的拓扑结构耦合产生了可观察到的受保护相，该相可在强散射下幸存下来。当携带轨道角动量的拉盖尔-高斯光束通过手性介质传播时，自旋轨道相互作用将圆形双折射转换为螺旋波前的方位角旋转。值得注意的是，这种手性相位记忆在完全消偏振传统光束的散射强度下持续存在，并且在透明溶液和强散射组织之间定量地保留了旋转幅度。方位角旋转的符号编码了分子旋向性：即使在多次散射之后，相反的对映体也会产生镜像对称的相图。共轭拓扑电荷之间的差分测量可隔离手性贡献，同时消除非手性背景，从而实现 10-6 阶折射率变化的分辨率。这些结果将拓扑相位可观测量建立为复杂介质中弱手性光与物质相互作用的强大载体，为手性光谱和弹道光子范围之外的传感开辟了新途径。</w:t>
      </w:r>
    </w:p>
    <w:p>
      <w:pPr>
        <w:spacing w:before="120"/>
      </w:pPr>
      <w:r>
        <w:rPr>
          <w:rFonts w:ascii="Times New Roman" w:hAnsi="Times New Roman" w:eastAsia="宋体"/>
          <w:b/>
          <w:sz w:val="21"/>
        </w:rPr>
        <w:t>English Abstract:</w:t>
      </w:r>
    </w:p>
    <w:p>
      <w:r>
        <w:rPr>
          <w:rFonts w:ascii="Times New Roman" w:hAnsi="Times New Roman" w:eastAsia="宋体"/>
          <w:sz w:val="21"/>
        </w:rPr>
        <w:t>Chiroptical signals, optical responses sensitive to molecular handedness, are rapidly suppressed by multiple scattering, fundamentally limiting their use in turbid media. Here we show that coupling molecular chirality to the topological structure of twisted light generates a protected phase observable that survives strong scattering. When Laguerre-Gaussian beams carrying orbital angular momentum propagate through chiral media, spin-orbit interaction converts circular birefringence into an azimuthal rotation of the helical wavefront. Remarkably, this chiral phase memory persists at scattering strengths that fully depolarize conventional beams, with the rotation magnitude preserved quantitatively between transparent solutions and strongly scattering tissue. The sign of the azimuthal rotation encodes molecular handedness: opposite enantiomers produce mirror-symmetric phase maps even after multiple scattering. Differential measurements between conjugate topological charges isolate the chiral contribution while cancelling achiral background, enabling the resolution of refractive-index changes of order 10-6. These results establish topological phase observables as robust carriers of weak chiral light-matter interactions in complex media, opening new routes for chiroptical spectroscopy and sensing beyond the ballistic-photon regime.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通过法向磁化率实现完美的全角度非对称传输：局部超原子和非局部超表面的精确空间导数</w:t>
      </w:r>
    </w:p>
    <w:p>
      <w:r>
        <w:rPr>
          <w:rFonts w:ascii="Times New Roman" w:hAnsi="Times New Roman" w:eastAsia="宋体"/>
          <w:b/>
          <w:color w:val="003264"/>
          <w:sz w:val="24"/>
        </w:rPr>
        <w:t>Perfect all-angle asymmetric transmission via normal susceptibilities: exact spatial derivative by local meta-atoms and nonlocal metasurfaces</w:t>
      </w:r>
    </w:p>
    <w:p>
      <w:r>
        <w:rPr>
          <w:rFonts w:ascii="Times New Roman" w:hAnsi="Times New Roman" w:eastAsia="宋体"/>
          <w:sz w:val="21"/>
        </w:rPr>
        <w:t>作者: Ariel Epstein</w:t>
        <w:br/>
      </w:r>
      <w:r>
        <w:rPr>
          <w:rFonts w:ascii="Times New Roman" w:hAnsi="Times New Roman" w:eastAsia="宋体"/>
          <w:sz w:val="21"/>
        </w:rPr>
        <w:t xml:space="preserve">时间: 2026-02-09T15:57:12Z | </w:t>
      </w:r>
      <w:r>
        <w:t xml:space="preserve">链接: </w:t>
      </w:r>
      <w:hyperlink r:id="rId106">
        <w:r>
          <w:rPr>
            <w:rFonts w:ascii="Times New Roman" w:hAnsi="Times New Roman" w:eastAsia="宋体"/>
            <w:color w:val="0000FF"/>
            <w:sz w:val="21"/>
            <w:u w:val="single"/>
          </w:rPr>
          <w:t>https://arxiv.org/abs/2602.08823v1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在非局域超表面中实现精确的非对称全角度传输的系统方法。作为一个代表性的例子，我们推导了单位数值孔径的精确一阶空间微分的封闭形式磁化率条件，阐明了每个潜在平衡的作用。我们提供具有物理意义的结构的严格而详细的设计，这些结构直接体现了这种敏感性：概念性的局部元原子和现实的非局部多层印刷电路板（PCB）。重要的是，后者利用了超出标准均质化的复杂近场耦合系统。我们的结果经过模拟验证，为光学模拟处理的高分辨率非对称非局域超表面提供了通用和模块化的途径。</w:t>
      </w:r>
    </w:p>
    <w:p>
      <w:pPr>
        <w:spacing w:before="120"/>
      </w:pPr>
      <w:r>
        <w:rPr>
          <w:rFonts w:ascii="Times New Roman" w:hAnsi="Times New Roman" w:eastAsia="宋体"/>
          <w:b/>
          <w:sz w:val="21"/>
        </w:rPr>
        <w:t>English Abstract:</w:t>
      </w:r>
    </w:p>
    <w:p>
      <w:r>
        <w:rPr>
          <w:rFonts w:ascii="Times New Roman" w:hAnsi="Times New Roman" w:eastAsia="宋体"/>
          <w:sz w:val="21"/>
        </w:rPr>
        <w:t>We present a systematic methodology for realizing accurate asymmetric all-angle transmission in nonlocal metasurfaces. As a representative example, we derive closed-form susceptibility conditions for exact first-order spatial differentiation of unity numerical aperture, clarifying the role of each underlying balance. We provide rigorous and detailed designs of physically meaningful structures that directly feature such susceptibilities: a conceptual local meta-atom and a realistic nonlocal multilayered printed circuit board (PCB). Importantly, the latter leverages an intricate system of nearfield coupling beyond standard homogenization. Validated in simulations, our results provide a general and modular route to high-resolution asymmetric nonlocal metasurfaces for optical analog processing.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使用结构光诱导内视现象进行心理物理任务的重测可靠性</w:t>
      </w:r>
    </w:p>
    <w:p>
      <w:r>
        <w:rPr>
          <w:rFonts w:ascii="Times New Roman" w:hAnsi="Times New Roman" w:eastAsia="宋体"/>
          <w:b/>
          <w:color w:val="003264"/>
          <w:sz w:val="24"/>
        </w:rPr>
        <w:t>Test-retest Reliability of Psychophysical Tasks Using Structured Light-Induced Entoptic Phenomena</w:t>
      </w:r>
    </w:p>
    <w:p>
      <w:r>
        <w:rPr>
          <w:rFonts w:ascii="Times New Roman" w:hAnsi="Times New Roman" w:eastAsia="宋体"/>
          <w:sz w:val="21"/>
        </w:rPr>
        <w:t>作者: Dusan Sarenac</w:t>
        <w:br/>
      </w:r>
      <w:r>
        <w:rPr>
          <w:rFonts w:ascii="Times New Roman" w:hAnsi="Times New Roman" w:eastAsia="宋体"/>
          <w:sz w:val="21"/>
        </w:rPr>
        <w:t xml:space="preserve">时间: 2026-02-09T16:06:52Z | </w:t>
      </w:r>
      <w:r>
        <w:t xml:space="preserve">链接: </w:t>
      </w:r>
      <w:hyperlink r:id="rId107">
        <w:r>
          <w:rPr>
            <w:rFonts w:ascii="Times New Roman" w:hAnsi="Times New Roman" w:eastAsia="宋体"/>
            <w:color w:val="0000FF"/>
            <w:sz w:val="21"/>
            <w:u w:val="single"/>
          </w:rPr>
          <w:t>https://arxiv.org/abs/2602.08836v1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结构光（SL）诱导的偏振感知为早期检测年龄相关性黄斑变性等黄斑疾病提供了一种有前途的方法。我们使用基于 SL 的刺激来诱导视力健康个体的内视模式，研究了心理物理学任务的重测可靠性。 28 名参与者接受了彻底的眼部检查，以确认他们拥有健康的眼睛和良好的视力（logMAR BCVA ~0.00）。其中，25 名年龄在 21 岁至 75 岁之间的参与者（n = 50 只眼睛）完成了两项相隔 1 至 14 天的相同任务。使用基于 SL 的刺激产生包含 22 个方位刷的旋转内视图案，我们测量了视网膜偏心阈值 $R_T$，在该阈值下，参与者可以通过改变中央障碍物的大小来可靠地识别旋转方向。该阈值反映了每个参与者的模式的视角。我们使用双向混合效应模型计算了可靠性系数（组内相关系数，ICC），并进行了 Bland-Altman 分析来评估重测可靠性。右眼 (RE) 的 ICC 为 0.83 [95% CI: 0.62 - 0.93]，左眼 (LE) 的 ICC 为 0.93 [95% CI: 0.84 - 0.97]，表明可靠性良好。 Bland-Altman 分析显示，第一节和第二节之间 RE 和 LE 的平均差异分别为 -0.32°（SD：1.51）和 -0.12°（SD：1.03），RE 和 LE 的一致性极限范围分别为 -3.28° 至 2.64° 和 -2.14° 至 1.89°，证实了很强的一致性且没有显着偏差。这些结果表明，基于 SL 的心理物理任务是评估偏振知觉的可靠方法，有可能改善影响黄斑健康的疾病的筛查。</w:t>
      </w:r>
    </w:p>
    <w:p>
      <w:pPr>
        <w:spacing w:before="120"/>
      </w:pPr>
      <w:r>
        <w:rPr>
          <w:rFonts w:ascii="Times New Roman" w:hAnsi="Times New Roman" w:eastAsia="宋体"/>
          <w:b/>
          <w:sz w:val="21"/>
        </w:rPr>
        <w:t>English Abstract:</w:t>
      </w:r>
    </w:p>
    <w:p>
      <w:r>
        <w:rPr>
          <w:rFonts w:ascii="Times New Roman" w:hAnsi="Times New Roman" w:eastAsia="宋体"/>
          <w:sz w:val="21"/>
        </w:rPr>
        <w:t>Structured light (SL)-induced polarization perception presents a promising method for the early detection of macular diseases such as age-related macular degeneration. We investigated the test-retest reliability of a psychophysical task using SL-based stimuli to induce entoptic patterns in individuals with healthy vision. Twenty-eight participants underwent thorough eye examinations to confirm they had healthy eyes and good vision (logMAR BCVA ~0.00). Of these, 25 participants (n=50 eyes) aged 21 to 75 completed two identical tasks separated by 1 to 14 days. Using SL-based stimuli that produced a rotating entoptic pattern containing 22 azimuthal brushes, we measured the retinal eccentricity threshold $R_T$ at which participants could reliably identify the direction of rotation by varying the size of a central obstruction. This threshold reflects the visual angle of the pattern for each participant. We calculated the reliability coefficient (intraclass correlation coefficient, ICC) using a two-way mixed-effects model and conducted a Bland-Altman analysis to assess test-retest reliability. The ICC was 0.83 [95% CI: 0.62 - 0.93] for right eyes (RE) and 0.93 [95% CI: 0.84 - 0.97] for left eyes (LE), indicating good reliability. The Bland-Altman analysis showed a mean difference of -0.32° (SD: 1.51) and -0.12° (SD: 1.03) for RE and LE respectively between the first and second sessions, with limits of agreement ranging from -3.28° to 2.64° and -2.14° to 1.89° for RE and LE respectively, confirming strong agreement and no significant bias. These results demonstrate that SL-based psychophysical tasks are a reliable method for assessing polarization perception, potentially improving screening for diseases affecting macular health.</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Computational Imaging</w:t>
      </w:r>
    </w:p>
    <w:p>
      <w:pPr>
        <w:jc w:val="center"/>
      </w:pPr>
      <w:r>
        <w:t>--- 更新: 13:29 ---</w:t>
      </w:r>
    </w:p>
    <w:p>
      <w:pPr>
        <w:pStyle w:val="Heading2"/>
      </w:pPr>
      <w:r/>
      <w:r>
        <w:rPr>
          <w:rFonts w:ascii="Times New Roman" w:hAnsi="Times New Roman" w:eastAsia="宋体"/>
          <w:b/>
          <w:color w:val="000000"/>
          <w:sz w:val="24"/>
        </w:rPr>
        <w:t>DEMIX：用于超声成像中混合降噪的双编码器潜在掩蔽框架</w:t>
      </w:r>
    </w:p>
    <w:p>
      <w:r>
        <w:rPr>
          <w:rFonts w:ascii="Times New Roman" w:hAnsi="Times New Roman" w:eastAsia="宋体"/>
          <w:b/>
          <w:color w:val="003264"/>
          <w:sz w:val="24"/>
        </w:rPr>
        <w:t>DEMIX: Dual-Encoder Latent Masking Framework for Mixed Noise Reduction in Ultrasound Imaging</w:t>
      </w:r>
    </w:p>
    <w:p>
      <w:r>
        <w:rPr>
          <w:rFonts w:ascii="Times New Roman" w:hAnsi="Times New Roman" w:eastAsia="宋体"/>
          <w:sz w:val="21"/>
        </w:rPr>
        <w:t>作者: Scott T. Acton</w:t>
        <w:br/>
      </w:r>
      <w:r>
        <w:rPr>
          <w:rFonts w:ascii="Times New Roman" w:hAnsi="Times New Roman" w:eastAsia="宋体"/>
          <w:sz w:val="21"/>
        </w:rPr>
        <w:t xml:space="preserve">时间: 2026-02-06T20:03:27Z | </w:t>
      </w:r>
      <w:r>
        <w:t xml:space="preserve">链接: </w:t>
      </w:r>
      <w:hyperlink r:id="rId108">
        <w:r>
          <w:rPr>
            <w:rFonts w:ascii="Times New Roman" w:hAnsi="Times New Roman" w:eastAsia="宋体"/>
            <w:color w:val="0000FF"/>
            <w:sz w:val="21"/>
            <w:u w:val="single"/>
          </w:rPr>
          <w:t>https://arxiv.org/abs/2602.07163v1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超声成像因其高效、便携和避免电离辐射而广泛应用于无创医疗诊断。然而，其实用性受到信号质量的限制。与信号相关的散斑噪声、与信号无关的传感器噪声以及由换能器引起并由点扩散函数 (PSF) 建模的不均匀空间模糊都会降低图像质量。这些退化对传统的图像恢复方法提出了挑战，传统的图像恢复方法假设简化的噪声模型，并强调需要能够有效减少退化同时保留精细结构细节的专用算法。我们提出了 DEMIX，一种具有掩蔽门控融合机制的新型双编码器去噪框架，用于对因混合噪声而降级并因 PSF 引起的失真而进一步降级的超声图像进行去噪。 DEMIX 受到扩散模型的启发，其特点是正向过程和确定性逆向过程。 DEMIX 自适应地评估不同的噪声分量，在潜在空间中解开它们，并在补偿 PSF 退化的同时抑制这些分量。对两个超声数据集的大量实验以及下游分割任务表明，DEMIX 始终优于最先进的基线，实现了卓越的噪声抑制并保留了结构细节。该代码将公开。</w:t>
      </w:r>
    </w:p>
    <w:p>
      <w:pPr>
        <w:spacing w:before="120"/>
      </w:pPr>
      <w:r>
        <w:rPr>
          <w:rFonts w:ascii="Times New Roman" w:hAnsi="Times New Roman" w:eastAsia="宋体"/>
          <w:b/>
          <w:sz w:val="21"/>
        </w:rPr>
        <w:t>English Abstract:</w:t>
      </w:r>
    </w:p>
    <w:p>
      <w:r>
        <w:rPr>
          <w:rFonts w:ascii="Times New Roman" w:hAnsi="Times New Roman" w:eastAsia="宋体"/>
          <w:sz w:val="21"/>
        </w:rPr>
        <w:t>Ultrasound imaging is widely used in noninvasive medical diagnostics due to its efficiency, portability, and avoidance of ionizing radiation. However, its utility is limited by the quality of the signal. Signal-dependent speckle noise, signal-independent sensor noise, and non-uniform spatial blurring caused by the transducer and modeled by the point spread function (PSF) degrade the image quality. These degradations challenge conventional image restoration methods, which assume simplified noise models, and highlight the need for specialized algorithms capable of effectively reducing the degradations while preserving fine structural details. We propose DEMIX, a novel dual-encoder denoising framework with a masked gated fusion mechanism, for denoising ultrasound images degraded by mixed noise and further degraded by PSF-induced distortions. DEMIX is inspired by diffusion models and is characterized by a forward process and a deterministic reverse process. DEMIX adaptively assesses the different noise components, disentangles them in the latent space, and suppresses these components while compensating for PSF degradations. Extensive experiments on two ultrasound datasets, along with a downstream segmentation task, demonstrate that DEMIX consistently outperforms state-of-the-art baselines, achieving superior noise suppression and preserving structural details. The code will be made publicly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信息论：X 射线显微镜视角</w:t>
      </w:r>
    </w:p>
    <w:p>
      <w:r>
        <w:rPr>
          <w:rFonts w:ascii="Times New Roman" w:hAnsi="Times New Roman" w:eastAsia="宋体"/>
          <w:b/>
          <w:color w:val="003264"/>
          <w:sz w:val="24"/>
        </w:rPr>
        <w:t>Information Theory: An X-ray Microscopy Perspective</w:t>
      </w:r>
    </w:p>
    <w:p>
      <w:r>
        <w:rPr>
          <w:rFonts w:ascii="Times New Roman" w:hAnsi="Times New Roman" w:eastAsia="宋体"/>
          <w:sz w:val="21"/>
        </w:rPr>
        <w:t>作者: Charles Wood</w:t>
        <w:br/>
      </w:r>
      <w:r>
        <w:rPr>
          <w:rFonts w:ascii="Times New Roman" w:hAnsi="Times New Roman" w:eastAsia="宋体"/>
          <w:sz w:val="21"/>
        </w:rPr>
        <w:t xml:space="preserve">时间: 2026-02-06T20:09:38Z | </w:t>
      </w:r>
      <w:r>
        <w:t xml:space="preserve">链接: </w:t>
      </w:r>
      <w:hyperlink r:id="rId109">
        <w:r>
          <w:rPr>
            <w:rFonts w:ascii="Times New Roman" w:hAnsi="Times New Roman" w:eastAsia="宋体"/>
            <w:color w:val="0000FF"/>
            <w:sz w:val="21"/>
            <w:u w:val="single"/>
          </w:rPr>
          <w:t>https://arxiv.org/abs/2602.07168v1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X射线显微镜（XRM）通常用于获取内部微观结构的三维信息，但成像管道在多个阶段引入了噪声、冗余和信息丢失。本文将 XRM 工作流程视为作用于有限信息预算的信息处理系统。使用熵、互信息和 Kullback-Leibler 散度，我们量化了采集、去噪、对齐、稀疏角度采样、剂量变化和重建如何重塑投影数据和重建体积的统计结构。基于 Walnut 1 数据集的案例研究说明了这些过程如何重新分配信息并造成瓶颈。我们使用统一的信息预算总结了工作流程，并表明互信息提供了与重建无关的保真度指标，支持 XRM 协议的定量比较和优化，特别是在低剂量或时间受限的条件下</w:t>
      </w:r>
    </w:p>
    <w:p>
      <w:pPr>
        <w:spacing w:before="120"/>
      </w:pPr>
      <w:r>
        <w:rPr>
          <w:rFonts w:ascii="Times New Roman" w:hAnsi="Times New Roman" w:eastAsia="宋体"/>
          <w:b/>
          <w:sz w:val="21"/>
        </w:rPr>
        <w:t>English Abstract:</w:t>
      </w:r>
    </w:p>
    <w:p>
      <w:r>
        <w:rPr>
          <w:rFonts w:ascii="Times New Roman" w:hAnsi="Times New Roman" w:eastAsia="宋体"/>
          <w:sz w:val="21"/>
        </w:rPr>
        <w:t>X-ray microscopy (XRM) is commonly used to obtain three-dimensional information on internal microstructure, but the imaging pipeline introduces noise, redundancy and information loss at multiple stages. This paper treats the XRM workflow as an information-processing system acting on a finite information budget. Using entropy, mutual information and Kullback-Leibler divergence, we quantify how acquisition, denoising, alignment, sparse-angle sampling, dose variation and reconstruction reshape the statistical structure of projection data and reconstructed volumes. Case studies based on the Walnut 1 dataset illustrate how these processes redistribute information and impose bottlenecks. We summarise the workflow using a unified information budget and show that mutual information provides a reconstruction-agnostic indicator of fidelity, supporting quantitative comparison and optimisation of XRM protocols, particularly under low-dose or time-constrained conditions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从静息态功能磁共振成像中提取驱动精神病理学的大脑活动根源</w:t>
      </w:r>
    </w:p>
    <w:p>
      <w:r>
        <w:rPr>
          <w:rFonts w:ascii="Times New Roman" w:hAnsi="Times New Roman" w:eastAsia="宋体"/>
          <w:b/>
          <w:color w:val="003264"/>
          <w:sz w:val="24"/>
        </w:rPr>
        <w:t>Extracting Root-Causal Brain Activity Driving Psychopathology from Resting State fMRI</w:t>
      </w:r>
    </w:p>
    <w:p>
      <w:r>
        <w:rPr>
          <w:rFonts w:ascii="Times New Roman" w:hAnsi="Times New Roman" w:eastAsia="宋体"/>
          <w:sz w:val="21"/>
        </w:rPr>
        <w:t>作者: Eric V. Strobl</w:t>
        <w:br/>
      </w:r>
      <w:r>
        <w:rPr>
          <w:rFonts w:ascii="Times New Roman" w:hAnsi="Times New Roman" w:eastAsia="宋体"/>
          <w:sz w:val="21"/>
        </w:rPr>
        <w:t xml:space="preserve">时间: 2026-02-06T22:24:24Z | </w:t>
      </w:r>
      <w:r>
        <w:t xml:space="preserve">链接: </w:t>
      </w:r>
      <w:hyperlink r:id="rId110">
        <w:r>
          <w:rPr>
            <w:rFonts w:ascii="Times New Roman" w:hAnsi="Times New Roman" w:eastAsia="宋体"/>
            <w:color w:val="0000FF"/>
            <w:sz w:val="21"/>
            <w:u w:val="single"/>
          </w:rPr>
          <w:t>https://arxiv.org/abs/2602.07233v1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精神疾病的神经影像学研究通常将影像模式与诊断标签或综合症状评分相关联，产生模糊的潜在机制的弥漫关联。相反，我们寻求识别根本因果图——引发病理级联的局部大胆干扰——并有选择地将它们与症状维度联系起来。我们引入了一种双层结构因果模型，该模型通过具有局部直接效应的独立潜在源将受试者之间的症状结构与受试者内的静息态功能磁共振成像联系起来。基于这个模型，我们开发了 SOURCE（面向症状的根本原因揭示），这是一个将可解释的症状轴与一组简约的本地化驱动因素联系起来的过程。实验表明，SOURCE 恢复了与根源 BOLD 驱动因素一致的局部图，并相对于现有比较器提高了可解释性和解剖特异性。</w:t>
      </w:r>
    </w:p>
    <w:p>
      <w:pPr>
        <w:spacing w:before="120"/>
      </w:pPr>
      <w:r>
        <w:rPr>
          <w:rFonts w:ascii="Times New Roman" w:hAnsi="Times New Roman" w:eastAsia="宋体"/>
          <w:b/>
          <w:sz w:val="21"/>
        </w:rPr>
        <w:t>English Abstract:</w:t>
      </w:r>
    </w:p>
    <w:p>
      <w:r>
        <w:rPr>
          <w:rFonts w:ascii="Times New Roman" w:hAnsi="Times New Roman" w:eastAsia="宋体"/>
          <w:sz w:val="21"/>
        </w:rPr>
        <w:t>Neuroimaging studies of psychiatric disorders often correlate imaging patterns with diagnostic labels or composite symptom scores, yielding diffuse associations that obscure underlying mechanisms. We instead seek to identify root-causal maps -- localized BOLD disturbances that initiate pathological cascades -- and to link them selectively to symptom dimensions. We introduce a bilevel structural causal model that connects between-subject symptom structure to within-subject resting-state fMRI via independent latent sources with localized direct effects. Based on this model, we develop SOURCE (Symptom-Oriented Uncovering of Root-Causal Elements), a procedure that links interpretable symptom axes to a parsimonious set of localized drivers. Experiments show that SOURCE recovers localized maps consistent with root-causal BOLD drivers and increases interpretability and anatomical specificity relative to existing comparators.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用于颜色一致的 HDR 视频重建的小波域掩模图像建模</w:t>
      </w:r>
    </w:p>
    <w:p>
      <w:r>
        <w:rPr>
          <w:rFonts w:ascii="Times New Roman" w:hAnsi="Times New Roman" w:eastAsia="宋体"/>
          <w:b/>
          <w:color w:val="003264"/>
          <w:sz w:val="24"/>
        </w:rPr>
        <w:t>Wavelet-Domain Masked Image Modeling for Color-Consistent HDR Video Reconstruction</w:t>
      </w:r>
    </w:p>
    <w:p>
      <w:r>
        <w:rPr>
          <w:rFonts w:ascii="Times New Roman" w:hAnsi="Times New Roman" w:eastAsia="宋体"/>
          <w:sz w:val="21"/>
        </w:rPr>
        <w:t>作者: Hanli Wang</w:t>
        <w:br/>
      </w:r>
      <w:r>
        <w:rPr>
          <w:rFonts w:ascii="Times New Roman" w:hAnsi="Times New Roman" w:eastAsia="宋体"/>
          <w:sz w:val="21"/>
        </w:rPr>
        <w:t xml:space="preserve">时间: 2026-02-07T06:19:23Z | </w:t>
      </w:r>
      <w:r>
        <w:t xml:space="preserve">链接: </w:t>
      </w:r>
      <w:hyperlink r:id="rId111">
        <w:r>
          <w:rPr>
            <w:rFonts w:ascii="Times New Roman" w:hAnsi="Times New Roman" w:eastAsia="宋体"/>
            <w:color w:val="0000FF"/>
            <w:sz w:val="21"/>
            <w:u w:val="single"/>
          </w:rPr>
          <w:t>https://arxiv.org/abs/2602.07393v1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高动态范围 (HDR) 视频重建旨在从低动态范围 (LDR) 视频中恢复精细的亮度、颜色和细节。然而，现有方法经常存在颜色不准确和时间不一致的问题。为了应对这些挑战，我们提出了 WMNet，这是一种利用小波域掩模图像建模 (W-MIM) 的新型 HDR 视频重建网络。 WMNet采用两阶段训练策略：在第一阶段，W-MIM通过选择性地屏蔽小波域中的颜色和细节信息来进行自重建预训练，使网络具有鲁棒的颜色恢复能力。课程学习方案进一步完善了重建过程。第二阶段使用预训练的权重对模型进行微调，以提高最终的重建质量。为了提高时间一致性，我们引入了专家时间混合（T-MoE）模块和动态内存模块（DMM）。 T-MoE 自适应地融合相邻帧以减少闪烁伪影，而 DMM 则捕获长距离依赖性，确保平滑运动并保留精细细节。此外，由于现有的 HDR 视频数据集缺乏基于场景的分割，我们将 HDRTV4K 重新组织为 HDRTV4K-Scene，为 HDR 视频重建建立了新的基准。大量实验表明，WMNet 在多个评估指标上实现了最先进的性能，显着提高了颜色保真度、时间一致性和感知质量。代码位于：https://github.com/eezkni/WMNet</w:t>
      </w:r>
    </w:p>
    <w:p>
      <w:pPr>
        <w:spacing w:before="120"/>
      </w:pPr>
      <w:r>
        <w:rPr>
          <w:rFonts w:ascii="Times New Roman" w:hAnsi="Times New Roman" w:eastAsia="宋体"/>
          <w:b/>
          <w:sz w:val="21"/>
        </w:rPr>
        <w:t>English Abstract:</w:t>
      </w:r>
    </w:p>
    <w:p>
      <w:r>
        <w:rPr>
          <w:rFonts w:ascii="Times New Roman" w:hAnsi="Times New Roman" w:eastAsia="宋体"/>
          <w:sz w:val="21"/>
        </w:rPr>
        <w:t>High Dynamic Range (HDR) video reconstruction aims to recover fine brightness, color, and details from Low Dynamic Range (LDR) videos. However, existing methods often suffer from color inaccuracies and temporal inconsistencies. To address these challenges, we propose WMNet, a novel HDR video reconstruction network that leverages Wavelet domain Masked Image Modeling (W-MIM). WMNet adopts a two-phase training strategy: In Phase I, W-MIM performs self-reconstruction pre-training by selectively masking color and detail information in the wavelet domain, enabling the network to develop robust color restoration capabilities. A curriculum learning scheme further refines the reconstruction process. Phase II fine-tunes the model using the pre-trained weights to improve the final reconstruction quality. To improve temporal consistency, we introduce the Temporal Mixture of Experts (T-MoE) module and the Dynamic Memory Module (DMM). T-MoE adaptively fuses adjacent frames to reduce flickering artifacts, while DMM captures long-range dependencies, ensuring smooth motion and preservation of fine details. Additionally, since existing HDR video datasets lack scene-based segmentation, we reorganize HDRTV4K into HDRTV4K-Scene, establishing a new benchmark for HDR video reconstruction. Extensive experiments demonstrate that WMNet achieves state-of-the-art performance across multiple evaluation metrics, significantly improving color fidelity, temporal coherence, and perceptual quality. The code is available at: https://github.com/eezkni/WMNet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监控人脸图像质量评估：多维数据集和轻量级模型</w:t>
      </w:r>
    </w:p>
    <w:p>
      <w:r>
        <w:rPr>
          <w:rFonts w:ascii="Times New Roman" w:hAnsi="Times New Roman" w:eastAsia="宋体"/>
          <w:b/>
          <w:color w:val="003264"/>
          <w:sz w:val="24"/>
        </w:rPr>
        <w:t>Surveillance Facial Image Quality Assessment: A Multi-dimensional Dataset and Lightweight Model</w:t>
      </w:r>
    </w:p>
    <w:p>
      <w:r>
        <w:rPr>
          <w:rFonts w:ascii="Times New Roman" w:hAnsi="Times New Roman" w:eastAsia="宋体"/>
          <w:sz w:val="21"/>
        </w:rPr>
        <w:t>作者: Guangtao Zhai</w:t>
        <w:br/>
      </w:r>
      <w:r>
        <w:rPr>
          <w:rFonts w:ascii="Times New Roman" w:hAnsi="Times New Roman" w:eastAsia="宋体"/>
          <w:sz w:val="21"/>
        </w:rPr>
        <w:t xml:space="preserve">时间: 2026-02-07T06:51:03Z | </w:t>
      </w:r>
      <w:r>
        <w:t xml:space="preserve">链接: </w:t>
      </w:r>
      <w:hyperlink r:id="rId112">
        <w:r>
          <w:rPr>
            <w:rFonts w:ascii="Times New Roman" w:hAnsi="Times New Roman" w:eastAsia="宋体"/>
            <w:color w:val="0000FF"/>
            <w:sz w:val="21"/>
            <w:u w:val="single"/>
          </w:rPr>
          <w:t>https://arxiv.org/abs/2602.07403v1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监控人脸图像往往是在无约束条件下采集的，由于分辨率低、运动模糊、遮挡、光照差等因素，导致图像质量严重下降。尽管最近应用于监控摄像头的人脸恢复技术可以显着提高视觉质量，但它们常常会损害保真度（即身份保留功能），这与监控图像的主要目标——可靠的身份验证直接相冲突。现有的面部图像质量评估（FIQA）主要关注视觉质量或面向识别的评估，因此无法共同解决对于监控应用至关重要的视觉质量和保真度。为了弥补这一差距，我们提出了第一个关于监控面部图像质量评估（SFIQA）的综合研究，针对监控场景固有的独特挑战。具体来说，我们首先构建了 SFIQA-Bench，这是一个针对监控面部图像的多维质量评估基准，它由三个广泛部署的监控摄像头在现实场景中捕获的 5,004 张监控面部图像组成。通过主观实验收集六维质量评级，包括噪声、清晰度、色彩、对比度、保真度和整体质量，涵盖了 SFIQA 的关键方面。此外，我们提出了 SFIQA-Assessor，一种轻量级多任务 FIQA 模型，通过跨视图特征交互共同利用互补的面部视图，并采用可学习的任务标记来指导多个质量维度的统一回归。在所提出的数据集上的实验结果表明，与最先进的通用图像质量评估（IQA）和 FIQA 方法相比，我们的方法实现了最佳性能，验证了其在现实世界监控应用中的有效性。</w:t>
      </w:r>
    </w:p>
    <w:p>
      <w:pPr>
        <w:spacing w:before="120"/>
      </w:pPr>
      <w:r>
        <w:rPr>
          <w:rFonts w:ascii="Times New Roman" w:hAnsi="Times New Roman" w:eastAsia="宋体"/>
          <w:b/>
          <w:sz w:val="21"/>
        </w:rPr>
        <w:t>English Abstract:</w:t>
      </w:r>
    </w:p>
    <w:p>
      <w:r>
        <w:rPr>
          <w:rFonts w:ascii="Times New Roman" w:hAnsi="Times New Roman" w:eastAsia="宋体"/>
          <w:sz w:val="21"/>
        </w:rPr>
        <w:t>Surveillance facial images are often captured under unconstrained conditions, resulting in severe quality degradation due to factors such as low resolution, motion blur, occlusion, and poor lighting. Although recent face restoration techniques applied to surveillance cameras can significantly enhance visual quality, they often compromise fidelity (i.e., identity-preserving features), which directly conflicts with the primary objective of surveillance images -- reliable identity verification. Existing facial image quality assessment (FIQA) predominantly focus on either visual quality or recognition-oriented evaluation, thereby failing to jointly address visual quality and fidelity, which are critical for surveillance applications. To bridge this gap, we propose the first comprehensive study on surveillance facial image quality assessment (SFIQA), targeting the unique challenges inherent to surveillance scenarios. Specifically, we first construct SFIQA-Bench, a multi-dimensional quality assessment benchmark for surveillance facial images, which consists of 5,004 surveillance facial images captured by three widely deployed surveillance cameras in real-world scenarios. A subjective experiment is conducted to collect six dimensional quality ratings, including noise, sharpness, colorfulness, contrast, fidelity and overall quality, covering the key aspects of SFIQA. Furthermore, we propose SFIQA-Assessor, a lightweight multi-task FIQA model that jointly exploits complementary facial views through cross-view feature interaction, and employs learnable task tokens to guide the unified regression of multiple quality dimensions. The experiment results on the proposed dataset show that our method achieves the best performance compared with the state-of-the-art general image quality assessment (IQA) and FIQA methods, validating its effectiveness for real-world surveillance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使用全局上下文视觉转换器进行细粒度猫品种识别</w:t>
      </w:r>
    </w:p>
    <w:p>
      <w:r>
        <w:rPr>
          <w:rFonts w:ascii="Times New Roman" w:hAnsi="Times New Roman" w:eastAsia="宋体"/>
          <w:b/>
          <w:color w:val="003264"/>
          <w:sz w:val="24"/>
        </w:rPr>
        <w:t>Fine-Grained Cat Breed Recognition with Global Context Vision Transformer</w:t>
      </w:r>
    </w:p>
    <w:p>
      <w:r>
        <w:rPr>
          <w:rFonts w:ascii="Times New Roman" w:hAnsi="Times New Roman" w:eastAsia="宋体"/>
          <w:sz w:val="21"/>
        </w:rPr>
        <w:t>作者: Mohammmad Farhad Bulbul</w:t>
        <w:br/>
      </w:r>
      <w:r>
        <w:rPr>
          <w:rFonts w:ascii="Times New Roman" w:hAnsi="Times New Roman" w:eastAsia="宋体"/>
          <w:sz w:val="21"/>
        </w:rPr>
        <w:t xml:space="preserve">时间: 2026-02-07T13:13:47Z | </w:t>
      </w:r>
      <w:r>
        <w:t xml:space="preserve">链接: </w:t>
      </w:r>
      <w:hyperlink r:id="rId113">
        <w:r>
          <w:rPr>
            <w:rFonts w:ascii="Times New Roman" w:hAnsi="Times New Roman" w:eastAsia="宋体"/>
            <w:color w:val="0000FF"/>
            <w:sz w:val="21"/>
            <w:u w:val="single"/>
          </w:rPr>
          <w:t>https://arxiv.org/abs/2602.07534v1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由于皮毛图案、面部结构和颜色的细微差异，从图像中准确识别猫的品种是一项具有挑战性的任务。在本文中，我们提出了一种基于深度学习的方法，使用 Oxford-IIIT 宠物数据集的子集对猫品种进行分类，该数据集包含各种家养品种的高分辨率图像。我们采用了 Global Context Vision Transformer (GCViT) 架构——用于猫品种识别。为了提高模型泛化能力，我们使用了广泛的数据增强，包括旋转、水平翻转和亮度调整。实验结果表明，GCViT-Tiny模型的测试准确率达到92.00%，验证准确率达到94.54%。这些发现凸显了基于 Transformer 的架构对于细粒度图像分类任务的有效性。潜在的应用包括兽医诊断、动物收容所管理和基于移动的品种识别系统。我们还在 https://huggingface.co/spaces/bfarhad/cat-breed-classifier 提供了拥抱面部演示。</w:t>
      </w:r>
    </w:p>
    <w:p>
      <w:pPr>
        <w:spacing w:before="120"/>
      </w:pPr>
      <w:r>
        <w:rPr>
          <w:rFonts w:ascii="Times New Roman" w:hAnsi="Times New Roman" w:eastAsia="宋体"/>
          <w:b/>
          <w:sz w:val="21"/>
        </w:rPr>
        <w:t>English Abstract:</w:t>
      </w:r>
    </w:p>
    <w:p>
      <w:r>
        <w:rPr>
          <w:rFonts w:ascii="Times New Roman" w:hAnsi="Times New Roman" w:eastAsia="宋体"/>
          <w:sz w:val="21"/>
        </w:rPr>
        <w:t>Accurate identification of cat breeds from images is a challenging task due to subtle differences in fur patterns, facial structure, and color. In this paper, we present a deep learning-based approach for classifying cat breeds using a subset of the Oxford-IIIT Pet Dataset, which contains high-resolution images of various domestic breeds. We employed the Global Context Vision Transformer (GCViT) architecture-tiny for cat breed recognition. To improve model generalization, we used extensive data augmentation, including rotation, horizontal flipping, and brightness adjustment. Experimental results show that the GCViT-Tiny model achieved a test accuracy of 92.00% and validation accuracy of 94.54%. These findings highlight the effectiveness of transformer-based architectures for fine-grained image classification tasks. Potential applications include veterinary diagnostics, animal shelter management, and mobile-based breed recognition systems. We also provide a hugging face demo at https://huggingface.co/spaces/bfarhad/cat-breed-classifier.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DINO-Mix：利用跨域 CutMix 提炼基础知识，实现半监督类不平衡医学图像分割</w:t>
      </w:r>
    </w:p>
    <w:p>
      <w:r>
        <w:rPr>
          <w:rFonts w:ascii="Times New Roman" w:hAnsi="Times New Roman" w:eastAsia="宋体"/>
          <w:b/>
          <w:color w:val="003264"/>
          <w:sz w:val="24"/>
        </w:rPr>
        <w:t>DINO-Mix: Distilling Foundational Knowledge with Cross-Domain CutMix for Semi-supervised Class-imbalanced Medical Image Segmentation</w:t>
      </w:r>
    </w:p>
    <w:p>
      <w:r>
        <w:rPr>
          <w:rFonts w:ascii="Times New Roman" w:hAnsi="Times New Roman" w:eastAsia="宋体"/>
          <w:sz w:val="21"/>
        </w:rPr>
        <w:t>作者: Guolei Sun</w:t>
        <w:br/>
      </w:r>
      <w:r>
        <w:rPr>
          <w:rFonts w:ascii="Times New Roman" w:hAnsi="Times New Roman" w:eastAsia="宋体"/>
          <w:sz w:val="21"/>
        </w:rPr>
        <w:t xml:space="preserve">时间: 2026-02-08T04:57:39Z | </w:t>
      </w:r>
      <w:r>
        <w:t xml:space="preserve">链接: </w:t>
      </w:r>
      <w:hyperlink r:id="rId114">
        <w:r>
          <w:rPr>
            <w:rFonts w:ascii="Times New Roman" w:hAnsi="Times New Roman" w:eastAsia="宋体"/>
            <w:color w:val="0000FF"/>
            <w:sz w:val="21"/>
            <w:u w:val="single"/>
          </w:rPr>
          <w:t>https://arxiv.org/abs/2602.07819v1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半监督学习（SSL）已成为医学图像分割的关键范例，减轻了密集注释的巨大成本。然而，流行的 SSL 框架从根本上来说是“内向型”的，仅从目标数据集中回收信息和偏见。这种设计引发了阶级不平衡下确认偏差的恶性循环，导致了对少数阶级的灾难性失败。为了解决这个系统性问题，我们提出了向多层次“外向型”框架的范式转变。我们的主要创新是基础知识蒸馏（FKD），它通过引入预先训练的视觉基础模型 DINOv3 作为公正的外部语义老师，超越医学成像的范围。我们的方法不是相信学生有偏见的高置信度，而是从 DINOv3 对高语义唯一性的强大理解中提取知识，提供稳定的跨领域监督信号来锚定少数群体的学习。为了补充这一核心策略，我们通过提出渐进式不平衡感知 CutMix (PIC) 进一步向外观察数据，它创建了一个动态课程，自适应地迫使模型关注标记和未标记子集中的少数类。这种分层策略形成了我们的框架 DINO-Mix，它打破了偏见的恶性循环，并在具有挑战性的半监督类不平衡医学图像分割基准 Synapse 和 AMOS 上取得了卓越的性能。</w:t>
      </w:r>
    </w:p>
    <w:p>
      <w:pPr>
        <w:spacing w:before="120"/>
      </w:pPr>
      <w:r>
        <w:rPr>
          <w:rFonts w:ascii="Times New Roman" w:hAnsi="Times New Roman" w:eastAsia="宋体"/>
          <w:b/>
          <w:sz w:val="21"/>
        </w:rPr>
        <w:t>English Abstract:</w:t>
      </w:r>
    </w:p>
    <w:p>
      <w:r>
        <w:rPr>
          <w:rFonts w:ascii="Times New Roman" w:hAnsi="Times New Roman" w:eastAsia="宋体"/>
          <w:sz w:val="21"/>
        </w:rPr>
        <w:t>Semi-supervised learning (SSL) has emerged as a critical paradigm for medical image segmentation, mitigating the immense cost of dense annotations. However, prevailing SSL frameworks are fundamentally "inward-looking", recycling information and biases solely from within the target dataset. This design triggers a vicious cycle of confirmation bias under class imbalance, leading to the catastrophic failure to recognize minority classes. To dismantle this systemic issue, we propose a paradigm shift to a multi-level "outward-looking" framework. Our primary innovation is Foundational Knowledge Distillation (FKD), which looks outward beyond the confines of medical imaging by introducing a pre-trained visual foundation model, DINOv3, as an unbiased external semantic teacher. Instead of trusting the student's biased high confidence, our method distills knowledge from DINOv3's robust understanding of high semantic uniqueness, providing a stable, cross-domain supervisory signal that anchors the learning of minority classes. To complement this core strategy, we further look outward within the data by proposing Progressive Imbalance-aware CutMix (PIC), which creates a dynamic curriculum that adaptively forces the model to focus on minority classes in both labeled and unlabeled subsets. This layered strategy forms our framework, DINO-Mix, which breaks the vicious cycle of bias and achieves remarkable performance on challenging semi-supervised class-imbalanced medical image segmentation benchmarks Synapse and AMOS.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使用去噪扩散模型的多模态图像重建和合成的统一框架</w:t>
      </w:r>
    </w:p>
    <w:p>
      <w:r>
        <w:rPr>
          <w:rFonts w:ascii="Times New Roman" w:hAnsi="Times New Roman" w:eastAsia="宋体"/>
          <w:b/>
          <w:color w:val="003264"/>
          <w:sz w:val="24"/>
        </w:rPr>
        <w:t>A Unified Framework for Multimodal Image Reconstruction and Synthesis using Denoising Diffusion Models</w:t>
      </w:r>
    </w:p>
    <w:p>
      <w:r>
        <w:rPr>
          <w:rFonts w:ascii="Times New Roman" w:hAnsi="Times New Roman" w:eastAsia="宋体"/>
          <w:sz w:val="21"/>
        </w:rPr>
        <w:t>作者: Ulugbek S. Kamilov</w:t>
        <w:br/>
      </w:r>
      <w:r>
        <w:rPr>
          <w:rFonts w:ascii="Times New Roman" w:hAnsi="Times New Roman" w:eastAsia="宋体"/>
          <w:sz w:val="21"/>
        </w:rPr>
        <w:t xml:space="preserve">时间: 2026-02-09T03:54:24Z | </w:t>
      </w:r>
      <w:r>
        <w:t xml:space="preserve">链接: </w:t>
      </w:r>
      <w:hyperlink r:id="rId115">
        <w:r>
          <w:rPr>
            <w:rFonts w:ascii="Times New Roman" w:hAnsi="Times New Roman" w:eastAsia="宋体"/>
            <w:color w:val="0000FF"/>
            <w:sz w:val="21"/>
            <w:u w:val="single"/>
          </w:rPr>
          <w:t>https://arxiv.org/abs/2602.08249v1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图像重建和图像合成对于处理不完整的多模态成像数据非常重要，但现有方法需要各种特定于任务的模型，使训练和部署工作流程变得复杂。我们引入了 Any2all，这是一个统一的框架，它通过将这些不同的任务制定为单个虚拟修复问题来解决这一限制。我们在完整的多模态数据堆栈上训练单个无条件扩散模型。然后，该模型在推理时进行调整，以通过可用的干净图像或噪声测量的输入的任意组合来“修复”所有目标模态。我们在 PET/MR/CT 大脑数据集上验证了 Any2all。我们的结果表明，Any2all 可以在多模态重建和合成任务上实现出色的性能，始终生成具有竞争性基于失真的性能的图像，并且比专门方法具有卓越的感知质量。</w:t>
      </w:r>
    </w:p>
    <w:p>
      <w:pPr>
        <w:spacing w:before="120"/>
      </w:pPr>
      <w:r>
        <w:rPr>
          <w:rFonts w:ascii="Times New Roman" w:hAnsi="Times New Roman" w:eastAsia="宋体"/>
          <w:b/>
          <w:sz w:val="21"/>
        </w:rPr>
        <w:t>English Abstract:</w:t>
      </w:r>
    </w:p>
    <w:p>
      <w:r>
        <w:rPr>
          <w:rFonts w:ascii="Times New Roman" w:hAnsi="Times New Roman" w:eastAsia="宋体"/>
          <w:sz w:val="21"/>
        </w:rPr>
        <w:t>Image reconstruction and image synthesis are important for handling incomplete multimodal imaging data, but existing methods require various task-specific models, complicating training and deployment workflows. We introduce Any2all, a unified framework that addresses this limitation by formulating these disparate tasks as a single virtual inpainting problem. We train a single, unconditional diffusion model on the complete multimodal data stack. This model is then adapted at inference time to ``inpaint'' all target modalities from any combination of inputs of available clean images or noisy measurements. We validated Any2all on a PET/MR/CT brain dataset. Our results show that Any2all can achieve excellent performance on both multimodal reconstruction and synthesis tasks, consistently yielding images with competitive distortion-based performance and superior perceptual quality over specialized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用于解决基于流的模型反问题的轨迹缝合</w:t>
      </w:r>
    </w:p>
    <w:p>
      <w:r>
        <w:rPr>
          <w:rFonts w:ascii="Times New Roman" w:hAnsi="Times New Roman" w:eastAsia="宋体"/>
          <w:b/>
          <w:color w:val="003264"/>
          <w:sz w:val="24"/>
        </w:rPr>
        <w:t>Trajectory Stitching for Solving Inverse Problems with Flow-Based Models</w:t>
      </w:r>
    </w:p>
    <w:p>
      <w:r>
        <w:rPr>
          <w:rFonts w:ascii="Times New Roman" w:hAnsi="Times New Roman" w:eastAsia="宋体"/>
          <w:sz w:val="21"/>
        </w:rPr>
        <w:t>作者: Carola-Bibiane Schönlieb</w:t>
        <w:br/>
      </w:r>
      <w:r>
        <w:rPr>
          <w:rFonts w:ascii="Times New Roman" w:hAnsi="Times New Roman" w:eastAsia="宋体"/>
          <w:sz w:val="21"/>
        </w:rPr>
        <w:t xml:space="preserve">时间: 2026-02-09T11:36:41Z | </w:t>
      </w:r>
      <w:r>
        <w:t xml:space="preserve">链接: </w:t>
      </w:r>
      <w:hyperlink r:id="rId116">
        <w:r>
          <w:rPr>
            <w:rFonts w:ascii="Times New Roman" w:hAnsi="Times New Roman" w:eastAsia="宋体"/>
            <w:color w:val="0000FF"/>
            <w:sz w:val="21"/>
            <w:u w:val="single"/>
          </w:rPr>
          <w:t>https://arxiv.org/abs/2602.08538v1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流的生成模型已成为解决逆问题的强大先验。一种选择是直接优化初始潜在代码（噪声），使得流输出解决逆问题。然而，这需要在整个生成轨迹中进行反向传播，从而导致高内存成本和数值不稳定。我们提出了 MS-Flow，它将轨迹表示为一系列中间潜在状态而不是单个初始代码。通过在本地强制执行流动动力学并通过轨迹匹配惩罚耦合分段，MS-Flow 在更新中间潜在状态和强制与观察数据的一致性之间交替。这减少了内存消耗，同时提高了重建质量。我们证明了 MS-Flow 相对于现有方法在图像恢复和反演问题（包括修复、超分辨率和计算机断层扫描）方面的有效性。</w:t>
      </w:r>
    </w:p>
    <w:p>
      <w:pPr>
        <w:spacing w:before="120"/>
      </w:pPr>
      <w:r>
        <w:rPr>
          <w:rFonts w:ascii="Times New Roman" w:hAnsi="Times New Roman" w:eastAsia="宋体"/>
          <w:b/>
          <w:sz w:val="21"/>
        </w:rPr>
        <w:t>English Abstract:</w:t>
      </w:r>
    </w:p>
    <w:p>
      <w:r>
        <w:rPr>
          <w:rFonts w:ascii="Times New Roman" w:hAnsi="Times New Roman" w:eastAsia="宋体"/>
          <w:sz w:val="21"/>
        </w:rPr>
        <w:t>Flow-based generative models have emerged as powerful priors for solving inverse problems. One option is to directly optimize the initial latent code (noise), such that the flow output solves the inverse problem. However, this requires backpropagating through the entire generative trajectory, incurring high memory costs and numerical instability. We propose MS-Flow, which represents the trajectory as a sequence of intermediate latent states rather than a single initial code. By enforcing the flow dynamics locally and coupling segments through trajectory-matching penalties, MS-Flow alternates between updating intermediate latent states and enforcing consistency with observed data. This reduces memory consumption while improving reconstruction quality. We demonstrate the effectiveness of MS-Flow over existing methods on image recovery and inverse problems, including inpainting, super-resolution, and computed tomography.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GOT-Edit：通过在线模型编辑进行几何感知通用对象跟踪</w:t>
      </w:r>
    </w:p>
    <w:p>
      <w:r>
        <w:rPr>
          <w:rFonts w:ascii="Times New Roman" w:hAnsi="Times New Roman" w:eastAsia="宋体"/>
          <w:b/>
          <w:color w:val="003264"/>
          <w:sz w:val="24"/>
        </w:rPr>
        <w:t>GOT-Edit: Geometry-Aware Generic Object Tracking via Online Model Editing</w:t>
      </w:r>
    </w:p>
    <w:p>
      <w:r>
        <w:rPr>
          <w:rFonts w:ascii="Times New Roman" w:hAnsi="Times New Roman" w:eastAsia="宋体"/>
          <w:sz w:val="21"/>
        </w:rPr>
        <w:t>作者: Yen-Yu Lin</w:t>
        <w:br/>
      </w:r>
      <w:r>
        <w:rPr>
          <w:rFonts w:ascii="Times New Roman" w:hAnsi="Times New Roman" w:eastAsia="宋体"/>
          <w:sz w:val="21"/>
        </w:rPr>
        <w:t xml:space="preserve">时间: 2026-02-09T11:50:29Z | </w:t>
      </w:r>
      <w:r>
        <w:t xml:space="preserve">链接: </w:t>
      </w:r>
      <w:hyperlink r:id="rId117">
        <w:r>
          <w:rPr>
            <w:rFonts w:ascii="Times New Roman" w:hAnsi="Times New Roman" w:eastAsia="宋体"/>
            <w:color w:val="0000FF"/>
            <w:sz w:val="21"/>
            <w:u w:val="single"/>
          </w:rPr>
          <w:t>https://arxiv.org/abs/2602.08550v1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人类对 2D 视频流中有效对象跟踪的感知源自对先验 3D 知识与语义推理相结合的隐式使用。相比之下，大多数通用对象跟踪 (GOT) 方法主要依赖于目标及其周围环境的 2D 特征，而忽略 3D 几何线索，这使得它们容易受到部分遮挡、干扰以及几何和外观变化的影响。为了解决这个限制，我们引入了 GOT-Edit，这是一种在线跨模态模型编辑方法，它将几何感知线索集成到来自 2D 视频流的通用对象跟踪器中。我们的方法利用预先训练的 Visual Geometry Grounded Transformer 的功能，仅从少量 2D 图像即可进行几何线索推断。为了应对无缝结合几何和语义的挑战，GOT-Edit 通过零空间约束更新执行在线模型编辑，在保留语义区分的同时合并几何信息，从而在不同场景中始终获得更好的性能。对多个 GOT 基准的大量实验表明，GOT-Edit 实现了卓越的鲁棒性和准确性，特别是在遮挡和杂乱的情况下，建立了将 2D 语义与 3D 几何推理相结合以进行通用对象跟踪的新范例。</w:t>
      </w:r>
    </w:p>
    <w:p>
      <w:pPr>
        <w:spacing w:before="120"/>
      </w:pPr>
      <w:r>
        <w:rPr>
          <w:rFonts w:ascii="Times New Roman" w:hAnsi="Times New Roman" w:eastAsia="宋体"/>
          <w:b/>
          <w:sz w:val="21"/>
        </w:rPr>
        <w:t>English Abstract:</w:t>
      </w:r>
    </w:p>
    <w:p>
      <w:r>
        <w:rPr>
          <w:rFonts w:ascii="Times New Roman" w:hAnsi="Times New Roman" w:eastAsia="宋体"/>
          <w:sz w:val="21"/>
        </w:rPr>
        <w:t>Human perception for effective object tracking in a 2D video stream arises from the implicit use of prior 3D knowledge combined with semantic reasoning. In contrast, most generic object tracking (GOT) methods primarily rely on 2D features of the target and its surroundings while neglecting 3D geometric cues, which makes them susceptible to partial occlusion, distractors, and variations in geometry and appearance. To address this limitation, we introduce GOT-Edit, an online cross-modality model editing approach that integrates geometry-aware cues into a generic object tracker from a 2D video stream. Our approach leverages features from a pre-trained Visual Geometry Grounded Transformer to enable geometric cue inference from only a few 2D images. To tackle the challenge of seamlessly combining geometry and semantics, GOT-Edit performs online model editing with null-space constrained updates that incorporate geometric information while preserving semantic discrimination, yielding consistently better performance across diverse scenarios. Extensive experiments on multiple GOT benchmarks demonstrate that GOT-Edit achieves superior robustness and accuracy, particularly under occlusion and clutter, establishing a new paradigm for combining 2D semantics with 3D geometric reasoning for generic object tracking.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具有轻度至中度神经病理学特征的 MRI 扫描的有效大脑提取</w:t>
      </w:r>
    </w:p>
    <w:p>
      <w:r>
        <w:rPr>
          <w:rFonts w:ascii="Times New Roman" w:hAnsi="Times New Roman" w:eastAsia="宋体"/>
          <w:b/>
          <w:color w:val="003264"/>
          <w:sz w:val="24"/>
        </w:rPr>
        <w:t>Efficient Brain Extraction of MRI Scans with Mild to Moderate Neuropathology</w:t>
      </w:r>
    </w:p>
    <w:p>
      <w:r>
        <w:rPr>
          <w:rFonts w:ascii="Times New Roman" w:hAnsi="Times New Roman" w:eastAsia="宋体"/>
          <w:sz w:val="21"/>
        </w:rPr>
        <w:t>作者: Lotta M. Ellingsen</w:t>
        <w:br/>
      </w:r>
      <w:r>
        <w:rPr>
          <w:rFonts w:ascii="Times New Roman" w:hAnsi="Times New Roman" w:eastAsia="宋体"/>
          <w:sz w:val="21"/>
        </w:rPr>
        <w:t xml:space="preserve">时间: 2026-02-09T15:03:30Z | </w:t>
      </w:r>
      <w:r>
        <w:t xml:space="preserve">链接: </w:t>
      </w:r>
      <w:hyperlink r:id="rId118">
        <w:r>
          <w:rPr>
            <w:rFonts w:ascii="Times New Roman" w:hAnsi="Times New Roman" w:eastAsia="宋体"/>
            <w:color w:val="0000FF"/>
            <w:sz w:val="21"/>
            <w:u w:val="single"/>
          </w:rPr>
          <w:t>https://arxiv.org/abs/2602.08764v1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脑的头骨剥离磁共振图像（MRI）是许多图像处理技术中的一个重要过程，例如大脑结构的自动分割。人们已经开发了许多方法来执行此任务，但是，它们经常在神经病理学存在的情况下失败，并且在定义脑罩边界时可能不一致。在这里，我们提出了一种以稳健有效的方式对颅骨条带 T1 加权图像进行新方法，旨在一致地分割大脑的外表面，包括脑沟脑脊液（CSF），同时排除蛛网膜下腔和脑膜的全部范围。我们使用基于符号距离变换 (SDT) 的新型损失函数在银标准地面实况数据上训练 U-net 的修改版本。我们使用训练数据集中保留的数据以及独立的外部数据集定性和定量地验证我们的模型。用于评估的脑罩部分或全部包含蛛网膜下腔，这可能会给比较带来偏差；尽管如此，我们的模型在保留的测试数据上表现出了强大的性能，实现了一致的平均 Dice 相似系数 (DSC) 0.964$\pm$0.006 和平均对称表面距离 (ASSD) 1.4mm$\pm$0.2mm。外部数据集上的性能相当，DSC 为 0.958$\pm$0.006，ASSD 为 1.7$\pm$0.2mm。我们的方法实现了与现有最​​先进的大脑提取方法相当或更好的性能，特别是在高度一致地保存大脑外表面方面。该方法已在 GitHub 上公开发布。</w:t>
      </w:r>
    </w:p>
    <w:p>
      <w:pPr>
        <w:spacing w:before="120"/>
      </w:pPr>
      <w:r>
        <w:rPr>
          <w:rFonts w:ascii="Times New Roman" w:hAnsi="Times New Roman" w:eastAsia="宋体"/>
          <w:b/>
          <w:sz w:val="21"/>
        </w:rPr>
        <w:t>English Abstract:</w:t>
      </w:r>
    </w:p>
    <w:p>
      <w:r>
        <w:rPr>
          <w:rFonts w:ascii="Times New Roman" w:hAnsi="Times New Roman" w:eastAsia="宋体"/>
          <w:sz w:val="21"/>
        </w:rPr>
        <w:t>Skull stripping magnetic resonance images (MRI) of the human brain is an important process in many image processing techniques, such as automatic segmentation of brain structures. Numerous methods have been developed to perform this task, however, they often fail in the presence of neuropathology and can be inconsistent in defining the boundary of the brain mask. Here, we propose a novel approach to skull strip T1-weighted images in a robust and efficient manner, aiming to consistently segment the outer surface of the brain, including the sulcal cerebrospinal fluid (CSF), while excluding the full extent of the subarachnoid space and meninges. We train a modified version of the U-net on silver-standard ground truth data using a novel loss function based on the signed-distance transform (SDT). We validate our model both qualitatively and quantitatively using held-out data from the training dataset, as well as an independent external dataset. The brain masks used for evaluation partially or fully include the subarachnoid space, which may introduce bias into the comparison; nonetheless, our model demonstrates strong performance on the held-out test data, achieving a consistent mean Dice similarity coefficient (DSC) of 0.964$\pm$0.006 and an average symmetric surface distance (ASSD) of 1.4mm$\pm$0.2mm. Performance on the external dataset is comparable, with a DSC of 0.958$\pm$0.006 and an ASSD of 1.7$\pm$0.2mm. Our method achieves performance comparable to or better than existing state-of-the-art methods for brain extraction, particularly in its highly consistent preservation of the brain's outer surface. The method is publicly available on GitHub.</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AI &amp; Vision (Optics)</w:t>
      </w:r>
    </w:p>
    <w:p>
      <w:pPr>
        <w:jc w:val="center"/>
      </w:pPr>
      <w:r>
        <w:t>--- 更新: 13:30 ---</w:t>
      </w:r>
    </w:p>
    <w:p>
      <w:pPr>
        <w:pStyle w:val="Heading2"/>
      </w:pPr>
      <w:r/>
      <w:r>
        <w:rPr>
          <w:rFonts w:ascii="Times New Roman" w:hAnsi="Times New Roman" w:eastAsia="宋体"/>
          <w:b/>
          <w:color w:val="000000"/>
          <w:sz w:val="24"/>
        </w:rPr>
        <w:t>多模态检索的推理增强表示</w:t>
      </w:r>
    </w:p>
    <w:p>
      <w:r>
        <w:rPr>
          <w:rFonts w:ascii="Times New Roman" w:hAnsi="Times New Roman" w:eastAsia="宋体"/>
          <w:b/>
          <w:color w:val="003264"/>
          <w:sz w:val="24"/>
        </w:rPr>
        <w:t>Reasoning-Augmented Representations for Multimodal Retrieval</w:t>
      </w:r>
    </w:p>
    <w:p>
      <w:r>
        <w:rPr>
          <w:rFonts w:ascii="Times New Roman" w:hAnsi="Times New Roman" w:eastAsia="宋体"/>
          <w:sz w:val="21"/>
        </w:rPr>
        <w:t>作者: Yong Jae Lee</w:t>
        <w:br/>
      </w:r>
      <w:r>
        <w:rPr>
          <w:rFonts w:ascii="Times New Roman" w:hAnsi="Times New Roman" w:eastAsia="宋体"/>
          <w:sz w:val="21"/>
        </w:rPr>
        <w:t xml:space="preserve">时间: 2026-02-06T19:01:54Z | </w:t>
      </w:r>
      <w:r>
        <w:t xml:space="preserve">链接: </w:t>
      </w:r>
      <w:hyperlink r:id="rId119">
        <w:r>
          <w:rPr>
            <w:rFonts w:ascii="Times New Roman" w:hAnsi="Times New Roman" w:eastAsia="宋体"/>
            <w:color w:val="0000FF"/>
            <w:sz w:val="21"/>
            <w:u w:val="single"/>
          </w:rPr>
          <w:t>https://arxiv.org/abs/2602.07125v1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用多模态检索（UMR）寻求跨文本和视觉的任意搜索，但当查询需要潜在推理（例如，解决未指定的引用或匹配组合约束）时，现代嵌入模型仍然很脆弱。我们认为这种脆弱性通常是由数据引起的：当图像携带“沉默”证据并且查询隐含关键语义时，单个嵌入过程必须同时进行推理和压缩，从而鼓励虚假特征匹配。我们提出了一个以数据为中心的框架，通过在检索之前外部化推理来解耦这些角色。使用强大的视觉语言模型，我们通过在语料库条目中密集地标注视觉证据、解决查询中模糊的多模态引用以及将冗长的指令重写为简洁的检索约束，使隐式语义变得明确。仅靠推理时间增强是不够的；检索器必须接受这些语义密集表示的训练，以避免分布变化并充分利用添加的信号。在 M-BEIR 中，我们的推理增强训练方法在强基线上产生了一致的增益，消融表明语料库增强主要有利于知识密集型查询，而查询增强对于成分修改请求至关重要。我们在 https://github.com/AugmentedRetrieval/ReasoningAugmentedRetrieval 公开发布我们的代码。</w:t>
      </w:r>
    </w:p>
    <w:p>
      <w:pPr>
        <w:spacing w:before="120"/>
      </w:pPr>
      <w:r>
        <w:rPr>
          <w:rFonts w:ascii="Times New Roman" w:hAnsi="Times New Roman" w:eastAsia="宋体"/>
          <w:b/>
          <w:sz w:val="21"/>
        </w:rPr>
        <w:t>English Abstract:</w:t>
      </w:r>
    </w:p>
    <w:p>
      <w:r>
        <w:rPr>
          <w:rFonts w:ascii="Times New Roman" w:hAnsi="Times New Roman" w:eastAsia="宋体"/>
          <w:sz w:val="21"/>
        </w:rPr>
        <w:t>Universal Multimodal Retrieval (UMR) seeks any-to-any search across text and vision, yet modern embedding models remain brittle when queries require latent reasoning (e.g., resolving underspecified references or matching compositional constraints). We argue this brittleness is often data-induced: when images carry "silent" evidence and queries leave key semantics implicit, a single embedding pass must both reason and compress, encouraging spurious feature matching. We propose a data-centric framework that decouples these roles by externalizing reasoning before retrieval. Using a strong Vision--Language Model, we make implicit semantics explicit by densely captioning visual evidence in corpus entries, resolving ambiguous multimodal references in queries, and rewriting verbose instructions into concise retrieval constraints. Inference-time enhancement alone is insufficient; the retriever must be trained on these semantically dense representations to avoid distribution shift and fully exploit the added signal. Across M-BEIR, our reasoning-augmented training method yields consistent gains over strong baselines, with ablations showing that corpus enhancement chiefly benefits knowledge-intensive queries while query enhancement is critical for compositional modification requests. We publicly release our code at https://github.com/AugmentedRetrieval/ReasoningAugmentedRetrieval.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图像数据集中的隐私：妊娠超声检查案例研究</w:t>
      </w:r>
    </w:p>
    <w:p>
      <w:r>
        <w:rPr>
          <w:rFonts w:ascii="Times New Roman" w:hAnsi="Times New Roman" w:eastAsia="宋体"/>
          <w:b/>
          <w:color w:val="003264"/>
          <w:sz w:val="24"/>
        </w:rPr>
        <w:t>Privacy in Image Datasets: A Case Study on Pregnancy Ultrasounds</w:t>
      </w:r>
    </w:p>
    <w:p>
      <w:r>
        <w:rPr>
          <w:rFonts w:ascii="Times New Roman" w:hAnsi="Times New Roman" w:eastAsia="宋体"/>
          <w:sz w:val="21"/>
        </w:rPr>
        <w:t>作者: Noa Garcia</w:t>
        <w:br/>
      </w:r>
      <w:r>
        <w:rPr>
          <w:rFonts w:ascii="Times New Roman" w:hAnsi="Times New Roman" w:eastAsia="宋体"/>
          <w:sz w:val="21"/>
        </w:rPr>
        <w:t xml:space="preserve">时间: 2026-02-06T19:47:10Z | </w:t>
      </w:r>
      <w:r>
        <w:t xml:space="preserve">链接: </w:t>
      </w:r>
      <w:hyperlink r:id="rId120">
        <w:r>
          <w:rPr>
            <w:rFonts w:ascii="Times New Roman" w:hAnsi="Times New Roman" w:eastAsia="宋体"/>
            <w:color w:val="0000FF"/>
            <w:sz w:val="21"/>
            <w:u w:val="single"/>
          </w:rPr>
          <w:t>https://arxiv.org/abs/2602.07149v1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生成模型的兴起导致人们越来越多地使用从互联网收集的大规模数据集，而这些数据集通常很少或根本没有数据管理。这引起了人们对包含敏感或私人信息的担忧。在这项工作中，我们探讨了妊娠超声图像的存在，这些图像包含敏感的个人信息，并且经常在网上共享。通过使用 CLIP 嵌入相似性对 LAION-400M 数据集进行系统检查，我们检索包含妊娠超声的图像并检测数千个私人信息实体，例如姓名和位置。我们的研究结果表明，多张图像包含高风险信息，可能导致重新识别或冒充。最后，我们提出了数据集管理、数据隐私和公共图像数据集道德使用的推荐实践。</w:t>
      </w:r>
    </w:p>
    <w:p>
      <w:pPr>
        <w:spacing w:before="120"/>
      </w:pPr>
      <w:r>
        <w:rPr>
          <w:rFonts w:ascii="Times New Roman" w:hAnsi="Times New Roman" w:eastAsia="宋体"/>
          <w:b/>
          <w:sz w:val="21"/>
        </w:rPr>
        <w:t>English Abstract:</w:t>
      </w:r>
    </w:p>
    <w:p>
      <w:r>
        <w:rPr>
          <w:rFonts w:ascii="Times New Roman" w:hAnsi="Times New Roman" w:eastAsia="宋体"/>
          <w:sz w:val="21"/>
        </w:rPr>
        <w:t>The rise of generative models has led to increased use of large-scale datasets collected from the internet, often with minimal or no data curation. This raises concerns about the inclusion of sensitive or private information. In this work, we explore the presence of pregnancy ultrasound images, which contain sensitive personal information and are often shared online. Through a systematic examination of LAION-400M dataset using CLIP embedding similarity, we retrieve images containing pregnancy ultrasound and detect thousands of entities of private information such as names and locations. Our findings reveal that multiple images have high-risk information that could enable re-identification or impersonation. We conclude with recommended practices for dataset curation, data privacy, and ethical use of public image datasets.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全头 3D GAN 中的条件很重要</w:t>
      </w:r>
    </w:p>
    <w:p>
      <w:r>
        <w:rPr>
          <w:rFonts w:ascii="Times New Roman" w:hAnsi="Times New Roman" w:eastAsia="宋体"/>
          <w:b/>
          <w:color w:val="003264"/>
          <w:sz w:val="24"/>
        </w:rPr>
        <w:t>Condition Matters in Full-head 3D GANs</w:t>
      </w:r>
    </w:p>
    <w:p>
      <w:r>
        <w:rPr>
          <w:rFonts w:ascii="Times New Roman" w:hAnsi="Times New Roman" w:eastAsia="宋体"/>
          <w:sz w:val="21"/>
        </w:rPr>
        <w:t>作者: Xiaoguang Han</w:t>
        <w:br/>
      </w:r>
      <w:r>
        <w:rPr>
          <w:rFonts w:ascii="Times New Roman" w:hAnsi="Times New Roman" w:eastAsia="宋体"/>
          <w:sz w:val="21"/>
        </w:rPr>
        <w:t xml:space="preserve">时间: 2026-02-06T21:17:43Z | </w:t>
      </w:r>
      <w:r>
        <w:t xml:space="preserve">链接: </w:t>
      </w:r>
      <w:hyperlink r:id="rId121">
        <w:r>
          <w:rPr>
            <w:rFonts w:ascii="Times New Roman" w:hAnsi="Times New Roman" w:eastAsia="宋体"/>
            <w:color w:val="0000FF"/>
            <w:sz w:val="21"/>
            <w:u w:val="single"/>
          </w:rPr>
          <w:t>https://arxiv.org/abs/2602.07198v1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调节对于全头 3D GAN 的稳定训练至关重要。在没有任何调节信号的情况下，模型会出现严重的模式崩溃，使其无法进行训练。然而，之前的一系列全头 3D GAN 通常选择视角作为条件输入，这导致学习的 3D 全头空间沿条件视图方向存在偏差。生成的 3D 头部的条件视图和非条件视图之间的生成质量和多样性存在显着差异，导致不同头部区域之间的全局不连贯性，这一点很明显。在这项工作中，我们建议使用视图不变语义特征作为条件输入，从而将 3D 头部的生成能力与观看方向解耦。为了为每个训练图像构建视图不变的语义条件，我们创建了一个新颖的合成头部图像数据集。我们利用 FLUX.1 Kontext 将现有的高质量正面数据集扩展到广泛的视角。然后将从正面视图中提取的图像剪辑特征用作扩展图像中所有视图的共享语义条件，确保语义对齐，同时消除方向偏差。这还允许在共享语义条件下整合来自同一主题的不同视图的监督，从而加速训练并增强生成的 3D 头部的全局一致性。此外，一旦生成器学习了一些成功欺骗鉴别器的模式，GAN 的多样性改进通常会变慢，因此我们的语义条件鼓励生成器遵循真实的语义分布，从而促进持续学习和多样化生成。全头合成和单视图 GAN 反演的大量实验表明，我们的方法实现了显着更高的保真度、多样性和泛化性。</w:t>
      </w:r>
    </w:p>
    <w:p>
      <w:pPr>
        <w:spacing w:before="120"/>
      </w:pPr>
      <w:r>
        <w:rPr>
          <w:rFonts w:ascii="Times New Roman" w:hAnsi="Times New Roman" w:eastAsia="宋体"/>
          <w:b/>
          <w:sz w:val="21"/>
        </w:rPr>
        <w:t>English Abstract:</w:t>
      </w:r>
    </w:p>
    <w:p>
      <w:r>
        <w:rPr>
          <w:rFonts w:ascii="Times New Roman" w:hAnsi="Times New Roman" w:eastAsia="宋体"/>
          <w:sz w:val="21"/>
        </w:rPr>
        <w:t>Conditioning is crucial for stable training of full-head 3D GANs. Without any conditioning signal, the model suffers from severe mode collapse, making it impractical to training. However, a series of previous full-head 3D GANs conventionally choose the view angle as the conditioning input, which leads to a bias in the learned 3D full-head space along the conditional view direction. This is evident in the significant differences in generation quality and diversity between the conditional view and non-conditional views of the generated 3D heads, resulting in global incoherence across different head regions. In this work, we propose to use view-invariant semantic feature as the conditioning input, thereby decoupling the generative capability of 3D heads from the viewing direction. To construct a view-invariant semantic condition for each training image, we create a novel synthesized head image dataset. We leverage FLUX.1 Kontext to extend existing high-quality frontal face datasets to a wide range of view angles. The image clip feature extracted from the frontal view is then used as a shared semantic condition across all views in the extended images, ensuring semantic alignment while eliminating directional bias. This also allows supervision from different views of the same subject to be consolidated under a shared semantic condition, which accelerates training and enhances the global coherence of the generated 3D heads. Moreover, as GANs often experience slower improvements in diversity once the generator learns a few modes that successfully fool the discriminator, our semantic conditioning encourages the generator to follow the true semantic distribution, thereby promoting continuous learning and diverse generation. Extensive experiments on full-head synthesis and single-view GAN inversion demonstrate that our method achieves significantly higher fidelity, diversity, and generalizability.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 RoadSafe365 基准了解现实世界的交通安全</w:t>
      </w:r>
    </w:p>
    <w:p>
      <w:r>
        <w:rPr>
          <w:rFonts w:ascii="Times New Roman" w:hAnsi="Times New Roman" w:eastAsia="宋体"/>
          <w:b/>
          <w:color w:val="003264"/>
          <w:sz w:val="24"/>
        </w:rPr>
        <w:t>Understanding Real-World Traffic Safety through RoadSafe365 Benchmark</w:t>
      </w:r>
    </w:p>
    <w:p>
      <w:r>
        <w:rPr>
          <w:rFonts w:ascii="Times New Roman" w:hAnsi="Times New Roman" w:eastAsia="宋体"/>
          <w:sz w:val="21"/>
        </w:rPr>
        <w:t>作者: Pan He</w:t>
        <w:br/>
      </w:r>
      <w:r>
        <w:rPr>
          <w:rFonts w:ascii="Times New Roman" w:hAnsi="Times New Roman" w:eastAsia="宋体"/>
          <w:sz w:val="21"/>
        </w:rPr>
        <w:t xml:space="preserve">时间: 2026-02-06T21:48:25Z | </w:t>
      </w:r>
      <w:r>
        <w:t xml:space="preserve">链接: </w:t>
      </w:r>
      <w:hyperlink r:id="rId122">
        <w:r>
          <w:rPr>
            <w:rFonts w:ascii="Times New Roman" w:hAnsi="Times New Roman" w:eastAsia="宋体"/>
            <w:color w:val="0000FF"/>
            <w:sz w:val="21"/>
            <w:u w:val="single"/>
          </w:rPr>
          <w:t>https://arxiv.org/abs/2602.07212v1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尽管最近的交通基准具有先进的多模式数据分析，但它们普遍缺乏符合官方安全标准的系统评估。为了填补这一空白，我们推出了 RoadSafe365，这是一种大规模视觉语言基准测试，支持从广泛且多样化的现实世界视频数据收集中对交通安全进行细粒度分析。与之前主要关注粗略事故识别的工作不同，RoadSafe365 是使用分层分类法独立策划和系统组织的，该分类法细化和扩展了碰撞、事故和违规的基本定义，将官方交通安全标准与数据驱动的交通理解系统联系起来。 RoadSafe365 提供跨不同交通事件类型、环境背景和交互场景的丰富属性注释，从行车记录仪和监控摄像头生成 36,196 个带注释的剪辑。每个剪辑都配有多项选择题答案集，其中包括 864K 个候选选项、8.4K 个独特答案和 36K 个详细场景描述，共同设计用于视觉语言理解和推理。我们建立了强有力的基线，并在 RoadSafe365 上进行微调时观察到一致的收益。对真实数据集和合成数据集的跨域实验进一步验证了其有效性。 RoadSafe365 专为大规模培训和标准化评估而设计，提供了全面的基准，以推进现实交通安全分析中的可重复研究。</w:t>
      </w:r>
    </w:p>
    <w:p>
      <w:pPr>
        <w:spacing w:before="120"/>
      </w:pPr>
      <w:r>
        <w:rPr>
          <w:rFonts w:ascii="Times New Roman" w:hAnsi="Times New Roman" w:eastAsia="宋体"/>
          <w:b/>
          <w:sz w:val="21"/>
        </w:rPr>
        <w:t>English Abstract:</w:t>
      </w:r>
    </w:p>
    <w:p>
      <w:r>
        <w:rPr>
          <w:rFonts w:ascii="Times New Roman" w:hAnsi="Times New Roman" w:eastAsia="宋体"/>
          <w:sz w:val="21"/>
        </w:rPr>
        <w:t>Although recent traffic benchmarks have advanced multimodal data analysis, they generally lack systematic evaluation aligned with official safety standards. To fill this gap, we introduce RoadSafe365, a large-scale vision-language benchmark that supports fine-grained analysis of traffic safety from extensive and diverse real-world video data collections. Unlike prior works that focus primarily on coarse accident identification, RoadSafe365 is independently curated and systematically organized using a hierarchical taxonomy that refines and extends foundational definitions of crash, incident, and violation to bridge official traffic safety standards with data-driven traffic understanding systems. RoadSafe365 provides rich attribute annotations across diverse traffic event types, environmental contexts, and interaction scenarios, yielding 36,196 annotated clips from both dashcam and surveillance cameras. Each clip is paired with multiple-choice question-answer sets, comprising 864K candidate options, 8.4K unique answers, and 36K detailed scene descriptions collectively designed for vision-language understanding and reasoning. We establish strong baselines and observe consistent gains when fine-tuning on RoadSafe365. Cross-domain experiments on both real and synthetic datasets further validate its effectiveness. Designed for large-scale training and standardized evaluation, RoadSafe365 provides a comprehensive benchmark to advance reproducible research in real-world traffic safety analysis.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数据驱动的超分辨率的双刃剑：对抗性超分辨率模型</w:t>
      </w:r>
    </w:p>
    <w:p>
      <w:r>
        <w:rPr>
          <w:rFonts w:ascii="Times New Roman" w:hAnsi="Times New Roman" w:eastAsia="宋体"/>
          <w:b/>
          <w:color w:val="003264"/>
          <w:sz w:val="24"/>
        </w:rPr>
        <w:t>The Double-Edged Sword of Data-Driven Super-Resolution: Adversarial Super-Resolution Models</w:t>
      </w:r>
    </w:p>
    <w:p>
      <w:r>
        <w:rPr>
          <w:rFonts w:ascii="Times New Roman" w:hAnsi="Times New Roman" w:eastAsia="宋体"/>
          <w:sz w:val="21"/>
        </w:rPr>
        <w:t>作者: Emma J. Reid</w:t>
        <w:br/>
      </w:r>
      <w:r>
        <w:rPr>
          <w:rFonts w:ascii="Times New Roman" w:hAnsi="Times New Roman" w:eastAsia="宋体"/>
          <w:sz w:val="21"/>
        </w:rPr>
        <w:t xml:space="preserve">时间: 2026-02-06T23:00:58Z | </w:t>
      </w:r>
      <w:r>
        <w:t xml:space="preserve">链接: </w:t>
      </w:r>
      <w:hyperlink r:id="rId123">
        <w:r>
          <w:rPr>
            <w:rFonts w:ascii="Times New Roman" w:hAnsi="Times New Roman" w:eastAsia="宋体"/>
            <w:color w:val="0000FF"/>
            <w:sz w:val="21"/>
            <w:u w:val="single"/>
          </w:rPr>
          <w:t>https://arxiv.org/abs/2602.07251v1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数据驱动的超分辨率（SR）方法通常作为预处理步骤集成到成像管道中，以改进分类和检测等下游任务。然而，这些 SR 模型将以前未探索过的攻击面引入到成像管道中。在本文中，我们提出了 AdvSR，这是一个框架，证明对抗行为可以在训练期间直接嵌入到 SR 模型权重中，无需在推理时访问输入。与之前扰乱输入或依赖后门触发器的攻击不同，AdvSR 完全在模型级别运行。通过联合优化重建质量和有针对性的对抗结果，AdvSR 生成的模型在标准图像质量指标下显得良性，同时引发下游错误分类。我们在与 YOLOv11 分类器配对的三种 SR 架构（SRCNN、EDSR、SwinIR）上评估 AdvSR，并证明 AdvSR 模型可以在质量下降最小的情况下实现高攻击成功率。这些发现凸显了成像管道的新模型级威胁，对从业者如何在安全关键型应用中获取和验证模型具有影响。</w:t>
      </w:r>
    </w:p>
    <w:p>
      <w:pPr>
        <w:spacing w:before="120"/>
      </w:pPr>
      <w:r>
        <w:rPr>
          <w:rFonts w:ascii="Times New Roman" w:hAnsi="Times New Roman" w:eastAsia="宋体"/>
          <w:b/>
          <w:sz w:val="21"/>
        </w:rPr>
        <w:t>English Abstract:</w:t>
      </w:r>
    </w:p>
    <w:p>
      <w:r>
        <w:rPr>
          <w:rFonts w:ascii="Times New Roman" w:hAnsi="Times New Roman" w:eastAsia="宋体"/>
          <w:sz w:val="21"/>
        </w:rPr>
        <w:t>Data-driven super-resolution (SR) methods are often integrated into imaging pipelines as preprocessing steps to improve downstream tasks such as classification and detection. However, these SR models introduce a previously unexplored attack surface into imaging pipelines. In this paper, we present AdvSR, a framework demonstrating that adversarial behavior can be embedded directly into SR model weights during training, requiring no access to inputs at inference time. Unlike prior attacks that perturb inputs or rely on backdoor triggers, AdvSR operates entirely at the model level. By jointly optimizing for reconstruction quality and targeted adversarial outcomes, AdvSR produces models that appear benign under standard image quality metrics while inducing downstream misclassification. We evaluate AdvSR on three SR architectures (SRCNN, EDSR, SwinIR) paired with a YOLOv11 classifier and demonstrate that AdvSR models can achieve high attack success rates with minimal quality degradation. These findings highlight a new model-level threat for imaging pipelines, with implications for how practitioners source and validate models in safety-critical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用于医学图像分析的基于 3D 传输的形态测量 (3D-TBM)</w:t>
      </w:r>
    </w:p>
    <w:p>
      <w:r>
        <w:rPr>
          <w:rFonts w:ascii="Times New Roman" w:hAnsi="Times New Roman" w:eastAsia="宋体"/>
          <w:b/>
          <w:color w:val="003264"/>
          <w:sz w:val="24"/>
        </w:rPr>
        <w:t>3D Transport-based Morphometry (3D-TBM) for medical image analysis</w:t>
      </w:r>
    </w:p>
    <w:p>
      <w:r>
        <w:rPr>
          <w:rFonts w:ascii="Times New Roman" w:hAnsi="Times New Roman" w:eastAsia="宋体"/>
          <w:sz w:val="21"/>
        </w:rPr>
        <w:t>作者: Gustavo Kunde Rohde</w:t>
        <w:br/>
      </w:r>
      <w:r>
        <w:rPr>
          <w:rFonts w:ascii="Times New Roman" w:hAnsi="Times New Roman" w:eastAsia="宋体"/>
          <w:sz w:val="21"/>
        </w:rPr>
        <w:t xml:space="preserve">时间: 2026-02-06T23:20:47Z | </w:t>
      </w:r>
      <w:r>
        <w:t xml:space="preserve">链接: </w:t>
      </w:r>
      <w:hyperlink r:id="rId124">
        <w:r>
          <w:rPr>
            <w:rFonts w:ascii="Times New Roman" w:hAnsi="Times New Roman" w:eastAsia="宋体"/>
            <w:color w:val="0000FF"/>
            <w:sz w:val="21"/>
            <w:u w:val="single"/>
          </w:rPr>
          <w:t>https://arxiv.org/abs/2602.07260v1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基于传输的形态测量 (TBM) 已成为 3D 医学图像分析的新框架。通过可逆变换将图像嵌入到传输域中，TBM 有助于使用传输域特征进行有效的分类、回归和其他任务。至关重要的是，逆映射能够将分析结果投影回原始图像空间，使研究人员能够以空间有意义的方式直接解释与模型输出相关的临床特征。为了促进 TBM 在临床影像研究中更广泛的采用，我们推出了 3D-TBM，这是一种专为 3D 医学图像形态分析而设计的工具。该框架包括数据预处理、最佳传输嵌入的计算、主要传输方向可视化等分析方法，以及识别判别方向的技术和相关分析方法。我们还提供全面的文档和实用教程，为有兴趣在自己的医学成像研究中应用 3D-TBM 的研究人员提供支持。源代码可通过 PyTransKit 公开获取。</w:t>
      </w:r>
    </w:p>
    <w:p>
      <w:pPr>
        <w:spacing w:before="120"/>
      </w:pPr>
      <w:r>
        <w:rPr>
          <w:rFonts w:ascii="Times New Roman" w:hAnsi="Times New Roman" w:eastAsia="宋体"/>
          <w:b/>
          <w:sz w:val="21"/>
        </w:rPr>
        <w:t>English Abstract:</w:t>
      </w:r>
    </w:p>
    <w:p>
      <w:r>
        <w:rPr>
          <w:rFonts w:ascii="Times New Roman" w:hAnsi="Times New Roman" w:eastAsia="宋体"/>
          <w:sz w:val="21"/>
        </w:rPr>
        <w:t>Transport-Based Morphometry (TBM) has emerged as a new framework for 3D medical image analysis. By embedding images into a transport domain via invertible transformations, TBM facilitates effective classification, regression, and other tasks using transport-domain features. Crucially, the inverse mapping enables the projection of analytic results back into the original image space, allowing researchers to directly interpret clinical features associated with model outputs in a spatially meaningful way. To facilitate broader adoption of TBM in clinical imaging research, we present 3D-TBM, a tool designed for morphological analysis of 3D medical images. The framework includes data preprocessing, computation of optimal transport embeddings, and analytical methods such as visualization of main transport directions, together with techniques for discerning discriminating directions and related analysis methods. We also provide comprehensive documentation and practical tutorials to support researchers interested in applying 3D-TBM in their own medical imaging studies. The source code is publicly available through PyTransKit.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VideoNeuMat：从生成视频模型中提取神经材料</w:t>
      </w:r>
    </w:p>
    <w:p>
      <w:r>
        <w:rPr>
          <w:rFonts w:ascii="Times New Roman" w:hAnsi="Times New Roman" w:eastAsia="宋体"/>
          <w:b/>
          <w:color w:val="003264"/>
          <w:sz w:val="24"/>
        </w:rPr>
        <w:t>VideoNeuMat: Neural Material Extraction from Generative Video Models</w:t>
      </w:r>
    </w:p>
    <w:p>
      <w:r>
        <w:rPr>
          <w:rFonts w:ascii="Times New Roman" w:hAnsi="Times New Roman" w:eastAsia="宋体"/>
          <w:sz w:val="21"/>
        </w:rPr>
        <w:t>作者: Milos Hasan</w:t>
        <w:br/>
      </w:r>
      <w:r>
        <w:rPr>
          <w:rFonts w:ascii="Times New Roman" w:hAnsi="Times New Roman" w:eastAsia="宋体"/>
          <w:sz w:val="21"/>
        </w:rPr>
        <w:t xml:space="preserve">时间: 2026-02-06T23:49:10Z | </w:t>
      </w:r>
      <w:r>
        <w:t xml:space="preserve">链接: </w:t>
      </w:r>
      <w:hyperlink r:id="rId125">
        <w:r>
          <w:rPr>
            <w:rFonts w:ascii="Times New Roman" w:hAnsi="Times New Roman" w:eastAsia="宋体"/>
            <w:color w:val="0000FF"/>
            <w:sz w:val="21"/>
            <w:u w:val="single"/>
          </w:rPr>
          <w:t>https://arxiv.org/abs/2602.07272v1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创建用于 3D 渲染的逼真材质需要卓越的艺术技巧。材料的生成模型可能会有所帮助，但目前由于缺乏高质量的培训数据而受到限制。虽然最近的视频生成模型可以毫不费力地产生逼真的材质外观，但这些知识仍然与几何和照明纠缠在一起。我们提出了 VideoNeuMat，这是一个两阶段管道，可从视频扩散模型中提取可重用的神经材料资产。首先，我们对大型视频模型（Wan 2.1 14B）进行微调，以在受控相机和照明轨迹下生成材质样本视频，有效地创建一个“虚拟测角反射仪”，在学习结构化测量模式的同时保留模型的材质真实性。其次，我们通过从较小的 Wan 1.3B 视频主干微调的大型重建模型 (LRM) 从这些视频中重建紧凑的神经材料。我们的 LRM 从 17 个生成的视频帧中执行单遍推理来预测神经材料参数，这些参数可推广到新的观看和照明条件。由此产生的材料表现出的真实性和多样性远远超过了有限的合成训练数据，表明材料知识可以成功地从互联网规模的视频模型转移到独立的、可重复使用的神经 3D 资产中。</w:t>
      </w:r>
    </w:p>
    <w:p>
      <w:pPr>
        <w:spacing w:before="120"/>
      </w:pPr>
      <w:r>
        <w:rPr>
          <w:rFonts w:ascii="Times New Roman" w:hAnsi="Times New Roman" w:eastAsia="宋体"/>
          <w:b/>
          <w:sz w:val="21"/>
        </w:rPr>
        <w:t>English Abstract:</w:t>
      </w:r>
    </w:p>
    <w:p>
      <w:r>
        <w:rPr>
          <w:rFonts w:ascii="Times New Roman" w:hAnsi="Times New Roman" w:eastAsia="宋体"/>
          <w:sz w:val="21"/>
        </w:rPr>
        <w:t>Creating photorealistic materials for 3D rendering requires exceptional artistic skill. Generative models for materials could help, but are currently limited by the lack of high-quality training data. While recent video generative models effortlessly produce realistic material appearances, this knowledge remains entangled with geometry and lighting. We present VideoNeuMat, a two-stage pipeline that extracts reusable neural material assets from video diffusion models. First, we finetune a large video model (Wan 2.1 14B) to generate material sample videos under controlled camera and lighting trajectories, effectively creating a "virtual gonioreflectometer" that preserves the model's material realism while learning a structured measurement pattern. Second, we reconstruct compact neural materials from these videos through a Large Reconstruction Model (LRM) finetuned from a smaller Wan 1.3B video backbone. From 17 generated video frames, our LRM performs single-pass inference to predict neural material parameters that generalize to novel viewing and lighting conditions. The resulting materials exhibit realism and diversity far exceeding the limited synthetic training data, demonstrating that material knowledge can be successfully transferred from internet-scale video models into standalone, reusable neural 3D assets.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跨视图世界模型</w:t>
      </w:r>
    </w:p>
    <w:p>
      <w:r>
        <w:rPr>
          <w:rFonts w:ascii="Times New Roman" w:hAnsi="Times New Roman" w:eastAsia="宋体"/>
          <w:b/>
          <w:color w:val="003264"/>
          <w:sz w:val="24"/>
        </w:rPr>
        <w:t>Cross-View World Models</w:t>
      </w:r>
    </w:p>
    <w:p>
      <w:r>
        <w:rPr>
          <w:rFonts w:ascii="Times New Roman" w:hAnsi="Times New Roman" w:eastAsia="宋体"/>
          <w:sz w:val="21"/>
        </w:rPr>
        <w:t>作者: Stefano Martiniani</w:t>
        <w:br/>
      </w:r>
      <w:r>
        <w:rPr>
          <w:rFonts w:ascii="Times New Roman" w:hAnsi="Times New Roman" w:eastAsia="宋体"/>
          <w:sz w:val="21"/>
        </w:rPr>
        <w:t xml:space="preserve">时间: 2026-02-07T00:02:15Z | </w:t>
      </w:r>
      <w:r>
        <w:t xml:space="preserve">链接: </w:t>
      </w:r>
      <w:hyperlink r:id="rId126">
        <w:r>
          <w:rPr>
            <w:rFonts w:ascii="Times New Roman" w:hAnsi="Times New Roman" w:eastAsia="宋体"/>
            <w:color w:val="0000FF"/>
            <w:sz w:val="21"/>
            <w:u w:val="single"/>
          </w:rPr>
          <w:t>https://arxiv.org/abs/2602.07277v1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世界模型使智能体能够通过想象未来状态来进行规划，但现有的方法是从单一的角度出发的，通常以自我为中心，即使其他角度会使规划变得更容易；例如，导航就受益于鸟瞰图。我们引入跨视图世界模型（XVWM），使用跨视图预测目标进行训练：给定来自一个视点的一系列帧，在采取行动后从相同或不同的视点预测未来状态。强制跨视图一致性充当几何正则化：因为输入和输出视图可能很少或没有视觉重叠，为了跨视点进行预测，模型必须学习环境 3D 结构的视图不变表示。我们使用来自 Aimlabs 的同步多视图游戏数据进行训练，Aimlabs 是一个目标训练平台，提供带有高频动作标签的精确对齐的多摄像机记录。由此产生的模型为代理提供了跨观点的并行想象力流，从而能够在最适合任务的参考框架中进行规划，同时从自我中心的角度执行。我们的结果表明，多视图一致性为空间基础表示提供了强大的学习信号。最后，从另一个角度预测一个人行为的后果可能为多智能体环境中的观点采择提供基础。</w:t>
      </w:r>
    </w:p>
    <w:p>
      <w:pPr>
        <w:spacing w:before="120"/>
      </w:pPr>
      <w:r>
        <w:rPr>
          <w:rFonts w:ascii="Times New Roman" w:hAnsi="Times New Roman" w:eastAsia="宋体"/>
          <w:b/>
          <w:sz w:val="21"/>
        </w:rPr>
        <w:t>English Abstract:</w:t>
      </w:r>
    </w:p>
    <w:p>
      <w:r>
        <w:rPr>
          <w:rFonts w:ascii="Times New Roman" w:hAnsi="Times New Roman" w:eastAsia="宋体"/>
          <w:sz w:val="21"/>
        </w:rPr>
        <w:t>World models enable agents to plan by imagining future states, but existing approaches operate from a single viewpoint, typically egocentric, even when other perspectives would make planning easier; navigation, for instance, benefits from a bird's-eye view. We introduce Cross-View World Models (XVWM), trained with a cross-view prediction objective: given a sequence of frames from one viewpoint, predict the future state from the same or a different viewpoint after an action is taken. Enforcing cross-view consistency acts as geometric regularization: because the input and output views may share little or no visual overlap, to predict across viewpoints, the model must learn view-invariant representations of the environment's 3D structure. We train on synchronized multi-view gameplay data from Aimlabs, an aim-training platform providing precisely aligned multi-camera recordings with high-frequency action labels. The resulting model gives agents parallel imagination streams across viewpoints, enabling planning in whichever frame of reference best suits the task while executing from the egocentric view. Our results show that multi-view consistency provides a strong learning signal for spatially grounded representations. Finally, predicting the consequences of one's actions from another viewpoint may offer a foundation for perspective-taking in multi-agent settings.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通过注意力机制进行糖尿病视网膜病变病变分割</w:t>
      </w:r>
    </w:p>
    <w:p>
      <w:r>
        <w:rPr>
          <w:rFonts w:ascii="Times New Roman" w:hAnsi="Times New Roman" w:eastAsia="宋体"/>
          <w:b/>
          <w:color w:val="003264"/>
          <w:sz w:val="24"/>
        </w:rPr>
        <w:t>Diabetic Retinopathy Lesion Segmentation through Attention Mechanisms</w:t>
      </w:r>
    </w:p>
    <w:p>
      <w:r>
        <w:rPr>
          <w:rFonts w:ascii="Times New Roman" w:hAnsi="Times New Roman" w:eastAsia="宋体"/>
          <w:sz w:val="21"/>
        </w:rPr>
        <w:t>作者: Taehee Jeong</w:t>
        <w:br/>
      </w:r>
      <w:r>
        <w:rPr>
          <w:rFonts w:ascii="Times New Roman" w:hAnsi="Times New Roman" w:eastAsia="宋体"/>
          <w:sz w:val="21"/>
        </w:rPr>
        <w:t xml:space="preserve">时间: 2026-02-07T01:25:47Z | </w:t>
      </w:r>
      <w:r>
        <w:t xml:space="preserve">链接: </w:t>
      </w:r>
      <w:hyperlink r:id="rId127">
        <w:r>
          <w:rPr>
            <w:rFonts w:ascii="Times New Roman" w:hAnsi="Times New Roman" w:eastAsia="宋体"/>
            <w:color w:val="0000FF"/>
            <w:sz w:val="21"/>
            <w:u w:val="single"/>
          </w:rPr>
          <w:t>https://arxiv.org/abs/2602.07301v1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糖尿病视网膜病变（DR）是一种由糖尿病引起的眼部疾病。它可能会导致视力丧失和失明。为了防止不可逆转的视力丧失，通过系统筛查进行早期发现至关重要。尽管研究人员已经开发了许多基于深度学习的自动化 DR 筛查算法，但它们的临床适用性仍然有限，特别是在病变分割方面。我们的方法提供了病变的像素级注释，这实际上支持眼科医生从眼底图像中筛选 DR。在这项工作中，我们对 DDR 数据集中的 757 张图像分割了四种类型的 DR 相关病变：微动脉瘤、软渗出物、硬渗出物和出血。为了增强病变分割，将注意力机制与 DeepLab-V3+ 集成。与基线模型相比，Attention-DeepLab 模型将平均精度（mAP）从 0.3010 提高到 0.3326，平均交集（IoU）从 0.1791 提高到 0.1928。该模型还将微动脉瘤检测率从 0.0205 提高到 0.0763，这是临床上的显着改进。微动脉瘤的检测是 DR 最早的可见症状。</w:t>
      </w:r>
    </w:p>
    <w:p>
      <w:pPr>
        <w:spacing w:before="120"/>
      </w:pPr>
      <w:r>
        <w:rPr>
          <w:rFonts w:ascii="Times New Roman" w:hAnsi="Times New Roman" w:eastAsia="宋体"/>
          <w:b/>
          <w:sz w:val="21"/>
        </w:rPr>
        <w:t>English Abstract:</w:t>
      </w:r>
    </w:p>
    <w:p>
      <w:r>
        <w:rPr>
          <w:rFonts w:ascii="Times New Roman" w:hAnsi="Times New Roman" w:eastAsia="宋体"/>
          <w:sz w:val="21"/>
        </w:rPr>
        <w:t>Diabetic Retinopathy (DR) is an eye disease which arises due to diabetes mellitus. It might cause vision loss and blindness. To prevent irreversible vision loss, early detection through systematic screening is crucial. Although researchers have developed numerous automated deep learning-based algorithms for DR screening, their clinical applicability remains limited, particularly in lesion segmentation. Our method provides pixel-level annotations for lesions, which practically supports Ophthalmologist to screen DR from fundus images. In this work, we segmented four types of DR-related lesions: microaneurysms, soft exudates, hard exudates, and hemorrhages on 757 images from DDR dataset. To enhance lesion segmentation, an attention mechanism was integrated with DeepLab-V3+. Compared to the baseline model, the Attention-DeepLab model increases mean average precision (mAP) from 0.3010 to 0.3326 and the mean Intersection over Union (IoU) from 0.1791 to 0.1928. The model also increased microaneurysm detection from 0.0205 to 0.0763, a clinically significant improvement. The detection of microaneurysms is the earliest visible symptom of DR.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通过图像处理的线性遗传规划优化沉淀物分割</w:t>
      </w:r>
    </w:p>
    <w:p>
      <w:r>
        <w:rPr>
          <w:rFonts w:ascii="Times New Roman" w:hAnsi="Times New Roman" w:eastAsia="宋体"/>
          <w:b/>
          <w:color w:val="003264"/>
          <w:sz w:val="24"/>
        </w:rPr>
        <w:t>Optimization of Precipitate Segmentation Through Linear Genetic Programming of Image Processing</w:t>
      </w:r>
    </w:p>
    <w:p>
      <w:r>
        <w:rPr>
          <w:rFonts w:ascii="Times New Roman" w:hAnsi="Times New Roman" w:eastAsia="宋体"/>
          <w:sz w:val="21"/>
        </w:rPr>
        <w:t>作者: Andrew Seltzman</w:t>
        <w:br/>
      </w:r>
      <w:r>
        <w:rPr>
          <w:rFonts w:ascii="Times New Roman" w:hAnsi="Times New Roman" w:eastAsia="宋体"/>
          <w:sz w:val="21"/>
        </w:rPr>
        <w:t xml:space="preserve">时间: 2026-02-07T01:59:10Z | </w:t>
      </w:r>
      <w:r>
        <w:t xml:space="preserve">链接: </w:t>
      </w:r>
      <w:hyperlink r:id="rId128">
        <w:r>
          <w:rPr>
            <w:rFonts w:ascii="Times New Roman" w:hAnsi="Times New Roman" w:eastAsia="宋体"/>
            <w:color w:val="0000FF"/>
            <w:sz w:val="21"/>
            <w:u w:val="single"/>
          </w:rPr>
          <w:t>https://arxiv.org/abs/2602.07310v1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目前对增材制造的铌基铜合金的分析依赖于手动注释，因为显微照片中存在不同的对比度、噪声和图像伪影，从而减慢了合金开发的迭代速度。我们提出了一种过滤和分割算法，用于检测 FIB 横截面显微照片中的沉淀物，并使用线性遗传编程 (LGP) 进行优化，该算法考虑了各种伪影。为此，优化环境使用特定于领域的图像处理语言来迭代解决方案。这种语言的程序是具有可调参数的图像过滤块的列表，这些参数顺序处理输入图像，从而允许通过遗传算法进行可靠的生成和变异。我们的环境生成优化的人类可解释的 MATLAB 代码，表示图像过滤管道。在理想条件下（群体规模为 60，最大程序长度为 5 个块），我们的系统能够找到接近人类精度的解决方案，当使用 XOR 误差评估将分割逐像素与人类基线进行比较时，平均评估误差为 1.8%。我们的自动化工作实现了更快的迭代周期，并进一步探索了材料成分和处理空间：我们优化的管道算法平均在大约 2 秒内处理 3.6 兆像素的图像。这最终能够融合用于增材制造聚变反应堆零件的高强度、低活化、沉淀硬化铜合金。</w:t>
      </w:r>
    </w:p>
    <w:p>
      <w:pPr>
        <w:spacing w:before="120"/>
      </w:pPr>
      <w:r>
        <w:rPr>
          <w:rFonts w:ascii="Times New Roman" w:hAnsi="Times New Roman" w:eastAsia="宋体"/>
          <w:b/>
          <w:sz w:val="21"/>
        </w:rPr>
        <w:t>English Abstract:</w:t>
      </w:r>
    </w:p>
    <w:p>
      <w:r>
        <w:rPr>
          <w:rFonts w:ascii="Times New Roman" w:hAnsi="Times New Roman" w:eastAsia="宋体"/>
          <w:sz w:val="21"/>
        </w:rPr>
        <w:t>Current analysis of additive manufactured niobium-based copper alloys relies on hand annotation due to varying contrast, noise, and image artifacts present in micrographs, slowing iteration speed in alloy development. We present a filtering and segmentation algorithm for detecting precipitates in FIB cross-section micrographs, optimized using linear genetic programming (LGP), which accounts for the various artifacts. To this end, the optimization environment uses a domain-specific language for image processing to iterate on solutions. Programs in this language are a list of image-filtering blocks with tunable parameters that sequentially process an input image, allowing for reliable generation and mutation by a genetic algorithm. Our environment produces optimized human-interpretable MATLAB code representing an image filtering pipeline. Under ideal conditions--a population size of 60 and a maximum program length of 5 blocks--our system was able to find a near-human accuracy solution with an average evaluation error of 1.8% when comparing segmentations pixel-by-pixel to a human baseline using an XOR error evaluation. Our automation work enabled faster iteration cycles and furthered exploration of the material composition and processing space: our optimized pipeline algorithm processes a 3.6 megapixel image in about 2 seconds on average. This ultimately enables convergence on strong, low-activation, precipitation hardened copper alloys for additive manufactured fusion reactor parts.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LUCID-SAE：学习统一视觉语言稀疏代码以发现可解释的概念</w:t>
      </w:r>
    </w:p>
    <w:p>
      <w:r>
        <w:rPr>
          <w:rFonts w:ascii="Times New Roman" w:hAnsi="Times New Roman" w:eastAsia="宋体"/>
          <w:b/>
          <w:color w:val="003264"/>
          <w:sz w:val="24"/>
        </w:rPr>
        <w:t>LUCID-SAE: Learning Unified Vision-Language Sparse Codes for Interpretable Concept Discovery</w:t>
      </w:r>
    </w:p>
    <w:p>
      <w:r>
        <w:rPr>
          <w:rFonts w:ascii="Times New Roman" w:hAnsi="Times New Roman" w:eastAsia="宋体"/>
          <w:sz w:val="21"/>
        </w:rPr>
        <w:t>作者: Dimitris Metaxas</w:t>
        <w:br/>
      </w:r>
      <w:r>
        <w:rPr>
          <w:rFonts w:ascii="Times New Roman" w:hAnsi="Times New Roman" w:eastAsia="宋体"/>
          <w:sz w:val="21"/>
        </w:rPr>
        <w:t xml:space="preserve">时间: 2026-02-07T02:01:25Z | </w:t>
      </w:r>
      <w:r>
        <w:t xml:space="preserve">链接: </w:t>
      </w:r>
      <w:hyperlink r:id="rId129">
        <w:r>
          <w:rPr>
            <w:rFonts w:ascii="Times New Roman" w:hAnsi="Times New Roman" w:eastAsia="宋体"/>
            <w:color w:val="0000FF"/>
            <w:sz w:val="21"/>
            <w:u w:val="single"/>
          </w:rPr>
          <w:t>https://arxiv.org/abs/2602.07311v1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稀疏自动编码器（SAE）提供了一种跨不同表示空间进行可比解释的自然途径。然而，当前的 SAE 是按模态进行训练的，生成的字典其特征无法直接理解，其解释也不能跨领域转移。在这项研究中，我们引入了 LUCID（用于可解释概念发现的学习统一视觉语言稀疏代码），这是一种统一视觉语言稀疏自动编码器，它学习图像块和文本标记表示的共享潜在字典，同时保留特定于模态细节的私有容量。我们通过将共享代码与学习的最佳传输匹配目标耦合来实现特征对齐，而无需标记。 LUCID 产生可解释的共享特征，支持补丁级基础，建立跨模式神经元对应，并增强基于相似性评估中概念聚类问题的鲁棒性。利用对齐特性，我们开发了一个基于术语聚类的自动字典解释管道，无需手动观察。我们的分析表明，LUCID 的共享特征捕获了对象之外的多种语义类别，包括动作、属性和抽象概念，展示了可解释的多模态表示的综合方法。</w:t>
      </w:r>
    </w:p>
    <w:p>
      <w:pPr>
        <w:spacing w:before="120"/>
      </w:pPr>
      <w:r>
        <w:rPr>
          <w:rFonts w:ascii="Times New Roman" w:hAnsi="Times New Roman" w:eastAsia="宋体"/>
          <w:b/>
          <w:sz w:val="21"/>
        </w:rPr>
        <w:t>English Abstract:</w:t>
      </w:r>
    </w:p>
    <w:p>
      <w:r>
        <w:rPr>
          <w:rFonts w:ascii="Times New Roman" w:hAnsi="Times New Roman" w:eastAsia="宋体"/>
          <w:sz w:val="21"/>
        </w:rPr>
        <w:t>Sparse autoencoders (SAEs) offer a natural path toward comparable explanations across different representation spaces. However, current SAEs are trained per modality, producing dictionaries whose features are not directly understandable and whose explanations do not transfer across domains. In this study, we introduce LUCID (Learning Unified vision-language sparse Codes for Interpretable concept Discovery), a unified vision-language sparse autoencoder that learns a shared latent dictionary for image patch and text token representations, while reserving private capacity for modality-specific details. We achieve feature alignment by coupling the shared codes with a learned optimal transport matching objective without the need of labeling. LUCID yields interpretable shared features that support patch-level grounding, establish cross-modal neuron correspondence, and enhance robustness against the concept clustering problem in similarity-based evaluation. Leveraging the alignment properties, we develop an automated dictionary interpretation pipeline based on term clustering without manual observations. Our analysis reveals that LUCID's shared features capture diverse semantic categories beyond objects, including actions, attributes, and abstract concepts, demonstrating a comprehensive approach to interpretable multimodal representations.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通过自适应匹配蒸馏优化少步生成</w:t>
      </w:r>
    </w:p>
    <w:p>
      <w:r>
        <w:rPr>
          <w:rFonts w:ascii="Times New Roman" w:hAnsi="Times New Roman" w:eastAsia="宋体"/>
          <w:b/>
          <w:color w:val="003264"/>
          <w:sz w:val="24"/>
        </w:rPr>
        <w:t>Optimizing Few-Step Generation with Adaptive Matching Distillation</w:t>
      </w:r>
    </w:p>
    <w:p>
      <w:r>
        <w:rPr>
          <w:rFonts w:ascii="Times New Roman" w:hAnsi="Times New Roman" w:eastAsia="宋体"/>
          <w:sz w:val="21"/>
        </w:rPr>
        <w:t>作者: Zeke Xie</w:t>
        <w:br/>
      </w:r>
      <w:r>
        <w:rPr>
          <w:rFonts w:ascii="Times New Roman" w:hAnsi="Times New Roman" w:eastAsia="宋体"/>
          <w:sz w:val="21"/>
        </w:rPr>
        <w:t xml:space="preserve">时间: 2026-02-07T04:00:20Z | </w:t>
      </w:r>
      <w:r>
        <w:t xml:space="preserve">链接: </w:t>
      </w:r>
      <w:hyperlink r:id="rId130">
        <w:r>
          <w:rPr>
            <w:rFonts w:ascii="Times New Roman" w:hAnsi="Times New Roman" w:eastAsia="宋体"/>
            <w:color w:val="0000FF"/>
            <w:sz w:val="21"/>
            <w:u w:val="single"/>
          </w:rPr>
          <w:t>https://arxiv.org/abs/2602.07345v1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分布匹配蒸馏（DMD）是一种强大的加速范式，但其稳定性在禁区中常常受到损害，在这些禁区中，真老师提供的指导不可靠，而假老师施加的排斥力不足。在这项工作中，我们提出了一个统一的优化框架，将现有技术重新解释为避免这些损坏区域的隐式策略。基于这一见解，我们引入了自适应匹配蒸馏（AMD），这是一种利用奖励代理来明确检测和逃离禁区的自我纠正机制。 AMD 通过结构信号分解动态地确定校正梯度的优先级，并引入排斥景观锐化来加强陡峭的能量屏障，防止故障模式崩溃。跨图像和视频生成任务（例如 SDXL、Wan2.1）和严格基准测试（例如 VBench、GenEval）的大量实验表明，AMD 显着增强了样本保真度和训练鲁棒性。例如，AMD 将 SDXL 上的 HPSv2 分数从 30.64 提高到 31.25，超越了最先进的基准。这些发现证实，明确纠正禁区内的优化轨迹对于推动少步生成模型的性能上限至关重要。</w:t>
      </w:r>
    </w:p>
    <w:p>
      <w:pPr>
        <w:spacing w:before="120"/>
      </w:pPr>
      <w:r>
        <w:rPr>
          <w:rFonts w:ascii="Times New Roman" w:hAnsi="Times New Roman" w:eastAsia="宋体"/>
          <w:b/>
          <w:sz w:val="21"/>
        </w:rPr>
        <w:t>English Abstract:</w:t>
      </w:r>
    </w:p>
    <w:p>
      <w:r>
        <w:rPr>
          <w:rFonts w:ascii="Times New Roman" w:hAnsi="Times New Roman" w:eastAsia="宋体"/>
          <w:sz w:val="21"/>
        </w:rPr>
        <w:t>Distribution Matching Distillation (DMD) is a powerful acceleration paradigm, yet its stability is often compromised in Forbidden Zone, regions where the real teacher provides unreliable guidance while the fake teacher exerts insufficient repulsive force. In this work, we propose a unified optimization framework that reinterprets prior art as implicit strategies to avoid these corrupted regions. Based on this insight, we introduce Adaptive Matching Distillation (AMD), a self-correcting mechanism that utilizes reward proxies to explicitly detect and escape Forbidden Zones. AMD dynamically prioritizes corrective gradients via structural signal decomposition and introduces Repulsive Landscape Sharpening to enforce steep energy barriers against failure mode collapse. Extensive experiments across image and video generation tasks (e.g., SDXL, Wan2.1) and rigorous benchmarks (e.g., VBench, GenEval) demonstrate that AMD significantly enhances sample fidelity and training robustness. For instance, AMD improves the HPSv2 score on SDXL from 30.64 to 31.25, outperforming state-of-the-art baselines. These findings validate that explicitly rectifying optimization trajectories within Forbidden Zones is essential for pushing the performance ceiling of few-step generative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基于行列分离注意力的低光图像/视频增强</w:t>
      </w:r>
    </w:p>
    <w:p>
      <w:r>
        <w:rPr>
          <w:rFonts w:ascii="Times New Roman" w:hAnsi="Times New Roman" w:eastAsia="宋体"/>
          <w:b/>
          <w:color w:val="003264"/>
          <w:sz w:val="24"/>
        </w:rPr>
        <w:t>Row-Column Separated Attention Based Low-Light Image/Video Enhancement</w:t>
      </w:r>
    </w:p>
    <w:p>
      <w:r>
        <w:rPr>
          <w:rFonts w:ascii="Times New Roman" w:hAnsi="Times New Roman" w:eastAsia="宋体"/>
          <w:sz w:val="21"/>
        </w:rPr>
        <w:t>作者: Fan Tang</w:t>
        <w:br/>
      </w:r>
      <w:r>
        <w:rPr>
          <w:rFonts w:ascii="Times New Roman" w:hAnsi="Times New Roman" w:eastAsia="宋体"/>
          <w:sz w:val="21"/>
        </w:rPr>
        <w:t xml:space="preserve">时间: 2026-02-07T07:56:06Z | </w:t>
      </w:r>
      <w:r>
        <w:t xml:space="preserve">链接: </w:t>
      </w:r>
      <w:hyperlink r:id="rId131">
        <w:r>
          <w:rPr>
            <w:rFonts w:ascii="Times New Roman" w:hAnsi="Times New Roman" w:eastAsia="宋体"/>
            <w:color w:val="0000FF"/>
            <w:sz w:val="21"/>
            <w:u w:val="single"/>
          </w:rPr>
          <w:t>https://arxiv.org/abs/2602.07428v1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U-Net结构广泛用于弱光图像/视频增强。增强的图像会导致区域具有较大的局部噪声并丢失更多细节，而没有对全局信息进行适当的指导。注意力机制可以更好地关注和利用全局信息。然而，对图像的关注可能会显着增加参数和计算的数量。我们提出在改进的 U-Net 之后插入行列分离注意力模块（RCSA）。 RCSA模块的输入是特征图的行和列的均值和最大值，利用全局信息以较少的参数引导局部信息。我们提出了两个时间损失函数，将该方法应用于低光视频增强并保持时间一致性。在 LOL、MIT Adob​​e FiveK 图像和 SDSD 视频数据集上进行的大量实验证明了我们方法的有效性。该代码可在 https://github.com/cq-dong/URCSA 上公开获取。</w:t>
      </w:r>
    </w:p>
    <w:p>
      <w:pPr>
        <w:spacing w:before="120"/>
      </w:pPr>
      <w:r>
        <w:rPr>
          <w:rFonts w:ascii="Times New Roman" w:hAnsi="Times New Roman" w:eastAsia="宋体"/>
          <w:b/>
          <w:sz w:val="21"/>
        </w:rPr>
        <w:t>English Abstract:</w:t>
      </w:r>
    </w:p>
    <w:p>
      <w:r>
        <w:rPr>
          <w:rFonts w:ascii="Times New Roman" w:hAnsi="Times New Roman" w:eastAsia="宋体"/>
          <w:sz w:val="21"/>
        </w:rPr>
        <w:t>U-Net structure is widely used for low-light image/video enhancement. The enhanced images result in areas with large local noise and loss of more details without proper guidance for global information. Attention mechanisms can better focus on and use global information. However, attention to images could significantly increase the number of parameters and computations. We propose a Row-Column Separated Attention module (RCSA) inserted after an improved U-Net. The RCSA module's input is the mean and maximum of the row and column of the feature map, which utilizes global information to guide local information with fewer parameters. We propose two temporal loss functions to apply the method to low-light video enhancement and maintain temporal consistency. Extensive experiments on the LOL, MIT Adobe FiveK image, and SDSD video datasets demonstrate the effectiveness of our approach. The code is publicly available at https://github.com/cq-dong/URCSA.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不完整深度图和表面法线的透视感知融合，以实现精确的 3D 重建</w:t>
      </w:r>
    </w:p>
    <w:p>
      <w:r>
        <w:rPr>
          <w:rFonts w:ascii="Times New Roman" w:hAnsi="Times New Roman" w:eastAsia="宋体"/>
          <w:b/>
          <w:color w:val="003264"/>
          <w:sz w:val="24"/>
        </w:rPr>
        <w:t>Perspective-aware fusion of incomplete depth maps and surface normals for accurate 3D reconstruction</w:t>
      </w:r>
    </w:p>
    <w:p>
      <w:r>
        <w:rPr>
          <w:rFonts w:ascii="Times New Roman" w:hAnsi="Times New Roman" w:eastAsia="宋体"/>
          <w:sz w:val="21"/>
        </w:rPr>
        <w:t>作者: Christian Kapeller</w:t>
        <w:br/>
      </w:r>
      <w:r>
        <w:rPr>
          <w:rFonts w:ascii="Times New Roman" w:hAnsi="Times New Roman" w:eastAsia="宋体"/>
          <w:sz w:val="21"/>
        </w:rPr>
        <w:t xml:space="preserve">时间: 2026-02-07T08:45:40Z | </w:t>
      </w:r>
      <w:r>
        <w:t xml:space="preserve">链接: </w:t>
      </w:r>
      <w:hyperlink r:id="rId132">
        <w:r>
          <w:rPr>
            <w:rFonts w:ascii="Times New Roman" w:hAnsi="Times New Roman" w:eastAsia="宋体"/>
            <w:color w:val="0000FF"/>
            <w:sz w:val="21"/>
            <w:u w:val="single"/>
          </w:rPr>
          <w:t>https://arxiv.org/abs/2602.07444v1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我们解决了根据基于单透视相机的传感器系统获取的深度和表面法线图重建 3D 表面的问题。深度图和法线图可以分别通过结构光扫描和光度立体等技术获得。我们提出了一种透视感知的对数深度融合方法，通过明确考虑透视投影来扩展现有的基于正交梯度的深度法线融合方法，从而实现度量准确的 3D 重建。此外，该方法通过利用可用的表面法线信息修复间隙来处理丢失的深度测量。 DiLiGenT-MV 数据集上的实验证明了我们方法的有效性，并强调了透视感知深度法线融合的重要性。</w:t>
      </w:r>
    </w:p>
    <w:p>
      <w:pPr>
        <w:spacing w:before="120"/>
      </w:pPr>
      <w:r>
        <w:rPr>
          <w:rFonts w:ascii="Times New Roman" w:hAnsi="Times New Roman" w:eastAsia="宋体"/>
          <w:b/>
          <w:sz w:val="21"/>
        </w:rPr>
        <w:t>English Abstract:</w:t>
      </w:r>
    </w:p>
    <w:p>
      <w:r>
        <w:rPr>
          <w:rFonts w:ascii="Times New Roman" w:hAnsi="Times New Roman" w:eastAsia="宋体"/>
          <w:sz w:val="21"/>
        </w:rPr>
        <w:t>We address the problem of reconstructing 3D surfaces from depth and surface normal maps acquired by a sensor system based on a single perspective camera. Depth and normal maps can be obtained through techniques such as structured-light scanning and photometric stereo, respectively. We propose a perspective-aware log-depth fusion approach that extends existing orthographic gradient-based depth-normals fusion methods by explicitly accounting for perspective projection, leading to metrically accurate 3D reconstructions. Additionally, the method handles missing depth measurements by leveraging available surface normal information to inpaint gaps. Experiments on the DiLiGenT-MV data set demonstrate the effectiveness of our approach and highlight the importance of perspective-aware depth-normals fusion.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PTB-XL-Image-17K：具有全面基础事实的大规模合成心电图图像数据集，用于基于深度学习的数字化</w:t>
      </w:r>
    </w:p>
    <w:p>
      <w:r>
        <w:rPr>
          <w:rFonts w:ascii="Times New Roman" w:hAnsi="Times New Roman" w:eastAsia="宋体"/>
          <w:b/>
          <w:color w:val="003264"/>
          <w:sz w:val="24"/>
        </w:rPr>
        <w:t>PTB-XL-Image-17K: A Large-Scale Synthetic ECG Image Dataset with Comprehensive Ground Truth for Deep Learning-Based Digitization</w:t>
      </w:r>
    </w:p>
    <w:p>
      <w:r>
        <w:rPr>
          <w:rFonts w:ascii="Times New Roman" w:hAnsi="Times New Roman" w:eastAsia="宋体"/>
          <w:sz w:val="21"/>
        </w:rPr>
        <w:t>作者: Naqcho Ali Mehdi</w:t>
        <w:br/>
      </w:r>
      <w:r>
        <w:rPr>
          <w:rFonts w:ascii="Times New Roman" w:hAnsi="Times New Roman" w:eastAsia="宋体"/>
          <w:sz w:val="21"/>
        </w:rPr>
        <w:t xml:space="preserve">时间: 2026-02-07T08:52:38Z | </w:t>
      </w:r>
      <w:r>
        <w:t xml:space="preserve">链接: </w:t>
      </w:r>
      <w:hyperlink r:id="rId133">
        <w:r>
          <w:rPr>
            <w:rFonts w:ascii="Times New Roman" w:hAnsi="Times New Roman" w:eastAsia="宋体"/>
            <w:color w:val="0000FF"/>
            <w:sz w:val="21"/>
            <w:u w:val="single"/>
          </w:rPr>
          <w:t>https://arxiv.org/abs/2602.07446v1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心电图 (ECG) 数字化（将纸质或扫描的心电图图像转换回时间序列信号）对于在现代深度学习应用中利用数十年的遗留临床数据至关重要。然而，由于缺乏提供心电图图像及其相应的地面实况信号和全面注释的大规模数据集，进展受到阻碍。我们推出 PTB-XL-Image-17K，这是一个完整的合成心电图图像数据集，包含从 PTB-XL 信号数据库生成的 17,271 张高质量 12 导联心电图图像。我们的数据集为每个样本提供了五种补充数据类型：(1) 具有真实网格图案和注释的真实心电图图像（50% 有可见网格，50% 无），(2) 像素级分割掩模，(3) 地面实况时间序列信号，(4) YOLO 格式的导联区域和导联名称标签的边界框注释，以及 (5) 全面的元数据，包括视觉参数和患者信息。我们提出了一个开源 Python 框架，支持生成可定制的数据集，并具有可控参数，包括走纸速度 (25/50 mm/s)、电压刻度 (5/10 mm/mV)、采样率 (500 Hz)、网格外观（4 种颜色）和波形特征。该数据集实现了 100% 的生成成功率，每个样本的平均处理时间为 1.35 秒。 PTB-XL-Image-17K 通过提供第一个支持完整流程的大规模资源来解决心电图数字化研究中的关键差距：导联检测、波形分割和信号提取，并具有完整的基本事实以进行严格评估。数据集、生成框架和文档可在 https://github.com/naqchoalimehdi/PTB-XL-Image-17K 和 https://doi.org/10.5281/zenodo.18197519 上公开获取。</w:t>
      </w:r>
    </w:p>
    <w:p>
      <w:pPr>
        <w:spacing w:before="120"/>
      </w:pPr>
      <w:r>
        <w:rPr>
          <w:rFonts w:ascii="Times New Roman" w:hAnsi="Times New Roman" w:eastAsia="宋体"/>
          <w:b/>
          <w:sz w:val="21"/>
        </w:rPr>
        <w:t>English Abstract:</w:t>
      </w:r>
    </w:p>
    <w:p>
      <w:r>
        <w:rPr>
          <w:rFonts w:ascii="Times New Roman" w:hAnsi="Times New Roman" w:eastAsia="宋体"/>
          <w:sz w:val="21"/>
        </w:rPr>
        <w:t>Electrocardiogram (ECG) digitization-converting paper-based or scanned ECG images back into time-series signals-is critical for leveraging decades of legacy clinical data in modern deep learning applications. However, progress has been hindered by the lack of large-scale datasets providing both ECG images and their corresponding ground truth signals with comprehensive annotations. We introduce PTB-XL-Image-17K, a complete synthetic ECG image dataset comprising 17,271 high-quality 12-lead ECG images generated from the PTB-XL signal database. Our dataset uniquely provides five complementary data types per sample: (1) realistic ECG images with authentic grid patterns and annotations (50% with visible grid, 50% without), (2) pixel-level segmentation masks, (3) ground truth time-series signals, (4) bounding box annotations in YOLO format for both lead regions and lead name labels, and (5) comprehensive metadata including visual parameters and patient information. We present an open-source Python framework enabling customizable dataset generation with controllable parameters including paper speed (25/50 mm/s), voltage scale (5/10 mm/mV), sampling rate (500 Hz), grid appearance (4 colors), and waveform characteristics. The dataset achieves 100% generation success rate with an average processing time of 1.35 seconds per sample. PTB-XL-Image-17K addresses critical gaps in ECG digitization research by providing the first large-scale resource supporting the complete pipeline: lead detection, waveform segmentation, and signal extraction with full ground truth for rigorous evaluation. The dataset, generation framework, and documentation are publicly available at https://github.com/naqchoalimehdi/PTB-XL-Image-17K and https://doi.org/10.5281/zenodo.18197519.</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SpatialReward：通过显式空间推理弥合在线强化学习图像编辑的感知差距</w:t>
      </w:r>
    </w:p>
    <w:p>
      <w:r>
        <w:rPr>
          <w:rFonts w:ascii="Times New Roman" w:hAnsi="Times New Roman" w:eastAsia="宋体"/>
          <w:b/>
          <w:color w:val="003264"/>
          <w:sz w:val="24"/>
        </w:rPr>
        <w:t>SpatialReward: Bridging the Perception Gap in Online RL for Image Editing via Explicit Spatial Reasoning</w:t>
      </w:r>
    </w:p>
    <w:p>
      <w:r>
        <w:rPr>
          <w:rFonts w:ascii="Times New Roman" w:hAnsi="Times New Roman" w:eastAsia="宋体"/>
          <w:sz w:val="21"/>
        </w:rPr>
        <w:t>作者: Shuo Yang</w:t>
        <w:br/>
      </w:r>
      <w:r>
        <w:rPr>
          <w:rFonts w:ascii="Times New Roman" w:hAnsi="Times New Roman" w:eastAsia="宋体"/>
          <w:sz w:val="21"/>
        </w:rPr>
        <w:t xml:space="preserve">时间: 2026-02-07T09:23:34Z | </w:t>
      </w:r>
      <w:r>
        <w:t xml:space="preserve">链接: </w:t>
      </w:r>
      <w:hyperlink r:id="rId134">
        <w:r>
          <w:rPr>
            <w:rFonts w:ascii="Times New Roman" w:hAnsi="Times New Roman" w:eastAsia="宋体"/>
            <w:color w:val="0000FF"/>
            <w:sz w:val="21"/>
            <w:u w:val="single"/>
          </w:rPr>
          <w:t>https://arxiv.org/abs/2602.07458v1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线强化学习（RL）为复杂图像编辑提供了一条有前途的途径，但目前受到可靠和细粒度奖励信号稀缺的限制。现有的评估者经常遇到我们称之为“注意力崩溃”的关键感知差距，即模型忽略跨图像比较并且无法捕获细粒度的细节，从而导致感知不准确和分数校准错误。为了解决这些限制，我们提出了 SpatialReward，这是一种通过显式空间推理强制执行精确验证的奖励模型。通过将推理锚定到预测的编辑区域，SpatialReward 将语义判断建立在像素级证据中，从而显着提高评估准确性。我们的模型在精心策划的 260k 空间感知数据集上进行训练，在 MMRB2 和 EditReward-Bench 上实现了最先进的性能，并且在我们提出的 MultiEditReward-Bench 上优于专有评估器。此外，SpatialReward 在在线 RL 中充当了强大的信号，在 GEdit-Bench 上将 OmniGen2 提升了 +0.90，超越了领先的判别模型，并将 GPT-4.1 的增益提高了一倍 (+0.45)。这些结果表明，空间推理对于图像编辑中的有效对齐至关重要。</w:t>
      </w:r>
    </w:p>
    <w:p>
      <w:pPr>
        <w:spacing w:before="120"/>
      </w:pPr>
      <w:r>
        <w:rPr>
          <w:rFonts w:ascii="Times New Roman" w:hAnsi="Times New Roman" w:eastAsia="宋体"/>
          <w:b/>
          <w:sz w:val="21"/>
        </w:rPr>
        <w:t>English Abstract:</w:t>
      </w:r>
    </w:p>
    <w:p>
      <w:r>
        <w:rPr>
          <w:rFonts w:ascii="Times New Roman" w:hAnsi="Times New Roman" w:eastAsia="宋体"/>
          <w:sz w:val="21"/>
        </w:rPr>
        <w:t>Online Reinforcement Learning (RL) offers a promising avenue for complex image editing but is currently constrained by the scarcity of reliable and fine-grained reward signals. Existing evaluators frequently struggle with a critical perception gap we term "Attention Collapse," where models neglect cross-image comparisons and fail to capture fine-grained details, resulting in inaccurate perception and miscalibrated scores. To address these limitations, we propose SpatialReward, a reward model that enforces precise verification via explicit spatial reasoning. By anchoring reasoning to predicted edit regions, SpatialReward grounds semantic judgments in pixel-level evidence, significantly enhancing evaluative accuracy. Trained on a curated 260k spatial-aware dataset, our model achieves state-of-the-art performance on MMRB2 and EditReward-Bench, and outperforms proprietary evaluators on our proposed MultiEditReward-Bench. Furthermore, SpatialReward serves as a robust signal in online RL, boosting OmniGen2 by +0.90 on GEdit-Bench--surpassing the leading discriminative model and doubling the gain of GPT-4.1 (+0.45). These results demonstrate that spatial reasoning is essential for unlocking effective alignment in image editing.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GlobalWasteData：用于稳健废物分类和环境监测的大规模综合数据集</w:t>
      </w:r>
    </w:p>
    <w:p>
      <w:r>
        <w:rPr>
          <w:rFonts w:ascii="Times New Roman" w:hAnsi="Times New Roman" w:eastAsia="宋体"/>
          <w:b/>
          <w:color w:val="003264"/>
          <w:sz w:val="24"/>
        </w:rPr>
        <w:t>GlobalWasteData: A Large-Scale, Integrated Dataset for Robust Waste Classification and Environmental Monitoring</w:t>
      </w:r>
    </w:p>
    <w:p>
      <w:r>
        <w:rPr>
          <w:rFonts w:ascii="Times New Roman" w:hAnsi="Times New Roman" w:eastAsia="宋体"/>
          <w:sz w:val="21"/>
        </w:rPr>
        <w:t>作者: Muhammad Nabeel Asim</w:t>
        <w:br/>
      </w:r>
      <w:r>
        <w:rPr>
          <w:rFonts w:ascii="Times New Roman" w:hAnsi="Times New Roman" w:eastAsia="宋体"/>
          <w:sz w:val="21"/>
        </w:rPr>
        <w:t xml:space="preserve">时间: 2026-02-07T09:36:39Z | </w:t>
      </w:r>
      <w:r>
        <w:t xml:space="preserve">链接: </w:t>
      </w:r>
      <w:hyperlink r:id="rId135">
        <w:r>
          <w:rPr>
            <w:rFonts w:ascii="Times New Roman" w:hAnsi="Times New Roman" w:eastAsia="宋体"/>
            <w:color w:val="0000FF"/>
            <w:sz w:val="21"/>
            <w:u w:val="single"/>
          </w:rPr>
          <w:t>https://arxiv.org/abs/2602.07463v1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废物量的不断增加给环境带来了问题，需要对各种废物进行有效的分类技术。为此使用了自动废物分类系统。这些人工智能 (AI) 模型的有效性取决于公开数据集的质量和可访问性，这为训练和分析分类算法提供了基础。尽管存在多个公共废物分类数据集，但它们仍然分散、不一致且偏向特定环境。类名称、注释格式、图像条件和类分布的差异使得组合这些数据集或训练能够很好地推广到现实世界场景的模型变得困难。为了解决这些问题，我们引入了 GlobalWasteData (GWD) 档案，这是一个包含 14 个主要类别的 89,807 张图像的大型数据集，并用 68 个不同的子类进行注释。我们通过将多个公开可用的数据集合并到一个统一的资源中来编译这个新颖的集成 GWD 存档。该 GWD 档案提供一致的标签、改进的领域多样性和更平衡的类别表示，从而能够开发强大且通用的废物识别模型。其他预处理步骤（例如质量过滤、重复删除和元数据生成）进一步提高了数据集的可靠性。总体而言，该数据集为环境监测、回收自动化和废物识别方面的机器学习 (ML) 应用奠定了坚实的基础，并且可公开用于促进未来的研究和可重复性。</w:t>
      </w:r>
    </w:p>
    <w:p>
      <w:pPr>
        <w:spacing w:before="120"/>
      </w:pPr>
      <w:r>
        <w:rPr>
          <w:rFonts w:ascii="Times New Roman" w:hAnsi="Times New Roman" w:eastAsia="宋体"/>
          <w:b/>
          <w:sz w:val="21"/>
        </w:rPr>
        <w:t>English Abstract:</w:t>
      </w:r>
    </w:p>
    <w:p>
      <w:r>
        <w:rPr>
          <w:rFonts w:ascii="Times New Roman" w:hAnsi="Times New Roman" w:eastAsia="宋体"/>
          <w:sz w:val="21"/>
        </w:rPr>
        <w:t>The growing amount of waste is a problem for the environment that requires efficient sorting techniques for various kinds of waste. An automated waste classification system is used for this purpose. The effectiveness of these Artificial Intelligence (AI) models depends on the quality and accessibility of publicly available datasets, which provide the basis for training and analyzing classification algorithms. Although several public waste classification datasets exist, they remain fragmented, inconsistent, and biased toward specific environments. Differences in class names, annotation formats, image conditions, and class distributions make it difficult to combine these datasets or train models that generalize well to real world scenarios. To address these issues, we introduce the GlobalWasteData (GWD) archive, a large scale dataset of 89,807 images across 14 main categories, annotated with 68 distinct subclasses. We compile this novel integrated GWD archive by merging multiple publicly available datasets into a single, unified resource. This GWD archive offers consistent labeling, improved domain diversity, and more balanced class representation, enabling the development of robust and generalizable waste recognition models. Additional preprocessing steps such as quality filtering, duplicate removal, and metadata generation further improve dataset reliability. Overall, this dataset offers a strong foundation for Machine Learning (ML) applications in environmental monitoring, recycling automation, and waste identification, and is publicly available to promote future research and reproducibility.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使用学习的里程计和高斯分布进行热里程计和密集映射</w:t>
      </w:r>
    </w:p>
    <w:p>
      <w:r>
        <w:rPr>
          <w:rFonts w:ascii="Times New Roman" w:hAnsi="Times New Roman" w:eastAsia="宋体"/>
          <w:b/>
          <w:color w:val="003264"/>
          <w:sz w:val="24"/>
        </w:rPr>
        <w:t>Thermal odometry and dense mapping using learned ddometry and Gaussian splatting</w:t>
      </w:r>
    </w:p>
    <w:p>
      <w:r>
        <w:rPr>
          <w:rFonts w:ascii="Times New Roman" w:hAnsi="Times New Roman" w:eastAsia="宋体"/>
          <w:sz w:val="21"/>
        </w:rPr>
        <w:t>作者: Jianzhu Huai</w:t>
        <w:br/>
      </w:r>
      <w:r>
        <w:rPr>
          <w:rFonts w:ascii="Times New Roman" w:hAnsi="Times New Roman" w:eastAsia="宋体"/>
          <w:sz w:val="21"/>
        </w:rPr>
        <w:t xml:space="preserve">时间: 2026-02-07T11:07:44Z | </w:t>
      </w:r>
      <w:r>
        <w:t xml:space="preserve">链接: </w:t>
      </w:r>
      <w:hyperlink r:id="rId136">
        <w:r>
          <w:rPr>
            <w:rFonts w:ascii="Times New Roman" w:hAnsi="Times New Roman" w:eastAsia="宋体"/>
            <w:color w:val="0000FF"/>
            <w:sz w:val="21"/>
            <w:u w:val="single"/>
          </w:rPr>
          <w:t>https://arxiv.org/abs/2602.07493v1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热红外传感器的波长比烟雾颗粒长，可以捕获不受黑暗、灰尘和烟雾影响的图像。这种鲁棒性使它们对于机器人的运动估计和环境感知越来越有价值，特别是在不利条件下。然而，现有的热里程计和绘图方法主要是几何的，并且经常在不同的数据集上失败，同时缺乏生成密集地图的能力。受最近高斯分布（GS）技术的效率和高质量重建能力的启发，我们提出了 TOM-GS，一种热里程计和绘图方法，它将基于学习的里程计与基于 GS 的密集映射集成在一起。 TOM-GS 是首批为热像仪量身定制的基于 GS 的 SLAM 系统之一，具有专用热图像增强和单目深度集成功能。关于运动估计和新颖视图渲染的大量实验表明，TOM-GS 优于现有的基于学习的方法，证实了基于学习的管道对于鲁棒热里程计和密集重建的优势。</w:t>
      </w:r>
    </w:p>
    <w:p>
      <w:pPr>
        <w:spacing w:before="120"/>
      </w:pPr>
      <w:r>
        <w:rPr>
          <w:rFonts w:ascii="Times New Roman" w:hAnsi="Times New Roman" w:eastAsia="宋体"/>
          <w:b/>
          <w:sz w:val="21"/>
        </w:rPr>
        <w:t>English Abstract:</w:t>
      </w:r>
    </w:p>
    <w:p>
      <w:r>
        <w:rPr>
          <w:rFonts w:ascii="Times New Roman" w:hAnsi="Times New Roman" w:eastAsia="宋体"/>
          <w:sz w:val="21"/>
        </w:rPr>
        <w:t>Thermal infrared sensors, with wavelengths longer than smoke particles, can capture imagery independent of darkness, dust, and smoke. This robustness has made them increasingly valuable for motion estimation and environmental perception in robotics, particularly in adverse conditions. Existing thermal odometry and mapping approaches, however, are predominantly geometric and often fail across diverse datasets while lacking the ability to produce dense maps. Motivated by the efficiency and high-quality reconstruction ability of recent Gaussian Splatting (GS) techniques, we propose TOM-GS, a thermal odometry and mapping method that integrates learning-based odometry with GS-based dense mapping. TOM-GS is among the first GS-based SLAM systems tailored for thermal cameras, featuring dedicated thermal image enhancement and monocular depth integration. Extensive experiments on motion estimation and novel-view rendering demonstrate that TOM-GS outperforms existing learning-based methods, confirming the benefits of learning-based pipelines for robust thermal odometry and dense reconstruction.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使用分层视觉嵌入学习大脑表示</w:t>
      </w:r>
    </w:p>
    <w:p>
      <w:r>
        <w:rPr>
          <w:rFonts w:ascii="Times New Roman" w:hAnsi="Times New Roman" w:eastAsia="宋体"/>
          <w:b/>
          <w:color w:val="003264"/>
          <w:sz w:val="24"/>
        </w:rPr>
        <w:t>Learning Brain Representation with Hierarchical Visual Embeddings</w:t>
      </w:r>
    </w:p>
    <w:p>
      <w:r>
        <w:rPr>
          <w:rFonts w:ascii="Times New Roman" w:hAnsi="Times New Roman" w:eastAsia="宋体"/>
          <w:sz w:val="21"/>
        </w:rPr>
        <w:t>作者: Chen Liang</w:t>
        <w:br/>
      </w:r>
      <w:r>
        <w:rPr>
          <w:rFonts w:ascii="Times New Roman" w:hAnsi="Times New Roman" w:eastAsia="宋体"/>
          <w:sz w:val="21"/>
        </w:rPr>
        <w:t xml:space="preserve">时间: 2026-02-07T11:14:03Z | </w:t>
      </w:r>
      <w:r>
        <w:t xml:space="preserve">链接: </w:t>
      </w:r>
      <w:hyperlink r:id="rId137">
        <w:r>
          <w:rPr>
            <w:rFonts w:ascii="Times New Roman" w:hAnsi="Times New Roman" w:eastAsia="宋体"/>
            <w:color w:val="0000FF"/>
            <w:sz w:val="21"/>
            <w:u w:val="single"/>
          </w:rPr>
          <w:t>https://arxiv.org/abs/2602.07495v1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大脑信号中解码视觉表征已经引起了神经科学和人工智能领域的极大关注。然而，大脑信号真正编码视觉信息的程度仍不清楚。当前的视觉解码方法探索了各种大脑图像对齐策略，但大多数强调高级语义特征，而忽略像素级细节，从而限制了我们对人类视觉系统的理解。在本文中，我们提出了一种大脑图像对齐策略，利用多个具有不同归纳偏差的预先训练的视觉编码器来捕获分层和多尺度的视觉表示，同时采用对比学习目标来实现大脑信号和视觉嵌入之间的有效对齐。此外，我们引入了融合先验，它学习大规模视觉数据的稳定映射，然后将大脑特征与预先训练的先验进行匹配，从而增强跨模态的分布一致性。大量的定量和定性实验表明，我们的方法在检索精度和重建保真度之间实现了良好的平衡。</w:t>
      </w:r>
    </w:p>
    <w:p>
      <w:pPr>
        <w:spacing w:before="120"/>
      </w:pPr>
      <w:r>
        <w:rPr>
          <w:rFonts w:ascii="Times New Roman" w:hAnsi="Times New Roman" w:eastAsia="宋体"/>
          <w:b/>
          <w:sz w:val="21"/>
        </w:rPr>
        <w:t>English Abstract:</w:t>
      </w:r>
    </w:p>
    <w:p>
      <w:r>
        <w:rPr>
          <w:rFonts w:ascii="Times New Roman" w:hAnsi="Times New Roman" w:eastAsia="宋体"/>
          <w:sz w:val="21"/>
        </w:rPr>
        <w:t>Decoding visual representations from brain signals has attracted significant attention in both neuroscience and artificial intelligence. However, the degree to which brain signals truly encode visual information remains unclear. Current visual decoding approaches explore various brain-image alignment strategies, yet most emphasize high-level semantic features while neglecting pixel-level details, thereby limiting our understanding of the human visual system. In this paper, we propose a brain-image alignment strategy that leverages multiple pre-trained visual encoders with distinct inductive biases to capture hierarchical and multi-scale visual representations, while employing a contrastive learning objective to achieve effective alignment between brain signals and visual embeddings. Furthermore, we introduce a Fusion Prior, which learns a stable mapping on large-scale visual data and subsequently matches brain features to this pre-trained prior, thereby enhancing distributional consistency across modalities. Extensive quantitative and qualitative experiments demonstrate that our method achieves a favorable balance between retrieval accuracy and reconstruction fidelity.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IM-Animation：身份解耦角色动画的隐式运动表示</w:t>
      </w:r>
    </w:p>
    <w:p>
      <w:r>
        <w:rPr>
          <w:rFonts w:ascii="Times New Roman" w:hAnsi="Times New Roman" w:eastAsia="宋体"/>
          <w:b/>
          <w:color w:val="003264"/>
          <w:sz w:val="24"/>
        </w:rPr>
        <w:t>IM-Animation: An Implicit Motion Representation for Identity-decoupled Character Animation</w:t>
      </w:r>
    </w:p>
    <w:p>
      <w:r>
        <w:rPr>
          <w:rFonts w:ascii="Times New Roman" w:hAnsi="Times New Roman" w:eastAsia="宋体"/>
          <w:sz w:val="21"/>
        </w:rPr>
        <w:t>作者: Lin Gao</w:t>
        <w:br/>
      </w:r>
      <w:r>
        <w:rPr>
          <w:rFonts w:ascii="Times New Roman" w:hAnsi="Times New Roman" w:eastAsia="宋体"/>
          <w:sz w:val="21"/>
        </w:rPr>
        <w:t xml:space="preserve">时间: 2026-02-07T11:17:20Z | </w:t>
      </w:r>
      <w:r>
        <w:t xml:space="preserve">链接: </w:t>
      </w:r>
      <w:hyperlink r:id="rId138">
        <w:r>
          <w:rPr>
            <w:rFonts w:ascii="Times New Roman" w:hAnsi="Times New Roman" w:eastAsia="宋体"/>
            <w:color w:val="0000FF"/>
            <w:sz w:val="21"/>
            <w:u w:val="single"/>
          </w:rPr>
          <w:t>https://arxiv.org/abs/2602.07498v1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视频扩散模型的最新进展显着改进了角色动画，它通过根据驾驶视频对静态身份图像进行动画处理来合成动态视频。显式方法使用骨骼、DWPose 或其他显式结构化信号来表示运动，但难以处理空间不匹配和变化的身体尺度。 %比例。另一方面，隐式方法直接从驾驶视频中捕获高级隐式运动语义，但会遭受身份泄漏以及运动和外观之间的纠缠。为了解决上述挑战，我们提出了一种新颖的隐式运动表示，将每帧运动压缩为紧凑的一维运动标记。这种设计放松了二维表示中固有的严格空间限制，并有效防止运动视频中的身份信息泄漏。此外，我们设计了一个基于时间一致掩模标记的重定向模块，该模块强制执行时间训练瓶颈，减轻源图像运动的干扰并提高重定向一致性。我们的方法采用三阶段训练策略来提高训练效率并确保高保真度。大量的实验表明，与最先进的方法相比，我们的隐式运动表示和提出的 IM 动画的生成能力实现了卓越或有竞争力的性能。</w:t>
      </w:r>
    </w:p>
    <w:p>
      <w:pPr>
        <w:spacing w:before="120"/>
      </w:pPr>
      <w:r>
        <w:rPr>
          <w:rFonts w:ascii="Times New Roman" w:hAnsi="Times New Roman" w:eastAsia="宋体"/>
          <w:b/>
          <w:sz w:val="21"/>
        </w:rPr>
        <w:t>English Abstract:</w:t>
      </w:r>
    </w:p>
    <w:p>
      <w:r>
        <w:rPr>
          <w:rFonts w:ascii="Times New Roman" w:hAnsi="Times New Roman" w:eastAsia="宋体"/>
          <w:sz w:val="21"/>
        </w:rPr>
        <w:t>Recent progress in video diffusion models has markedly advanced character animation, which synthesizes motioned videos by animating a static identity image according to a driving video. Explicit methods represent motion using skeleton, DWPose or other explicit structured signals, but struggle to handle spatial mismatches and varying body scales. %proportions. Implicit methods, on the other hand, capture high-level implicit motion semantics directly from the driving video, but suffer from identity leakage and entanglement between motion and appearance. To address the above challenges, we propose a novel implicit motion representation that compresses per-frame motion into compact 1D motion tokens. This design relaxes strict spatial constraints inherent in 2D representations and effectively prevents identity information leakage from the motion video. Furthermore, we design a temporally consistent mask token-based retargeting module that enforces a temporal training bottleneck, mitigating interference from the source images' motion and improving retargeting consistency. Our methodology employs a three-stage training strategy to enhance the training efficiency and ensure high fidelity. Extensive experiments demonstrate that our implicit motion representation and the propose IM-Animation's generative capabilities are achieve superior or competitive performance compared with state-of-the-art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用于无人机目标检测的具有边界框变换的自适应图像放大</w:t>
      </w:r>
    </w:p>
    <w:p>
      <w:r>
        <w:rPr>
          <w:rFonts w:ascii="Times New Roman" w:hAnsi="Times New Roman" w:eastAsia="宋体"/>
          <w:b/>
          <w:color w:val="003264"/>
          <w:sz w:val="24"/>
        </w:rPr>
        <w:t>Adaptive Image Zoom-in with Bounding Box Transformation for UAV Object Detection</w:t>
      </w:r>
    </w:p>
    <w:p>
      <w:r>
        <w:rPr>
          <w:rFonts w:ascii="Times New Roman" w:hAnsi="Times New Roman" w:eastAsia="宋体"/>
          <w:sz w:val="21"/>
        </w:rPr>
        <w:t>作者: Jiancheng Lv</w:t>
        <w:br/>
      </w:r>
      <w:r>
        <w:rPr>
          <w:rFonts w:ascii="Times New Roman" w:hAnsi="Times New Roman" w:eastAsia="宋体"/>
          <w:sz w:val="21"/>
        </w:rPr>
        <w:t xml:space="preserve">时间: 2026-02-07T12:16:45Z | </w:t>
      </w:r>
      <w:r>
        <w:t xml:space="preserve">链接: </w:t>
      </w:r>
      <w:hyperlink r:id="rId139">
        <w:r>
          <w:rPr>
            <w:rFonts w:ascii="Times New Roman" w:hAnsi="Times New Roman" w:eastAsia="宋体"/>
            <w:color w:val="0000FF"/>
            <w:sz w:val="21"/>
            <w:u w:val="single"/>
          </w:rPr>
          <w:t>https://arxiv.org/abs/2602.07512v1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物体尺寸较小，从无人机捕获的图像中检测物体具有挑战性。在这项工作中，探索了一种简单高效的自适应放大框架，用于无人机图像上的目标检测。主要动机是前景物体通常比常见场景图像中的物体更小、更稀疏，这阻碍了有效物体检测器的优化。因此，我们的目标是自适应地放大对象，以更好地捕获检测任务的对象特征。要实现这一目标，需要两个核心设计： \textcolor{black}{i) 如何高效地对每张图像进行非均匀缩放？ ii）如何利用缩放图像空间进行对象检测训练和推理？}相应地，引入了一种轻量级偏移预测方案，结合新颖的基于框的缩放目标来学习输入图像上的非均匀缩放。基于学习到的缩放变换，提出了一种角对齐边界框变换方法。该方法将真实边界框扭曲到缩放空间以学习对象检测，并在推理过程中将预测边界框扭曲回原始空间。我们对三个具有代表性的无人机目标检测数据集（包括 VisDrone、UAVDT 和 SeaDronesSee）进行了广泛的实验。所提出的 ZoomDet 是独立于架构的，可以应用于任意对象检测架构。值得注意的是，在 SeaDronesSee 数据集上，ZoomDet 通过 Faster R-CNN 模型提供了超过 8.4 的绝对 mAP 增益，并且仅增加了约 3 毫秒的延迟。代码可在 https://github.com/twangnh/zoomdet_code 获取。</w:t>
      </w:r>
    </w:p>
    <w:p>
      <w:pPr>
        <w:spacing w:before="120"/>
      </w:pPr>
      <w:r>
        <w:rPr>
          <w:rFonts w:ascii="Times New Roman" w:hAnsi="Times New Roman" w:eastAsia="宋体"/>
          <w:b/>
          <w:sz w:val="21"/>
        </w:rPr>
        <w:t>English Abstract:</w:t>
      </w:r>
    </w:p>
    <w:p>
      <w:r>
        <w:rPr>
          <w:rFonts w:ascii="Times New Roman" w:hAnsi="Times New Roman" w:eastAsia="宋体"/>
          <w:sz w:val="21"/>
        </w:rPr>
        <w:t>Detecting objects from UAV-captured images is challenging due to the small object size. In this work, a simple and efficient adaptive zoom-in framework is explored for object detection on UAV images. The main motivation is that the foreground objects are generally smaller and sparser than those in common scene images, which hinders the optimization of effective object detectors. We thus aim to zoom in adaptively on the objects to better capture object features for the detection task. To achieve the goal, two core designs are required: \textcolor{black}{i) How to conduct non-uniform zooming on each image efficiently? ii) How to enable object detection training and inference with the zoomed image space?} Correspondingly, a lightweight offset prediction scheme coupled with a novel box-based zooming objective is introduced to learn non-uniform zooming on the input image. Based on the learned zooming transformation, a corner-aligned bounding box transformation method is proposed. The method warps the ground-truth bounding boxes to the zoomed space to learn object detection, and warps the predicted bounding boxes back to the original space during inference. We conduct extensive experiments on three representative UAV object detection datasets, including VisDrone, UAVDT, and SeaDronesSee. The proposed ZoomDet is architecture-independent and can be applied to an arbitrary object detection architecture. Remarkably, on the SeaDronesSee dataset, ZoomDet offers more than 8.4 absolute gain of mAP with a Faster R-CNN model, with only about 3 ms additional latency. The code is available at https://github.com/twangnh/zoomdet_code.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评估对象发现之外的以对象为中心的模型</w:t>
      </w:r>
    </w:p>
    <w:p>
      <w:r>
        <w:rPr>
          <w:rFonts w:ascii="Times New Roman" w:hAnsi="Times New Roman" w:eastAsia="宋体"/>
          <w:b/>
          <w:color w:val="003264"/>
          <w:sz w:val="24"/>
        </w:rPr>
        <w:t>Evaluating Object-Centric Models beyond Object Discovery</w:t>
      </w:r>
    </w:p>
    <w:p>
      <w:r>
        <w:rPr>
          <w:rFonts w:ascii="Times New Roman" w:hAnsi="Times New Roman" w:eastAsia="宋体"/>
          <w:sz w:val="21"/>
        </w:rPr>
        <w:t>作者: Stefan Roth</w:t>
        <w:br/>
      </w:r>
      <w:r>
        <w:rPr>
          <w:rFonts w:ascii="Times New Roman" w:hAnsi="Times New Roman" w:eastAsia="宋体"/>
          <w:sz w:val="21"/>
        </w:rPr>
        <w:t xml:space="preserve">时间: 2026-02-07T13:07:48Z | </w:t>
      </w:r>
      <w:r>
        <w:t xml:space="preserve">链接: </w:t>
      </w:r>
      <w:hyperlink r:id="rId140">
        <w:r>
          <w:rPr>
            <w:rFonts w:ascii="Times New Roman" w:hAnsi="Times New Roman" w:eastAsia="宋体"/>
            <w:color w:val="0000FF"/>
            <w:sz w:val="21"/>
            <w:u w:val="single"/>
          </w:rPr>
          <w:t>https://arxiv.org/abs/2602.07532v1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以对象为中心的学习 (OCL) 旨在学习结构化场景表示，支持组合泛化和对分布外 (OOD) 数据的鲁棒性。然而，OCL 模型通常不会针对这些目标进行评估。相反，大多数先前的工作侧重于仅通过对象发现和简单的推理任务来评估 OCL 模型，例如通过图像分类探测表示。我们发现现有基准有两个局限性：(1) 它们对 OCL 模型的表示有用性提供的见解有限，(2) 使用不相交的指标来评估本地化和表示有用性。为了解决（1），我们使用指令调整的 VLM 作为评估器，支持跨不同 VQA 数据集的可扩展基准测试，以衡量 VLM 如何利用 OCL 表示来完成复杂的推理任务。为了解决（2），我们引入了统一的评估任务和指标，联合评估定位（在哪里）和表示有用性（什么），从而消除了不相交评估带来的不一致。最后，我们包括一个简单的多特征重建基线作为参考点。</w:t>
      </w:r>
    </w:p>
    <w:p>
      <w:pPr>
        <w:spacing w:before="120"/>
      </w:pPr>
      <w:r>
        <w:rPr>
          <w:rFonts w:ascii="Times New Roman" w:hAnsi="Times New Roman" w:eastAsia="宋体"/>
          <w:b/>
          <w:sz w:val="21"/>
        </w:rPr>
        <w:t>English Abstract:</w:t>
      </w:r>
    </w:p>
    <w:p>
      <w:r>
        <w:rPr>
          <w:rFonts w:ascii="Times New Roman" w:hAnsi="Times New Roman" w:eastAsia="宋体"/>
          <w:sz w:val="21"/>
        </w:rPr>
        <w:t>Object-centric learning (OCL) aims to learn structured scene representations that support compositional generalization and robustness to out-of-distribution (OOD) data. However, OCL models are often not evaluated regarding these goals. Instead, most prior work focuses on evaluating OCL models solely through object discovery and simple reasoning tasks, such as probing the representation via image classification. We identify two limitations in existing benchmarks: (1) They provide limited insights on the representation usefulness of OCL models, and (2) localization and representation usefulness are assessed using disjoint metrics. To address (1), we use instruction-tuned VLMs as evaluators, enabling scalable benchmarking across diverse VQA datasets to measure how well VLMs leverage OCL representations for complex reasoning tasks. To address (2), we introduce a unified evaluation task and metric that jointly assess localization (where) and representation usefulness (what), thereby eliminating inconsistencies introduced by disjoint evaluation. Finally, we include a simple multi-feature reconstruction baseline as a reference point.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超越核心和半影：双时态图像驱动的中风演化分析</w:t>
      </w:r>
    </w:p>
    <w:p>
      <w:r>
        <w:rPr>
          <w:rFonts w:ascii="Times New Roman" w:hAnsi="Times New Roman" w:eastAsia="宋体"/>
          <w:b/>
          <w:color w:val="003264"/>
          <w:sz w:val="24"/>
        </w:rPr>
        <w:t>Beyond Core and Penumbra: Bi-Temporal Image-Driven Stroke Evolution Analysis</w:t>
      </w:r>
    </w:p>
    <w:p>
      <w:r>
        <w:rPr>
          <w:rFonts w:ascii="Times New Roman" w:hAnsi="Times New Roman" w:eastAsia="宋体"/>
          <w:sz w:val="21"/>
        </w:rPr>
        <w:t>作者: Mahdieh Khanmohammadi</w:t>
        <w:br/>
      </w:r>
      <w:r>
        <w:rPr>
          <w:rFonts w:ascii="Times New Roman" w:hAnsi="Times New Roman" w:eastAsia="宋体"/>
          <w:sz w:val="21"/>
        </w:rPr>
        <w:t xml:space="preserve">时间: 2026-02-07T13:18:13Z | </w:t>
      </w:r>
      <w:r>
        <w:t xml:space="preserve">链接: </w:t>
      </w:r>
      <w:hyperlink r:id="rId141">
        <w:r>
          <w:rPr>
            <w:rFonts w:ascii="Times New Roman" w:hAnsi="Times New Roman" w:eastAsia="宋体"/>
            <w:color w:val="0000FF"/>
            <w:sz w:val="21"/>
            <w:u w:val="single"/>
          </w:rPr>
          <w:t>https://arxiv.org/abs/2602.07535v1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入院时的计算机断层扫描灌注 (CTP) 通常用于评估缺血核心和半暗带，而后续弥散加权 MRI (DWI) 则可提供明确的梗塞结果。然而，单时间点分割无法捕捉中风的生物异质性和时间演变。我们提出了一种双时态分析框架，该框架使用来自两种架构（mJ-Net 和 nnU-Net）的统计描述符、放射纹理特征和深度特征嵌入来表征缺血组织。双时态是指入院（T1）和治疗后随访（T2）。所有特征均在 T1 时从 CTP 中提取，并与后续 DWI 对齐以确保空间对应。在 T1 和 T2 处手动描绘的掩模相交，构建六个感兴趣区域 (ROI)，编码初始组织状态和最终结果。每个区域聚合特征并在特征空间中进行分析。对 18 名成功再灌注患者的评估证明了区域级表征的有意义的聚类。最终恢复的 T1 时被分类为半暗带或健康的区域表现出与保存的脑组织相似的特征，而梗死区域形成了不同的分组。基线 GLCM 和深度嵌入都显示出类似的趋势：半影区域表现出根据最终状态显着不同的特征，而这种差异对于核心区域并不显着。深层特征空间，特别是 mJ-Net，在可挽救和不可挽救组织之间表现出强烈的分离，半影分离指数与零显着不同（Wilcoxon 符号秩检验）。这些发现表明，编码器衍生的特征流形反映了潜在的组织表型和状态转换，为基于成像的中风进化量化提供了见解。</w:t>
      </w:r>
    </w:p>
    <w:p>
      <w:pPr>
        <w:spacing w:before="120"/>
      </w:pPr>
      <w:r>
        <w:rPr>
          <w:rFonts w:ascii="Times New Roman" w:hAnsi="Times New Roman" w:eastAsia="宋体"/>
          <w:b/>
          <w:sz w:val="21"/>
        </w:rPr>
        <w:t>English Abstract:</w:t>
      </w:r>
    </w:p>
    <w:p>
      <w:r>
        <w:rPr>
          <w:rFonts w:ascii="Times New Roman" w:hAnsi="Times New Roman" w:eastAsia="宋体"/>
          <w:sz w:val="21"/>
        </w:rPr>
        <w:t>Computed tomography perfusion (CTP) at admission is routinely used to estimate the ischemic core and penumbra, while follow-up diffusion-weighted MRI (DWI) provides the definitive infarct outcome. However, single time-point segmentations fail to capture the biological heterogeneity and temporal evolution of stroke. We propose a bi-temporal analysis framework that characterizes ischemic tissue using statistical descriptors, radiomic texture features, and deep feature embeddings from two architectures (mJ-Net and nnU-Net). Bi-temporal refers to admission (T1) and post-treatment follow-up (T2). All features are extracted at T1 from CTP, with follow-up DWI aligned to ensure spatial correspondence. Manually delineated masks at T1 and T2 are intersected to construct six regions of interest (ROIs) encoding both initial tissue state and final outcome. Features were aggregated per region and analyzed in feature space. Evaluation on 18 patients with successful reperfusion demonstrated meaningful clustering of region-level representations. Regions classified as penumbra or healthy at T1 that ultimately recovered exhibited feature similarity to preserved brain tissue, whereas infarct-bound regions formed distinct groupings. Both baseline GLCM and deep embeddings showed a similar trend: penumbra regions exhibit features that are significantly different depending on final state, whereas this difference is not significant for core regions. Deep feature spaces, particularly mJ-Net, showed strong separation between salvageable and non-salvageable tissue, with a penumbra separation index that differed significantly from zero (Wilcoxon signed-rank test). These findings suggest that encoder-derived feature manifolds reflect underlying tissue phenotypes and state transitions, providing insight into imaging-based quantification of stroke evolution.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有限配对下医学视觉语言预训练的法学硕士引导诊断证据对齐</w:t>
      </w:r>
    </w:p>
    <w:p>
      <w:r>
        <w:rPr>
          <w:rFonts w:ascii="Times New Roman" w:hAnsi="Times New Roman" w:eastAsia="宋体"/>
          <w:b/>
          <w:color w:val="003264"/>
          <w:sz w:val="24"/>
        </w:rPr>
        <w:t>LLM-Guided Diagnostic Evidence Alignment for Medical Vision-Language Pretraining under Limited Pairing</w:t>
      </w:r>
    </w:p>
    <w:p>
      <w:r>
        <w:rPr>
          <w:rFonts w:ascii="Times New Roman" w:hAnsi="Times New Roman" w:eastAsia="宋体"/>
          <w:sz w:val="21"/>
        </w:rPr>
        <w:t>作者: Long Chen</w:t>
        <w:br/>
      </w:r>
      <w:r>
        <w:rPr>
          <w:rFonts w:ascii="Times New Roman" w:hAnsi="Times New Roman" w:eastAsia="宋体"/>
          <w:sz w:val="21"/>
        </w:rPr>
        <w:t xml:space="preserve">时间: 2026-02-07T13:29:15Z | </w:t>
      </w:r>
      <w:r>
        <w:t xml:space="preserve">链接: </w:t>
      </w:r>
      <w:hyperlink r:id="rId142">
        <w:r>
          <w:rPr>
            <w:rFonts w:ascii="Times New Roman" w:hAnsi="Times New Roman" w:eastAsia="宋体"/>
            <w:color w:val="0000FF"/>
            <w:sz w:val="21"/>
            <w:u w:val="single"/>
          </w:rPr>
          <w:t>https://arxiv.org/abs/2602.07540v1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大多数现有的 CLIP 式医学视觉语言预训练方法依赖于与大量配对数据的全局或局部对齐。然而，全局对齐很容易受到非诊断信息的支配，而局部对齐则无法整合关键的诊断证据。因此，学习可靠的诊断表示变得很困难，这限制了它们在配对数据有限的医疗场景中的适用性。为了解决这个问题，我们提出了一种法学硕士引导的诊断证据对齐方法（LGDEA），该方法将预训练目标转向与医学诊断过程更加一致的证据级别对齐。具体来说，我们利用LLM从放射学报告中提取关键诊断证据，并构建共享的诊断证据空间，实现证据感知的跨模式对齐，并允许LGDEA有效利用大量未配对的医学图像和报告，从而大大减轻对配对数据的依赖。大量的实验结果表明，我们的方法在短语基础、图像文本检索和零样本分类方面取得了一致且显着的改进，甚至可以与依赖大量配对数据的预训练方法相媲美。</w:t>
      </w:r>
    </w:p>
    <w:p>
      <w:pPr>
        <w:spacing w:before="120"/>
      </w:pPr>
      <w:r>
        <w:rPr>
          <w:rFonts w:ascii="Times New Roman" w:hAnsi="Times New Roman" w:eastAsia="宋体"/>
          <w:b/>
          <w:sz w:val="21"/>
        </w:rPr>
        <w:t>English Abstract:</w:t>
      </w:r>
    </w:p>
    <w:p>
      <w:r>
        <w:rPr>
          <w:rFonts w:ascii="Times New Roman" w:hAnsi="Times New Roman" w:eastAsia="宋体"/>
          <w:sz w:val="21"/>
        </w:rPr>
        <w:t>Most existing CLIP-style medical vision--language pretraining methods rely on global or local alignment with substantial paired data. However, global alignment is easily dominated by non-diagnostic information, while local alignment fails to integrate key diagnostic evidence. As a result, learning reliable diagnostic representations becomes difficult, which limits their applicability in medical scenarios with limited paired data. To address this issue, we propose an LLM-Guided Diagnostic Evidence Alignment method (LGDEA), which shifts the pretraining objective toward evidence-level alignment that is more consistent with the medical diagnostic process. Specifically, we leverage LLMs to extract key diagnostic evidence from radiology reports and construct a shared diagnostic evidence space, enabling evidence-aware cross-modal alignment and allowing LGDEA to effectively exploit abundant unpaired medical images and reports, thereby substantially alleviating the reliance on paired data. Extensive experimental results demonstrate that our method achieves consistent and significant improvements on phrase grounding, image--text retrieval, and zero-shot classification, and even rivals pretraining methods that rely on substantial paired data.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FlexID：通过意图感知调制进行文本到图像生成的免培训灵活身份注入</w:t>
      </w:r>
    </w:p>
    <w:p>
      <w:r>
        <w:rPr>
          <w:rFonts w:ascii="Times New Roman" w:hAnsi="Times New Roman" w:eastAsia="宋体"/>
          <w:b/>
          <w:color w:val="003264"/>
          <w:sz w:val="24"/>
        </w:rPr>
        <w:t>FlexID: Training-Free Flexible Identity Injection via Intent-Aware Modulation for Text-to-Image Generation</w:t>
      </w:r>
    </w:p>
    <w:p>
      <w:r>
        <w:rPr>
          <w:rFonts w:ascii="Times New Roman" w:hAnsi="Times New Roman" w:eastAsia="宋体"/>
          <w:sz w:val="21"/>
        </w:rPr>
        <w:t>作者: Yijun Ding</w:t>
        <w:br/>
      </w:r>
      <w:r>
        <w:rPr>
          <w:rFonts w:ascii="Times New Roman" w:hAnsi="Times New Roman" w:eastAsia="宋体"/>
          <w:sz w:val="21"/>
        </w:rPr>
        <w:t xml:space="preserve">时间: 2026-02-07T13:59:54Z | </w:t>
      </w:r>
      <w:r>
        <w:t xml:space="preserve">链接: </w:t>
      </w:r>
      <w:hyperlink r:id="rId143">
        <w:r>
          <w:rPr>
            <w:rFonts w:ascii="Times New Roman" w:hAnsi="Times New Roman" w:eastAsia="宋体"/>
            <w:color w:val="0000FF"/>
            <w:sz w:val="21"/>
            <w:u w:val="single"/>
          </w:rPr>
          <w:t>https://arxiv.org/abs/2602.07554v1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个性化文本到图像的生成旨在将特定身份无缝集成到文本描述中。然而，现有的免训练方法通常依赖于严格的视觉特征注入，在身份保真度和文本适应性之间造成冲突。为了解决这个问题，我们提出了 FlexID，这是一种利用意图感知调制的新型免训练框架。 FlexID 将身份正交解耦为两个维度：将高级先验注入语言空间的语义身份投影器 (SIP)，以及确保潜在空间内的结构保真度的视觉特征锚点 (VFA)。至关重要的是，我们引入了上下文感知自适应门控（CAG）机制，该机制根据编辑意图和扩散时间步长动态调节这些流的权重。通过在检测到强烈的编辑意图时自动放松严格的视觉约束，CAG 实现了身份保留和语义变化之间的协同作用。 IBench 上的大量实验表明，FlexID 在身份一致性和文本依从性之间实现了最先进的平衡，为复杂的叙事生成提供了有效的解决方案。</w:t>
      </w:r>
    </w:p>
    <w:p>
      <w:pPr>
        <w:spacing w:before="120"/>
      </w:pPr>
      <w:r>
        <w:rPr>
          <w:rFonts w:ascii="Times New Roman" w:hAnsi="Times New Roman" w:eastAsia="宋体"/>
          <w:b/>
          <w:sz w:val="21"/>
        </w:rPr>
        <w:t>English Abstract:</w:t>
      </w:r>
    </w:p>
    <w:p>
      <w:r>
        <w:rPr>
          <w:rFonts w:ascii="Times New Roman" w:hAnsi="Times New Roman" w:eastAsia="宋体"/>
          <w:sz w:val="21"/>
        </w:rPr>
        <w:t>Personalized text-to-image generation aims to seamlessly integrate specific identities into textual descriptions. However, existing training-free methods often rely on rigid visual feature injection, creating a conflict between identity fidelity and textual adaptability. To address this, we propose FlexID, a novel training-free framework utilizing intent-aware modulation. FlexID orthogonally decouples identity into two dimensions: a Semantic Identity Projector (SIP) that injects high-level priors into the language space, and a Visual Feature Anchor (VFA) that ensures structural fidelity within the latent space. Crucially, we introduce a Context-Aware Adaptive Gating (CAG) mechanism that dynamically modulates the weights of these streams based on editing intent and diffusion timesteps. By automatically relaxing rigid visual constraints when strong editing intent is detected, CAG achieves synergy between identity preservation and semantic variation. Extensive experiments on IBench demonstrate that FlexID achieves a state-of-the-art balance between identity consistency and text adherence, offering an efficient solution for complex narrative generation.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VISOR：语言驱动对象导航的视觉空间对象推理</w:t>
      </w:r>
    </w:p>
    <w:p>
      <w:r>
        <w:rPr>
          <w:rFonts w:ascii="Times New Roman" w:hAnsi="Times New Roman" w:eastAsia="宋体"/>
          <w:b/>
          <w:color w:val="003264"/>
          <w:sz w:val="24"/>
        </w:rPr>
        <w:t>VISOR: VIsual Spatial Object Reasoning for Language-driven Object Navigation</w:t>
      </w:r>
    </w:p>
    <w:p>
      <w:r>
        <w:rPr>
          <w:rFonts w:ascii="Times New Roman" w:hAnsi="Times New Roman" w:eastAsia="宋体"/>
          <w:sz w:val="21"/>
        </w:rPr>
        <w:t>作者: Angel X Chang</w:t>
        <w:br/>
      </w:r>
      <w:r>
        <w:rPr>
          <w:rFonts w:ascii="Times New Roman" w:hAnsi="Times New Roman" w:eastAsia="宋体"/>
          <w:sz w:val="21"/>
        </w:rPr>
        <w:t xml:space="preserve">时间: 2026-02-07T14:01:29Z | </w:t>
      </w:r>
      <w:r>
        <w:t xml:space="preserve">链接: </w:t>
      </w:r>
      <w:hyperlink r:id="rId144">
        <w:r>
          <w:rPr>
            <w:rFonts w:ascii="Times New Roman" w:hAnsi="Times New Roman" w:eastAsia="宋体"/>
            <w:color w:val="0000FF"/>
            <w:sz w:val="21"/>
            <w:u w:val="single"/>
          </w:rPr>
          <w:t>https://arxiv.org/abs/2602.07555v1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语言驱动的对象导航要求代理解释目标对象的自然语言描述，这些描述结合了实例识别和常识导航的内在和外在属性。现有方法要么（i）使用带有视觉语言嵌入的端到端训练模型，这些模型很难泛化到训练数据之外，并且缺乏动作级别的可解释性，要么（ii）依赖带有大型语言模型（LLM）和开放集对象检测器的模块化零样本管道，这些模型存在错误传播、高计算成本以及难以将其推理整合回导航策略的问题。为此，我们提出了一种紧凑的 3B 参数视觉-语言-动作 (VLA) 代理，它可以为对象识别和动作选择执行类人的具体推理，从而无需缝合多模型管道。我们的代理不是使用原始嵌入匹配，而是采用显式的基于图像的推理来直接回答“这是目标对象吗？”和“我为什么要采取这个行动？”推理过程分三个阶段展开：“思考”、“思考总结”和“行动”，从而提高可解释性、更强的概括性和更有效的导航。代码和数据集在接受后可用。</w:t>
      </w:r>
    </w:p>
    <w:p>
      <w:pPr>
        <w:spacing w:before="120"/>
      </w:pPr>
      <w:r>
        <w:rPr>
          <w:rFonts w:ascii="Times New Roman" w:hAnsi="Times New Roman" w:eastAsia="宋体"/>
          <w:b/>
          <w:sz w:val="21"/>
        </w:rPr>
        <w:t>English Abstract:</w:t>
      </w:r>
    </w:p>
    <w:p>
      <w:r>
        <w:rPr>
          <w:rFonts w:ascii="Times New Roman" w:hAnsi="Times New Roman" w:eastAsia="宋体"/>
          <w:sz w:val="21"/>
        </w:rPr>
        <w:t>Language-driven object navigation requires agents to interpret natural language descriptions of target objects, which combine intrinsic and extrinsic attributes for instance recognition and commonsense navigation. Existing methods either (i) use end-to-end trained models with vision-language embeddings, which struggle to generalize beyond training data and lack action-level explainability, or (ii) rely on modular zero-shot pipelines with large language models (LLMs) and open-set object detectors, which suffer from error propagation, high computational cost, and difficulty integrating their reasoning back into the navigation policy. To this end, we propose a compact 3B-parameter Vision-Language-Action (VLA) agent that performs human-like embodied reasoning for both object recognition and action selection, removing the need for stitched multi-model pipelines. Instead of raw embedding matching, our agent employs explicit image-grounded reasoning to directly answer "Is this the target object?" and "Why should I take this action?" The reasoning process unfolds in three stages: "think", "think summary", and "action", yielding improved explainability, stronger generalization, and more efficient navigation. Code and dataset available upon acceptance.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SIGMA：具有多属性标记的选择性交错生成</w:t>
      </w:r>
    </w:p>
    <w:p>
      <w:r>
        <w:rPr>
          <w:rFonts w:ascii="Times New Roman" w:hAnsi="Times New Roman" w:eastAsia="宋体"/>
          <w:b/>
          <w:color w:val="003264"/>
          <w:sz w:val="24"/>
        </w:rPr>
        <w:t>SIGMA: Selective-Interleaved Generation with Multi-Attribute Tokens</w:t>
      </w:r>
    </w:p>
    <w:p>
      <w:r>
        <w:rPr>
          <w:rFonts w:ascii="Times New Roman" w:hAnsi="Times New Roman" w:eastAsia="宋体"/>
          <w:sz w:val="21"/>
        </w:rPr>
        <w:t>作者: Yiren Song</w:t>
        <w:br/>
      </w:r>
      <w:r>
        <w:rPr>
          <w:rFonts w:ascii="Times New Roman" w:hAnsi="Times New Roman" w:eastAsia="宋体"/>
          <w:sz w:val="21"/>
        </w:rPr>
        <w:t xml:space="preserve">时间: 2026-02-07T14:20:50Z | </w:t>
      </w:r>
      <w:r>
        <w:t xml:space="preserve">链接: </w:t>
      </w:r>
      <w:hyperlink r:id="rId145">
        <w:r>
          <w:rPr>
            <w:rFonts w:ascii="Times New Roman" w:hAnsi="Times New Roman" w:eastAsia="宋体"/>
            <w:color w:val="0000FF"/>
            <w:sz w:val="21"/>
            <w:u w:val="single"/>
          </w:rPr>
          <w:t>https://arxiv.org/abs/2602.07564v1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最近的统一模型（例如 Bagel）证明，配对图像编辑数据可以在单个扩散转换器内有效地对齐多个视觉任务。然而，这些模型仍然仅限于单条件输入，并且缺乏合成多个异构源结果所需的灵活性。我们提出了 SIGMA（具有多属性标记的选择性交错生成），这是一个统一的后训练框架，可在扩散变压器内实现交错多条件生成。 SIGMA 引入了选择性多属性标记，包括样式、内容、主题和身份标记，这使得模型能够解释和组合交错的文本图像序列中的多个视觉条件。通过在 Bagel 统一主干上使用 700K 交错示例进行后训练，SIGMA 支持组合编辑、选择性属性传输和细粒度多模态对齐。大量实验表明，SIGMA 提高了各种编辑和生成任务的可控性、跨条件一致性和视觉质量，在合成任务上比 Bagel 有了显着的进步。</w:t>
      </w:r>
    </w:p>
    <w:p>
      <w:pPr>
        <w:spacing w:before="120"/>
      </w:pPr>
      <w:r>
        <w:rPr>
          <w:rFonts w:ascii="Times New Roman" w:hAnsi="Times New Roman" w:eastAsia="宋体"/>
          <w:b/>
          <w:sz w:val="21"/>
        </w:rPr>
        <w:t>English Abstract:</w:t>
      </w:r>
    </w:p>
    <w:p>
      <w:r>
        <w:rPr>
          <w:rFonts w:ascii="Times New Roman" w:hAnsi="Times New Roman" w:eastAsia="宋体"/>
          <w:sz w:val="21"/>
        </w:rPr>
        <w:t>Recent unified models such as Bagel demonstrate that paired image-edit data can effectively align multiple visual tasks within a single diffusion transformer. However, these models remain limited to single-condition inputs and lack the flexibility needed to synthesize results from multiple heterogeneous sources. We present SIGMA (Selective-Interleaved Generation with Multi-Attribute Tokens), a unified post-training framework that enables interleaved multi-condition generation within diffusion transformers. SIGMA introduces selective multi-attribute tokens, including style, content, subject, and identity tokens, which allow the model to interpret and compose multiple visual conditions in an interleaved text-image sequence. Through post-training on the Bagel unified backbone with 700K interleaved examples, SIGMA supports compositional editing, selective attribute transfer, and fine-grained multimodal alignment. Extensive experiments show that SIGMA improves controllability, cross-condition consistency, and visual quality across diverse editing and generation tasks, with substantial gains over Bagel on compositional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通过解耦表示学习进行跨摄像头奶牛识别</w:t>
      </w:r>
    </w:p>
    <w:p>
      <w:r>
        <w:rPr>
          <w:rFonts w:ascii="Times New Roman" w:hAnsi="Times New Roman" w:eastAsia="宋体"/>
          <w:b/>
          <w:color w:val="003264"/>
          <w:sz w:val="24"/>
        </w:rPr>
        <w:t>Cross-Camera Cow Identification via Disentangled Representation Learning</w:t>
      </w:r>
    </w:p>
    <w:p>
      <w:r>
        <w:rPr>
          <w:rFonts w:ascii="Times New Roman" w:hAnsi="Times New Roman" w:eastAsia="宋体"/>
          <w:sz w:val="21"/>
        </w:rPr>
        <w:t>作者: Yongliang Qiao</w:t>
        <w:br/>
      </w:r>
      <w:r>
        <w:rPr>
          <w:rFonts w:ascii="Times New Roman" w:hAnsi="Times New Roman" w:eastAsia="宋体"/>
          <w:sz w:val="21"/>
        </w:rPr>
        <w:t xml:space="preserve">时间: 2026-02-07T14:23:35Z | </w:t>
      </w:r>
      <w:r>
        <w:t xml:space="preserve">链接: </w:t>
      </w:r>
      <w:hyperlink r:id="rId146">
        <w:r>
          <w:rPr>
            <w:rFonts w:ascii="Times New Roman" w:hAnsi="Times New Roman" w:eastAsia="宋体"/>
            <w:color w:val="0000FF"/>
            <w:sz w:val="21"/>
            <w:u w:val="single"/>
          </w:rPr>
          <w:t>https://arxiv.org/abs/2602.07566v1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奶牛个体的精确识别是智慧畜牧业全面数字化管理的基本前提。虽然现有的动物识别方法在受控的单摄像头设置中表现出色，但它们在跨摄像头泛化方面面临着严峻的挑战。当在源摄像机上训练的模型被部署到以发散照明、背景、视点和异构成像特性为特征的新监控节点时，识别性能通常会急剧下降。这限制了非接触式技术在动态的现实农业环境中的大规模应用。为了应对这一挑战，本研究提出了一种基于解缠表示学习的跨摄像头奶牛识别框架。该框架在牛视觉识别的背景下利用了子空间可识别性保证（SIG）理论。通过对底层物理数据生成过程进行建模，我们设计了一个原理驱动的特征解缠模块，将观察到的图像分解为多个正交潜在子空间。这种机制有效地隔离了稳定的、与身份相关的生物识别特征，这些特征在摄像机之间保持不变，从而大大提高了对看不见的摄像机的泛化能力。我们构建了一个跨越五个不同相机节点的高质量数据集，涵盖异构采集设备以及照明和角度的复杂变化。七个跨相机任务的大量实验表明，所提出的方法的平均准确率达到 86.0%，显着优于仅源基线（51.9%）和最强的跨相机基线方法（79.8%）。这项工作建立了一个用于协作跨摄像头奶牛识别的子空间理论特征解缠框架，为不受控制的智能农业环境中的精确动物监测提供了新的范例。</w:t>
      </w:r>
    </w:p>
    <w:p>
      <w:pPr>
        <w:spacing w:before="120"/>
      </w:pPr>
      <w:r>
        <w:rPr>
          <w:rFonts w:ascii="Times New Roman" w:hAnsi="Times New Roman" w:eastAsia="宋体"/>
          <w:b/>
          <w:sz w:val="21"/>
        </w:rPr>
        <w:t>English Abstract:</w:t>
      </w:r>
    </w:p>
    <w:p>
      <w:r>
        <w:rPr>
          <w:rFonts w:ascii="Times New Roman" w:hAnsi="Times New Roman" w:eastAsia="宋体"/>
          <w:sz w:val="21"/>
        </w:rPr>
        <w:t>Precise identification of individual cows is a fundamental prerequisite for comprehensive digital management in smart livestock farming. While existing animal identification methods excel in controlled, single-camera settings, they face severe challenges regarding cross-camera generalization. When models trained on source cameras are deployed to new monitoring nodes characterized by divergent illumination, backgrounds, viewpoints, and heterogeneous imaging properties, recognition performance often degrades dramatically. This limits the large-scale application of non-contact technologies in dynamic, real-world farming environments. To address this challenge, this study proposes a cross-camera cow identification framework based on disentangled representation learning. This framework leverages the Subspace Identifiability Guarantee (SIG) theory in the context of bovine visual recognition. By modeling the underlying physical data generation process, we designed a principle-driven feature disentanglement module that decomposes observed images into multiple orthogonal latent subspaces. This mechanism effectively isolates stable, identity-related biometric features that remain invariant across cameras, thereby substantially improving generalization to unseen cameras. We constructed a high-quality dataset spanning five distinct camera nodes, covering heterogeneous acquisition devices and complex variations in lighting and angles. Extensive experiments across seven cross-camera tasks demonstrate that the proposed method achieves an average accuracy of 86.0%, significantly outperforming the Source-only Baseline (51.9%) and the strongest cross-camera baseline method (79.8%). This work establishes a subspace-theoretic feature disentanglement framework for collaborative cross-camera cow identification, offering a new paradigm for precise animal monitoring in uncontrolled smart farming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可视化看不见的东西：通过任务驱动的色彩编码提高放射科医生在乳腺 X 光检查中的表现</w:t>
      </w:r>
    </w:p>
    <w:p>
      <w:r>
        <w:rPr>
          <w:rFonts w:ascii="Times New Roman" w:hAnsi="Times New Roman" w:eastAsia="宋体"/>
          <w:b/>
          <w:color w:val="003264"/>
          <w:sz w:val="24"/>
        </w:rPr>
        <w:t>Visualizing the Invisible: Enhancing Radiologist Performance in Breast Mammography via Task-Driven Chromatic Encoding</w:t>
      </w:r>
    </w:p>
    <w:p>
      <w:r>
        <w:rPr>
          <w:rFonts w:ascii="Times New Roman" w:hAnsi="Times New Roman" w:eastAsia="宋体"/>
          <w:sz w:val="21"/>
        </w:rPr>
        <w:t>作者: Chulong Zhang</w:t>
        <w:br/>
      </w:r>
      <w:r>
        <w:rPr>
          <w:rFonts w:ascii="Times New Roman" w:hAnsi="Times New Roman" w:eastAsia="宋体"/>
          <w:sz w:val="21"/>
        </w:rPr>
        <w:t xml:space="preserve">时间: 2026-02-07T14:29:52Z | </w:t>
      </w:r>
      <w:r>
        <w:t xml:space="preserve">链接: </w:t>
      </w:r>
      <w:hyperlink r:id="rId147">
        <w:r>
          <w:rPr>
            <w:rFonts w:ascii="Times New Roman" w:hAnsi="Times New Roman" w:eastAsia="宋体"/>
            <w:color w:val="0000FF"/>
            <w:sz w:val="21"/>
            <w:u w:val="single"/>
          </w:rPr>
          <w:t>https://arxiv.org/abs/2602.07568v1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目的：乳房 X 光检查在致密乳房中不太敏感，因为组织重叠和细微的发现增加了感知困难。我们推出了 MammoColor，这是一个带有任务驱动色彩编码 (TDCE) 模块的端到端框架，可将单通道乳房 X 光照片转换为 TDCE 编码视图以进行视觉增强。材料和方法：MammoColor 将轻量级 TDCE 模块与 BI-RADS 分类器结合起来，并在 VinDr-Mammo 上进行端到端训练。在内部测试集、两个公共数据集（CBIS-DDSM 和 INBreast）和三个外部临床队列上评估了性能。我们还进行了具有冲洗期的多读者、多案例 (MRMC) 观察者研究，比较了 (1) 仅灰度、(2) 仅 TDCE 和 (3) 并排灰度 + TDCE。结果：在 VinDr-Mammo 上，MammoColor 将 AUC 从 0.7669 提高到 0.8461（P=0.004）。致密乳房的增益更大（AUC 0.749 至 0.835）。在 MRMC 研究中，TDCE 编码图像提高了特异性（0.90 至 0.96；P=0.052），且灵敏度相当。结论：TDCE 提供了一种任务优化的色彩表示，可以提高感知显着性并减少乳房 X 光检查分类中的假阳性回忆。</w:t>
      </w:r>
    </w:p>
    <w:p>
      <w:pPr>
        <w:spacing w:before="120"/>
      </w:pPr>
      <w:r>
        <w:rPr>
          <w:rFonts w:ascii="Times New Roman" w:hAnsi="Times New Roman" w:eastAsia="宋体"/>
          <w:b/>
          <w:sz w:val="21"/>
        </w:rPr>
        <w:t>English Abstract:</w:t>
      </w:r>
    </w:p>
    <w:p>
      <w:r>
        <w:rPr>
          <w:rFonts w:ascii="Times New Roman" w:hAnsi="Times New Roman" w:eastAsia="宋体"/>
          <w:sz w:val="21"/>
        </w:rPr>
        <w:t>Purpose:Mammography screening is less sensitive in dense breasts, where tissue overlap and subtle findings increase perceptual difficulty. We present MammoColor, an end-to-end framework with a Task-Driven Chromatic Encoding (TDCE) module that converts single-channel mammograms into TDCE-encoded views for visual augmentation. Materials and Methods:MammoColor couples a lightweight TDCE module with a BI-RADS triage classifier and was trained end-to-end on VinDr-Mammo. Performance was evaluated on an internal test set, two public datasets (CBIS-DDSM and INBreast), and three external clinical cohorts. We also conducted a multi-reader, multi-case (MRMC) observer study with a washout period, comparing (1) grayscale-only, (2) TDCE-only, and (3) side-by-side grayscale+TDCE. Results:On VinDr-Mammo, MammoColor improved AUC from 0.7669 to 0.8461 (P=0.004). Gains were larger in dense breasts (AUC 0.749 to 0.835). In the MRMC study, TDCE-encoded images improved specificity (0.90 to 0.96; P=0.052) with comparable sensitivity. Conclusion:TDCE provides a task-optimized chromatic representation that may improve perceptual salience and reduce false-positive recalls in mammography triage.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使用基于参数化建模生成的合成数据训练的监督学习模型自动进行岩石节理追踪测绘</w:t>
      </w:r>
    </w:p>
    <w:p>
      <w:r>
        <w:rPr>
          <w:rFonts w:ascii="Times New Roman" w:hAnsi="Times New Roman" w:eastAsia="宋体"/>
          <w:b/>
          <w:color w:val="003264"/>
          <w:sz w:val="24"/>
        </w:rPr>
        <w:t>Automated rock joint trace mapping using a supervised learning model trained on synthetic data generated by parametric modelling</w:t>
      </w:r>
    </w:p>
    <w:p>
      <w:r>
        <w:rPr>
          <w:rFonts w:ascii="Times New Roman" w:hAnsi="Times New Roman" w:eastAsia="宋体"/>
          <w:sz w:val="21"/>
        </w:rPr>
        <w:t>作者: Ole Jakob Mengshoel</w:t>
        <w:br/>
      </w:r>
      <w:r>
        <w:rPr>
          <w:rFonts w:ascii="Times New Roman" w:hAnsi="Times New Roman" w:eastAsia="宋体"/>
          <w:sz w:val="21"/>
        </w:rPr>
        <w:t xml:space="preserve">时间: 2026-02-07T15:37:02Z | </w:t>
      </w:r>
      <w:r>
        <w:t xml:space="preserve">链接: </w:t>
      </w:r>
      <w:hyperlink r:id="rId148">
        <w:r>
          <w:rPr>
            <w:rFonts w:ascii="Times New Roman" w:hAnsi="Times New Roman" w:eastAsia="宋体"/>
            <w:color w:val="0000FF"/>
            <w:sz w:val="21"/>
            <w:u w:val="single"/>
          </w:rPr>
          <w:t>https://arxiv.org/abs/2602.07590v1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地质驱动的机器学习方法，用于从图像中自动绘制岩石节理轨迹。该方法结合了地质建模、合成数据生成和监督图像分割，以解决有限的真实数据和类别不平衡问题。首先，离散裂缝网络模型用于通过参数建模生成现场相关尺度的合成节理岩石图像，保留节理持久性、连通性和节点类型分布。其次，使用混合训练和预训练来训练分割模型，然后对真实图像进行微调。该方法使用多个真实数据集在箱域和斜率域中进行了测试。结果表明，当真实数据稀缺时，合成数据可以支持有监督的联合痕迹检测。当真实标签一致时（例如框域），混合训练表现良好，而当标签有噪声时（例如标签可能有偏差、不完整和不一致的斜率域），微调会更加稳健。合成模型的完全零样本预测仍然有限，但通过使用少量实际数据进行微调可以实现有用的泛化。与单独的定量指标相比，定性分析显示出更清晰、更具地质意义的节理痕迹。所提出的方法支持可靠的联合映射，并为域适应和评估的进一步工作提供了基础。</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 geology-driven machine learning method for automated rock joint trace mapping from images. The approach combines geological modelling, synthetic data generation, and supervised image segmentation to address limited real data and class imbalance. First, discrete fracture network models are used to generate synthetic jointed rock images at field-relevant scales via parametric modelling, preserving joint persistence, connectivity, and node-type distributions. Second, segmentation models are trained using mixed training and pretraining followed by fine-tuning on real images. The method is tested in box and slope domains using several real datasets. The results show that synthetic data can support supervised joint trace detection when real data are scarce. Mixed training performs well when real labels are consistent (e.g. box-domain), while fine-tuning is more robust when labels are noisy (e.g. slope-domain where labels can be biased, incomplete, and inconsistent). Fully zero-shot prediction from synthetic model remains limited, but useful generalisation is achieved by fine-tuning with a small number of real data. Qualitative analysis shows clearer and more geologically meaningful joint traces than indicated by quantitative metrics alone. The proposed method supports reliable joint mapping and provides a basis for further work on domain adaptation and evaluation.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Fine-R1：通过思想链推理使多模态法学硕士在细粒度视觉识别方面表现出色</w:t>
      </w:r>
    </w:p>
    <w:p>
      <w:r>
        <w:rPr>
          <w:rFonts w:ascii="Times New Roman" w:hAnsi="Times New Roman" w:eastAsia="宋体"/>
          <w:b/>
          <w:color w:val="003264"/>
          <w:sz w:val="24"/>
        </w:rPr>
        <w:t>Fine-R1: Make Multi-modal LLMs Excel in Fine-Grained Visual Recognition by Chain-of-Thought Reasoning</w:t>
      </w:r>
    </w:p>
    <w:p>
      <w:r>
        <w:rPr>
          <w:rFonts w:ascii="Times New Roman" w:hAnsi="Times New Roman" w:eastAsia="宋体"/>
          <w:sz w:val="21"/>
        </w:rPr>
        <w:t>作者: Yuxin Peng</w:t>
        <w:br/>
      </w:r>
      <w:r>
        <w:rPr>
          <w:rFonts w:ascii="Times New Roman" w:hAnsi="Times New Roman" w:eastAsia="宋体"/>
          <w:sz w:val="21"/>
        </w:rPr>
        <w:t xml:space="preserve">时间: 2026-02-07T16:16:51Z | </w:t>
      </w:r>
      <w:r>
        <w:t xml:space="preserve">链接: </w:t>
      </w:r>
      <w:hyperlink r:id="rId149">
        <w:r>
          <w:rPr>
            <w:rFonts w:ascii="Times New Roman" w:hAnsi="Times New Roman" w:eastAsia="宋体"/>
            <w:color w:val="0000FF"/>
            <w:sz w:val="21"/>
            <w:u w:val="single"/>
          </w:rPr>
          <w:t>https://arxiv.org/abs/2602.07605v1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视觉世界中的任何实体都可以根据共享特征进行分层分组，并映射到细粒度的子类别。虽然多模态大型语言模型 (MLLM) 在粗粒度视觉任务上取得了出色的性能，但它们经常在细粒度视觉识别 (FGVR) 方面遇到困难。将通用 MLLM 适应 FGVR 通常需要大量带注释的数据，而获取这些数据的成本很高，与专用于判别任务的对比 CLIP 模型相比，存在很大的性能差距。此外，MLLM 往往会过度拟合可见的子类别，而对于不可见的子类别则泛化能力较差。为了应对这些挑战，我们提出了Fine-R1，一种通过R1式训练框架为FGVR量身定制的MLLM：（1）思想链监督微调，我们构建了一个高质量的FGVR CoT数据集，其基本原理是“视觉分析、候选子类别、比较和预测”，将模型转变为强大的开放世界分类器； （2）三元组增强策略优化，其中类内增强混合来自同一类别内的锚定图像和正图像的轨迹，以提高对类内方差的鲁棒性，而类间增强则最大化基于子类别的图像的响应区别，以增强判别能力。只需 4 次训练，Fine-R1 在识别可见和未见的子类别方面就优于现有的通用 MLLM、推理 MLLM，甚至对比 CLIP 模型，这在知识密集型领域的工作中显示出了前景，在这些领域中，收集所有子类别的专家注释是很困难的。代码可在 https://github.com/PKU-ICST-MIPL/FineR1_ICLR2026 获取。</w:t>
      </w:r>
    </w:p>
    <w:p>
      <w:pPr>
        <w:spacing w:before="120"/>
      </w:pPr>
      <w:r>
        <w:rPr>
          <w:rFonts w:ascii="Times New Roman" w:hAnsi="Times New Roman" w:eastAsia="宋体"/>
          <w:b/>
          <w:sz w:val="21"/>
        </w:rPr>
        <w:t>English Abstract:</w:t>
      </w:r>
    </w:p>
    <w:p>
      <w:r>
        <w:rPr>
          <w:rFonts w:ascii="Times New Roman" w:hAnsi="Times New Roman" w:eastAsia="宋体"/>
          <w:sz w:val="21"/>
        </w:rPr>
        <w:t>Any entity in the visual world can be hierarchically grouped based on shared characteristics and mapped to fine-grained sub-categories. While Multi-modal Large Language Models (MLLMs) achieve strong performance on coarse-grained visual tasks, they often struggle with Fine-Grained Visual Recognition (FGVR). Adapting general-purpose MLLMs to FGVR typically requires large amounts of annotated data, which is costly to obtain, leaving a substantial performance gap compared to contrastive CLIP models dedicated for discriminative tasks. Moreover, MLLMs tend to overfit to seen sub-categories and generalize poorly to unseen ones. To address these challenges, we propose Fine-R1, an MLLM tailored for FGVR through an R1-style training framework: (1) Chain-of-Thought Supervised Fine-tuning, where we construct a high-quality FGVR CoT dataset with rationales of "visual analysis, candidate sub-categories, comparison, and prediction", transition the model into a strong open-world classifier; and (2) Triplet Augmented Policy Optimization, where Intra-class Augmentation mixes trajectories from anchor and positive images within the same category to improve robustness to intra-class variance, while Inter-class Augmentation maximizes the response distinction conditioned on images across sub-categories to enhance discriminative ability. With only 4-shot training, Fine-R1 outperforms existing general MLLMs, reasoning MLLMs, and even contrastive CLIP models in identifying both seen and unseen sub-categories, showing promise in working in knowledge-intensive domains where gathering expert annotations for all sub-categories is arduous. Code is available at https://github.com/PKU-ICST-MIPL/FineR1_ICLR2026.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HistoMet：一种泛癌症深度学习框架，用于根据原发性肿瘤组织病理学预测转移进展和位点趋向性</w:t>
      </w:r>
    </w:p>
    <w:p>
      <w:r>
        <w:rPr>
          <w:rFonts w:ascii="Times New Roman" w:hAnsi="Times New Roman" w:eastAsia="宋体"/>
          <w:b/>
          <w:color w:val="003264"/>
          <w:sz w:val="24"/>
        </w:rPr>
        <w:t>HistoMet: A Pan-Cancer Deep Learning Framework for Prognostic Prediction of Metastatic Progression and Site Tropism from Primary Tumor Histopathology</w:t>
      </w:r>
    </w:p>
    <w:p>
      <w:r>
        <w:rPr>
          <w:rFonts w:ascii="Times New Roman" w:hAnsi="Times New Roman" w:eastAsia="宋体"/>
          <w:sz w:val="21"/>
        </w:rPr>
        <w:t>作者: M. Khalid Khan Niazi</w:t>
        <w:br/>
      </w:r>
      <w:r>
        <w:rPr>
          <w:rFonts w:ascii="Times New Roman" w:hAnsi="Times New Roman" w:eastAsia="宋体"/>
          <w:sz w:val="21"/>
        </w:rPr>
        <w:t xml:space="preserve">时间: 2026-02-07T16:25:02Z | </w:t>
      </w:r>
      <w:r>
        <w:t xml:space="preserve">链接: </w:t>
      </w:r>
      <w:hyperlink r:id="rId150">
        <w:r>
          <w:rPr>
            <w:rFonts w:ascii="Times New Roman" w:hAnsi="Times New Roman" w:eastAsia="宋体"/>
            <w:color w:val="0000FF"/>
            <w:sz w:val="21"/>
            <w:u w:val="single"/>
          </w:rPr>
          <w:t>https://arxiv.org/abs/2602.07608v1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转移进展仍然是癌症相关死亡的主要原因，但根据组织病理学预测原发性肿瘤是否会转移以及它将直接传播到何处仍然是一个基本挑战。尽管全幻灯片图像（WSI）提供了丰富的形态学信息，但先前的计算病理学方法通常将转移状态或位点预测作为孤立的任务来处理，并且没有明确地模拟转移风险评估和下游位点特异性评估的临床顺序决策过程。为了弥补这一研究空白，我们提出了一个决策感知、概念一致的 MIL 框架 HistoMet，用于原发肿瘤 WSI 的预后转移结果预测。我们提出的框架采用双模块预测流程，其中首先估计原发肿瘤转移进展的可能性，然后对高风险病例的转移部位进行条件预测。为了指导表征学习并提高临床可解释性，我们的框架通过预训练的病理视觉语言模型集成了语言定义和数据自适应的转移概念。我们在由 6504 名患者组成的多机构泛癌队列中评估 HistoMet，并进行转移随访和部位注释。在临床相关的高灵敏度筛查设置（95% 灵敏度）下，HistoMet 显着减少下游工作量，同时保持高转移风险回忆。在转移病例的条件下，HistoMet 的宏观 F1 为 74.6，标准差为 1.3，宏观一对一 AUC 为 92.1。这些结果表明，明确的临床决策结构建模能够直接根据原发性肿瘤组织病理学对转移进展和位点向性进行稳健且可部署的预后预测。</w:t>
      </w:r>
    </w:p>
    <w:p>
      <w:pPr>
        <w:spacing w:before="120"/>
      </w:pPr>
      <w:r>
        <w:rPr>
          <w:rFonts w:ascii="Times New Roman" w:hAnsi="Times New Roman" w:eastAsia="宋体"/>
          <w:b/>
          <w:sz w:val="21"/>
        </w:rPr>
        <w:t>English Abstract:</w:t>
      </w:r>
    </w:p>
    <w:p>
      <w:r>
        <w:rPr>
          <w:rFonts w:ascii="Times New Roman" w:hAnsi="Times New Roman" w:eastAsia="宋体"/>
          <w:sz w:val="21"/>
        </w:rPr>
        <w:t>Metastatic Progression remains the leading cause of cancer-related mortality, yet predicting whether a primary tumor will metastasize and where it will disseminate directly from histopathology remains a fundamental challenge. Although whole-slide images (WSIs) provide rich morphological information, prior computational pathology approaches typically address metastatic status or site prediction as isolated tasks, and do not explicitly model the clinically sequential decision process of metastatic risk assessment followed by downstream site-specific evaluation. To address this research gap, we present a decision-aware, concept-aligned MIL framework, HistoMet, for prognostic metastatic outcome prediction from primary tumor WSIs. Our proposed framework adopts a two-module prediction pipeline in which the likelihood of metastatic progression from the primary tumor is first estimated, followed by conditional prediction of metastatic site for high-risk cases. To guide representation learning and improve clinical interpretability, our framework integrates linguistically defined and data-adaptive metastatic concepts through a pretrained pathology vision-language model. We evaluate HistoMet on a multi-institutional pan-cancer cohort of 6504 patients with metastasis follow-up and site annotations. Under clinically relevant high-sensitivity screening settings (95 percent sensitivity), HistoMet significantly reduces downstream workload while maintaining high metastatic risk recall. Conditional on metastatic cases, HistoMet achieves a macro F1 of 74.6 with a standard deviation of 1.3 and a macro one-vs-rest AUC of 92.1. These results demonstrate that explicitly modeling clinical decision structure enables robust and deployable prognostic prediction of metastatic progression and site tropism directly from primary tumor histopathology.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揭示通用 3D 医疗分割的模态差异和泛化错觉</w:t>
      </w:r>
    </w:p>
    <w:p>
      <w:r>
        <w:rPr>
          <w:rFonts w:ascii="Times New Roman" w:hAnsi="Times New Roman" w:eastAsia="宋体"/>
          <w:b/>
          <w:color w:val="003264"/>
          <w:sz w:val="24"/>
        </w:rPr>
        <w:t>Uncovering Modality Discrepancy and Generalization Illusion for General-Purpose 3D Medical Segmentation</w:t>
      </w:r>
    </w:p>
    <w:p>
      <w:r>
        <w:rPr>
          <w:rFonts w:ascii="Times New Roman" w:hAnsi="Times New Roman" w:eastAsia="宋体"/>
          <w:sz w:val="21"/>
        </w:rPr>
        <w:t>作者: Zixin Hu</w:t>
        <w:br/>
      </w:r>
      <w:r>
        <w:rPr>
          <w:rFonts w:ascii="Times New Roman" w:hAnsi="Times New Roman" w:eastAsia="宋体"/>
          <w:sz w:val="21"/>
        </w:rPr>
        <w:t xml:space="preserve">时间: 2026-02-07T17:54:10Z | </w:t>
      </w:r>
      <w:r>
        <w:t xml:space="preserve">链接: </w:t>
      </w:r>
      <w:hyperlink r:id="rId151">
        <w:r>
          <w:rPr>
            <w:rFonts w:ascii="Times New Roman" w:hAnsi="Times New Roman" w:eastAsia="宋体"/>
            <w:color w:val="0000FF"/>
            <w:sz w:val="21"/>
            <w:u w:val="single"/>
          </w:rPr>
          <w:t>https://arxiv.org/abs/2602.07643v1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虽然新兴的 3D 医学基础模型被设想为具有通用功能的多功能工具，但它们的验证仍然主要局限于区域和结构成像，从而留下了尚未探索的显着模态差异。为了提供严格和客观的评估，我们整理了由 490 个全身 PET/CT 和 464 个全身 PET/MRI 扫描组成的 UMD 数据集（$\sim$675k 2D 图像，$\sim$12k 3D 器官注释），并对代表性 3D 分割基础模型进行彻底、全面的评估。通过配对扫描的受试者内控制比较，我们将成像模式作为主要自变量来评估模型在实际应用中的稳健性。我们的评估揭示了文献报道的基准与现实世界的功效之间存在明显差异，特别是在从结构领域过渡到功能领域时。这种系统性失败凸显出当前的 3D 基础模型远未达到真正的通用状态，需要向多模式训练和评估进行范式转变，以弥合理想化基准测试和综合临床实用性之间的差距。该数据集和分析为未来研究开发真正与模态无关的医学基础模型奠定了基础。</w:t>
      </w:r>
    </w:p>
    <w:p>
      <w:pPr>
        <w:spacing w:before="120"/>
      </w:pPr>
      <w:r>
        <w:rPr>
          <w:rFonts w:ascii="Times New Roman" w:hAnsi="Times New Roman" w:eastAsia="宋体"/>
          <w:b/>
          <w:sz w:val="21"/>
        </w:rPr>
        <w:t>English Abstract:</w:t>
      </w:r>
    </w:p>
    <w:p>
      <w:r>
        <w:rPr>
          <w:rFonts w:ascii="Times New Roman" w:hAnsi="Times New Roman" w:eastAsia="宋体"/>
          <w:sz w:val="21"/>
        </w:rPr>
        <w:t>While emerging 3D medical foundation models are envisioned as versatile tools with offer general-purpose capabilities, their validation remains largely confined to regional and structural imaging, leaving a significant modality discrepancy unexplored. To provide a rigorous and objective assessment, we curate the UMD dataset comprising 490 whole-body PET/CT and 464 whole-body PET/MRI scans ($\sim$675k 2D images, $\sim$12k 3D organ annotations) and conduct a thorough and comprehensive evaluation of representative 3D segmentation foundation models. Through intra-subject controlled comparisons of paired scans, we isolate imaging modality as the primary independent variable to evaluate model robustness in real-world applications. Our evaluation reveals a stark discrepancy between literature-reported benchmarks and real-world efficacy, particularly when transitioning from structural to functional domains. Such systemic failures underscore that current 3D foundation models are far from achieving truly general-purpose status, necessitating a paradigm shift toward multi-modal training and evaluation to bridge the gap between idealized benchmarking and comprehensive clinical utility. This dataset and analysis establish a foundational cornerstone for future research to develop truly modality-agnostic medical foundation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从死像素到可编辑幻灯片：通过视觉语言区域理解将信息图表重建为原生 Google 幻灯片</w:t>
      </w:r>
    </w:p>
    <w:p>
      <w:r>
        <w:rPr>
          <w:rFonts w:ascii="Times New Roman" w:hAnsi="Times New Roman" w:eastAsia="宋体"/>
          <w:b/>
          <w:color w:val="003264"/>
          <w:sz w:val="24"/>
        </w:rPr>
        <w:t>From Dead Pixels to Editable Slides: Infographic Reconstruction into Native Google Slides via Vision-Language Region Understanding</w:t>
      </w:r>
    </w:p>
    <w:p>
      <w:r>
        <w:rPr>
          <w:rFonts w:ascii="Times New Roman" w:hAnsi="Times New Roman" w:eastAsia="宋体"/>
          <w:sz w:val="21"/>
        </w:rPr>
        <w:t>作者: Leonardo Gonzalez</w:t>
        <w:br/>
      </w:r>
      <w:r>
        <w:rPr>
          <w:rFonts w:ascii="Times New Roman" w:hAnsi="Times New Roman" w:eastAsia="宋体"/>
          <w:sz w:val="21"/>
        </w:rPr>
        <w:t xml:space="preserve">时间: 2026-02-07T17:58:17Z | </w:t>
      </w:r>
      <w:r>
        <w:t xml:space="preserve">链接: </w:t>
      </w:r>
      <w:hyperlink r:id="rId152">
        <w:r>
          <w:rPr>
            <w:rFonts w:ascii="Times New Roman" w:hAnsi="Times New Roman" w:eastAsia="宋体"/>
            <w:color w:val="0000FF"/>
            <w:sz w:val="21"/>
            <w:u w:val="single"/>
          </w:rPr>
          <w:t>https://arxiv.org/abs/2602.07645v1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信息图表广泛用于通过文本、图标和数据可视化的组合来传达信息，但一旦导出为图像，其内容就会被锁定为像素，从而导致更新、本地化和重用成本高昂。我们描述了 \textsc{Images2Slides}，这是一个基于 API 的管道，它通过使用视觉语言模型 (VLM) 提取区域级规范、将像素几何映射到幻灯片坐标以及使用 Google Slides 批量更新 API 重新创建元素，将静态信息图 (PNG/JPG) 转换为本机、可编辑的 Google Slides 幻灯片。该系统与模型无关，并通过通用 JSON 区域架构和确定性后处理支持多个 VLM 后端。在包含已知真实区域的 29 个以编程方式生成的信息图表幻灯片的受控基准上，\textsc{Images2Slides} 实现了 $0.989\pm0.057$ 的整体元素恢复率（文本：$0.985\pm0.083$，图像：$1.000\pm0.000$），平均文本转录错误$\mathrm{CER}=0.033\pm0.149$ 和平均布局保真度 $\mathrm{IoU}=0.364\pm0.161$ 对于文本区域和 $0.644\pm0.131$ 对于图像区域。我们还强调了重建中的实际工程挑战，包括文本大小校准和不均匀背景，并描述了指导未来工作的故障模式。</w:t>
      </w:r>
    </w:p>
    <w:p>
      <w:pPr>
        <w:spacing w:before="120"/>
      </w:pPr>
      <w:r>
        <w:rPr>
          <w:rFonts w:ascii="Times New Roman" w:hAnsi="Times New Roman" w:eastAsia="宋体"/>
          <w:b/>
          <w:sz w:val="21"/>
        </w:rPr>
        <w:t>English Abstract:</w:t>
      </w:r>
    </w:p>
    <w:p>
      <w:r>
        <w:rPr>
          <w:rFonts w:ascii="Times New Roman" w:hAnsi="Times New Roman" w:eastAsia="宋体"/>
          <w:sz w:val="21"/>
        </w:rPr>
        <w:t>Infographics are widely used to communicate information with a combination of text, icons, and data visualizations, but once exported as images their content is locked into pixels, making updates, localization, and reuse expensive. We describe \textsc{Images2Slides}, an API-based pipeline that converts a static infographic (PNG/JPG) into a native, editable Google Slides slide by extracting a region-level specification with a vision-language model (VLM), mapping pixel geometry into slide coordinates, and recreating elements using the Google Slides batch update API. The system is model-agnostic and supports multiple VLM backends via a common JSON region schema and deterministic postprocessing. On a controlled benchmark of 29 programmatically generated infographic slides with known ground-truth regions, \textsc{Images2Slides} achieves an overall element recovery rate of $0.989\pm0.057$ (text: $0.985\pm0.083$, images: $1.000\pm0.000$), with mean text transcription error $\mathrm{CER}=0.033\pm0.149$ and mean layout fidelity $\mathrm{IoU}=0.364\pm0.161$ for text regions and $0.644\pm0.131$ for image regions. We also highlight practical engineering challenges in reconstruction, including text size calibration and non-uniform backgrounds, and describe failure modes that guide future work.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几何、类别不平衡和对齐对重建精度的影响——基于 Micro-CT 体模的评估</w:t>
      </w:r>
    </w:p>
    <w:p>
      <w:r>
        <w:rPr>
          <w:rFonts w:ascii="Times New Roman" w:hAnsi="Times New Roman" w:eastAsia="宋体"/>
          <w:b/>
          <w:color w:val="003264"/>
          <w:sz w:val="24"/>
        </w:rPr>
        <w:t>Influence of Geometry, Class Imbalance and Alignment on Reconstruction Accuracy -- A Micro-CT Phantom-Based Evaluation</w:t>
      </w:r>
    </w:p>
    <w:p>
      <w:r>
        <w:rPr>
          <w:rFonts w:ascii="Times New Roman" w:hAnsi="Times New Roman" w:eastAsia="宋体"/>
          <w:sz w:val="21"/>
        </w:rPr>
        <w:t>作者: Samarth S. Raut</w:t>
        <w:br/>
      </w:r>
      <w:r>
        <w:rPr>
          <w:rFonts w:ascii="Times New Roman" w:hAnsi="Times New Roman" w:eastAsia="宋体"/>
          <w:sz w:val="21"/>
        </w:rPr>
        <w:t xml:space="preserve">时间: 2026-02-07T18:33:34Z | </w:t>
      </w:r>
      <w:r>
        <w:t xml:space="preserve">链接: </w:t>
      </w:r>
      <w:hyperlink r:id="rId153">
        <w:r>
          <w:rPr>
            <w:rFonts w:ascii="Times New Roman" w:hAnsi="Times New Roman" w:eastAsia="宋体"/>
            <w:color w:val="0000FF"/>
            <w:sz w:val="21"/>
            <w:u w:val="single"/>
          </w:rPr>
          <w:t>https://arxiv.org/abs/2602.07658v1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医学扫描创建的 3D 模型的准确性取决于成像硬件、分割方法和网格处理技术等。几何类型、类不平衡、体素和点云对齐对准确性的影响仍有待深入探讨。这项工作评估了整个重建流程的错误，并探索了针对不同分割算法和几何类型使用体素和基于表面的精度指标。使用 SLA 技术打印球体、面罩和 AAA，并使用微型 CT 机进行扫描。使用基于 GMM、Otsu 和 RG 的方法进行分割。使用 KU 算法对齐的分段模型和参考模型进行定量比较，以评估 Dice 和 Jaccard 分数、精度等指标。使用基于 ICP 的对齐过程将表面网格与参考网格进行配准。评估了倒角距离和平均豪斯多夫距离等指标。发现 Otsu 方法是最适合所有几何形状的方法。由于 AAA 的壁厚较小且未对准，因此其重叠分数较低。类别不平衡对 AAA 特异性的影响最为明显。基于表面的精度指标与基于体素的趋势不同。 RG 方法对于球体表现最好，而 GMM 和 Otsu 对于 AAA 表现更好。面罩表面最容易出错，可能是由于 ICP 过程中未对准造成的。分割精度是重建过程不同阶段的误差累积和。在高度不平衡和对对齐敏感的情况下，基于体素的高准确度度量可能会产生误导。研究发现 Jaccard 指数比 Dice 更严格，更适合薄壁结构的精度评估。应确保体素和点云对齐，以便对重建管道进行可靠的评估。</w:t>
      </w:r>
    </w:p>
    <w:p>
      <w:pPr>
        <w:spacing w:before="120"/>
      </w:pPr>
      <w:r>
        <w:rPr>
          <w:rFonts w:ascii="Times New Roman" w:hAnsi="Times New Roman" w:eastAsia="宋体"/>
          <w:b/>
          <w:sz w:val="21"/>
        </w:rPr>
        <w:t>English Abstract:</w:t>
      </w:r>
    </w:p>
    <w:p>
      <w:r>
        <w:rPr>
          <w:rFonts w:ascii="Times New Roman" w:hAnsi="Times New Roman" w:eastAsia="宋体"/>
          <w:sz w:val="21"/>
        </w:rPr>
        <w:t>The accuracy of the 3D models created from medical scans depends on imaging hardware, segmentation methods and mesh processing techniques etc. The effects of geometry type, class imbalance, voxel and point cloud alignment on accuracy remain to be thoroughly explored. This work evaluates the errors across the reconstruction pipeline and explores the use of voxel and surface-based accuracy metrics for different segmentation algorithms and geometry types. A sphere, a facemask, and an AAA were printed using the SLA technique and scanned using a micro-CT machine. Segmentation was performed using GMM, Otsu and RG based methods. Segmented and reference models aligned using the KU algorithm, were quantitatively compared to evaluate metrics like Dice and Jaccard scores, precision. Surface meshes were registered with reference meshes using an ICP-based alignment process. Metrics like chamfer distance, and average Hausdorff distance were evaluated. The Otsu method was found to be the most suitable method for all the geometries. AAA yielded low overlap scores due to its small wall thickness and misalignment. The effect of class imbalance on specificity was observed the most for AAA. Surface-based accuracy metrics differed from the voxel-based trends. The RG method performed best for sphere, while GMM and Otsu perform better for AAA. The facemask surface was most error-prone, possibly due to misalignment during the ICP process. Segmentation accuracy is a cumulative sum of errors across different stages of the reconstruction process. High voxel-based accuracy metrics may be misleading in cases of high class imbalance and sensitivity to alignment. The Jaccard index is found to be more stringent than the Dice and more suitable for accuracy assessment for thin-walled structures. Voxel and point cloud alignment should be ensured to make any reliable assessment of the reconstruction pipeline.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视觉和语言：用于驾驶场景安全评估和自动驾驶车辆规划的新颖表示和人工智能</w:t>
      </w:r>
    </w:p>
    <w:p>
      <w:r>
        <w:rPr>
          <w:rFonts w:ascii="Times New Roman" w:hAnsi="Times New Roman" w:eastAsia="宋体"/>
          <w:b/>
          <w:color w:val="003264"/>
          <w:sz w:val="24"/>
        </w:rPr>
        <w:t>Vision and language: Novel Representations and Artificial intelligence for Driving Scene Safety Assessment and Autonomous Vehicle Planning</w:t>
      </w:r>
    </w:p>
    <w:p>
      <w:r>
        <w:rPr>
          <w:rFonts w:ascii="Times New Roman" w:hAnsi="Times New Roman" w:eastAsia="宋体"/>
          <w:sz w:val="21"/>
        </w:rPr>
        <w:t>作者: Mohan Trivedi</w:t>
        <w:br/>
      </w:r>
      <w:r>
        <w:rPr>
          <w:rFonts w:ascii="Times New Roman" w:hAnsi="Times New Roman" w:eastAsia="宋体"/>
          <w:sz w:val="21"/>
        </w:rPr>
        <w:t xml:space="preserve">时间: 2026-02-07T20:04:21Z | </w:t>
      </w:r>
      <w:r>
        <w:t xml:space="preserve">链接: </w:t>
      </w:r>
      <w:hyperlink r:id="rId154">
        <w:r>
          <w:rPr>
            <w:rFonts w:ascii="Times New Roman" w:hAnsi="Times New Roman" w:eastAsia="宋体"/>
            <w:color w:val="0000FF"/>
            <w:sz w:val="21"/>
            <w:u w:val="single"/>
          </w:rPr>
          <w:t>https://arxiv.org/abs/2602.07680v1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模型（VLM）最近作为强大的表示学习系统出现，将视觉观察与自然语言概念结合起来，为安全关键的自动驾驶中的语义推理提供了新的机会。本文研究了视觉语言表示在集成到感知、预测和规划流程中时如何支持驾驶场景安全评估和决策。我们研究了三个互补的系统级用例。首先，我们引入了一种轻量级、与类别无关的危险筛查方法，利用基于 CLIP 的图像文本相似性来生成低延迟语义危险信号。这使得能够在没有明确的对象检测或视觉问题回答的情况下对多样化和分布外的道路危险进行稳健检测。其次，我们使用 Waymo 开放数据集检查将场景级视觉语言嵌入集成到基于 Transformer 的轨迹规划框架中。我们的结果表明，在全局嵌入上天真地调节规划器并不能提高轨迹准确性，这凸显了表示-任务对齐的重要性，并促进了安全关键规划的任务知情提取方法的开发。第三，我们使用 doScenes 数据集研究自然语言作为运动规划的明确行为约束。在这种情况下，基于视觉场景元素的乘客式指令可以抑制罕见但严重的规划失败，并改善模糊场景中的安全行为。总而言之，这些发现表明，视觉语言表示在用于表达语义风险、意图和行为约束时，对自动驾驶安全具有重大前景。实现这一潜力从根本上来说是一个工程问题，需要仔细的系统设计和结构化接地，而不是直接的功能注入。</w:t>
      </w:r>
    </w:p>
    <w:p>
      <w:pPr>
        <w:spacing w:before="120"/>
      </w:pPr>
      <w:r>
        <w:rPr>
          <w:rFonts w:ascii="Times New Roman" w:hAnsi="Times New Roman" w:eastAsia="宋体"/>
          <w:b/>
          <w:sz w:val="21"/>
        </w:rPr>
        <w:t>English Abstract:</w:t>
      </w:r>
    </w:p>
    <w:p>
      <w:r>
        <w:rPr>
          <w:rFonts w:ascii="Times New Roman" w:hAnsi="Times New Roman" w:eastAsia="宋体"/>
          <w:sz w:val="21"/>
        </w:rPr>
        <w:t>Vision-language models (VLMs) have recently emerged as powerful representation learning systems that align visual observations with natural language concepts, offering new opportunities for semantic reasoning in safety-critical autonomous driving. This paper investigates how vision-language representations support driving scene safety assessment and decision-making when integrated into perception, prediction, and planning pipelines. We study three complementary system-level use cases. First, we introduce a lightweight, category-agnostic hazard screening approach leveraging CLIP-based image-text similarity to produce a low-latency semantic hazard signal. This enables robust detection of diverse and out-of-distribution road hazards without explicit object detection or visual question answering. Second, we examine the integration of scene-level vision-language embeddings into a transformer-based trajectory planning framework using the Waymo Open Dataset. Our results show that naively conditioning planners on global embeddings does not improve trajectory accuracy, highlighting the importance of representation-task alignment and motivating the development of task-informed extraction methods for safety-critical planning. Third, we investigate natural language as an explicit behavioral constraint on motion planning using the doScenes dataset. In this setting, passenger-style instructions grounded in visual scene elements suppress rare but severe planning failures and improve safety-aligned behavior in ambiguous scenarios. Taken together, these findings demonstrate that vision-language representations hold significant promise for autonomous driving safety when used to express semantic risk, intent, and behavioral constraints. Realizing this potential is fundamentally an engineering problem requiring careful system design and structured grounding rather than direct feature injection.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用于非结构化输送带煤炭场景中无监督异常检测和定位的语义偏差锚定多分支融合</w:t>
      </w:r>
    </w:p>
    <w:p>
      <w:r>
        <w:rPr>
          <w:rFonts w:ascii="Times New Roman" w:hAnsi="Times New Roman" w:eastAsia="宋体"/>
          <w:b/>
          <w:color w:val="003264"/>
          <w:sz w:val="24"/>
        </w:rPr>
        <w:t>Semantic-Deviation-Anchored Multi-Branch Fusion for Unsupervised Anomaly Detection and Localization in Unstructured Conveyor-Belt Coal Scenes</w:t>
      </w:r>
    </w:p>
    <w:p>
      <w:r>
        <w:rPr>
          <w:rFonts w:ascii="Times New Roman" w:hAnsi="Times New Roman" w:eastAsia="宋体"/>
          <w:sz w:val="21"/>
        </w:rPr>
        <w:t>作者: Li Zhu</w:t>
        <w:br/>
      </w:r>
      <w:r>
        <w:rPr>
          <w:rFonts w:ascii="Times New Roman" w:hAnsi="Times New Roman" w:eastAsia="宋体"/>
          <w:sz w:val="21"/>
        </w:rPr>
        <w:t xml:space="preserve">时间: 2026-02-07T20:36:24Z | </w:t>
      </w:r>
      <w:r>
        <w:t xml:space="preserve">链接: </w:t>
      </w:r>
      <w:hyperlink r:id="rId155">
        <w:r>
          <w:rPr>
            <w:rFonts w:ascii="Times New Roman" w:hAnsi="Times New Roman" w:eastAsia="宋体"/>
            <w:color w:val="0000FF"/>
            <w:sz w:val="21"/>
            <w:u w:val="single"/>
          </w:rPr>
          <w:t>https://arxiv.org/abs/2602.07694v1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传送带煤炭场景中可靠的异物异常检测和像素级定位对于安全、智能的采矿作业至关重要。由于环境高度非结构化，该任务尤其具有挑战性：煤炭和煤矸石随机堆放，背景复杂多变，异物往往表现出低对比度、变形、遮挡，导致与周围环境耦合。这些特征削弱了许多异常检测方法在结构化工业环境中所依赖的稳定性和规律性假设，导致性能显着下降。为了支持在此设置中的评估和比较，我们构建了 \textbf{CoalAD}，这是煤流场景中具有像素级定位的无监督异物异常检测的基准。我们进一步提出了一种互补提示协作感知框架，该框架从三个角度提取和融合互补异常证据：对象级语义组成建模、基于语义归因的全局偏差分析和细粒度纹理匹配。融合输出提供强大的图像级异常评分和准确的像素级定位。 CoalAD 上的实验表明，我们的方法在评估的图像级和像素级指标上优于广泛使用的基线，并且消融研究验证了每个组件的贡献。该代码可在 https://github.com/xjpp2016/USAD 获取。</w:t>
      </w:r>
    </w:p>
    <w:p>
      <w:pPr>
        <w:spacing w:before="120"/>
      </w:pPr>
      <w:r>
        <w:rPr>
          <w:rFonts w:ascii="Times New Roman" w:hAnsi="Times New Roman" w:eastAsia="宋体"/>
          <w:b/>
          <w:sz w:val="21"/>
        </w:rPr>
        <w:t>English Abstract:</w:t>
      </w:r>
    </w:p>
    <w:p>
      <w:r>
        <w:rPr>
          <w:rFonts w:ascii="Times New Roman" w:hAnsi="Times New Roman" w:eastAsia="宋体"/>
          <w:sz w:val="21"/>
        </w:rPr>
        <w:t>Reliable foreign-object anomaly detection and pixel-level localization in conveyor-belt coal scenes are essential for safe and intelligent mining operations. This task is particularly challenging due to the highly unstructured environment: coal and gangue are randomly piled, backgrounds are complex and variable, and foreign objects often exhibit low contrast, deformation, occlusion, resulting in coupling with their surroundings. These characteristics weaken the stability and regularity assumptions that many anomaly detection methods rely on in structured industrial settings, leading to notable performance degradation. To support evaluation and comparison in this setting, we construct \textbf{CoalAD}, a benchmark for unsupervised foreign-object anomaly detection with pixel-level localization in coal-stream scenes. We further propose a complementary-cue collaborative perception framework that extracts and fuses complementary anomaly evidence from three perspectives: object-level semantic composition modeling, semantic-attribution-based global deviation analysis, and fine-grained texture matching. The fused outputs provide robust image-level anomaly scoring and accurate pixel-level localization. Experiments on CoalAD demonstrate that our method outperforms widely used baselines across the evaluated image-level and pixel-level metrics, and ablation studies validate the contribution of each component. The code is available at https://github.com/xjpp2016/USAD.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用于医学图像分割的混合 Kolmogorov-Arnold 网络</w:t>
      </w:r>
    </w:p>
    <w:p>
      <w:r>
        <w:rPr>
          <w:rFonts w:ascii="Times New Roman" w:hAnsi="Times New Roman" w:eastAsia="宋体"/>
          <w:b/>
          <w:color w:val="003264"/>
          <w:sz w:val="24"/>
        </w:rPr>
        <w:t>A hybrid Kolmogorov-Arnold network for medical image segmentation</w:t>
      </w:r>
    </w:p>
    <w:p>
      <w:r>
        <w:rPr>
          <w:rFonts w:ascii="Times New Roman" w:hAnsi="Times New Roman" w:eastAsia="宋体"/>
          <w:sz w:val="21"/>
        </w:rPr>
        <w:t>作者: A. Ben Hamza</w:t>
        <w:br/>
      </w:r>
      <w:r>
        <w:rPr>
          <w:rFonts w:ascii="Times New Roman" w:hAnsi="Times New Roman" w:eastAsia="宋体"/>
          <w:sz w:val="21"/>
        </w:rPr>
        <w:t xml:space="preserve">时间: 2026-02-07T21:00:38Z | </w:t>
      </w:r>
      <w:r>
        <w:t xml:space="preserve">链接: </w:t>
      </w:r>
      <w:hyperlink r:id="rId156">
        <w:r>
          <w:rPr>
            <w:rFonts w:ascii="Times New Roman" w:hAnsi="Times New Roman" w:eastAsia="宋体"/>
            <w:color w:val="0000FF"/>
            <w:sz w:val="21"/>
            <w:u w:val="single"/>
          </w:rPr>
          <w:t>https://arxiv.org/abs/2602.07702v1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医学图像分割在诊断和治疗计划中发挥着至关重要的作用，但由于医学图像固有的复杂性和可变性，尤其是在捕获数据内的非线性关系方面，仍然具有挑战性。我们提出了 U-KABS，这是一种新颖的混合框架，它将 Kolmogorov-Arnold 网络（KAN）的表达能力与 U 形编码器-解码器架构相集成，以增强分割性能。 U-KABS 模型结合了卷积和挤压激励阶段（增强了通道特征表示）和 KAN Bernstein 样条（KABS）阶段，该阶段采用基于 Bernstein 多项式和 B 样条的可学习激活函数。这种混合设计利用 Bernstein 多项式的全局平滑性和 B 样条的局部适应性，使模型能够有效地捕获广泛的上下文趋势和细粒度的模式，这对于描绘医学图像中的复杂结构至关重要。跳过编码器层和解码器层之间的连接支持有效的多尺度特征融合并保留空间细节。在不同的医学成像基准数据集上进行评估，U-KABS 与强大的基线相比表现出卓越的性能，特别是在分割复杂的解剖结构方面。</w:t>
      </w:r>
    </w:p>
    <w:p>
      <w:pPr>
        <w:spacing w:before="120"/>
      </w:pPr>
      <w:r>
        <w:rPr>
          <w:rFonts w:ascii="Times New Roman" w:hAnsi="Times New Roman" w:eastAsia="宋体"/>
          <w:b/>
          <w:sz w:val="21"/>
        </w:rPr>
        <w:t>English Abstract:</w:t>
      </w:r>
    </w:p>
    <w:p>
      <w:r>
        <w:rPr>
          <w:rFonts w:ascii="Times New Roman" w:hAnsi="Times New Roman" w:eastAsia="宋体"/>
          <w:sz w:val="21"/>
        </w:rPr>
        <w:t>Medical image segmentation plays a vital role in diagnosis and treatment planning, but remains challenging due to the inherent complexity and variability of medical images, especially in capturing non-linear relationships within the data. We propose U-KABS, a novel hybrid framework that integrates the expressive power of Kolmogorov-Arnold Networks (KANs) with a U-shaped encoder-decoder architecture to enhance segmentation performance. The U-KABS model combines the convolutional and squeeze-and-excitation stage, which enhances channel-wise feature representations, and the KAN Bernstein Spline (KABS) stage, which employs learnable activation functions based on Bernstein polynomials and B-splines. This hybrid design leverages the global smoothness of Bernstein polynomials and the local adaptability of B-splines, enabling the model to effectively capture both broad contextual trends and fine-grained patterns critical for delineating complex structures in medical images. Skip connections between encoder and decoder layers support effective multi-scale feature fusion and preserve spatial details. Evaluated across diverse medical imaging benchmark datasets, U-KABS demonstrates superior performance compared to strong baselines, particularly in segmenting complex anatomical structures.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通过衍射神经网络进行自动驾驶的全光分割</w:t>
      </w:r>
    </w:p>
    <w:p>
      <w:r>
        <w:rPr>
          <w:rFonts w:ascii="Times New Roman" w:hAnsi="Times New Roman" w:eastAsia="宋体"/>
          <w:b/>
          <w:color w:val="003264"/>
          <w:sz w:val="24"/>
        </w:rPr>
        <w:t>All-Optical Segmentation via Diffractive Neural Networks for Autonomous Driving</w:t>
      </w:r>
    </w:p>
    <w:p>
      <w:r>
        <w:rPr>
          <w:rFonts w:ascii="Times New Roman" w:hAnsi="Times New Roman" w:eastAsia="宋体"/>
          <w:sz w:val="21"/>
        </w:rPr>
        <w:t>作者: Cunxi Yu</w:t>
        <w:br/>
      </w:r>
      <w:r>
        <w:rPr>
          <w:rFonts w:ascii="Times New Roman" w:hAnsi="Times New Roman" w:eastAsia="宋体"/>
          <w:sz w:val="21"/>
        </w:rPr>
        <w:t xml:space="preserve">时间: 2026-02-07T21:47:37Z | </w:t>
      </w:r>
      <w:r>
        <w:t xml:space="preserve">链接: </w:t>
      </w:r>
      <w:hyperlink r:id="rId157">
        <w:r>
          <w:rPr>
            <w:rFonts w:ascii="Times New Roman" w:hAnsi="Times New Roman" w:eastAsia="宋体"/>
            <w:color w:val="0000FF"/>
            <w:sz w:val="21"/>
            <w:u w:val="single"/>
          </w:rPr>
          <w:t>https://arxiv.org/abs/2602.07717v1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语义分割和车道检测是自动驾驶系统中的关键任务。传统方法主要依赖于深度神经网络 (DNN)，由于低延迟、实时响应需要大量的模数转换和大规模图像计算，因此会产生高昂的能源成本。与传统 DNN 相比，衍射光学神经网络 (DONN) 在数字或光电计算平台上的能源效率方面表现出了巨大的优势。通过以光速进行光衍射来执行全光学图像处理，DONN 可以节省计算能源成本，同时通过全光学编码和计算减少与模数转换相关的开销。在这项工作中，我们提出了一种新颖的全光学计算框架，用于自动驾驶应用中的 RGB 图像分割和车道检测。我们的实验结果证明了 DONN 系统在 CityScapes 数据集上进行图像分割的有效性。此外，我们使用定制的室内赛道数据集和 CARLA 中的模拟驾驶场景进行车道检测案例研究，进一步评估模型在不同环境条件下的通用性。</w:t>
      </w:r>
    </w:p>
    <w:p>
      <w:pPr>
        <w:spacing w:before="120"/>
      </w:pPr>
      <w:r>
        <w:rPr>
          <w:rFonts w:ascii="Times New Roman" w:hAnsi="Times New Roman" w:eastAsia="宋体"/>
          <w:b/>
          <w:sz w:val="21"/>
        </w:rPr>
        <w:t>English Abstract:</w:t>
      </w:r>
    </w:p>
    <w:p>
      <w:r>
        <w:rPr>
          <w:rFonts w:ascii="Times New Roman" w:hAnsi="Times New Roman" w:eastAsia="宋体"/>
          <w:sz w:val="21"/>
        </w:rPr>
        <w:t>Semantic segmentation and lane detection are crucial tasks in autonomous driving systems. Conventional approaches predominantly rely on deep neural networks (DNNs), which incur high energy costs due to extensive analog-to-digital conversions and large-scale image computations required for low-latency, real-time responses. Diffractive optical neural networks (DONNs) have shown promising advantages over conventional DNNs on digital or optoelectronic computing platforms in energy efficiency. By performing all-optical image processing via light diffraction at the speed of light, DONNs save computation energy costs while reducing the overhead associated with analog-to-digital conversions by all-optical encoding and computing. In this work, we propose a novel all-optical computing framework for RGB image segmentation and lane detection in autonomous driving applications. Our experimental results demonstrate the effectiveness of the DONN system for image segmentation on the CityScapes dataset. Additionally, we conduct case studies on lane detection using a customized indoor track dataset and simulated driving scenarios in CARLA, where we further evaluate the model's generalizability under diverse environmental conditions.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开源人工智能生成的图像检测模型开箱即用的效果如何：一项全面的基准研究</w:t>
      </w:r>
    </w:p>
    <w:p>
      <w:r>
        <w:rPr>
          <w:rFonts w:ascii="Times New Roman" w:hAnsi="Times New Roman" w:eastAsia="宋体"/>
          <w:b/>
          <w:color w:val="003264"/>
          <w:sz w:val="24"/>
        </w:rPr>
        <w:t>How well are open sourced AI-generated image detection models out-of-the-box: A comprehensive benchmark study</w:t>
      </w:r>
    </w:p>
    <w:p>
      <w:r>
        <w:rPr>
          <w:rFonts w:ascii="Times New Roman" w:hAnsi="Times New Roman" w:eastAsia="宋体"/>
          <w:sz w:val="21"/>
        </w:rPr>
        <w:t>作者: Jiayu Xue</w:t>
        <w:br/>
      </w:r>
      <w:r>
        <w:rPr>
          <w:rFonts w:ascii="Times New Roman" w:hAnsi="Times New Roman" w:eastAsia="宋体"/>
          <w:sz w:val="21"/>
        </w:rPr>
        <w:t xml:space="preserve">时间: 2026-02-08T04:36:13Z | </w:t>
      </w:r>
      <w:r>
        <w:t xml:space="preserve">链接: </w:t>
      </w:r>
      <w:hyperlink r:id="rId158">
        <w:r>
          <w:rPr>
            <w:rFonts w:ascii="Times New Roman" w:hAnsi="Times New Roman" w:eastAsia="宋体"/>
            <w:color w:val="0000FF"/>
            <w:sz w:val="21"/>
            <w:u w:val="single"/>
          </w:rPr>
          <w:t>https://arxiv.org/abs/2602.07814v1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人工智能生成的图像在数字平台上激增，可靠的检测方法对于打击错误信息和维护内容真实性变得至关重要。虽然已经提出了许多深度伪造检测方法，但现有的基准测试主要评估微调模型，在理解开箱即用的性能（对于从业者来说最常见的部署场景）方面留下了重大差距。我们首次对 16 种最先进的检测方法进行全面的零样本评估，包括 23 种预训练的检测器变体（由于某些检测器的多个发布版本），跨越 12 个不同的数据集，包括 260 万个图像样本，涵盖 291 个独特的生成器，包括现代扩散模型。我们的系统分析揭示了惊人的发现：(1)~不存在普遍的获胜者，检测器排名表现出很大的不稳定性（Spearman~$ρ$：跨数据集对的 0.01 - 0.87）； (2) 最好的检测器（平均准确度为 75.0%）与最差的检测器（平均准确度为 37.5%）之间存在 37% 的性能差距； (3)~训练数据对齐严重影响泛化，导致架构相同的检测器系列内高达 20--60\% 的性能差异； (4)~现代商业生成器（Flux~Dev、Firefly~v4、Midjourney~v7）击败了大多数探测器，仅达到 18--30% 的平均精度； (5)~我们确定了影响跨数据集泛化的三种系统故障模式。统计分析证实了检测器之间的显着性能差异（弗里德曼检验：$χ^2$=121.01，$p&lt;10^{-16}$，Kendall~$W$=0.524）。我们的研究结果挑战了“一刀切”的检测器范式，并提供了可操作的部署指南，表明从业人员必须根据其特定的威胁情况仔细选择检测器，而不是依赖已发布的基准性能。</w:t>
      </w:r>
    </w:p>
    <w:p>
      <w:pPr>
        <w:spacing w:before="120"/>
      </w:pPr>
      <w:r>
        <w:rPr>
          <w:rFonts w:ascii="Times New Roman" w:hAnsi="Times New Roman" w:eastAsia="宋体"/>
          <w:b/>
          <w:sz w:val="21"/>
        </w:rPr>
        <w:t>English Abstract:</w:t>
      </w:r>
    </w:p>
    <w:p>
      <w:r>
        <w:rPr>
          <w:rFonts w:ascii="Times New Roman" w:hAnsi="Times New Roman" w:eastAsia="宋体"/>
          <w:sz w:val="21"/>
        </w:rPr>
        <w:t>As AI-generated images proliferate across digital platforms, reliable detection methods have become critical for combating misinformation and maintaining content authenticity. While numerous deepfake detection methods have been proposed, existing benchmarks predominantly evaluate fine-tuned models, leaving a critical gap in understanding out-of-the-box performance -- the most common deployment scenario for practitioners. We present the first comprehensive zero-shot evaluation of 16 state-of-the-art detection methods, comprising 23 pretrained detector variants (due to multiple released versions of certain detectors), across 12 diverse datasets, comprising 2.6~million image samples spanning 291 unique generators including modern diffusion models. Our systematic analysis reveals striking findings: (1)~no universal winner exists, with detector rankings exhibiting substantial instability (Spearman~$ρ$: 0.01 -- 0.87 across dataset pairs); (2)~a 37~percentage-point performance gap separates the best detector (75.0\% mean accuracy) from the worst (37.5\%); (3)~training data alignment critically impacts generalization, causing up to 20--60\% performance variance within architecturally identical detector families; (4)~modern commercial generators (Flux~Dev, Firefly~v4, Midjourney~v7) defeat most detectors, achieving only 18--30\% average accuracy; and (5)~we identify three systematic failure patterns affecting cross-dataset generalization. Statistical analysis confirms significant performance differences between detectors (Friedman test: $χ^2$=121.01, $p&lt;10^{-16}$, Kendall~$W$=0.524). Our findings challenge the ``one-size-fits-all'' detector paradigm and provide actionable deployment guidelines, demonstrating that practitioners must carefully select detectors based on their specific threat landscape rather than relying on published benchmark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通过面部图像进行开箱即用的年龄估计：视觉语言模型与开箱即用的传统架构的综合基准</w:t>
      </w:r>
    </w:p>
    <w:p>
      <w:r>
        <w:rPr>
          <w:rFonts w:ascii="Times New Roman" w:hAnsi="Times New Roman" w:eastAsia="宋体"/>
          <w:b/>
          <w:color w:val="003264"/>
          <w:sz w:val="24"/>
        </w:rPr>
        <w:t>Out of the box age estimation through facial imagery: A Comprehensive Benchmark of Vision-Language Models vs. out-of-the-box Traditional Architectures</w:t>
      </w:r>
    </w:p>
    <w:p>
      <w:r>
        <w:rPr>
          <w:rFonts w:ascii="Times New Roman" w:hAnsi="Times New Roman" w:eastAsia="宋体"/>
          <w:sz w:val="21"/>
        </w:rPr>
        <w:t>作者: Simiao Ren</w:t>
        <w:br/>
      </w:r>
      <w:r>
        <w:rPr>
          <w:rFonts w:ascii="Times New Roman" w:hAnsi="Times New Roman" w:eastAsia="宋体"/>
          <w:sz w:val="21"/>
        </w:rPr>
        <w:t xml:space="preserve">时间: 2026-02-08T04:44:31Z | </w:t>
      </w:r>
      <w:r>
        <w:t xml:space="preserve">链接: </w:t>
      </w:r>
      <w:hyperlink r:id="rId159">
        <w:r>
          <w:rPr>
            <w:rFonts w:ascii="Times New Roman" w:hAnsi="Times New Roman" w:eastAsia="宋体"/>
            <w:color w:val="0000FF"/>
            <w:sz w:val="21"/>
            <w:u w:val="single"/>
          </w:rPr>
          <w:t>https://arxiv.org/abs/2602.07815v1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面部年龄估计对于内容审核、年龄验证和深度换脸检测至关重要，但之前还没有基准测试系统地将现代视觉语言模型 (VLM) 与专门的年龄估计架构进行比较。我们提出了第一个大规模跨范式基准，评估 \textbf{34 个模型}——22 个具有公开可用的预训练权重的专用架构和 12 个通用 VLM——跨 \textbf{8 个标准数据集}（UTKFace、IMDB-WIKI、MORPH、AFAD、CACD、FG-NET、APPA-REAL、AgeDB），每个模型总共 1{,}100 个测试图像。我们的主要发现是惊人的：\emph{零样本 VLM 显着优于大多数专业模型}，平均 MAE 为 5.65 年，而非 LLM 模型为 9.88 年。最好的 VLM (Gemini~3 Flash Preview, MAE~4.32) 比最好的非 LLM 模型 (MiVOLO, MAE~5.10) 好 15\%。只有 MiVOLO 通过 Vision Transformers 独特地结合了面部和身体特征，可以与 VLM 竞争。我们进一步分析了 18 岁阈值的年龄验证，发现非 LLM 模型对未成年人表现出 60--100\% 的假成人率，而 VLM 则达到 13--25\%，并证明粗年龄分级（8--9 级）在 13 岁以上持续降低 MAE。我们对 14 个年龄段的分层分析表明，所有模型在极端年龄（$&lt;5 美元和 65+）时表现最为挣扎。这些发现挑战了特定任务架构对于年龄估计是必要的这一假设，并表明该领域应该转向将 VLM 功能提炼成高效的专业模型。</w:t>
      </w:r>
    </w:p>
    <w:p>
      <w:pPr>
        <w:spacing w:before="120"/>
      </w:pPr>
      <w:r>
        <w:rPr>
          <w:rFonts w:ascii="Times New Roman" w:hAnsi="Times New Roman" w:eastAsia="宋体"/>
          <w:b/>
          <w:sz w:val="21"/>
        </w:rPr>
        <w:t>English Abstract:</w:t>
      </w:r>
    </w:p>
    <w:p>
      <w:r>
        <w:rPr>
          <w:rFonts w:ascii="Times New Roman" w:hAnsi="Times New Roman" w:eastAsia="宋体"/>
          <w:sz w:val="21"/>
        </w:rPr>
        <w:t>Facial age estimation is critical for content moderation, age verification, and deepfake detection, yet no prior benchmark has systematically compared modern vision-language models (VLMs) against specialized age estimation architectures. We present the first large-scale cross-paradigm benchmark, evaluating \textbf{34 models} -- 22 specialized architectures with publicly available pretrained weights and 12 general-purpose VLMs -- across \textbf{8 standard datasets} (UTKFace, IMDB-WIKI, MORPH, AFAD, CACD, FG-NET, APPA-REAL, AgeDB) totaling 1{,}100 test images per model. Our key finding is striking: \emph{zero-shot VLMs significantly outperform most specialized models}, achieving an average MAE of 5.65 years compared to 9.88 for non-LLM models. The best VLM (Gemini~3 Flash Preview, MAE~4.32) outperforms the best non-LLM model (MiVOLO, MAE~5.10) by 15\%. Only MiVOLO, which uniquely combines face and body features via Vision Transformers, competes with VLMs. We further analyze age verification at the 18-year threshold, revealing that non-LLM models exhibit 60--100\% false adult rates on minors while VLMs achieve 13--25\%, and demonstrate that coarse age binning (8--9 classes) consistently degrades MAE beyond 13 years. Our stratified analysis across 14 age groups reveals that all models struggle most at extreme ages ($&lt;$5 and 65+). These findings challenge the assumption that task-specific architectures are necessary for age estimation and suggest that the field should redirect toward distilling VLM capabilities into efficient specialized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回到物理：操作员引导的 SMS MRI 重建生成路径</w:t>
      </w:r>
    </w:p>
    <w:p>
      <w:r>
        <w:rPr>
          <w:rFonts w:ascii="Times New Roman" w:hAnsi="Times New Roman" w:eastAsia="宋体"/>
          <w:b/>
          <w:color w:val="003264"/>
          <w:sz w:val="24"/>
        </w:rPr>
        <w:t>Back to Physics: Operator-Guided Generative Paths for SMS MRI Reconstruction</w:t>
      </w:r>
    </w:p>
    <w:p>
      <w:r>
        <w:rPr>
          <w:rFonts w:ascii="Times New Roman" w:hAnsi="Times New Roman" w:eastAsia="宋体"/>
          <w:sz w:val="21"/>
        </w:rPr>
        <w:t>作者: Qiegen Liu</w:t>
        <w:br/>
      </w:r>
      <w:r>
        <w:rPr>
          <w:rFonts w:ascii="Times New Roman" w:hAnsi="Times New Roman" w:eastAsia="宋体"/>
          <w:sz w:val="21"/>
        </w:rPr>
        <w:t xml:space="preserve">时间: 2026-02-08T04:57:39Z | </w:t>
      </w:r>
      <w:r>
        <w:t xml:space="preserve">链接: </w:t>
      </w:r>
      <w:hyperlink r:id="rId160">
        <w:r>
          <w:rPr>
            <w:rFonts w:ascii="Times New Roman" w:hAnsi="Times New Roman" w:eastAsia="宋体"/>
            <w:color w:val="0000FF"/>
            <w:sz w:val="21"/>
            <w:u w:val="single"/>
          </w:rPr>
          <w:t>https://arxiv.org/abs/2602.07820v1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具有面内欠采样的同步多切片 (SMS) 成像可实现高度加速的 MRI，但会产生强耦合逆问题，导致确定性切片间干扰和丢失 k 空间数据。大多数基于扩散的重建都是围绕高斯噪声损坏制定的，并依赖于额外的一致性步骤来合并 SMS 物理，这可能与 SMS 采集中操作员控制的降级不匹配。我们提出了一个算子引导的框架，该框架使用已知的采集算子对退化轨迹进行建模，并通过确定性更新反转该过程。在此框架内，我们引入了一个算子条件双流交互网络（OCDI-Net），它明确地将目标切片内容与切片间干扰分开，并预测算子对齐反演的结构化退化，并且我们将重建实例化为两阶段链式推理过程，该过程执行 SMS 切片分离，然后进行平面内完成。对快速 MRI 大脑数据和前瞻性采集的体内扩散 MRI 数据的实验表明，与传统和基于学习的 SMS 重建相比，保真度得到了提高，切片泄漏也减少了。</w:t>
      </w:r>
    </w:p>
    <w:p>
      <w:pPr>
        <w:spacing w:before="120"/>
      </w:pPr>
      <w:r>
        <w:rPr>
          <w:rFonts w:ascii="Times New Roman" w:hAnsi="Times New Roman" w:eastAsia="宋体"/>
          <w:b/>
          <w:sz w:val="21"/>
        </w:rPr>
        <w:t>English Abstract:</w:t>
      </w:r>
    </w:p>
    <w:p>
      <w:r>
        <w:rPr>
          <w:rFonts w:ascii="Times New Roman" w:hAnsi="Times New Roman" w:eastAsia="宋体"/>
          <w:sz w:val="21"/>
        </w:rPr>
        <w:t>Simultaneous multi-slice (SMS) imaging with in-plane undersampling enables highly accelerated MRI but yields a strongly coupled inverse problem with deterministic inter-slice interference and missing k-space data. Most diffusion-based reconstructions are formulated around Gaussian-noise corruption and rely on additional consistency steps to incorporate SMS physics, which can be mismatched to the operator-governed degradations in SMS acquisition. We propose an operator-guided framework that models the degradation trajectory using known acquisition operators and inverts this process via deterministic updates. Within this framework, we introduce an operator-conditional dual-stream interaction network (OCDI-Net) that explicitly disentangles target-slice content from inter-slice interference and predicts structured degradations for operator-aligned inversion, and we instantiate reconstruction as a two-stage chained inference procedure that performs SMS slice separation followed by in-plane completion. Experiments on fastMRI brain data and prospectively acquired in vivo diffusion MRI data demonstrate improved fidelity and reduced slice leakage over conventional and learning-based SMS reconstructions.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SPD-Faith Bench：诊断和提高多模态大语言模型思想链的可信度</w:t>
      </w:r>
    </w:p>
    <w:p>
      <w:r>
        <w:rPr>
          <w:rFonts w:ascii="Times New Roman" w:hAnsi="Times New Roman" w:eastAsia="宋体"/>
          <w:b/>
          <w:color w:val="003264"/>
          <w:sz w:val="24"/>
        </w:rPr>
        <w:t>SPD-Faith Bench: Diagnosing and Improving Faithfulness in Chain-of-Thought for Multimodal Large Language Models</w:t>
      </w:r>
    </w:p>
    <w:p>
      <w:r>
        <w:rPr>
          <w:rFonts w:ascii="Times New Roman" w:hAnsi="Times New Roman" w:eastAsia="宋体"/>
          <w:sz w:val="21"/>
        </w:rPr>
        <w:t>作者: Bo Chen</w:t>
        <w:br/>
      </w:r>
      <w:r>
        <w:rPr>
          <w:rFonts w:ascii="Times New Roman" w:hAnsi="Times New Roman" w:eastAsia="宋体"/>
          <w:sz w:val="21"/>
        </w:rPr>
        <w:t xml:space="preserve">时间: 2026-02-08T05:47:53Z | </w:t>
      </w:r>
      <w:r>
        <w:t xml:space="preserve">链接: </w:t>
      </w:r>
      <w:hyperlink r:id="rId161">
        <w:r>
          <w:rPr>
            <w:rFonts w:ascii="Times New Roman" w:hAnsi="Times New Roman" w:eastAsia="宋体"/>
            <w:color w:val="0000FF"/>
            <w:sz w:val="21"/>
            <w:u w:val="single"/>
          </w:rPr>
          <w:t>https://arxiv.org/abs/2602.07833v1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思想链推理被广泛用于提高多模态大语言模型（MLLM）的可解释性，但生成的推理轨迹的真实性仍不清楚。之前的工作主要集中在知觉幻觉上，而对推理层面的不忠行为尚未进行充分探索。为了将忠实性与语言先验隔离开来，我们引入了 SPD-Faith Bench，这是一种基于细粒度图像差异推理的诊断基准，可强制执行明确的视觉比较。对最先进的 MLLM 的评估揭示了两种系统性故障模式：感知失明和感知推理分离。我们将这些失败归因于视觉注意力的衰退和残余流中的表征变化。在此分析的指导下，我们提出了 SAGE，这是一种无需训练的视觉证据校准框架，可改进视觉路由并使推理与感知保持一致。我们的结果强调了明确评估响应正确性之外的忠诚度的重要性。我们的基准测试和代码可在 https://github.com/Johanson-colab/SPD-Faith-Bench 获取。</w:t>
      </w:r>
    </w:p>
    <w:p>
      <w:pPr>
        <w:spacing w:before="120"/>
      </w:pPr>
      <w:r>
        <w:rPr>
          <w:rFonts w:ascii="Times New Roman" w:hAnsi="Times New Roman" w:eastAsia="宋体"/>
          <w:b/>
          <w:sz w:val="21"/>
        </w:rPr>
        <w:t>English Abstract:</w:t>
      </w:r>
    </w:p>
    <w:p>
      <w:r>
        <w:rPr>
          <w:rFonts w:ascii="Times New Roman" w:hAnsi="Times New Roman" w:eastAsia="宋体"/>
          <w:sz w:val="21"/>
        </w:rPr>
        <w:t>Chain-of-Thought reasoning is widely used to improve the interpretability of multimodal large language models (MLLMs), yet the faithfulness of the generated reasoning traces remains unclear. Prior work has mainly focused on perceptual hallucinations, leaving reasoning level unfaithfulness underexplored. To isolate faithfulness from linguistic priors, we introduce SPD-Faith Bench, a diagnostic benchmark based on fine-grained image difference reasoning that enforces explicit visual comparison. Evaluations on state-of-the-art MLLMs reveal two systematic failure modes, perceptual blindness and perception-reasoning dissociation. We trace these failures to decaying visual attention and representation shifts in the residual stream. Guided by this analysis, we propose SAGE, a train-free visual evidence-calibrated framework that improves visual routing and aligns reasoning with perception. Our results highlight the importance of explicitly evaluating faithfulness beyond response correctness. Our benchmark and codes are available at https://github.com/Johanson-colab/SPD-Faith-Bench.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VFace：一种基于扩散的视频换脸的免训练方法</w:t>
      </w:r>
    </w:p>
    <w:p>
      <w:r>
        <w:rPr>
          <w:rFonts w:ascii="Times New Roman" w:hAnsi="Times New Roman" w:eastAsia="宋体"/>
          <w:b/>
          <w:color w:val="003264"/>
          <w:sz w:val="24"/>
        </w:rPr>
        <w:t>VFace: A Training-Free Approach for Diffusion-Based Video Face Swapping</w:t>
      </w:r>
    </w:p>
    <w:p>
      <w:r>
        <w:rPr>
          <w:rFonts w:ascii="Times New Roman" w:hAnsi="Times New Roman" w:eastAsia="宋体"/>
          <w:sz w:val="21"/>
        </w:rPr>
        <w:t>作者: Muhammad Haris Khan</w:t>
        <w:br/>
      </w:r>
      <w:r>
        <w:rPr>
          <w:rFonts w:ascii="Times New Roman" w:hAnsi="Times New Roman" w:eastAsia="宋体"/>
          <w:sz w:val="21"/>
        </w:rPr>
        <w:t xml:space="preserve">时间: 2026-02-08T06:13:19Z | </w:t>
      </w:r>
      <w:r>
        <w:t xml:space="preserve">链接: </w:t>
      </w:r>
      <w:hyperlink r:id="rId162">
        <w:r>
          <w:rPr>
            <w:rFonts w:ascii="Times New Roman" w:hAnsi="Times New Roman" w:eastAsia="宋体"/>
            <w:color w:val="0000FF"/>
            <w:sz w:val="21"/>
            <w:u w:val="single"/>
          </w:rPr>
          <w:t>https://arxiv.org/abs/2602.07835v1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我们提出了一种免训练、即插即用的方法，即 VFace，用于视频中的高质量人脸交换。它可以与基于扩散模型的基于图像的面部交换方法无缝集成。首先，我们引入频谱注意力插值技术来促进生成和完整的关键身份特征。其次，我们通过即插即用的注意力注入实现目标结构指导，以更好地将目标框架到生成的结构特征对齐。第三，我们提出了一种流引导注意力时间平滑机制，该机制在不修改底层扩散模型的情况下增强时空一致性，以减少逐帧生成中通常遇到的时间不一致。我们的方法不需要额外的培训或视频特定的微调。大量实验表明，我们的方法显着增强了时间一致性和视觉保真度，为基于视频的人脸交换提供了实用且模块化的解决方案。我们的代码可在 https://github.com/Sanoojan/VFace 获取。</w:t>
      </w:r>
    </w:p>
    <w:p>
      <w:pPr>
        <w:spacing w:before="120"/>
      </w:pPr>
      <w:r>
        <w:rPr>
          <w:rFonts w:ascii="Times New Roman" w:hAnsi="Times New Roman" w:eastAsia="宋体"/>
          <w:b/>
          <w:sz w:val="21"/>
        </w:rPr>
        <w:t>English Abstract:</w:t>
      </w:r>
    </w:p>
    <w:p>
      <w:r>
        <w:rPr>
          <w:rFonts w:ascii="Times New Roman" w:hAnsi="Times New Roman" w:eastAsia="宋体"/>
          <w:sz w:val="21"/>
        </w:rPr>
        <w:t>We present a training-free, plug-and-play method, namely VFace, for high-quality face swapping in videos. It can be seamlessly integrated with image-based face swapping approaches built on diffusion models. First, we introduce a Frequency Spectrum Attention Interpolation technique to facilitate generation and intact key identity characteristics. Second, we achieve Target Structure Guidance via plug-and-play attention injection to better align the structural features from the target frame to the generation. Third, we present a Flow-Guided Attention Temporal Smoothening mechanism that enforces spatiotemporal coherence without modifying the underlying diffusion model to reduce temporal inconsistencies typically encountered in frame-wise generation. Our method requires no additional training or video-specific fine-tuning. Extensive experiments show that our method significantly enhances temporal consistency and visual fidelity, offering a practical and modular solution for video-based face swapping. Our code is available at https://github.com/Sanoojan/VFace.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用于一致视频世界模型的几何感知旋转位置嵌入</w:t>
      </w:r>
    </w:p>
    <w:p>
      <w:r>
        <w:rPr>
          <w:rFonts w:ascii="Times New Roman" w:hAnsi="Times New Roman" w:eastAsia="宋体"/>
          <w:b/>
          <w:color w:val="003264"/>
          <w:sz w:val="24"/>
        </w:rPr>
        <w:t>Geometry-Aware Rotary Position Embedding for Consistent Video World Model</w:t>
      </w:r>
    </w:p>
    <w:p>
      <w:r>
        <w:rPr>
          <w:rFonts w:ascii="Times New Roman" w:hAnsi="Times New Roman" w:eastAsia="宋体"/>
          <w:sz w:val="21"/>
        </w:rPr>
        <w:t>作者: Jun Zhu</w:t>
        <w:br/>
      </w:r>
      <w:r>
        <w:rPr>
          <w:rFonts w:ascii="Times New Roman" w:hAnsi="Times New Roman" w:eastAsia="宋体"/>
          <w:sz w:val="21"/>
        </w:rPr>
        <w:t xml:space="preserve">时间: 2026-02-08T08:01:16Z | </w:t>
      </w:r>
      <w:r>
        <w:t xml:space="preserve">链接: </w:t>
      </w:r>
      <w:hyperlink r:id="rId163">
        <w:r>
          <w:rPr>
            <w:rFonts w:ascii="Times New Roman" w:hAnsi="Times New Roman" w:eastAsia="宋体"/>
            <w:color w:val="0000FF"/>
            <w:sz w:val="21"/>
            <w:u w:val="single"/>
          </w:rPr>
          <w:t>https://arxiv.org/abs/2602.07854v1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明确的摄像机控制下模拟未来观察的预测世界模型是交互式人工智能的基础。尽管进步很快，但当前的系统缺乏空间持久性：它们无法在长轨迹上保持稳定的场景结构，当摄像机重新访问之前观察到的位置时，经常会产生幻觉细节。我们发现这种几何漂移源于对屏幕空间位置嵌入的依赖，这与 3D 一致性所需的投影几何相冲突。我们引入了 \textbf{ViewRope}，一种几何感知编码，可将相机光线方向直接注入视频变换器自注意力层。通过使用相对光线几何形状而不是像素局部性来参数化注意力，ViewRope 提供了模型原生归纳偏差，用于跨时间间隙检索 3D 一致的内容。我们进一步提出 \textbf{Geometry-Aware Frame-Sparse Attention}，它利用这些几何线索有选择地关注相关的历史帧，在不牺牲内存一致性的情况下提高效率。我们还推出了 \textbf{ViewBench}，这是一个测量闭环保真度和几何漂移的诊断套件。我们的结果表明 ViewRope 显着提高了长期一致性，同时降低了计算成本。</w:t>
      </w:r>
    </w:p>
    <w:p>
      <w:pPr>
        <w:spacing w:before="120"/>
      </w:pPr>
      <w:r>
        <w:rPr>
          <w:rFonts w:ascii="Times New Roman" w:hAnsi="Times New Roman" w:eastAsia="宋体"/>
          <w:b/>
          <w:sz w:val="21"/>
        </w:rPr>
        <w:t>English Abstract:</w:t>
      </w:r>
    </w:p>
    <w:p>
      <w:r>
        <w:rPr>
          <w:rFonts w:ascii="Times New Roman" w:hAnsi="Times New Roman" w:eastAsia="宋体"/>
          <w:sz w:val="21"/>
        </w:rPr>
        <w:t>Predictive world models that simulate future observations under explicit camera control are fundamental to interactive AI. Despite rapid advances, current systems lack spatial persistence: they fail to maintain stable scene structures over long trajectories, frequently hallucinating details when cameras revisit previously observed locations. We identify that this geometric drift stems from reliance on screen-space positional embeddings, which conflict with the projective geometry required for 3D consistency. We introduce \textbf{ViewRope}, a geometry-aware encoding that injects camera-ray directions directly into video transformer self-attention layers. By parameterizing attention with relative ray geometry rather than pixel locality, ViewRope provides a model-native inductive bias for retrieving 3D-consistent content across temporal gaps. We further propose \textbf{Geometry-Aware Frame-Sparse Attention}, which exploits these geometric cues to selectively attend to relevant historical frames, improving efficiency without sacrificing memory consistency. We also present \textbf{ViewBench}, a diagnostic suite measuring loop-closure fidelity and geometric drift. Our results demonstrate that ViewRope substantially improves long-term consistency while reducing computational costs.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从超快运动模糊图像中恢复 3D 形状</w:t>
      </w:r>
    </w:p>
    <w:p>
      <w:r>
        <w:rPr>
          <w:rFonts w:ascii="Times New Roman" w:hAnsi="Times New Roman" w:eastAsia="宋体"/>
          <w:b/>
          <w:color w:val="003264"/>
          <w:sz w:val="24"/>
        </w:rPr>
        <w:t>Recovering 3D Shapes from Ultra-Fast Motion-Blurred Images</w:t>
      </w:r>
    </w:p>
    <w:p>
      <w:r>
        <w:rPr>
          <w:rFonts w:ascii="Times New Roman" w:hAnsi="Times New Roman" w:eastAsia="宋体"/>
          <w:sz w:val="21"/>
        </w:rPr>
        <w:t>作者: Wenzheng Chen</w:t>
        <w:br/>
      </w:r>
      <w:r>
        <w:rPr>
          <w:rFonts w:ascii="Times New Roman" w:hAnsi="Times New Roman" w:eastAsia="宋体"/>
          <w:sz w:val="21"/>
        </w:rPr>
        <w:t xml:space="preserve">时间: 2026-02-08T08:17:35Z | </w:t>
      </w:r>
      <w:r>
        <w:t xml:space="preserve">链接: </w:t>
      </w:r>
      <w:hyperlink r:id="rId164">
        <w:r>
          <w:rPr>
            <w:rFonts w:ascii="Times New Roman" w:hAnsi="Times New Roman" w:eastAsia="宋体"/>
            <w:color w:val="0000FF"/>
            <w:sz w:val="21"/>
            <w:u w:val="single"/>
          </w:rPr>
          <w:t>https://arxiv.org/abs/2602.07860v1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我们考虑从超快运动模糊图像中恢复 3D 形状的问题。虽然静态图像的 3D 重建已被广泛研究，但从极端运动模糊图像中恢复几何形状仍然具有挑战性。此类场景经常发生在自然和工业环境中，例如运动中快速移动的物体（例如球）或旋转机械，其中快速运动会扭曲物体的外观，并使多视图立体 (MVS) 等传统 3D 重建技术失效。在本文中，我们提出了一种新颖的逆渲染方法，用于从超快运动模糊图像中恢复形状。虽然传统的渲染技术通常通过对多个帧进行平均来合成模糊，但我们在重心权重的重复计算中发现了一个主要的计算瓶颈。为了解决这个问题，我们提出了一种快速重心坐标求解器，它可以显着减少计算开销并实现高达 4.57 倍的加速，从而实现高速运动的高效且逼真的模拟。至关重要的是，我们的方法是完全可微分的，允许梯度从渲染图像传播到底层 3D 形状，从而通过逆渲染促进形状恢复。我们在两种代表性运动类型上验证了我们的方法：快速平移和旋转。实验结果表明，我们的方法能够在前向模拟中对超快速移动物体进行高效且真实的建模。此外，它成功地从经历极端平移和旋转运动的物体的 2D 图像中恢复 3D 形状，突破了基于视觉的 3D 重建的界限。项目页面：https://maxmilite.github.io/rec-from-ultrafast-blur/</w:t>
      </w:r>
    </w:p>
    <w:p>
      <w:pPr>
        <w:spacing w:before="120"/>
      </w:pPr>
      <w:r>
        <w:rPr>
          <w:rFonts w:ascii="Times New Roman" w:hAnsi="Times New Roman" w:eastAsia="宋体"/>
          <w:b/>
          <w:sz w:val="21"/>
        </w:rPr>
        <w:t>English Abstract:</w:t>
      </w:r>
    </w:p>
    <w:p>
      <w:r>
        <w:rPr>
          <w:rFonts w:ascii="Times New Roman" w:hAnsi="Times New Roman" w:eastAsia="宋体"/>
          <w:sz w:val="21"/>
        </w:rPr>
        <w:t>We consider the problem of 3D shape recovery from ultra-fast motion-blurred images. While 3D reconstruction from static images has been extensively studied, recovering geometry from extreme motion-blurred images remains challenging. Such scenarios frequently occur in both natural and industrial settings, such as fast-moving objects in sports (e.g., balls) or rotating machinery, where rapid motion distorts object appearance and makes traditional 3D reconstruction techniques like Multi-View Stereo (MVS) ineffective. In this paper, we propose a novel inverse rendering approach for shape recovery from ultra-fast motion-blurred images. While conventional rendering techniques typically synthesize blur by averaging across multiple frames, we identify a major computational bottleneck in the repeated computation of barycentric weights. To address this, we propose a fast barycentric coordinate solver, which significantly reduces computational overhead and achieves a speedup of up to 4.57x, enabling efficient and photorealistic simulation of high-speed motion. Crucially, our method is fully differentiable, allowing gradients to propagate from rendered images to the underlying 3D shape, thereby facilitating shape recovery through inverse rendering. We validate our approach on two representative motion types: rapid translation and rotation. Experimental results demonstrate that our method enables efficient and realistic modeling of ultra-fast moving objects in the forward simulation. Moreover, it successfully recovers 3D shapes from 2D imagery of objects undergoing extreme translational and rotational motion, advancing the boundaries of vision-based 3D reconstruction. Project page: https://maxmilite.github.io/rec-from-ultrafast-blur/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结构思维：通过约束流形推理评估空间智能</w:t>
      </w:r>
    </w:p>
    <w:p>
      <w:r>
        <w:rPr>
          <w:rFonts w:ascii="Times New Roman" w:hAnsi="Times New Roman" w:eastAsia="宋体"/>
          <w:b/>
          <w:color w:val="003264"/>
          <w:sz w:val="24"/>
        </w:rPr>
        <w:t>Thinking in Structures: Evaluating Spatial Intelligence through Reasoning on Constrained Manifolds</w:t>
      </w:r>
    </w:p>
    <w:p>
      <w:r>
        <w:rPr>
          <w:rFonts w:ascii="Times New Roman" w:hAnsi="Times New Roman" w:eastAsia="宋体"/>
          <w:sz w:val="21"/>
        </w:rPr>
        <w:t>作者: Jiansheng Fan</w:t>
        <w:br/>
      </w:r>
      <w:r>
        <w:rPr>
          <w:rFonts w:ascii="Times New Roman" w:hAnsi="Times New Roman" w:eastAsia="宋体"/>
          <w:sz w:val="21"/>
        </w:rPr>
        <w:t xml:space="preserve">时间: 2026-02-08T08:29:38Z | </w:t>
      </w:r>
      <w:r>
        <w:t xml:space="preserve">链接: </w:t>
      </w:r>
      <w:hyperlink r:id="rId165">
        <w:r>
          <w:rPr>
            <w:rFonts w:ascii="Times New Roman" w:hAnsi="Times New Roman" w:eastAsia="宋体"/>
            <w:color w:val="0000FF"/>
            <w:sz w:val="21"/>
            <w:u w:val="single"/>
          </w:rPr>
          <w:t>https://arxiv.org/abs/2602.07864v1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空间智能对于物理世界中的视觉语言模型 (VLM) 至关重要，但许多基准评估很大程度上不受约束的场景，其中模型可以利用 2D 快捷方式。我们引入了 SSI-Bench，这是一种用于约束流形空间推理的 VQA 基准，由复杂的现实世界 3D 结构构建，其可行的配置受到几何、拓扑和物理约束的严格控制。 SSI-Bench 包含 1,000 个排名问题，涵盖几何和拓扑推理，需要多种组合空间操作，例如心理旋转、横截面推理、遮挡推理和力路径推理。它是通过完全以人为中心的流程创建的：十名研究人员花费了 400 多个小时来整理图像、注释结构组件并设计问题以最大限度地减少像素级线索。对 31 个广泛使用的 VLM 进行评估，发现与人类存在很大差距：最好的开源模型达到 22.2% 的准确率，最强的闭源模型达到 33.6%，而人类的得分为 91.6%。鼓励模型思考只会产生边际收益，错误分析指出结构基础和约束一致的 3D 推理方面的失败。项目页面：https://ssi-bench.github.io。</w:t>
      </w:r>
    </w:p>
    <w:p>
      <w:pPr>
        <w:spacing w:before="120"/>
      </w:pPr>
      <w:r>
        <w:rPr>
          <w:rFonts w:ascii="Times New Roman" w:hAnsi="Times New Roman" w:eastAsia="宋体"/>
          <w:b/>
          <w:sz w:val="21"/>
        </w:rPr>
        <w:t>English Abstract:</w:t>
      </w:r>
    </w:p>
    <w:p>
      <w:r>
        <w:rPr>
          <w:rFonts w:ascii="Times New Roman" w:hAnsi="Times New Roman" w:eastAsia="宋体"/>
          <w:sz w:val="21"/>
        </w:rPr>
        <w:t>Spatial intelligence is crucial for vision--language models (VLMs) in the physical world, yet many benchmarks evaluate largely unconstrained scenes where models can exploit 2D shortcuts. We introduce SSI-Bench, a VQA benchmark for spatial reasoning on constrained manifolds, built from complex real-world 3D structures whose feasible configurations are tightly governed by geometric, topological, and physical constraints. SSI-Bench contains 1,000 ranking questions spanning geometric and topological reasoning and requiring a diverse repertoire of compositional spatial operations, such as mental rotation, cross-sectional inference, occlusion reasoning, and force-path reasoning. It is created via a fully human-centered pipeline: ten researchers spent over 400 hours curating images, annotating structural components, and designing questions to minimize pixel-level cues. Evaluating 31 widely used VLMs reveals a large gap to humans: the best open-source model achieves 22.2% accuracy and the strongest closed-source model reaches 33.6%, while humans score 91.6%. Encouraging models to think yields only marginal gains, and error analysis points to failures in structural grounding and constraint-consistent 3D reasoning. Project page: https://ssi-bench.github.io.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WristMIR：通过放射学报告驱动学习对儿科手腕 X 光片进行从粗到细的区域感知检索</w:t>
      </w:r>
    </w:p>
    <w:p>
      <w:r>
        <w:rPr>
          <w:rFonts w:ascii="Times New Roman" w:hAnsi="Times New Roman" w:eastAsia="宋体"/>
          <w:b/>
          <w:color w:val="003264"/>
          <w:sz w:val="24"/>
        </w:rPr>
        <w:t>WristMIR: Coarse-to-Fine Region-Aware Retrieval of Pediatric Wrist Radiographs with Radiology Report-Driven Learning</w:t>
      </w:r>
    </w:p>
    <w:p>
      <w:r>
        <w:rPr>
          <w:rFonts w:ascii="Times New Roman" w:hAnsi="Times New Roman" w:eastAsia="宋体"/>
          <w:sz w:val="21"/>
        </w:rPr>
        <w:t>作者: Sila Kurugol</w:t>
        <w:br/>
      </w:r>
      <w:r>
        <w:rPr>
          <w:rFonts w:ascii="Times New Roman" w:hAnsi="Times New Roman" w:eastAsia="宋体"/>
          <w:sz w:val="21"/>
        </w:rPr>
        <w:t xml:space="preserve">时间: 2026-02-08T08:57:57Z | </w:t>
      </w:r>
      <w:r>
        <w:t xml:space="preserve">链接: </w:t>
      </w:r>
      <w:hyperlink r:id="rId166">
        <w:r>
          <w:rPr>
            <w:rFonts w:ascii="Times New Roman" w:hAnsi="Times New Roman" w:eastAsia="宋体"/>
            <w:color w:val="0000FF"/>
            <w:sz w:val="21"/>
            <w:u w:val="single"/>
          </w:rPr>
          <w:t>https://arxiv.org/abs/2602.07872v1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检索具有类似骨折模式的手腕 X 光片具有挑战性，因为临床上重要的线索是微妙的、高度局部化的，并且经常被重叠的解剖结构或可变的成像视图所掩盖。由于缺乏用于基于病例的医学图像检索的大型且注释良好的数据集，进一步限制了进展。我们推出了 WristMIR，这是一种区域感知的儿科手腕 X 光片检索框架，它利用密集的放射学报告和骨骼特定的定位来学习细粒度的、有临床意义的图像表示，而无需任何手动图像级注释。 WristMIR 使用基于 MedGemma 的结构化报告挖掘来生成全局和区域级标题，以及预处理的手腕图像和远端桡骨、远端尺骨和尺骨茎突的骨骼特定裁剪，联合训练全局和局部对比编码器并执行两阶段检索过程：(1) 粗略全局匹配以识别候选检查，然后 (2) 与预定义的解剖骨骼区域对齐的区域条件重排。 WristMIR 在强大的视觉语言基线上提高了检索性能，将图像到文本的 Recall@5 从 0.82% 提高到 9.35%。其嵌入还产生更强的骨折分类（AUROC 0.949，AUPRC 0.953）。在区域感知评估中，两阶段设计显着改善了基于检索的骨折诊断，将平均 $F_1$ 从 0.568 增加到 0.753，放射科医生将检索到的病例评价为更具临床相关性，平均分数从 3.36 上升到 4.35。这些发现凸显了解剖引导检索在增强儿科肌肉骨骼成像诊断推理和支持临床决策方面的潜力。源代码可在 https://github.com/quin-med-harvard-edu/WristMIR 上公开获取。</w:t>
      </w:r>
    </w:p>
    <w:p>
      <w:pPr>
        <w:spacing w:before="120"/>
      </w:pPr>
      <w:r>
        <w:rPr>
          <w:rFonts w:ascii="Times New Roman" w:hAnsi="Times New Roman" w:eastAsia="宋体"/>
          <w:b/>
          <w:sz w:val="21"/>
        </w:rPr>
        <w:t>English Abstract:</w:t>
      </w:r>
    </w:p>
    <w:p>
      <w:r>
        <w:rPr>
          <w:rFonts w:ascii="Times New Roman" w:hAnsi="Times New Roman" w:eastAsia="宋体"/>
          <w:sz w:val="21"/>
        </w:rPr>
        <w:t>Retrieving wrist radiographs with analogous fracture patterns is challenging because clinically important cues are subtle, highly localized and often obscured by overlapping anatomy or variable imaging views. Progress is further limited by the scarcity of large, well-annotated datasets for case-based medical image retrieval. We introduce WristMIR, a region-aware pediatric wrist radiograph retrieval framework that leverages dense radiology reports and bone-specific localization to learn fine-grained, clinically meaningful image representations without any manual image-level annotations. Using MedGemma-based structured report mining to generate both global and region-level captions, together with pre-processed wrist images and bone-specific crops of the distal radius, distal ulna, and ulnar styloid, WristMIR jointly trains global and local contrastive encoders and performs a two-stage retrieval process: (1) coarse global matching to identify candidate exams, followed by (2) region-conditioned reranking aligned to a predefined anatomical bone region. WristMIR improves retrieval performance over strong vision-language baselines, raising image-to-text Recall@5 from 0.82% to 9.35%. Its embeddings also yield stronger fracture classification (AUROC 0.949, AUPRC 0.953). In region-aware evaluation, the two-stage design markedly improves retrieval-based fracture diagnosis, increasing mean $F_1$ from 0.568 to 0.753, and radiologists rate its retrieved cases as more clinically relevant, with mean scores rising from 3.36 to 4.35. These findings highlight the potential of anatomically guided retrieval to enhance diagnostic reasoning and support clinical decision-making in pediatric musculoskeletal imaging. The source code is publicly available at https://github.com/quin-med-harvard-edu/WristMIR.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基于平行视角误差传递模型的相机位置测量方法研究</w:t>
      </w:r>
    </w:p>
    <w:p>
      <w:r>
        <w:rPr>
          <w:rFonts w:ascii="Times New Roman" w:hAnsi="Times New Roman" w:eastAsia="宋体"/>
          <w:b/>
          <w:color w:val="003264"/>
          <w:sz w:val="24"/>
        </w:rPr>
        <w:t>Research on a Camera Position Measurement Method based on a Parallel Perspective Error Transfer Model</w:t>
      </w:r>
    </w:p>
    <w:p>
      <w:r>
        <w:rPr>
          <w:rFonts w:ascii="Times New Roman" w:hAnsi="Times New Roman" w:eastAsia="宋体"/>
          <w:sz w:val="21"/>
        </w:rPr>
        <w:t>作者: Jindong Tan</w:t>
        <w:br/>
      </w:r>
      <w:r>
        <w:rPr>
          <w:rFonts w:ascii="Times New Roman" w:hAnsi="Times New Roman" w:eastAsia="宋体"/>
          <w:sz w:val="21"/>
        </w:rPr>
        <w:t xml:space="preserve">时间: 2026-02-08T09:40:14Z | </w:t>
      </w:r>
      <w:r>
        <w:t xml:space="preserve">链接: </w:t>
      </w:r>
      <w:hyperlink r:id="rId167">
        <w:r>
          <w:rPr>
            <w:rFonts w:ascii="Times New Roman" w:hAnsi="Times New Roman" w:eastAsia="宋体"/>
            <w:color w:val="0000FF"/>
            <w:sz w:val="21"/>
            <w:u w:val="single"/>
          </w:rPr>
          <w:t>https://arxiv.org/abs/2602.07888v1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根据稀疏对应进行相机位姿估计是几何计算机视觉中的一个基本问题，并且在近场场景中仍然特别具有挑战性，在近场场景中，强烈的透视效应和异构测量噪声会显着降低分析 PnP 解决方案的稳定性。在本文中，我们提出了一种基于并行透视近似的相机位姿估计的几何误差传播框架。通过显式建模图像测量误差如何通过透视几何传播，我们得出了一个误差传递模型，该模型描述了特征点分布、相机深度和姿态估计不确定性之间的关系。在此分析的基础上，我们开发了一种姿态估计方法，该方法在高斯-牛顿优化方案中利用并行透视初始化和误差感知加权，从而提高邻近操作的鲁棒性。对合成数据和真实世界图像进行的广泛实验，涵盖强照明、手术照明和水下低光环境等不同条件，表明所提出的方法实现了与最先进的分析和迭代 PnP 方法相当的准确性和鲁棒性，同时保持了高计算效率。这些结果凸显了显式几何误差建模对于在具有挑战性的近场设置中可靠的相机姿态估计的重要性。</w:t>
      </w:r>
    </w:p>
    <w:p>
      <w:pPr>
        <w:spacing w:before="120"/>
      </w:pPr>
      <w:r>
        <w:rPr>
          <w:rFonts w:ascii="Times New Roman" w:hAnsi="Times New Roman" w:eastAsia="宋体"/>
          <w:b/>
          <w:sz w:val="21"/>
        </w:rPr>
        <w:t>English Abstract:</w:t>
      </w:r>
    </w:p>
    <w:p>
      <w:r>
        <w:rPr>
          <w:rFonts w:ascii="Times New Roman" w:hAnsi="Times New Roman" w:eastAsia="宋体"/>
          <w:sz w:val="21"/>
        </w:rPr>
        <w:t>Camera pose estimation from sparse correspondences is a fundamental problem in geometric computer vision and remains particularly challenging in near-field scenarios, where strong perspective effects and heterogeneous measurement noise can significantly degrade the stability of analytic PnP solutions. In this paper, we present a geometric error propagation framework for camera pose estimation based on a parallel perspective approximation. By explicitly modeling how image measurement errors propagate through perspective geometry, we derive an error transfer model that characterizes the relationship between feature point distribution, camera depth, and pose estimation uncertainty. Building on this analysis, we develop a pose estimation method that leverages parallel perspective initialization and error-aware weighting within a Gauss-Newton optimization scheme, leading to improved robustness in proximity operations. Extensive experiments on both synthetic data and real-world images, covering diverse conditions such as strong illumination, surgical lighting, and underwater low-light environments, demonstrate that the proposed approach achieves accuracy and robustness comparable to state-of-the-art analytic and iterative PnP methods, while maintaining high computational efficiency. These results highlight the importance of explicit geometric error modeling for reliable camera pose estimation in challenging near-field settings.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VLM 同意并能很好地预测哪些私有属性？</w:t>
      </w:r>
    </w:p>
    <w:p>
      <w:r>
        <w:rPr>
          <w:rFonts w:ascii="Times New Roman" w:hAnsi="Times New Roman" w:eastAsia="宋体"/>
          <w:b/>
          <w:color w:val="003264"/>
          <w:sz w:val="24"/>
        </w:rPr>
        <w:t>Which private attributes do VLMs agree on and predict well?</w:t>
      </w:r>
    </w:p>
    <w:p>
      <w:r>
        <w:rPr>
          <w:rFonts w:ascii="Times New Roman" w:hAnsi="Times New Roman" w:eastAsia="宋体"/>
          <w:sz w:val="21"/>
        </w:rPr>
        <w:t>作者: Andrea Cavallaro</w:t>
        <w:br/>
      </w:r>
      <w:r>
        <w:rPr>
          <w:rFonts w:ascii="Times New Roman" w:hAnsi="Times New Roman" w:eastAsia="宋体"/>
          <w:sz w:val="21"/>
        </w:rPr>
        <w:t xml:space="preserve">时间: 2026-02-08T11:57:00Z | </w:t>
      </w:r>
      <w:r>
        <w:t xml:space="preserve">链接: </w:t>
      </w:r>
      <w:hyperlink r:id="rId168">
        <w:r>
          <w:rPr>
            <w:rFonts w:ascii="Times New Roman" w:hAnsi="Times New Roman" w:eastAsia="宋体"/>
            <w:color w:val="0000FF"/>
            <w:sz w:val="21"/>
            <w:u w:val="single"/>
          </w:rPr>
          <w:t>https://arxiv.org/abs/2602.07931v1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视觉语言模型 (VLM) 通常用于图像中视觉属性的零样本检测。我们提出了用于隐私相关属性识别的开源 VLM 的零样本评估。我们确定了 VLM 表现出强烈的注释者间一致性的属性，并讨论了人类和 VLM 注释的分歧情况。我们的结果表明，当根据人类注释进行评估时，VLM 往往比人类注释者更频繁地预测隐私属性的存在。除此之外，我们发现，在 VLM 之间注释者间高度一致的情况下，它们可以通过识别人类注释者忽略的属性来补充人类注释。这凸显了 VLM 支持大规模图像数据集中隐私注释的潜力。</w:t>
      </w:r>
    </w:p>
    <w:p>
      <w:pPr>
        <w:spacing w:before="120"/>
      </w:pPr>
      <w:r>
        <w:rPr>
          <w:rFonts w:ascii="Times New Roman" w:hAnsi="Times New Roman" w:eastAsia="宋体"/>
          <w:b/>
          <w:sz w:val="21"/>
        </w:rPr>
        <w:t>English Abstract:</w:t>
      </w:r>
    </w:p>
    <w:p>
      <w:r>
        <w:rPr>
          <w:rFonts w:ascii="Times New Roman" w:hAnsi="Times New Roman" w:eastAsia="宋体"/>
          <w:sz w:val="21"/>
        </w:rPr>
        <w:t>Visual Language Models (VLMs) are often used for zero-shot detection of visual attributes in the image. We present a zero-shot evaluation of open-source VLMs for privacy-related attribute recognition. We identify the attributes for which VLMs exhibit strong inter-annotator agreement, and discuss the disagreement cases of human and VLM annotations. Our results show that when evaluated against human annotations, VLMs tend to predict the presence of privacy attributes more often than human annotators. In addition to this, we find that in cases of high inter-annotator agreement between VLMs, they can complement human annotation by identifying attributes overlooked by human annotators. This highlights the potential of VLMs to support privacy annotations in large-scale image datasets.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具有场景适应密度指导的一次性人群计数</w:t>
      </w:r>
    </w:p>
    <w:p>
      <w:r>
        <w:rPr>
          <w:rFonts w:ascii="Times New Roman" w:hAnsi="Times New Roman" w:eastAsia="宋体"/>
          <w:b/>
          <w:color w:val="003264"/>
          <w:sz w:val="24"/>
        </w:rPr>
        <w:t>One-Shot Crowd Counting With Density Guidance For Scene Adaptaion</w:t>
      </w:r>
    </w:p>
    <w:p>
      <w:r>
        <w:rPr>
          <w:rFonts w:ascii="Times New Roman" w:hAnsi="Times New Roman" w:eastAsia="宋体"/>
          <w:sz w:val="21"/>
        </w:rPr>
        <w:t>作者: Jing-Jia Luo</w:t>
        <w:br/>
      </w:r>
      <w:r>
        <w:rPr>
          <w:rFonts w:ascii="Times New Roman" w:hAnsi="Times New Roman" w:eastAsia="宋体"/>
          <w:sz w:val="21"/>
        </w:rPr>
        <w:t xml:space="preserve">时间: 2026-02-08T12:58:47Z | </w:t>
      </w:r>
      <w:r>
        <w:t xml:space="preserve">链接: </w:t>
      </w:r>
      <w:hyperlink r:id="rId169">
        <w:r>
          <w:rPr>
            <w:rFonts w:ascii="Times New Roman" w:hAnsi="Times New Roman" w:eastAsia="宋体"/>
            <w:color w:val="0000FF"/>
            <w:sz w:val="21"/>
            <w:u w:val="single"/>
          </w:rPr>
          <w:t>https://arxiv.org/abs/2602.07955v1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不同地点的摄像机捕捉到的人群场景差异很大，现有的人群模型对于看不见的监控场景的泛化能力有限。为了提高模型的泛化性，我们将不同的监控场景视为不同的类别场景，并引入少样本学习，使模型适应属于给定样本类别场景的未见过的监控场景。为此，我们建议利用局部和全局密度特征来指导看不见的监控场景的人群计数模型。具体来说，为了使模型能够适应目标场景中不同的密度变化，我们提出了多个局部密度学习器来学习表示支持场景中不同密度分布的多个原型。随后，对这些多个局部密度相似度矩阵进行编码。它们被用来以本地方式指导模型。为了进一步适应目标场景中的全局密度，从支持图像中提取全局密度特征，然后用于以全局方式指导模型。对三个监控数据集的实验表明，所提出的方法可以适应看不见的监控场景，并且在少镜头人群计数方面优于最近最先进的方法。</w:t>
      </w:r>
    </w:p>
    <w:p>
      <w:pPr>
        <w:spacing w:before="120"/>
      </w:pPr>
      <w:r>
        <w:rPr>
          <w:rFonts w:ascii="Times New Roman" w:hAnsi="Times New Roman" w:eastAsia="宋体"/>
          <w:b/>
          <w:sz w:val="21"/>
        </w:rPr>
        <w:t>English Abstract:</w:t>
      </w:r>
    </w:p>
    <w:p>
      <w:r>
        <w:rPr>
          <w:rFonts w:ascii="Times New Roman" w:hAnsi="Times New Roman" w:eastAsia="宋体"/>
          <w:sz w:val="21"/>
        </w:rPr>
        <w:t>Crowd scenes captured by cameras at different locations vary greatly, and existing crowd models have limited generalization for unseen surveillance scenes. To improve the generalization of the model, we regard different surveillance scenes as different category scenes, and introduce few-shot learning to make the model adapt to the unseen surveillance scene that belongs to the given exemplar category scene. To this end, we propose to leverage local and global density characteristics to guide the model of crowd counting for unseen surveillance scenes. Specifically, to enable the model to adapt to the varying density variations in the target scene, we propose the multiple local density learner to learn multi prototypes which represent different density distributions in the support scene. Subsequently, these multiple local density similarity matrixes are encoded. And they are utilized to guide the model in a local way. To further adapt to the global density in the target scene, the global density features are extracted from the support image, then it is used to guide the model in a global way. Experiments on three surveillance datasets shows that proposed method can adapt to the unseen surveillance scene and outperform recent state-of-the-art methods in the few-shot crowd counting.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FSP-Diff：用于超低剂量能谱 CT 重建的全谱先验增强双域潜扩散</w:t>
      </w:r>
    </w:p>
    <w:p>
      <w:r>
        <w:rPr>
          <w:rFonts w:ascii="Times New Roman" w:hAnsi="Times New Roman" w:eastAsia="宋体"/>
          <w:b/>
          <w:color w:val="003264"/>
          <w:sz w:val="24"/>
        </w:rPr>
        <w:t>FSP-Diff: Full-Spectrum Prior-Enhanced DualDomain Latent Diffusion for Ultra-Low-Dose Spectral CT Reconstruction</w:t>
      </w:r>
    </w:p>
    <w:p>
      <w:r>
        <w:rPr>
          <w:rFonts w:ascii="Times New Roman" w:hAnsi="Times New Roman" w:eastAsia="宋体"/>
          <w:sz w:val="21"/>
        </w:rPr>
        <w:t>作者: Qiegen Liu</w:t>
        <w:br/>
      </w:r>
      <w:r>
        <w:rPr>
          <w:rFonts w:ascii="Times New Roman" w:hAnsi="Times New Roman" w:eastAsia="宋体"/>
          <w:sz w:val="21"/>
        </w:rPr>
        <w:t xml:space="preserve">时间: 2026-02-08T14:13:19Z | </w:t>
      </w:r>
      <w:r>
        <w:t xml:space="preserve">链接: </w:t>
      </w:r>
      <w:hyperlink r:id="rId170">
        <w:r>
          <w:rPr>
            <w:rFonts w:ascii="Times New Roman" w:hAnsi="Times New Roman" w:eastAsia="宋体"/>
            <w:color w:val="0000FF"/>
            <w:sz w:val="21"/>
            <w:u w:val="single"/>
          </w:rPr>
          <w:t>https://arxiv.org/abs/2602.07979v1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带有光子计数探测器的光谱计算机断层扫描 (CT) 在材料辨别和组织表征方面具有巨大的潜力。然而，在超低剂量条件下，特定能量投影中信噪比（SNR）急剧下降带来了重大挑战，导致重建图像中出现严重的伪影和结构细节丢失。为了解决这个问题，我们提出了 FSP-Diff，一种用于超低剂量能谱 CT 重建的全谱先验增强双域潜在扩散框架。我们的框架集成了三个核心策略：1）互补特征构建：我们将直接图像重建与投影域去噪结果集成。前者在强噪音中保留了潜在的纹理细微差别，而后者则提供了稳定的结构支架来平衡细节保真度和噪音抑制。 2）全谱先验积分：通过将多能量投影融合到高信噪比全谱图像中，我们建立了一个统一的结构参考来指导所有能量箱的重建。 3）高效的潜在扩散合成：为了减轻高维光谱数据的高计算负担，多路径特征被嵌入到紧凑的潜在空间中。这使得扩散过程能够促进低维流形中的交互式特征融合，实现加速重建，同时保持细粒度的细节恢复。对模拟和真实数据集的大量实验表明，FSP-Diff 在图像质量和计算效率方面均显着优于最先进的方法，强调了其在临床上可行的超低剂量能谱 CT 成像的潜力。</w:t>
      </w:r>
    </w:p>
    <w:p>
      <w:pPr>
        <w:spacing w:before="120"/>
      </w:pPr>
      <w:r>
        <w:rPr>
          <w:rFonts w:ascii="Times New Roman" w:hAnsi="Times New Roman" w:eastAsia="宋体"/>
          <w:b/>
          <w:sz w:val="21"/>
        </w:rPr>
        <w:t>English Abstract:</w:t>
      </w:r>
    </w:p>
    <w:p>
      <w:r>
        <w:rPr>
          <w:rFonts w:ascii="Times New Roman" w:hAnsi="Times New Roman" w:eastAsia="宋体"/>
          <w:sz w:val="21"/>
        </w:rPr>
        <w:t>Spectral computed tomography (CT) with photon-counting detectors holds immense potential for material discrimination and tissue characterization. However, under ultra-low-dose conditions, the sharply degraded signal-to-noise ratio (SNR) in energy-specific projections poses a significant challenge, leading to severe artifacts and loss of structural details in reconstructed images. To address this, we propose FSP-Diff, a full-spectrum prior-enhanced dual-domain latent diffusion framework for ultra-low-dose spectral CT reconstruction. Our framework integrates three core strategies: 1) Complementary Feature Construction: We integrate direct image reconstructions with projection-domain denoised results. While the former preserves latent textural nuances amidst heavy noise, the latter provides a stable structural scaffold to balance detail fidelity and noise suppression. 2) Full-Spectrum Prior Integration: By fusing multi-energy projections into a high-SNR full-spectrum image, we establish a unified structural reference that guides the reconstruction across all energy bins. 3) Efficient Latent Diffusion Synthesis: To alleviate the high computational burden of high-dimensional spectral data, multi-path features are embedded into a compact latent space. This allows the diffusion process to facilitate interactive feature fusion in a lower-dimensional manifold, achieving accelerated reconstruction while maintaining fine-grained detail restoration. Extensive experiments on simulated and real-world datasets demonstrate that FSP-Diff significantly outperforms state-of-the-art methods in both image quality and computational efficiency, underscoring its potential for clinically viable ultra-low-dose spectral CT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连续性驱动的协同扩散与神经先验用于超稀疏视图 CBCT 重建</w:t>
      </w:r>
    </w:p>
    <w:p>
      <w:r>
        <w:rPr>
          <w:rFonts w:ascii="Times New Roman" w:hAnsi="Times New Roman" w:eastAsia="宋体"/>
          <w:b/>
          <w:color w:val="003264"/>
          <w:sz w:val="24"/>
        </w:rPr>
        <w:t>Continuity-driven Synergistic Diffusion with Neural Priors for Ultra-Sparse-View CBCT Reconstruction</w:t>
      </w:r>
    </w:p>
    <w:p>
      <w:r>
        <w:rPr>
          <w:rFonts w:ascii="Times New Roman" w:hAnsi="Times New Roman" w:eastAsia="宋体"/>
          <w:sz w:val="21"/>
        </w:rPr>
        <w:t>作者: Qiegen Liu</w:t>
        <w:br/>
      </w:r>
      <w:r>
        <w:rPr>
          <w:rFonts w:ascii="Times New Roman" w:hAnsi="Times New Roman" w:eastAsia="宋体"/>
          <w:sz w:val="21"/>
        </w:rPr>
        <w:t xml:space="preserve">时间: 2026-02-08T14:16:30Z | </w:t>
      </w:r>
      <w:r>
        <w:t xml:space="preserve">链接: </w:t>
      </w:r>
      <w:hyperlink r:id="rId171">
        <w:r>
          <w:rPr>
            <w:rFonts w:ascii="Times New Roman" w:hAnsi="Times New Roman" w:eastAsia="宋体"/>
            <w:color w:val="0000FF"/>
            <w:sz w:val="21"/>
            <w:u w:val="single"/>
          </w:rPr>
          <w:t>https://arxiv.org/abs/2602.07980v1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锥形束计算机断层扫描 (CBCT) 的临床应用受到辐射暴露和图像质量之间固有的权衡的限制。用于减少剂量的超稀疏角度采样会引入严重的欠采样伪影和切片间不一致，从而影响诊断可靠性。现有的重建方法常常难以平衡角度连续性和空间细节保真度。为了应对这些挑战，我们提出了一种连续性驱动的神经先验协同扩散（CSDN），用于超稀疏视图 CBCT 重建。引入神经先验作为编码连续三维衰减表示的结构基础，从而能够从超稀疏测量合成物理一致的密集投影。基于这种基于神经先验的初始化，开发了一种协同扩散策略，由两个协作细化路径组成：恢复角度连续性的正弦图细化扩散（Sino-RD）过程和从投影图像角度强制切片间一致性的数字放射线摄影细化扩散（DR-RD）过程。两个扩散路径的输出由双投影重建融合（DPRF）模块自适应融合，以实现相干体积重建。大量实验表明，所提出的 CSDN 在超稀疏视图条件下有效抑制伪影并恢复精细纹理，优于现有的最先进技术。</w:t>
      </w:r>
    </w:p>
    <w:p>
      <w:pPr>
        <w:spacing w:before="120"/>
      </w:pPr>
      <w:r>
        <w:rPr>
          <w:rFonts w:ascii="Times New Roman" w:hAnsi="Times New Roman" w:eastAsia="宋体"/>
          <w:b/>
          <w:sz w:val="21"/>
        </w:rPr>
        <w:t>English Abstract:</w:t>
      </w:r>
    </w:p>
    <w:p>
      <w:r>
        <w:rPr>
          <w:rFonts w:ascii="Times New Roman" w:hAnsi="Times New Roman" w:eastAsia="宋体"/>
          <w:sz w:val="21"/>
        </w:rPr>
        <w:t>The clinical application of cone-beam computed tomography (CBCT) is constrained by the inherent trade-off between radiation exposure and image quality. Ultra-sparse angular sampling, employed to reduce dose, introduces severe undersampling artifacts and inter-slice inconsistencies, compromising diagnostic reliability. Existing reconstruction methods often struggle to balance angular continuity with spatial detail fidelity. To address these challenges, we propose a Continuity-driven Synergistic Diffusion with Neural priors (CSDN) for ultra-sparse-view CBCT reconstruction. Neural priors are introduced as a structural foundation to encode a continuous threedimensional attenuation representation, enabling the synthesis of physically consistent dense projections from ultra-sparse measurements. Building upon this neural-prior-based initialization, a synergistic diffusion strategy is developed, consisting of two collaborative refinement paths: a Sinogram Refinement Diffusion (Sino-RD) process that restores angular continuity and a Digital Radiography Refinement Diffusion (DR-RD) process that enforces inter-slice consistency from the projection image perspective. The outputs of the two diffusion paths are adaptively fused by the Dual-Projection Reconstruction Fusion (DPRF) module to achieve coherent volumetric reconstruction. Extensive experiments demonstrate that the proposed CSDN effectively suppresses artifacts and recovers fine textures under ultra-sparse-view conditions, outperforming existing state-of-the-art techniques.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MCIE：具有空间指导的多模态法学硕士驱动的复杂指令图像编辑</w:t>
      </w:r>
    </w:p>
    <w:p>
      <w:r>
        <w:rPr>
          <w:rFonts w:ascii="Times New Roman" w:hAnsi="Times New Roman" w:eastAsia="宋体"/>
          <w:b/>
          <w:color w:val="003264"/>
          <w:sz w:val="24"/>
        </w:rPr>
        <w:t>MCIE: Multimodal LLM-Driven Complex Instruction Image Editing with Spatial Guidance</w:t>
      </w:r>
    </w:p>
    <w:p>
      <w:r>
        <w:rPr>
          <w:rFonts w:ascii="Times New Roman" w:hAnsi="Times New Roman" w:eastAsia="宋体"/>
          <w:sz w:val="21"/>
        </w:rPr>
        <w:t>作者: Jack Ma</w:t>
        <w:br/>
      </w:r>
      <w:r>
        <w:rPr>
          <w:rFonts w:ascii="Times New Roman" w:hAnsi="Times New Roman" w:eastAsia="宋体"/>
          <w:sz w:val="21"/>
        </w:rPr>
        <w:t xml:space="preserve">时间: 2026-02-08T14:40:54Z | </w:t>
      </w:r>
      <w:r>
        <w:t xml:space="preserve">链接: </w:t>
      </w:r>
      <w:hyperlink r:id="rId172">
        <w:r>
          <w:rPr>
            <w:rFonts w:ascii="Times New Roman" w:hAnsi="Times New Roman" w:eastAsia="宋体"/>
            <w:color w:val="0000FF"/>
            <w:sz w:val="21"/>
            <w:u w:val="single"/>
          </w:rPr>
          <w:t>https://arxiv.org/abs/2602.07993v1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指令的图像编辑的最新进展已经显示出显着的进步。然而，现有的方法仍然仅限于相对简单的编辑操作，阻碍了需要复杂和组合指令的实际应用。在这项工作中，我们从架构设计、数据和评估协议的角度解决了这些限制。具体来说，我们确定了当前模型中的两个关键挑战：指令合规性不足和背景不一致。为此，我们提出了MCIE-E1，一种多模态大语言模型驱动的复杂指令图像编辑方法，它集成了两个关键模块：空间感知交叉注意模块和背景一致交叉注意模块。前者在去噪过程中通过空间引导将语义指令与空间区域明确对齐，从而增强指令跟踪能力，而后者则保留未编辑区域的特征以保持背景一致性。为了实现有效的训练，我们构建了一个专用的数据管道，以缓解基于指令的复杂图像编辑数据集的稀缺性，将通过强大的 MLLM 进行的细粒度自动过滤与严格的人工验证相结合。最后，为了全面评估复杂的基于指令的图像编辑，我们引入了 CIE-Bench，这是一个具有两个新评估指标的新基准。 CIE-Bench 上的实验结果表明，MCIE-E1 在定量和定性评估方面始终优于以前最先进的方法，指令依从性提高了 23.96%。</w:t>
      </w:r>
    </w:p>
    <w:p>
      <w:pPr>
        <w:spacing w:before="120"/>
      </w:pPr>
      <w:r>
        <w:rPr>
          <w:rFonts w:ascii="Times New Roman" w:hAnsi="Times New Roman" w:eastAsia="宋体"/>
          <w:b/>
          <w:sz w:val="21"/>
        </w:rPr>
        <w:t>English Abstract:</w:t>
      </w:r>
    </w:p>
    <w:p>
      <w:r>
        <w:rPr>
          <w:rFonts w:ascii="Times New Roman" w:hAnsi="Times New Roman" w:eastAsia="宋体"/>
          <w:sz w:val="21"/>
        </w:rPr>
        <w:t>Recent advances in instruction-based image editing have shown remarkable progress. However, existing methods remain limited to relatively simple editing operations, hindering real-world applications that require complex and compositional instructions. In this work, we address these limitations from the perspectives of architectural design, data, and evaluation protocols. Specifically, we identify two key challenges in current models: insufficient instruction compliance and background inconsistency. To this end, we propose MCIE-E1, a Multimodal Large Language Model-Driven Complex Instruction Image Editing method that integrates two key modules: a spatial-aware cross-attention module and a background-consistent cross-attention module. The former enhances instruction-following capability by explicitly aligning semantic instructions with spatial regions through spatial guidance during the denoising process, while the latter preserves features in unedited regions to maintain background consistency. To enable effective training, we construct a dedicated data pipeline to mitigate the scarcity of complex instruction-based image editing datasets, combining fine-grained automatic filtering via a powerful MLLM with rigorous human validation. Finally, to comprehensively evaluate complex instruction-based image editing, we introduce CIE-Bench, a new benchmark with two new evaluation metrics. Experimental results on CIE-Bench demonstrate that MCIE-E1 consistently outperforms previous state-of-the-art methods in both quantitative and qualitative assessments, achieving a 23.96% improvement in instruction compliance.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ForecastOcc：基于视觉的语义占用预测</w:t>
      </w:r>
    </w:p>
    <w:p>
      <w:r>
        <w:rPr>
          <w:rFonts w:ascii="Times New Roman" w:hAnsi="Times New Roman" w:eastAsia="宋体"/>
          <w:b/>
          <w:color w:val="003264"/>
          <w:sz w:val="24"/>
        </w:rPr>
        <w:t>ForecastOcc: Vision-based Semantic Occupancy Forecasting</w:t>
      </w:r>
    </w:p>
    <w:p>
      <w:r>
        <w:rPr>
          <w:rFonts w:ascii="Times New Roman" w:hAnsi="Times New Roman" w:eastAsia="宋体"/>
          <w:sz w:val="21"/>
        </w:rPr>
        <w:t>作者: Abhinav Valada</w:t>
        <w:br/>
      </w:r>
      <w:r>
        <w:rPr>
          <w:rFonts w:ascii="Times New Roman" w:hAnsi="Times New Roman" w:eastAsia="宋体"/>
          <w:sz w:val="21"/>
        </w:rPr>
        <w:t xml:space="preserve">时间: 2026-02-08T15:16:06Z | </w:t>
      </w:r>
      <w:r>
        <w:t xml:space="preserve">链接: </w:t>
      </w:r>
      <w:hyperlink r:id="rId173">
        <w:r>
          <w:rPr>
            <w:rFonts w:ascii="Times New Roman" w:hAnsi="Times New Roman" w:eastAsia="宋体"/>
            <w:color w:val="0000FF"/>
            <w:sz w:val="21"/>
            <w:u w:val="single"/>
          </w:rPr>
          <w:t>https://arxiv.org/abs/2602.08006v1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动驾驶需要随着时间的推移预测几何和语义，以有效地推理未来的环境状态。现有的基于视觉的占用预测方法侧重于与运动相关的类别，例如静态和动态对象，而语义信息仍然基本上不存在。最近的语义占用预测方法解决了这一差距，但依赖于从单独网络获得的过去占用预测。这使得当前的方法对误差积累敏感，并阻止直接从图像中学习时空特征。在这项工作中，我们提出了 ForecastOcc，这是第一个基于视觉的语义占用预测框架，可联合预测未来的占用状态和语义类别。我们的框架直接从过去的相机图像生成多个视野的语义占用预测，而不依赖于外部估计的地图。我们在两个互补的设置中评估 ForecastOcc：Occ3D-nuScenes 数据集上的多视图预测和 SemanticKITTI 上的单目预测，我们在其中为此任务建立了第一个基准。我们通过在我们的框架内调整两个二维预测模块来引入第一个基线。重要的是，我们提出了一种新颖的架构，其中包含时间交叉注意力预测模块、2D 到 3D 视图变换器、用于占用预测的 3D 编码器以及用于跨多个视野的体素级预测的语义占用头。对这两个数据集进行的大量实验表明，ForecastOcc 的性能始终优于基线，产生语义丰富、具有未来感知能力的预测，捕捉对自动驾驶至关重要的场景动态和语义。</w:t>
      </w:r>
    </w:p>
    <w:p>
      <w:pPr>
        <w:spacing w:before="120"/>
      </w:pPr>
      <w:r>
        <w:rPr>
          <w:rFonts w:ascii="Times New Roman" w:hAnsi="Times New Roman" w:eastAsia="宋体"/>
          <w:b/>
          <w:sz w:val="21"/>
        </w:rPr>
        <w:t>English Abstract:</w:t>
      </w:r>
    </w:p>
    <w:p>
      <w:r>
        <w:rPr>
          <w:rFonts w:ascii="Times New Roman" w:hAnsi="Times New Roman" w:eastAsia="宋体"/>
          <w:sz w:val="21"/>
        </w:rPr>
        <w:t>Autonomous driving requires forecasting both geometry and semantics over time to effectively reason about future environment states. Existing vision-based occupancy forecasting methods focus on motion-related categories such as static and dynamic objects, while semantic information remains largely absent. Recent semantic occupancy forecasting approaches address this gap but rely on past occupancy predictions obtained from separate networks. This makes current methods sensitive to error accumulation and prevents learning spatio-temporal features directly from images. In this work, we present ForecastOcc, the first framework for vision-based semantic occupancy forecasting that jointly predicts future occupancy states and semantic categories. Our framework yields semantic occupancy forecasts for multiple horizons directly from past camera images, without relying on externally estimated maps. We evaluate ForecastOcc in two complementary settings: multi-view forecasting on the Occ3D-nuScenes dataset and monocular forecasting on SemanticKITTI, where we establish the first benchmark for this task. We introduce the first baselines by adapting two 2D forecasting modules within our framework. Importantly, we propose a novel architecture that incorporates a temporal cross-attention forecasting module, a 2D-to-3D view transformer, a 3D encoder for occupancy prediction, and a semantic occupancy head for voxel-level forecasts across multiple horizons. Extensive experiments on both datasets show that ForecastOcc consistently outperforms baselines, yielding semantically rich, future-aware predictions that capture scene dynamics and semantics critical for autonomous driving.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MIND：世界模型中内存一致性和动作控制的基准测试</w:t>
      </w:r>
    </w:p>
    <w:p>
      <w:r>
        <w:rPr>
          <w:rFonts w:ascii="Times New Roman" w:hAnsi="Times New Roman" w:eastAsia="宋体"/>
          <w:b/>
          <w:color w:val="003264"/>
          <w:sz w:val="24"/>
        </w:rPr>
        <w:t>MIND: Benchmarking Memory Consistency and Action Control in World Models</w:t>
      </w:r>
    </w:p>
    <w:p>
      <w:r>
        <w:rPr>
          <w:rFonts w:ascii="Times New Roman" w:hAnsi="Times New Roman" w:eastAsia="宋体"/>
          <w:sz w:val="21"/>
        </w:rPr>
        <w:t>作者: Alex Jinpeng Wang</w:t>
        <w:br/>
      </w:r>
      <w:r>
        <w:rPr>
          <w:rFonts w:ascii="Times New Roman" w:hAnsi="Times New Roman" w:eastAsia="宋体"/>
          <w:sz w:val="21"/>
        </w:rPr>
        <w:t xml:space="preserve">时间: 2026-02-08T15:57:23Z | </w:t>
      </w:r>
      <w:r>
        <w:t xml:space="preserve">链接: </w:t>
      </w:r>
      <w:hyperlink r:id="rId174">
        <w:r>
          <w:rPr>
            <w:rFonts w:ascii="Times New Roman" w:hAnsi="Times New Roman" w:eastAsia="宋体"/>
            <w:color w:val="0000FF"/>
            <w:sz w:val="21"/>
            <w:u w:val="single"/>
          </w:rPr>
          <w:t>https://arxiv.org/abs/2602.08025v1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世界模型旨在理解、记忆和预测动态视觉环境，但仍然缺乏评估其基本能力的统一基准。为了解决这一差距，我们引入了 MIND，这是第一个开放域闭环重访基准，用于评估世界模型中的内存一致性和动作控制。 MIND 包含 250 个 1080p 和 24 FPS 的高质量视频，其中包括共享动作空间下的 100 个（第一人称）+ 100 个（第三人称）视频剪辑以及覆盖八个不同场景的不同动作空间中的 25 + 25 个剪辑。我们设计了一个有效的评估框架来衡量两个核心能力：记忆一致性和动作控制，捕获跨观点的时间稳定性和上下文连贯性。此外，我们设计了各种动作空间，包括不同的角色移动速度和摄像机旋转角度，以评估共享场景下不同动作空间的动作泛化能力。为了促进 MIND 未来的性能基准测试，我们引入了 MIND-World，一种新颖的交互式视频到世界基线。大量实验证明了 MIND 的完整性，并揭示了当前世界模型中的关键挑战，包括维持长期记忆一致性和跨行动空间泛化的困难。项目页面：https://csu-jpg.github.io/MIND.github.io/</w:t>
      </w:r>
    </w:p>
    <w:p>
      <w:pPr>
        <w:spacing w:before="120"/>
      </w:pPr>
      <w:r>
        <w:rPr>
          <w:rFonts w:ascii="Times New Roman" w:hAnsi="Times New Roman" w:eastAsia="宋体"/>
          <w:b/>
          <w:sz w:val="21"/>
        </w:rPr>
        <w:t>English Abstract:</w:t>
      </w:r>
    </w:p>
    <w:p>
      <w:r>
        <w:rPr>
          <w:rFonts w:ascii="Times New Roman" w:hAnsi="Times New Roman" w:eastAsia="宋体"/>
          <w:sz w:val="21"/>
        </w:rPr>
        <w:t>World models aim to understand, remember, and predict dynamic visual environments, yet a unified benchmark for evaluating their fundamental abilities remains lacking. To address this gap, we introduce MIND, the first open-domain closed-loop revisited benchmark for evaluating Memory consIstency and action coNtrol in worlD models. MIND contains 250 high-quality videos at 1080p and 24 FPS, including 100 (first-person) + 100 (third-person) video clips under a shared action space and 25 + 25 clips across varied action spaces covering eight diverse scenes. We design an efficient evaluation framework to measure two core abilities: memory consistency and action control, capturing temporal stability and contextual coherence across viewpoints. Furthermore, we design various action spaces, including different character movement speeds and camera rotation angles, to evaluate the action generalization capability across different action spaces under shared scenes. To facilitate future performance benchmarking on MIND, we introduce MIND-World, a novel interactive Video-to-World baseline. Extensive experiments demonstrate the completeness of MIND and reveal key challenges in current world models, including the difficulty of maintaining long-term memory consistency and generalizing across action spaces. Project page: https://csu-jpg.github.io/MIND.github.io/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具有物理信息神经场的动态黑洞发射断层扫描</w:t>
      </w:r>
    </w:p>
    <w:p>
      <w:r>
        <w:rPr>
          <w:rFonts w:ascii="Times New Roman" w:hAnsi="Times New Roman" w:eastAsia="宋体"/>
          <w:b/>
          <w:color w:val="003264"/>
          <w:sz w:val="24"/>
        </w:rPr>
        <w:t>Dynamic Black-hole Emission Tomography with Physics-informed Neural Fields</w:t>
      </w:r>
    </w:p>
    <w:p>
      <w:r>
        <w:rPr>
          <w:rFonts w:ascii="Times New Roman" w:hAnsi="Times New Roman" w:eastAsia="宋体"/>
          <w:sz w:val="21"/>
        </w:rPr>
        <w:t>作者: Katherine L. Bouman</w:t>
        <w:br/>
      </w:r>
      <w:r>
        <w:rPr>
          <w:rFonts w:ascii="Times New Roman" w:hAnsi="Times New Roman" w:eastAsia="宋体"/>
          <w:sz w:val="21"/>
        </w:rPr>
        <w:t xml:space="preserve">时间: 2026-02-08T16:03:25Z | </w:t>
      </w:r>
      <w:r>
        <w:t xml:space="preserve">链接: </w:t>
      </w:r>
      <w:hyperlink r:id="rId175">
        <w:r>
          <w:rPr>
            <w:rFonts w:ascii="Times New Roman" w:hAnsi="Times New Roman" w:eastAsia="宋体"/>
            <w:color w:val="0000FF"/>
            <w:sz w:val="21"/>
            <w:u w:val="single"/>
          </w:rPr>
          <w:t>https://arxiv.org/abs/2602.08029v1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随着静态黑洞成像的成功，下一个前沿是黑洞的动态和 3D 成像。回收黑洞附近的动态 3D 气体将揭示宇宙中以前未见过的部分，并为新的物理模型提供信息。然而，只能从单一视点进行稀疏无线电测量，这使得动态 3D 重建问题明显不适定。此前，BH-NeRF 通过假设气体的开普勒动力学来解决不适定问题，但这种假设在黑洞附近失效，因为黑洞的强大引力和增加的电磁活动使流体动力学变得复杂。为了克服 BH-NeRF 的限制性假设，我们提出了 PI-DEF，这是一种基于物理的方法，它使用可微分神经渲染来拟合给定 EHT 测量的 4D（时间 + 3D）发射率场。我们的方法联合重建 3D 速度场和 4D 发射率场，并将速度强制作为发射率动态的软约束。在模拟数据的实验中，我们发现比 BH-NeRF 和物理不可知方法的重建精度显着提高。我们演示了如何使用我们的方法来估计黑洞的其他物理参数，例如它的自旋。</w:t>
      </w:r>
    </w:p>
    <w:p>
      <w:pPr>
        <w:spacing w:before="120"/>
      </w:pPr>
      <w:r>
        <w:rPr>
          <w:rFonts w:ascii="Times New Roman" w:hAnsi="Times New Roman" w:eastAsia="宋体"/>
          <w:b/>
          <w:sz w:val="21"/>
        </w:rPr>
        <w:t>English Abstract:</w:t>
      </w:r>
    </w:p>
    <w:p>
      <w:r>
        <w:rPr>
          <w:rFonts w:ascii="Times New Roman" w:hAnsi="Times New Roman" w:eastAsia="宋体"/>
          <w:sz w:val="21"/>
        </w:rPr>
        <w:t>With the success of static black-hole imaging, the next frontier is the dynamic and 3D imaging of black holes. Recovering the dynamic 3D gas near a black hole would reveal previously-unseen parts of the universe and inform new physics models. However, only sparse radio measurements from a single viewpoint are possible, making the dynamic 3D reconstruction problem significantly ill-posed. Previously, BH-NeRF addressed the ill-posed problem by assuming Keplerian dynamics of the gas, but this assumption breaks down near the black hole, where the strong gravitational pull of the black hole and increased electromagnetic activity complicate fluid dynamics. To overcome the restrictive assumptions of BH-NeRF, we propose PI-DEF, a physics-informed approach that uses differentiable neural rendering to fit a 4D (time + 3D) emissivity field given EHT measurements. Our approach jointly reconstructs the 3D velocity field with the 4D emissivity field and enforces the velocity as a soft constraint on the dynamics of the emissivity. In experiments on simulated data, we find significantly improved reconstruction accuracy over both BH-NeRF and a physics-agnostic approach. We demonstrate how our method may be used to estimate other physics parameters of the black hole, such as its spin.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从弱到强：基于 VLM 的伪标签作为基于多模态视频的隐藏情感理解任务中的弱监督训练策略</w:t>
      </w:r>
    </w:p>
    <w:p>
      <w:r>
        <w:rPr>
          <w:rFonts w:ascii="Times New Roman" w:hAnsi="Times New Roman" w:eastAsia="宋体"/>
          <w:b/>
          <w:color w:val="003264"/>
          <w:sz w:val="24"/>
        </w:rPr>
        <w:t>Weak to Strong: VLM-Based Pseudo-Labeling as a Weakly Supervised Training Strategy in Multimodal Video-based Hidden Emotion Understanding Tasks</w:t>
      </w:r>
    </w:p>
    <w:p>
      <w:r>
        <w:rPr>
          <w:rFonts w:ascii="Times New Roman" w:hAnsi="Times New Roman" w:eastAsia="宋体"/>
          <w:sz w:val="21"/>
        </w:rPr>
        <w:t>作者: Hongsheng Xing</w:t>
        <w:br/>
      </w:r>
      <w:r>
        <w:rPr>
          <w:rFonts w:ascii="Times New Roman" w:hAnsi="Times New Roman" w:eastAsia="宋体"/>
          <w:sz w:val="21"/>
        </w:rPr>
        <w:t xml:space="preserve">时间: 2026-02-08T17:02:55Z | </w:t>
      </w:r>
      <w:r>
        <w:t xml:space="preserve">链接: </w:t>
      </w:r>
      <w:hyperlink r:id="rId176">
        <w:r>
          <w:rPr>
            <w:rFonts w:ascii="Times New Roman" w:hAnsi="Times New Roman" w:eastAsia="宋体"/>
            <w:color w:val="0000FF"/>
            <w:sz w:val="21"/>
            <w:u w:val="single"/>
          </w:rPr>
          <w:t>https://arxiv.org/abs/2602.08057v1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为了解决视频中“隐藏情绪”的自动识别问题，本文提出了一种多模态弱监督框架，并在 iMiGUE 网球采访数据集上取得了最先进的结果。首先，YOLO 11x 逐帧检测并裁剪人体肖像，DINOv2-Base 从裁剪区域中提取视觉特征。接下来，通过整合思想链和反射提示（CoT + Reflection），Gemini 2.5 Pro自动生成伪标签和推理文本，作为下游模型的弱监督。随后，OpenPose 生成 137 维关键点序列，并通过帧间偏移特征进行增强；通常的图神经网络主干被简化为 MLP，以有效地建模三个关键点流的时空关系。超长序列 Transformer 独立编码图像和关键点序列，并将它们的表示与 BERT 编码的访谈记录连接起来。每种模态首先单独进行预训练，然后联合微调，将伪标记样本合并到训练集中以获得进一步的增益。实验表明，尽管存在严重的类别不平衡，所提出的方法仍将准确率从之前工作中的 0.6 以下提高到 0.69 以上，建立了新的公共基准。该研究还验证了“MLP 化”关键点主干可以在该任务中匹配甚至超越基于 GCN 的对应主干。</w:t>
      </w:r>
    </w:p>
    <w:p>
      <w:pPr>
        <w:spacing w:before="120"/>
      </w:pPr>
      <w:r>
        <w:rPr>
          <w:rFonts w:ascii="Times New Roman" w:hAnsi="Times New Roman" w:eastAsia="宋体"/>
          <w:b/>
          <w:sz w:val="21"/>
        </w:rPr>
        <w:t>English Abstract:</w:t>
      </w:r>
    </w:p>
    <w:p>
      <w:r>
        <w:rPr>
          <w:rFonts w:ascii="Times New Roman" w:hAnsi="Times New Roman" w:eastAsia="宋体"/>
          <w:sz w:val="21"/>
        </w:rPr>
        <w:t>To tackle the automatic recognition of "concealed emotions" in videos, this paper proposes a multimodal weak-supervision framework and achieves state-of-the-art results on the iMiGUE tennis-interview dataset. First, YOLO 11x detects and crops human portraits frame-by-frame, and DINOv2-Base extracts visual features from the cropped regions. Next, by integrating Chain-of-Thought and Reflection prompting (CoT + Reflection), Gemini 2.5 Pro automatically generates pseudo-labels and reasoning texts that serve as weak supervision for downstream models. Subsequently, OpenPose produces 137-dimensional key-point sequences, augmented with inter-frame offset features; the usual graph neural network backbone is simplified to an MLP to efficiently model the spatiotemporal relationships of the three key-point streams. An ultra-long-sequence Transformer independently encodes both the image and key-point sequences, and their representations are concatenated with BERT-encoded interview transcripts. Each modality is first pre-trained in isolation, then fine-tuned jointly, with pseudo-labeled samples merged into the training set for further gains. Experiments demonstrate that, despite severe class imbalance, the proposed approach lifts accuracy from under 0.6 in prior work to over 0.69, establishing a new public benchmark. The study also validates that an "MLP-ified" key-point backbone can match - or even surpass - GCN-based counterparts in this task.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DICE：通过扩散模型中的对比子空间分解将艺术家风格与内容分离</w:t>
      </w:r>
    </w:p>
    <w:p>
      <w:r>
        <w:rPr>
          <w:rFonts w:ascii="Times New Roman" w:hAnsi="Times New Roman" w:eastAsia="宋体"/>
          <w:b/>
          <w:color w:val="003264"/>
          <w:sz w:val="24"/>
        </w:rPr>
        <w:t>DICE: Disentangling Artist Style from Content via Contrastive Subspace Decomposition in Diffusion Models</w:t>
      </w:r>
    </w:p>
    <w:p>
      <w:r>
        <w:rPr>
          <w:rFonts w:ascii="Times New Roman" w:hAnsi="Times New Roman" w:eastAsia="宋体"/>
          <w:sz w:val="21"/>
        </w:rPr>
        <w:t>作者: Jianyi Liu</w:t>
        <w:br/>
      </w:r>
      <w:r>
        <w:rPr>
          <w:rFonts w:ascii="Times New Roman" w:hAnsi="Times New Roman" w:eastAsia="宋体"/>
          <w:sz w:val="21"/>
        </w:rPr>
        <w:t xml:space="preserve">时间: 2026-02-08T17:06:48Z | </w:t>
      </w:r>
      <w:r>
        <w:t xml:space="preserve">链接: </w:t>
      </w:r>
      <w:hyperlink r:id="rId177">
        <w:r>
          <w:rPr>
            <w:rFonts w:ascii="Times New Roman" w:hAnsi="Times New Roman" w:eastAsia="宋体"/>
            <w:color w:val="0000FF"/>
            <w:sz w:val="21"/>
            <w:u w:val="single"/>
          </w:rPr>
          <w:t>https://arxiv.org/abs/2602.08059v1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ReRoPE：重新利用 RoPE 进行相对摄像机控制</w:t>
      </w:r>
    </w:p>
    <w:p>
      <w:r>
        <w:rPr>
          <w:rFonts w:ascii="Times New Roman" w:hAnsi="Times New Roman" w:eastAsia="宋体"/>
          <w:b/>
          <w:color w:val="003264"/>
          <w:sz w:val="24"/>
        </w:rPr>
        <w:t>ReRoPE: Repurposing RoPE for Relative Camera Control</w:t>
      </w:r>
    </w:p>
    <w:p>
      <w:r>
        <w:rPr>
          <w:rFonts w:ascii="Times New Roman" w:hAnsi="Times New Roman" w:eastAsia="宋体"/>
          <w:sz w:val="21"/>
        </w:rPr>
        <w:t>作者: Yiyi Liao</w:t>
        <w:br/>
      </w:r>
      <w:r>
        <w:rPr>
          <w:rFonts w:ascii="Times New Roman" w:hAnsi="Times New Roman" w:eastAsia="宋体"/>
          <w:sz w:val="21"/>
        </w:rPr>
        <w:t xml:space="preserve">时间: 2026-02-08T17:49:10Z | </w:t>
      </w:r>
      <w:r>
        <w:t xml:space="preserve">链接: </w:t>
      </w:r>
      <w:hyperlink r:id="rId178">
        <w:r>
          <w:rPr>
            <w:rFonts w:ascii="Times New Roman" w:hAnsi="Times New Roman" w:eastAsia="宋体"/>
            <w:color w:val="0000FF"/>
            <w:sz w:val="21"/>
            <w:u w:val="single"/>
          </w:rPr>
          <w:t>https://arxiv.org/abs/2602.08068v1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可控摄像机视点的视频生成对于交互式内容创建、游戏和模拟等应用至关重要。现有方法通常使用相对于固定参考（例如第一帧）的相机姿势来调整预先训练的视频模型。然而，这些编码缺乏平移不变性，通常导致泛化能力差和累积漂移。虽然在任意视图对之间定义的相对相机姿势嵌入提供了更强大的替代方案，但将它们集成到预先训练的视频扩散模型中而不需要高昂的训练成本或架构变化仍然具有挑战性。我们引入了 ReRoPE，这是一个即插即用的框架，它将相关摄像机信息合并到预先训练的视频扩散模型中，而不影响其生成能力。我们的方法基于这样的见解：现有模型中的旋转位置嵌入 (RoPE) 未充分利用其完整频谱带宽，特别是在低频分量中。通过将相对相机姿态信息无缝注入这些未充分利用的频段，ReRoPE 实现了精确控制，同时保留了强大的预先训练的生成先验。我们在图像到视频（I2V）和视频到视频（V2V）任务上从相机控制精度和视觉保真度方面评估了我们的方法。我们的结果表明，ReRoPE 提供了一条实现可控、高保真视频生成的高效训练路径。有关更多结果，请参阅项目页面：https://sisyphe-lee.github.io/ReRoPE/</w:t>
      </w:r>
    </w:p>
    <w:p>
      <w:pPr>
        <w:spacing w:before="120"/>
      </w:pPr>
      <w:r>
        <w:rPr>
          <w:rFonts w:ascii="Times New Roman" w:hAnsi="Times New Roman" w:eastAsia="宋体"/>
          <w:b/>
          <w:sz w:val="21"/>
        </w:rPr>
        <w:t>English Abstract:</w:t>
      </w:r>
    </w:p>
    <w:p>
      <w:r>
        <w:rPr>
          <w:rFonts w:ascii="Times New Roman" w:hAnsi="Times New Roman" w:eastAsia="宋体"/>
          <w:sz w:val="21"/>
        </w:rPr>
        <w:t>Video generation with controllable camera viewpoints is essential for applications such as interactive content creation, gaming, and simulation. Existing methods typically adapt pre-trained video models using camera poses relative to a fixed reference, e.g., the first frame. However, these encodings lack shift-invariance, often leading to poor generalization and accumulated drift. While relative camera pose embeddings defined between arbitrary view pairs offer a more robust alternative, integrating them into pre-trained video diffusion models without prohibitive training costs or architectural changes remains challenging. We introduce ReRoPE, a plug-and-play framework that incorporates relative camera information into pre-trained video diffusion models without compromising their generation capability. Our approach is based on the insight that Rotary Positional Embeddings (RoPE) in existing models underutilize their full spectral bandwidth, particularly in the low-frequency components. By seamlessly injecting relative camera pose information into these underutilized bands, ReRoPE achieves precise control while preserving strong pre-trained generative priors. We evaluate our method on both image-to-video (I2V) and video-to-video (V2V) tasks in terms of camera control accuracy and visual fidelity. Our results demonstrate that ReRoPE offers a training-efficient path toward controllable, high-fidelity video generation. See project page for more results: https://sisyphe-lee.github.io/ReRoPE/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MMLSv2：遥感图像中火星滑坡检测的多模态数据集</w:t>
      </w:r>
    </w:p>
    <w:p>
      <w:r>
        <w:rPr>
          <w:rFonts w:ascii="Times New Roman" w:hAnsi="Times New Roman" w:eastAsia="宋体"/>
          <w:b/>
          <w:color w:val="003264"/>
          <w:sz w:val="24"/>
        </w:rPr>
        <w:t>MMLSv2: A Multimodal Dataset for Martian Landslide Detection in Remote Sensing Imagery</w:t>
      </w:r>
    </w:p>
    <w:p>
      <w:r>
        <w:rPr>
          <w:rFonts w:ascii="Times New Roman" w:hAnsi="Times New Roman" w:eastAsia="宋体"/>
          <w:sz w:val="21"/>
        </w:rPr>
        <w:t>作者: Thomas Oommen</w:t>
        <w:br/>
      </w:r>
      <w:r>
        <w:rPr>
          <w:rFonts w:ascii="Times New Roman" w:hAnsi="Times New Roman" w:eastAsia="宋体"/>
          <w:sz w:val="21"/>
        </w:rPr>
        <w:t xml:space="preserve">时间: 2026-02-08T20:25:34Z | </w:t>
      </w:r>
      <w:r>
        <w:t xml:space="preserve">链接: </w:t>
      </w:r>
      <w:hyperlink r:id="rId179">
        <w:r>
          <w:rPr>
            <w:rFonts w:ascii="Times New Roman" w:hAnsi="Times New Roman" w:eastAsia="宋体"/>
            <w:color w:val="0000FF"/>
            <w:sz w:val="21"/>
            <w:u w:val="single"/>
          </w:rPr>
          <w:t>https://arxiv.org/abs/2602.08112v1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 MMLSv2，这是一个用于火星表面滑坡分割的数据集。 MMLSv2 由具有七个波段的多模态图像组成：RGB、数字高程模型、坡度、热惯性和灰度通道。 MMLSv2 包含分布在训练、验证和测试部分的 664 个图像。此外，还发布了来自基础数据集地理上不相交区域的 276 张图像的独立测试集，以评估空间泛化。使用多个分割模型进行的实验表明，该数据集支持稳定的训练并取得了有竞争力的性能，同时在碎片化、细长和小规模的滑坡区域仍然构成了挑战。对孤立测试集的评估会导致性能显着下降，这表明难度增加，并突出了其对于评估模型稳健性和超出标准分布设置的泛化性的价值。数据集将在以下位置提供：https://github.com/MAIN-Lab/MMLS_v2</w:t>
      </w:r>
    </w:p>
    <w:p>
      <w:pPr>
        <w:spacing w:before="120"/>
      </w:pPr>
      <w:r>
        <w:rPr>
          <w:rFonts w:ascii="Times New Roman" w:hAnsi="Times New Roman" w:eastAsia="宋体"/>
          <w:b/>
          <w:sz w:val="21"/>
        </w:rPr>
        <w:t>English Abstract:</w:t>
      </w:r>
    </w:p>
    <w:p>
      <w:r>
        <w:rPr>
          <w:rFonts w:ascii="Times New Roman" w:hAnsi="Times New Roman" w:eastAsia="宋体"/>
          <w:sz w:val="21"/>
        </w:rPr>
        <w:t>We present MMLSv2, a dataset for landslide segmentation on Martian surfaces. MMLSv2 consists of multimodal imagery with seven bands: RGB, digital elevation model, slope, thermal inertia, and grayscale channels. MMLSv2 comprises 664 images distributed across training, validation, and test splits. In addition, an isolated test set of 276 images from a geographically disjoint region from the base dataset is released to evaluate spatial generalization. Experiments conducted with multiple segmentation models show that the dataset supports stable training and achieves competitive performance, while still posing challenges in fragmented, elongated, and small-scale landslide regions. Evaluation on the isolated test set leads to a noticeable performance drop, indicating increased difficulty and highlighting its value for assessing model robustness and generalization beyond standard in-distribution settings. Dataset will be available at: https://github.com/MAIN-Lab/MMLS_v2</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MambaFusion：用于多模态 3D 物体检测的自适应状态空间融合</w:t>
      </w:r>
    </w:p>
    <w:p>
      <w:r>
        <w:rPr>
          <w:rFonts w:ascii="Times New Roman" w:hAnsi="Times New Roman" w:eastAsia="宋体"/>
          <w:b/>
          <w:color w:val="003264"/>
          <w:sz w:val="24"/>
        </w:rPr>
        <w:t>MambaFusion: Adaptive State-Space Fusion for Multimodal 3D Object Detection</w:t>
      </w:r>
    </w:p>
    <w:p>
      <w:r>
        <w:rPr>
          <w:rFonts w:ascii="Times New Roman" w:hAnsi="Times New Roman" w:eastAsia="宋体"/>
          <w:sz w:val="21"/>
        </w:rPr>
        <w:t>作者: Senthil Yogamani</w:t>
        <w:br/>
      </w:r>
      <w:r>
        <w:rPr>
          <w:rFonts w:ascii="Times New Roman" w:hAnsi="Times New Roman" w:eastAsia="宋体"/>
          <w:sz w:val="21"/>
        </w:rPr>
        <w:t xml:space="preserve">时间: 2026-02-08T21:10:46Z | </w:t>
      </w:r>
      <w:r>
        <w:t xml:space="preserve">链接: </w:t>
      </w:r>
      <w:hyperlink r:id="rId180">
        <w:r>
          <w:rPr>
            <w:rFonts w:ascii="Times New Roman" w:hAnsi="Times New Roman" w:eastAsia="宋体"/>
            <w:color w:val="0000FF"/>
            <w:sz w:val="21"/>
            <w:u w:val="single"/>
          </w:rPr>
          <w:t>https://arxiv.org/abs/2602.08126v1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可靠的 3D 物体检测是自动驾驶的基础，而使用摄像头和 LiDAR 的多模态融合算法仍然是一个持续的挑战。相机提供了密集的视觉线索，但深度的姿势不佳； LiDAR 提供精确的 3D 结构，但覆盖范围稀疏。现有的基于 BEV 的融合框架取得了良好的进展，但它们存在一些困难，包括低效的上下文建模、空间不变的融合以及不确定性下的推理。我们推出 MambaFusion，这是一个统一的多模态检测框架，可实现高效、自适应且基于物理的 3D 感知。 MambaFusion 将选择性状态空间模型 (SSM) 与窗口变换器交织在一起，以线性时间传播全局上下文，同时保留局部几何保真度。多模态标记对齐 (MTA) 模块和可靠性感知融合门根据空间置信度和校准一致性动态重新加权相机-LiDAR 特征。最后，结构条件扩散头将基于图形的推理与不确定性感知降噪相结合，增强物理合理性和校准置信度。 MambaFusion 在 nuScenes 基准上建立了新的最先进的性能，同时以线性时间复杂度运行。该框架表明，将基于 SSM 的效率与可靠性驱动的融合相结合，可以为现实世界的自动驾驶系统带来稳健、时间稳定且可解释的 3D 感知。</w:t>
      </w:r>
    </w:p>
    <w:p>
      <w:pPr>
        <w:spacing w:before="120"/>
      </w:pPr>
      <w:r>
        <w:rPr>
          <w:rFonts w:ascii="Times New Roman" w:hAnsi="Times New Roman" w:eastAsia="宋体"/>
          <w:b/>
          <w:sz w:val="21"/>
        </w:rPr>
        <w:t>English Abstract:</w:t>
      </w:r>
    </w:p>
    <w:p>
      <w:r>
        <w:rPr>
          <w:rFonts w:ascii="Times New Roman" w:hAnsi="Times New Roman" w:eastAsia="宋体"/>
          <w:sz w:val="21"/>
        </w:rPr>
        <w:t>Reliable 3D object detection is fundamental to autonomous driving, and multimodal fusion algorithms using cameras and LiDAR remain a persistent challenge. Cameras provide dense visual cues but ill posed depth; LiDAR provides a precise 3D structure but sparse coverage. Existing BEV-based fusion frameworks have made good progress, but they have difficulties including inefficient context modeling, spatially invariant fusion, and reasoning under uncertainty. We introduce MambaFusion, a unified multi-modal detection framework that achieves efficient, adaptive, and physically grounded 3D perception. MambaFusion interleaves selective state-space models (SSMs) with windowed transformers to propagate the global context in linear time while preserving local geometric fidelity. A multi-modal token alignment (MTA) module and reliability-aware fusion gates dynamically re-weight camera-LiDAR features based on spatial confidence and calibration consistency. Finally, a structure-conditioned diffusion head integrates graph-based reasoning with uncertainty-aware denoising, enforcing physical plausibility, and calibrated confidence. MambaFusion establishes new state-of-the-art performance on nuScenes benchmarks while operating with linear-time complexity. The framework demonstrates that coupling SSM-based efficiency with reliability-driven fusion yields robust, temporally stable, and interpretable 3D perception for real-world autonomous driving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视觉语言模型对抗裂像有害输入攻击的鲁棒性</w:t>
      </w:r>
    </w:p>
    <w:p>
      <w:r>
        <w:rPr>
          <w:rFonts w:ascii="Times New Roman" w:hAnsi="Times New Roman" w:eastAsia="宋体"/>
          <w:b/>
          <w:color w:val="003264"/>
          <w:sz w:val="24"/>
        </w:rPr>
        <w:t>Robustness of Vision Language Models Against Split-Image Harmful Input Attacks</w:t>
      </w:r>
    </w:p>
    <w:p>
      <w:r>
        <w:rPr>
          <w:rFonts w:ascii="Times New Roman" w:hAnsi="Times New Roman" w:eastAsia="宋体"/>
          <w:sz w:val="21"/>
        </w:rPr>
        <w:t>作者: Shagufta Mehnaz</w:t>
        <w:br/>
      </w:r>
      <w:r>
        <w:rPr>
          <w:rFonts w:ascii="Times New Roman" w:hAnsi="Times New Roman" w:eastAsia="宋体"/>
          <w:sz w:val="21"/>
        </w:rPr>
        <w:t xml:space="preserve">时间: 2026-02-08T21:52:42Z | </w:t>
      </w:r>
      <w:r>
        <w:t xml:space="preserve">链接: </w:t>
      </w:r>
      <w:hyperlink r:id="rId181">
        <w:r>
          <w:rPr>
            <w:rFonts w:ascii="Times New Roman" w:hAnsi="Times New Roman" w:eastAsia="宋体"/>
            <w:color w:val="0000FF"/>
            <w:sz w:val="21"/>
            <w:u w:val="single"/>
          </w:rPr>
          <w:t>https://arxiv.org/abs/2602.08136v1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视觉语言模型（VLM）现在是现代人工智能的核心部分。最近的工作提出了几种使用单个/整体图像的视觉越狱攻击。然而，由于通过偏好优化（例如 RLHF）进行了广泛的安全调整，当代 VLM 表现出了针对此类攻击的强大鲁棒性。在这项工作中，我们发现了一个新的漏洞：虽然 VLM 预训练和指令调整可以很好地推广到分割图像输入，但安全对齐通常仅在整体图像上执行，并且不会考虑分布在多个图像片段上的有害语义。因此，VLM 通常无法检测和拒绝有害的裂像输入，只有在组合图像后才会出现不安全的提示。我们引入了利用这种错位的新型裂像视觉越狱攻击（SIVA）。与之前的基于优化的攻击不同，之前的基于优化的攻击由于模型之间的架构和先前的不匹配而表现出较差的黑盒可转移性，我们的攻击从天真的分裂逐步发展到自适应白盒攻击，最终导致黑盒转移攻击。我们最强大的策略利用新颖的对抗性知识蒸馏（Adv-KD）算法来大幅提高跨模型可转移性。对三个最先进的现代 VLM 和三个越狱数据集的评估表明，我们最强的攻击实现的传输成功率比现有基线高出 60%。最后，我们提出了有效的方法来解决当前 VLM 安全调整中的这一关键漏洞。</w:t>
      </w:r>
    </w:p>
    <w:p>
      <w:pPr>
        <w:spacing w:before="120"/>
      </w:pPr>
      <w:r>
        <w:rPr>
          <w:rFonts w:ascii="Times New Roman" w:hAnsi="Times New Roman" w:eastAsia="宋体"/>
          <w:b/>
          <w:sz w:val="21"/>
        </w:rPr>
        <w:t>English Abstract:</w:t>
      </w:r>
    </w:p>
    <w:p>
      <w:r>
        <w:rPr>
          <w:rFonts w:ascii="Times New Roman" w:hAnsi="Times New Roman" w:eastAsia="宋体"/>
          <w:sz w:val="21"/>
        </w:rPr>
        <w:t>Vision-Language Models (VLMs) are now a core part of modern AI. Recent work proposed several visual jailbreak attacks using single/ holistic images. However, contemporary VLMs demonstrate strong robustness against such attacks due to extensive safety alignment through preference optimization (e.g., RLHF). In this work, we identify a new vulnerability: while VLM pretraining and instruction tuning generalize well to split-image inputs, safety alignment is typically performed only on holistic images and does not account for harmful semantics distributed across multiple image fragments. Consequently, VLMs often fail to detect and refuse harmful split-image inputs, where unsafe cues emerge only after combining images. We introduce novel split-image visual jailbreak attacks (SIVA) that exploit this misalignment. Unlike prior optimization-based attacks, which exhibit poor black-box transferability due to architectural and prior mismatches across models, our attacks evolve in progressive phases from naive splitting to an adaptive white-box attack, culminating in a black-box transfer attack. Our strongest strategy leverages a novel adversarial knowledge distillation (Adv-KD) algorithm to substantially improve cross-model transferability. Evaluations on three state-of-the-art modern VLMs and three jailbreak datasets demonstrate that our strongest attack achieves up to 60% higher transfer success than existing baselines. Lastly, we propose efficient ways to address this critical vulnerability in the current VLM safety alignment.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地理空间推理驱动的词汇不可知遥感语义分割</w:t>
      </w:r>
    </w:p>
    <w:p>
      <w:r>
        <w:rPr>
          <w:rFonts w:ascii="Times New Roman" w:hAnsi="Times New Roman" w:eastAsia="宋体"/>
          <w:b/>
          <w:color w:val="003264"/>
          <w:sz w:val="24"/>
        </w:rPr>
        <w:t>Geospatial-Reasoning-Driven Vocabulary-Agnostic Remote Sensing Semantic Segmentation</w:t>
      </w:r>
    </w:p>
    <w:p>
      <w:r>
        <w:rPr>
          <w:rFonts w:ascii="Times New Roman" w:hAnsi="Times New Roman" w:eastAsia="宋体"/>
          <w:sz w:val="21"/>
        </w:rPr>
        <w:t>作者: Xiaokang Zhang</w:t>
        <w:br/>
      </w:r>
      <w:r>
        <w:rPr>
          <w:rFonts w:ascii="Times New Roman" w:hAnsi="Times New Roman" w:eastAsia="宋体"/>
          <w:sz w:val="21"/>
        </w:rPr>
        <w:t xml:space="preserve">时间: 2026-02-09T02:09:21Z | </w:t>
      </w:r>
      <w:r>
        <w:t xml:space="preserve">链接: </w:t>
      </w:r>
      <w:hyperlink r:id="rId182">
        <w:r>
          <w:rPr>
            <w:rFonts w:ascii="Times New Roman" w:hAnsi="Times New Roman" w:eastAsia="宋体"/>
            <w:color w:val="0000FF"/>
            <w:sz w:val="21"/>
            <w:u w:val="single"/>
          </w:rPr>
          <w:t>https://arxiv.org/abs/2602.08206v1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开放词汇语义分割已成为遥感领域一个有前途的研究方向，能够识别预定义类别集之外的多种土地覆盖类型。然而，现有方法主要依赖于视觉特征和文本嵌入的被动映射。这种“基于外观”的范式缺乏地理空间上下文意识，当遇到具有相似光谱特征但不同语义属性的土地覆盖类别时，会导致严重的语义模糊和错误分类。为了解决这个问题，我们提出了一个地理空间推理链（GR-CoT）框架，旨在增强多模态大语言模型（MLLM）的场景理解能力，从而指导开放词汇分割模型实现精确映射。该框架包括两个协作组件：离线知识离线流建立细粒度的类别解释标准，以解决相似土地覆盖类型之间的语义冲突。在在线推理过程中，该框架执行涉及宏观场景锚定、视觉特征解耦和知识驱动的决策合成的顺序推理过程，该过程生成图像自适应词汇，指导下游模型以正确的地理语义实现像素级对齐。我们的方法。</w:t>
      </w:r>
    </w:p>
    <w:p>
      <w:pPr>
        <w:spacing w:before="120"/>
      </w:pPr>
      <w:r>
        <w:rPr>
          <w:rFonts w:ascii="Times New Roman" w:hAnsi="Times New Roman" w:eastAsia="宋体"/>
          <w:b/>
          <w:sz w:val="21"/>
        </w:rPr>
        <w:t>English Abstract:</w:t>
      </w:r>
    </w:p>
    <w:p>
      <w:r>
        <w:rPr>
          <w:rFonts w:ascii="Times New Roman" w:hAnsi="Times New Roman" w:eastAsia="宋体"/>
          <w:sz w:val="21"/>
        </w:rPr>
        <w:t>Open-vocabulary semantic segmentation has emerged as a promising research direction in remote sensing, enabling the recognition of diverse land-cover types beyond pre-defined category sets. However, existing methods predominantly rely on the passive mapping of visual features and textual embeddings. This ``appearance-based" paradigm lacks geospatial contextual awareness, leading to severe semantic ambiguity and misclassification when encountering land-cover classes with similar spectral features but distinct semantic attributes. To address this, we propose a Geospatial Reasoning Chain-of-Thought (GR-CoT) framework designed to enhance the scene understanding capabilities of Multimodal Large Language Models (MLLMs), thereby guiding open-vocabulary segmentation models toward precise mapping. The framework comprises two collaborative components: an offline knowledge distillation stream and an online instance reasoning stream. The offline stream establishes fine-grained category interpretation standards to resolve semantic conflicts between similar land-cover types. During online inference, the framework executes a sequential reasoning process involving macro-scenario anchoring, visual feature decoupling, and knowledge-driven decision synthesis. This process generates an image-adaptive vocabulary that guides downstream models to achieve pixel-level alignment with correct geographical semantics. Extensive experiments on the LoveDA and GID5 benchmarks demonstrate the superiority of our approach.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Chain-of-Caption：多模态大语言模型在引用表达理解方面的免训练改进</w:t>
      </w:r>
    </w:p>
    <w:p>
      <w:r>
        <w:rPr>
          <w:rFonts w:ascii="Times New Roman" w:hAnsi="Times New Roman" w:eastAsia="宋体"/>
          <w:b/>
          <w:color w:val="003264"/>
          <w:sz w:val="24"/>
        </w:rPr>
        <w:t>Chain-of-Caption: Training-free improvement of multimodal large language model on referring expression comprehension</w:t>
      </w:r>
    </w:p>
    <w:p>
      <w:r>
        <w:rPr>
          <w:rFonts w:ascii="Times New Roman" w:hAnsi="Times New Roman" w:eastAsia="宋体"/>
          <w:sz w:val="21"/>
        </w:rPr>
        <w:t>作者: Changjae Oh</w:t>
        <w:br/>
      </w:r>
      <w:r>
        <w:rPr>
          <w:rFonts w:ascii="Times New Roman" w:hAnsi="Times New Roman" w:eastAsia="宋体"/>
          <w:sz w:val="21"/>
        </w:rPr>
        <w:t xml:space="preserve">时间: 2026-02-09T02:22:39Z | </w:t>
      </w:r>
      <w:r>
        <w:t xml:space="preserve">链接: </w:t>
      </w:r>
      <w:hyperlink r:id="rId183">
        <w:r>
          <w:rPr>
            <w:rFonts w:ascii="Times New Roman" w:hAnsi="Times New Roman" w:eastAsia="宋体"/>
            <w:color w:val="0000FF"/>
            <w:sz w:val="21"/>
            <w:u w:val="single"/>
          </w:rPr>
          <w:t>https://arxiv.org/abs/2602.08211v1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给定文本描述，引用表达理解（REC）的任务涉及图像中引用对象的定位。多模态大语言模型 (MLLM) 通过扩大模型大小和训练数据，在 REC 基准上实现了高精度。此外，可以使用思想链和工具使用等技术进一步提高 MLLM 的性能，这些技术为模型提供了额外的视觉或文本上下文。在本文中，我们分析了通过使用 MLLM 工具提供额外视觉和文本上下文的各种技术的效果及其对 REC 任务的影响。此外，我们提出了一个名为 Chain-of-Caption 的免训练框架，以提高 MLLM 的 REC 性能。我们在 RefCOCO/RefCOCOg/RefCOCO+ 和 Ref-L4 数据集上进行实验，结果表明，单独的文本或视觉上下文可以提高 REC 性能，而无需任何微调。通过结合多个上下文，我们的免训练框架在各种交并集 (IoU) 阈值下的准确性方面比基线模型提高了 5% 到 30% 的性能增益。</w:t>
      </w:r>
    </w:p>
    <w:p>
      <w:pPr>
        <w:spacing w:before="120"/>
      </w:pPr>
      <w:r>
        <w:rPr>
          <w:rFonts w:ascii="Times New Roman" w:hAnsi="Times New Roman" w:eastAsia="宋体"/>
          <w:b/>
          <w:sz w:val="21"/>
        </w:rPr>
        <w:t>English Abstract:</w:t>
      </w:r>
    </w:p>
    <w:p>
      <w:r>
        <w:rPr>
          <w:rFonts w:ascii="Times New Roman" w:hAnsi="Times New Roman" w:eastAsia="宋体"/>
          <w:sz w:val="21"/>
        </w:rPr>
        <w:t>Given a textual description, the task of referring expression comprehension (REC) involves the localisation of the referred object in an image. Multimodal large language models (MLLMs) have achieved high accuracy on REC benchmarks through scaling up the model size and training data. Moreover, the performance of MLLMs can be further improved using techniques such as Chain-of-Thought and tool use, which provides additional visual or textual context to the model. In this paper, we analyse the effect of various techniques for providing additional visual and textual context via tool use to the MLLM and its effect on the REC task. Furthermore, we propose a training-free framework named Chain-of-Caption to improve the REC performance of MLLMs. We perform experiments on RefCOCO/RefCOCOg/RefCOCO+ and Ref-L4 datasets and show that individual textual or visual context can improve the REC performance without any fine-tuning. By combining multiple contexts, our training-free framework shows between 5% to 30% performance gain over the baseline model on accuracy at various Intersection over Union (IoU) thresholds.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Efficient-SAM2：通过对象感知视觉编码和内存检索加速 SAM2</w:t>
      </w:r>
    </w:p>
    <w:p>
      <w:r>
        <w:rPr>
          <w:rFonts w:ascii="Times New Roman" w:hAnsi="Times New Roman" w:eastAsia="宋体"/>
          <w:b/>
          <w:color w:val="003264"/>
          <w:sz w:val="24"/>
        </w:rPr>
        <w:t>Efficient-SAM2: Accelerating SAM2 with Object-Aware Visual Encoding and Memory Retrieval</w:t>
      </w:r>
    </w:p>
    <w:p>
      <w:r>
        <w:rPr>
          <w:rFonts w:ascii="Times New Roman" w:hAnsi="Times New Roman" w:eastAsia="宋体"/>
          <w:sz w:val="21"/>
        </w:rPr>
        <w:t>作者: Qingyi Gu</w:t>
        <w:br/>
      </w:r>
      <w:r>
        <w:rPr>
          <w:rFonts w:ascii="Times New Roman" w:hAnsi="Times New Roman" w:eastAsia="宋体"/>
          <w:sz w:val="21"/>
        </w:rPr>
        <w:t xml:space="preserve">时间: 2026-02-09T02:58:33Z | </w:t>
      </w:r>
      <w:r>
        <w:t xml:space="preserve">链接: </w:t>
      </w:r>
      <w:hyperlink r:id="rId184">
        <w:r>
          <w:rPr>
            <w:rFonts w:ascii="Times New Roman" w:hAnsi="Times New Roman" w:eastAsia="宋体"/>
            <w:color w:val="0000FF"/>
            <w:sz w:val="21"/>
            <w:u w:val="single"/>
          </w:rPr>
          <w:t>https://arxiv.org/abs/2602.08224v1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Segment Anything Model 2（SAM2）在视频对象分割任务中表现出优异的性能；然而，繁重的计算负担阻碍了其在实时视频处理中的应用。尽管人们一直在努力提高 SAM2 的效率，但大多数都专注于重新训练轻量级骨干网，而很少探索训练后加速。在本文中，我们观察到 SAM2 表现出与生物视觉一样的稀疏感知模式，这为消除冗余计算和加速提供了机会：i）在掩模解码器中，注意力主要集中在前景对象上，而早期阶段的图像编码器表现出广泛的注意力跨度，这导致对背景区域进行不必要的计算。 ii）在记忆库中，每帧中只有一小部分标记对记忆注意力有显着贡献，并且显着区域表现出时间一致性，使得全标记计算冗余。有了这些见解，我们提出了 Efficient-SAM2，它促进 SAM2 自适应地关注对象区域，同时消除与任务无关的计算，从而显着提高推理效率。具体来说，对于图像编码器，我们提出了对象感知稀疏窗口路由（SWR），这是一种窗口级计算分配机制，利用前一帧解码器的一致性和显着性线索将背景区域路由到轻量级快捷分支。此外，对于记忆注意力，我们提出了对象感知稀疏记忆检索（SMR），它只允许每个帧中的显着记忆标记参与计算，并重用第一次回忆中的显着模式。 Efficient-SAM2 的额外参数可以忽略不计，训练开销也极小，在 SAM2.1-L 模型上实现了 1.68 倍的加速，而在 SA-V 测试集上的准确率仅下降了 1.0%。</w:t>
      </w:r>
    </w:p>
    <w:p>
      <w:pPr>
        <w:spacing w:before="120"/>
      </w:pPr>
      <w:r>
        <w:rPr>
          <w:rFonts w:ascii="Times New Roman" w:hAnsi="Times New Roman" w:eastAsia="宋体"/>
          <w:b/>
          <w:sz w:val="21"/>
        </w:rPr>
        <w:t>English Abstract:</w:t>
      </w:r>
    </w:p>
    <w:p>
      <w:r>
        <w:rPr>
          <w:rFonts w:ascii="Times New Roman" w:hAnsi="Times New Roman" w:eastAsia="宋体"/>
          <w:sz w:val="21"/>
        </w:rPr>
        <w:t>Segment Anything Model 2 (SAM2) shows excellent performance in video object segmentation tasks; however, the heavy computational burden hinders its application in real-time video processing. Although there have been efforts to improve the efficiency of SAM2, most of them focus on retraining a lightweight backbone, with little exploration into post-training acceleration. In this paper, we observe that SAM2 exhibits sparse perception pattern as biological vision, which provides opportunities for eliminating redundant computation and acceleration: i) In mask decoder, the attention primarily focuses on the foreground objects, whereas the image encoder in the earlier stage exhibits a broad attention span, which results in unnecessary computation to background regions. ii) In memory bank, only a small subset of tokens in each frame contribute significantly to memory attention, and the salient regions exhibit temporal consistency, making full-token computation redundant. With these insights, we propose Efficient-SAM2, which promotes SAM2 to adaptively focus on object regions while eliminating task-irrelevant computations, thereby significantly improving inference efficiency. Specifically, for image encoder, we propose object-aware Sparse Window Routing (SWR), a window-level computation allocation mechanism that leverages the consistency and saliency cues from the previous-frame decoder to route background regions into a lightweight shortcut branch. Moreover, for memory attention, we propose object-aware Sparse Memory Retrieval (SMR), which allows only the salient memory tokens in each frame to participate in computation, with the saliency pattern reused from their first recollection. With negligible additional parameters and minimal training overhead, Efficient-SAM2 delivers 1.68x speedup on SAM2.1-L model with only 1.0% accuracy drop on SA-V test set.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生成对抗性事件：运动感知点云框架</w:t>
      </w:r>
    </w:p>
    <w:p>
      <w:r>
        <w:rPr>
          <w:rFonts w:ascii="Times New Roman" w:hAnsi="Times New Roman" w:eastAsia="宋体"/>
          <w:b/>
          <w:color w:val="003264"/>
          <w:sz w:val="24"/>
        </w:rPr>
        <w:t>Generating Adversarial Events: A Motion-Aware Point Cloud Framework</w:t>
      </w:r>
    </w:p>
    <w:p>
      <w:r>
        <w:rPr>
          <w:rFonts w:ascii="Times New Roman" w:hAnsi="Times New Roman" w:eastAsia="宋体"/>
          <w:sz w:val="21"/>
        </w:rPr>
        <w:t>作者: Xiangqian Wu</w:t>
        <w:br/>
      </w:r>
      <w:r>
        <w:rPr>
          <w:rFonts w:ascii="Times New Roman" w:hAnsi="Times New Roman" w:eastAsia="宋体"/>
          <w:sz w:val="21"/>
        </w:rPr>
        <w:t xml:space="preserve">时间: 2026-02-09T03:06:07Z | </w:t>
      </w:r>
      <w:r>
        <w:t xml:space="preserve">链接: </w:t>
      </w:r>
      <w:hyperlink r:id="rId185">
        <w:r>
          <w:rPr>
            <w:rFonts w:ascii="Times New Roman" w:hAnsi="Times New Roman" w:eastAsia="宋体"/>
            <w:color w:val="0000FF"/>
            <w:sz w:val="21"/>
            <w:u w:val="single"/>
          </w:rPr>
          <w:t>https://arxiv.org/abs/2602.08230v1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事件摄像机已广泛应用于自动驾驶、机器人和人机交互等安全关键领域。深度神经网络对对抗性示例的脆弱性带来了一个紧迫的挑战，这对基于事件的系统的可靠性构成了重大威胁。然而，对事件的对抗性攻击的研究却很少。这主要是由于主流事件表示的不可微性质，阻碍了基于梯度的攻击方法的扩展。在本文中，我们提出了 MA-ADV，一种新颖的 \textbf{M}otion-\textbf{A}ware \textbf{Adv}ersarial 框架。据我们所知，这是第一个利用点云表示来生成对抗事件的工作。 MA-ADV 考虑了事件中的高频噪声，并采用基于扩散的方法来平滑扰动，同时充分利用事件之间的空间和时间关系。最后，MA-ADV 通过结合样本 Adam 优化、迭代细化和二分搜索来识别最小成本扰动。大量的实验结果验证了 MA-ADV 以最小的扰动成本确保了 100% 的攻击成功率，并且还展示了增强的防御鲁棒性，强调了未来基于事件的感知系统面临的关键安全挑战。</w:t>
      </w:r>
    </w:p>
    <w:p>
      <w:pPr>
        <w:spacing w:before="120"/>
      </w:pPr>
      <w:r>
        <w:rPr>
          <w:rFonts w:ascii="Times New Roman" w:hAnsi="Times New Roman" w:eastAsia="宋体"/>
          <w:b/>
          <w:sz w:val="21"/>
        </w:rPr>
        <w:t>English Abstract:</w:t>
      </w:r>
    </w:p>
    <w:p>
      <w:r>
        <w:rPr>
          <w:rFonts w:ascii="Times New Roman" w:hAnsi="Times New Roman" w:eastAsia="宋体"/>
          <w:sz w:val="21"/>
        </w:rPr>
        <w:t>Event cameras have been widely adopted in safety-critical domains such as autonomous driving, robotics, and human-computer interaction. A pressing challenge arises from the vulnerability of deep neural networks to adversarial examples, which poses a significant threat to the reliability of event-based systems. Nevertheless, research into adversarial attacks on events is scarce. This is primarily due to the non-differentiable nature of mainstream event representations, which hinders the extension of gradient-based attack methods. In this paper, we propose MA-ADV, a novel \textbf{M}otion-\textbf{A}ware \textbf{Adv}ersarial framework. To the best of our knowledge, this is the first work to generate adversarial events by leveraging point cloud representations. MA-ADV accounts for high-frequency noise in events and employs a diffusion-based approach to smooth perturbations, while fully leveraging the spatial and temporal relationships among events. Finally, MA-ADV identifies the minimal-cost perturbation through a combination of sample-wise Adam optimization, iterative refinement, and binary search. Extensive experimental results validate that MA-ADV ensures a 100\% attack success rate with minimal perturbation cost, and also demonstrate enhanced robustness against defenses, underscoring the critical security challenges facing future event-based perception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超越功能连接：基于功能磁共振成像的脑部疾病分类的时间序列建模</w:t>
      </w:r>
    </w:p>
    <w:p>
      <w:r>
        <w:rPr>
          <w:rFonts w:ascii="Times New Roman" w:hAnsi="Times New Roman" w:eastAsia="宋体"/>
          <w:b/>
          <w:color w:val="003264"/>
          <w:sz w:val="24"/>
        </w:rPr>
        <w:t>Moving Beyond Functional Connectivity: Time-Series Modeling for fMRI-Based Brain Disorder Classification</w:t>
      </w:r>
    </w:p>
    <w:p>
      <w:r>
        <w:rPr>
          <w:rFonts w:ascii="Times New Roman" w:hAnsi="Times New Roman" w:eastAsia="宋体"/>
          <w:sz w:val="21"/>
        </w:rPr>
        <w:t>作者: Shujun Wang</w:t>
        <w:br/>
      </w:r>
      <w:r>
        <w:rPr>
          <w:rFonts w:ascii="Times New Roman" w:hAnsi="Times New Roman" w:eastAsia="宋体"/>
          <w:sz w:val="21"/>
        </w:rPr>
        <w:t xml:space="preserve">时间: 2026-02-09T04:42:42Z | </w:t>
      </w:r>
      <w:r>
        <w:t xml:space="preserve">链接: </w:t>
      </w:r>
      <w:hyperlink r:id="rId186">
        <w:r>
          <w:rPr>
            <w:rFonts w:ascii="Times New Roman" w:hAnsi="Times New Roman" w:eastAsia="宋体"/>
            <w:color w:val="0000FF"/>
            <w:sz w:val="21"/>
            <w:u w:val="single"/>
          </w:rPr>
          <w:t>https://arxiv.org/abs/2602.08262v1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功能性磁共振成像 (fMRI) 通过捕获血氧水平依赖性 (BOLD) 信号来实现非侵入性脑部疾病分类。然而，大多数现有方法依赖于通过皮尔逊相关的功能连接（FC），它将 4D BOLD 信号减少为静态 2D 矩阵，丢弃时间动态并仅捕获线性区域间关系。在这项工作中，我们在五个公共数据集的原始 BOLD 信号上对最先进的时间模型（例如 PatchTST、TimesNet 和 TimeMixer 等时间序列模型）进行基准测试。结果表明，这些模型始终优于传统的基于 FC 的方法，突出了直接建模时间信息（例如周期振荡波动和漂移慢基线趋势）的价值。基于这一见解，我们提出了 DeCI，这是一个简单而有效的框架，它集成了两个关键原则：（i）循环和漂移分解，以解开每个 ROI（感兴趣区域）内的循环和漂移； (ii) 渠道独立性，对每个 ROI 分别建模，提高鲁棒性并减少过度拟合。大量实验表明，与基于 FC 的基线和时间基线相比，DeCI 实现了卓越的分类精度和泛化能力。我们的研究结果主张在功能磁共振成像分析中转向端到端时间模型，以更好地捕获复杂的大脑动态。代码可在 https://github.com/Levi-Ackman/DeCI 获取。</w:t>
      </w:r>
    </w:p>
    <w:p>
      <w:pPr>
        <w:spacing w:before="120"/>
      </w:pPr>
      <w:r>
        <w:rPr>
          <w:rFonts w:ascii="Times New Roman" w:hAnsi="Times New Roman" w:eastAsia="宋体"/>
          <w:b/>
          <w:sz w:val="21"/>
        </w:rPr>
        <w:t>English Abstract:</w:t>
      </w:r>
    </w:p>
    <w:p>
      <w:r>
        <w:rPr>
          <w:rFonts w:ascii="Times New Roman" w:hAnsi="Times New Roman" w:eastAsia="宋体"/>
          <w:sz w:val="21"/>
        </w:rPr>
        <w:t>Functional magnetic resonance imaging (fMRI) enables non-invasive brain disorder classification by capturing blood-oxygen-level-dependent (BOLD) signals. However, most existing methods rely on functional connectivity (FC) via Pearson correlation, which reduces 4D BOLD signals to static 2D matrices, discarding temporal dynamics and capturing only linear inter-regional relationships. In this work, we benchmark state-of-the-art temporal models (e.g., time-series models such as PatchTST, TimesNet, and TimeMixer) on raw BOLD signals across five public datasets. Results show these models consistently outperform traditional FC-based approaches, highlighting the value of directly modeling temporal information such as cycle-like oscillatory fluctuations and drift-like slow baseline trends. Building on this insight, we propose DeCI, a simple yet effective framework that integrates two key principles: (i) Cycle and Drift Decomposition to disentangle cycle and drift within each ROI (Region of Interest); and (ii) Channel-Independence to model each ROI separately, improving robustness and reducing overfitting. Extensive experiments demonstrate that DeCI achieves superior classification accuracy and generalization compared to both FC-based and temporal baselines. Our findings advocate for a shift toward end-to-end temporal modeling in fMRI analysis to better capture complex brain dynamics. The code is available at https://github.com/Levi-Ackman/DeCI.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UReason：统一多模态模型中推理悖论的基准测试</w:t>
      </w:r>
    </w:p>
    <w:p>
      <w:r>
        <w:rPr>
          <w:rFonts w:ascii="Times New Roman" w:hAnsi="Times New Roman" w:eastAsia="宋体"/>
          <w:b/>
          <w:color w:val="003264"/>
          <w:sz w:val="24"/>
        </w:rPr>
        <w:t>UReason: Benchmarking the Reasoning Paradox in Unified Multimodal Models</w:t>
      </w:r>
    </w:p>
    <w:p>
      <w:r>
        <w:rPr>
          <w:rFonts w:ascii="Times New Roman" w:hAnsi="Times New Roman" w:eastAsia="宋体"/>
          <w:sz w:val="21"/>
        </w:rPr>
        <w:t>作者: Taylor Berg-Kirkpatrick</w:t>
        <w:br/>
      </w:r>
      <w:r>
        <w:rPr>
          <w:rFonts w:ascii="Times New Roman" w:hAnsi="Times New Roman" w:eastAsia="宋体"/>
          <w:sz w:val="21"/>
        </w:rPr>
        <w:t xml:space="preserve">时间: 2026-02-09T07:17:57Z | </w:t>
      </w:r>
      <w:r>
        <w:t xml:space="preserve">链接: </w:t>
      </w:r>
      <w:hyperlink r:id="rId187">
        <w:r>
          <w:rPr>
            <w:rFonts w:ascii="Times New Roman" w:hAnsi="Times New Roman" w:eastAsia="宋体"/>
            <w:color w:val="0000FF"/>
            <w:sz w:val="21"/>
            <w:u w:val="single"/>
          </w:rPr>
          <w:t>https://arxiv.org/abs/2602.08336v1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为了获得解决复杂和隐式视觉需求的能力，最近的统一多模态模型越来越多地采用思想链推理来指导图像生成。然而，推理对视觉合成的实际影响仍不清楚。我们提出了 UReason，一种用于推理驱动图像生成的诊断基准，用于评估推理是否可以在像素中忠实地执行。 UReason 包含跨五个任务系列的 2,000 个实例：代码、算术、空间、属性和文本推理。为了隔离推理痕迹的作用，我们引入了一个评估框架，比较直接生成、推理引导生成和仅以精炼提示为条件的去情境化生成。在八个开源统一模型中，我们观察到一致的推理悖论：推理轨迹通常比直接生成提高性能，但保留中间思想，因为调节上下文通常会阻碍视觉合成，而仅根据精致的提示进行调节会产生巨大的收益。我们的分析表明，瓶颈在于上下文干扰，而不是推理能力不足。 UReason 为研究统一模型中的推理提供了一个原则性的测试平台，并激发了未来有效整合视觉生成推理同时减轻干扰的方法。</w:t>
      </w:r>
    </w:p>
    <w:p>
      <w:pPr>
        <w:spacing w:before="120"/>
      </w:pPr>
      <w:r>
        <w:rPr>
          <w:rFonts w:ascii="Times New Roman" w:hAnsi="Times New Roman" w:eastAsia="宋体"/>
          <w:b/>
          <w:sz w:val="21"/>
        </w:rPr>
        <w:t>English Abstract:</w:t>
      </w:r>
    </w:p>
    <w:p>
      <w:r>
        <w:rPr>
          <w:rFonts w:ascii="Times New Roman" w:hAnsi="Times New Roman" w:eastAsia="宋体"/>
          <w:sz w:val="21"/>
        </w:rPr>
        <w:t>To elicit capabilities for addressing complex and implicit visual requirements, recent unified multimodal models increasingly adopt chain-of-thought reasoning to guide image generation. However, the actual effect of reasoning on visual synthesis remains unclear. We present UReason, a diagnostic benchmark for reasoning-driven image generation that evaluates whether reasoning can be faithfully executed in pixels. UReason contains 2,000 instances across five task families: Code, Arithmetic, Spatial, Attribute, and Text reasoning. To isolate the role of reasoning traces, we introduce an evaluation framework comparing direct generation, reasoning-guided generation, and de-contextualized generation which conditions only on the refined prompt. Across eight open-source unified models, we observe a consistent Reasoning Paradox: Reasoning traces generally improve performance over direct generation, yet retaining intermediate thoughts as conditioning context often hinders visual synthesis, and conditioning only on the refined prompt yields substantial gains. Our analysis suggests that the bottleneck lies in contextual interference rather than insufficient reasoning capacity. UReason provides a principled testbed for studying reasoning in unified models and motivates future methods that effectively integrate reasoning for visual generation while mitigating interference.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CoTZero：通过分层合成 CoT 进行无注释的类人视觉推理</w:t>
      </w:r>
    </w:p>
    <w:p>
      <w:r>
        <w:rPr>
          <w:rFonts w:ascii="Times New Roman" w:hAnsi="Times New Roman" w:eastAsia="宋体"/>
          <w:b/>
          <w:color w:val="003264"/>
          <w:sz w:val="24"/>
        </w:rPr>
        <w:t>CoTZero: Annotation-Free Human-Like Vision Reasoning via Hierarchical Synthetic CoT</w:t>
      </w:r>
    </w:p>
    <w:p>
      <w:r>
        <w:rPr>
          <w:rFonts w:ascii="Times New Roman" w:hAnsi="Times New Roman" w:eastAsia="宋体"/>
          <w:sz w:val="21"/>
        </w:rPr>
        <w:t>作者: Luxin Xu</w:t>
        <w:br/>
      </w:r>
      <w:r>
        <w:rPr>
          <w:rFonts w:ascii="Times New Roman" w:hAnsi="Times New Roman" w:eastAsia="宋体"/>
          <w:sz w:val="21"/>
        </w:rPr>
        <w:t xml:space="preserve">时间: 2026-02-09T07:26:40Z | </w:t>
      </w:r>
      <w:r>
        <w:t xml:space="preserve">链接: </w:t>
      </w:r>
      <w:hyperlink r:id="rId188">
        <w:r>
          <w:rPr>
            <w:rFonts w:ascii="Times New Roman" w:hAnsi="Times New Roman" w:eastAsia="宋体"/>
            <w:color w:val="0000FF"/>
            <w:sz w:val="21"/>
            <w:u w:val="single"/>
          </w:rPr>
          <w:t>https://arxiv.org/abs/2602.08339v1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视觉语言模型（VLM）的最新进展显着改善了图像文本对齐，但它们仍然达不到类人视觉推理的能力。一个关键的限制是，许多 VLM 依赖于表面相关性，而不是构建逻辑上连贯的结构化表示，这常常导致错过更高层次的语义结构和非因果关系理解，阻碍组合和可验证的推理。为了通过将人类模型引入推理过程来解决这些局限性，我们提出了 CoTZero，这是一种无注释范式，具有两个组成部分：（i）双阶段数据合成方法和（ii）认知对齐训练方法。在第一个部分中，我们从组合生产力和全局到局部分析的神经认知解释中汲取灵感。在自下而上的阶段，CoTZero 提取原子视觉原语，并逐步将它们组合成多样化的、结构化的问题推理形式。在自上而下的阶段，它通过使用粗略的全局结构来指导对局部细节和因果关系的解释来强制分层推理。在认知对齐训练部分中，基于合成的 CoT 数据，我们在强化微调（RFT）中引入了认知连贯可验证奖励（CCVR），以进一步加强 VLM 的分层推理和泛化能力，提供有关推理连贯性和事实正确性的逐步反馈。实验表明，在域内和域外设置中，CoTZero 在带有词汇扰动负数的多级语义不一致基准测试中取得了 83.33% 的 F1 分数。消融证实每个组件都有助于更具可解释性和人性化的视觉推理。</w:t>
      </w:r>
    </w:p>
    <w:p>
      <w:pPr>
        <w:spacing w:before="120"/>
      </w:pPr>
      <w:r>
        <w:rPr>
          <w:rFonts w:ascii="Times New Roman" w:hAnsi="Times New Roman" w:eastAsia="宋体"/>
          <w:b/>
          <w:sz w:val="21"/>
        </w:rPr>
        <w:t>English Abstract:</w:t>
      </w:r>
    </w:p>
    <w:p>
      <w:r>
        <w:rPr>
          <w:rFonts w:ascii="Times New Roman" w:hAnsi="Times New Roman" w:eastAsia="宋体"/>
          <w:sz w:val="21"/>
        </w:rPr>
        <w:t>Recent advances in vision-language models (VLMs) have markedly improved image-text alignment, yet they still fall short of human-like visual reasoning. A key limitation is that many VLMs rely on surface correlations rather than building logically coherent structured representations, which often leads to missed higher-level semantic structure and non-causal relational understanding, hindering compositional and verifiable reasoning. To address these limitations by introducing human models into the reasoning process, we propose CoTZero, an annotation-free paradigm with two components: (i) a dual-stage data synthesis approach and (ii) a cognition-aligned training method. In the first component, we draw inspiration from neurocognitive accounts of compositional productivity and global-to-local analysis. In the bottom-up stage, CoTZero extracts atomic visual primitives and incrementally composes them into diverse, structured question-reasoning forms. In the top-down stage, it enforces hierarchical reasoning by using coarse global structure to guide the interpretation of local details and causal relations. In the cognition-aligned training component, built on the synthesized CoT data, we introduce Cognitively Coherent Verifiable Rewards (CCVR) in Reinforcement Fine-Tuning (RFT) to further strengthen VLMs' hierarchical reasoning and generalization, providing stepwise feedback on reasoning coherence and factual correctness. Experiments show that CoTZero achieves an F1 score of 83.33 percent on our multi-level semantic inconsistency benchmark with lexical-perturbation negatives, across both in-domain and out-of-domain settings. Ablations confirm that each component contributes to more interpretable and human-aligned visual reasoning.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UrbanGraphEmbeddings：学习和评估城市科学的空间接地多模态嵌入</w:t>
      </w:r>
    </w:p>
    <w:p>
      <w:r>
        <w:rPr>
          <w:rFonts w:ascii="Times New Roman" w:hAnsi="Times New Roman" w:eastAsia="宋体"/>
          <w:b/>
          <w:color w:val="003264"/>
          <w:sz w:val="24"/>
        </w:rPr>
        <w:t>UrbanGraphEmbeddings: Learning and Evaluating Spatially Grounded Multimodal Embeddings for Urban Science</w:t>
      </w:r>
    </w:p>
    <w:p>
      <w:r>
        <w:rPr>
          <w:rFonts w:ascii="Times New Roman" w:hAnsi="Times New Roman" w:eastAsia="宋体"/>
          <w:sz w:val="21"/>
        </w:rPr>
        <w:t>作者: Zdravko Trivic</w:t>
        <w:br/>
      </w:r>
      <w:r>
        <w:rPr>
          <w:rFonts w:ascii="Times New Roman" w:hAnsi="Times New Roman" w:eastAsia="宋体"/>
          <w:sz w:val="21"/>
        </w:rPr>
        <w:t xml:space="preserve">时间: 2026-02-09T07:28:49Z | </w:t>
      </w:r>
      <w:r>
        <w:t xml:space="preserve">链接: </w:t>
      </w:r>
      <w:hyperlink r:id="rId189">
        <w:r>
          <w:rPr>
            <w:rFonts w:ascii="Times New Roman" w:hAnsi="Times New Roman" w:eastAsia="宋体"/>
            <w:color w:val="0000FF"/>
            <w:sz w:val="21"/>
            <w:u w:val="single"/>
          </w:rPr>
          <w:t>https://arxiv.org/abs/2602.08342v1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学习城市环境的可转移多模态嵌入具有挑战性，因为城市理解本质上是空间性的，但现有的数据集和基准缺乏街景图像和城市结构之间的明确一致性。我们引入了 UGData，这是一个基于空间的数据集，它将街景图像锚定到结构化空间图，并通过空间推理路径和空间上下文标题提供图对齐监督，暴露图像内容之外的距离、方向性、连接性和邻域上下文。在 UGData 的基础上，我们提出了 UGE，这是一种两阶段训练策略，通过将指令引导的对比学习与基于图的空间编码相结合，逐步稳定地对齐图像、文本和空间结构。最后，我们介绍了 UGBench，这是一个综合基准，用于评估空间接地嵌入如何支持不同的城市理解任务，包括地理位置排名、图像检索、城市感知和空间接地。我们在多个最先进的 VLM 主干上开发 UGE，包括 Qwen2-VL、Qwen2.5-VL、Phi-3-Vision 和 LLaVA1.6-Mistral，并通过 LoRA 调整训练固定维度空间嵌入。基于 Qwen2.5-VL-7B 主干网络构建的 UGE 在训练城市的图像检索方面实现了高达 44% 的提升，在地理位置排名方面提高了 30%，在保留城市上分别实现了超过 30% 和 22% 的提升，证明了显式空间基础对于空间密集型城市任务的有效性。</w:t>
      </w:r>
    </w:p>
    <w:p>
      <w:pPr>
        <w:spacing w:before="120"/>
      </w:pPr>
      <w:r>
        <w:rPr>
          <w:rFonts w:ascii="Times New Roman" w:hAnsi="Times New Roman" w:eastAsia="宋体"/>
          <w:b/>
          <w:sz w:val="21"/>
        </w:rPr>
        <w:t>English Abstract:</w:t>
      </w:r>
    </w:p>
    <w:p>
      <w:r>
        <w:rPr>
          <w:rFonts w:ascii="Times New Roman" w:hAnsi="Times New Roman" w:eastAsia="宋体"/>
          <w:sz w:val="21"/>
        </w:rPr>
        <w:t>Learning transferable multimodal embeddings for urban environments is challenging because urban understanding is inherently spatial, yet existing datasets and benchmarks lack explicit alignment between street-view images and urban structure. We introduce UGData, a spatially grounded dataset that anchors street-view images to structured spatial graphs and provides graph-aligned supervision via spatial reasoning paths and spatial context captions, exposing distance, directionality, connectivity, and neighborhood context beyond image content. Building on UGData, we propose UGE, a two-stage training strategy that progressively and stably aligns images, text, and spatial structures by combining instruction-guided contrastive learning with graph-based spatial encoding. We finally introduce UGBench, a comprehensive benchmark to evaluate how spatially grounded embeddings support diverse urban understanding tasks -- including geolocation ranking, image retrieval, urban perception, and spatial grounding. We develop UGE on multiple state-of-the-art VLM backbones, including Qwen2-VL, Qwen2.5-VL, Phi-3-Vision, and LLaVA1.6-Mistral, and train fixed-dimensional spatial embeddings with LoRA tuning. UGE built upon Qwen2.5-VL-7B backbone achieves up to 44% improvement in image retrieval and 30% in geolocation ranking on training cities, and over 30% and 22% gains respectively on held-out cities, demonstrating the effectiveness of explicit spatial grounding for spatially intensive urban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什么、是否以及如何？揭示图像推理思维的过程奖励模型</w:t>
      </w:r>
    </w:p>
    <w:p>
      <w:r>
        <w:rPr>
          <w:rFonts w:ascii="Times New Roman" w:hAnsi="Times New Roman" w:eastAsia="宋体"/>
          <w:b/>
          <w:color w:val="003264"/>
          <w:sz w:val="24"/>
        </w:rPr>
        <w:t>What, Whether and How? Unveiling Process Reward Models for Thinking with Images Reasoning</w:t>
      </w:r>
    </w:p>
    <w:p>
      <w:r>
        <w:rPr>
          <w:rFonts w:ascii="Times New Roman" w:hAnsi="Times New Roman" w:eastAsia="宋体"/>
          <w:sz w:val="21"/>
        </w:rPr>
        <w:t>作者: Sirui Han</w:t>
        <w:br/>
      </w:r>
      <w:r>
        <w:rPr>
          <w:rFonts w:ascii="Times New Roman" w:hAnsi="Times New Roman" w:eastAsia="宋体"/>
          <w:sz w:val="21"/>
        </w:rPr>
        <w:t xml:space="preserve">时间: 2026-02-09T07:31:14Z | </w:t>
      </w:r>
      <w:r>
        <w:t xml:space="preserve">链接: </w:t>
      </w:r>
      <w:hyperlink r:id="rId190">
        <w:r>
          <w:rPr>
            <w:rFonts w:ascii="Times New Roman" w:hAnsi="Times New Roman" w:eastAsia="宋体"/>
            <w:color w:val="0000FF"/>
            <w:sz w:val="21"/>
            <w:u w:val="single"/>
          </w:rPr>
          <w:t>https://arxiv.org/abs/2602.08346v1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视觉语言模型（LVLM）的快速发展在各种视觉任务中表现出了出色的能力。基于这些发展，图像思维范式已经出现，使模型能够在每个推理步骤动态编辑和重新编码视觉信息，反映人类视觉处理。然而，这种范式带来了重大挑战，因为在推理过程中可能会出现各种错误。这就需要过程奖励模型（PRM）来区分积极和消极的推理步骤，但现有的 PRM 基准主要以文本为中心，缺乏这种范式下的全面评估。为了解决这些差距，这项工作引入了第一个专门用于在图像思维范式下评估 PRM 的综合基准。我们的主要贡献是：（1）通过对推理轨迹的广泛分析和 PRM 的引导搜索实验，我们定义了 7 种细粒度的错误类型，并证明了专门的 PRM 的必要性和改进的潜力。 (2) 我们构建了一个综合基准，包含 1,206 个手动注释的思维图像推理轨迹，涵盖 4 个类别和 16 个子类别，用于对 PRM 进行细粒度评估。 (3) 我们的实验分析表明，当前的 LVLM 不足以作为有效的 PRM，在视觉推理过程评估方面表现出有限的能力，在错误类型、积极评估偏差和对推理步骤位置的敏感性方面存在显着的性能差异。这些发现证明了我们基准的有效性，并为在 LVLM 中推进 PRM 奠定了重要基础。</w:t>
      </w:r>
    </w:p>
    <w:p>
      <w:pPr>
        <w:spacing w:before="120"/>
      </w:pPr>
      <w:r>
        <w:rPr>
          <w:rFonts w:ascii="Times New Roman" w:hAnsi="Times New Roman" w:eastAsia="宋体"/>
          <w:b/>
          <w:sz w:val="21"/>
        </w:rPr>
        <w:t>English Abstract:</w:t>
      </w:r>
    </w:p>
    <w:p>
      <w:r>
        <w:rPr>
          <w:rFonts w:ascii="Times New Roman" w:hAnsi="Times New Roman" w:eastAsia="宋体"/>
          <w:sz w:val="21"/>
        </w:rPr>
        <w:t>The rapid advancement of Large Vision Language Models (LVLMs) has demonstrated excellent abilities in various visual tasks. Building upon these developments, the thinking with images paradigm has emerged, enabling models to dynamically edit and re-encode visual information at each reasoning step, mirroring human visual processing. However, this paradigm introduces significant challenges as diverse errors may occur during reasoning processes. This necessitates Process Reward Models (PRMs) for distinguishing positive and negative reasoning steps, yet existing benchmarks for PRMs are predominantly text-centric and lack comprehensive assessment under this paradigm. To address these gaps, this work introduces the first comprehensive benchmark specifically designed for evaluating PRMs under the thinking with images paradigm. Our main contributions are: (1) Through extensive analysis of reasoning trajectories and guided search experiments with PRMs, we define 7 fine-grained error types and demonstrate both the necessity for specialized PRMs and the potential for improvement. (2) We construct a comprehensive benchmark comprising 1,206 manually annotated thinking with images reasoning trajectories spanning 4 categories and 16 subcategories for fine-grained evaluation of PRMs. (3) Our experimental analysis reveals that current LVLMs fall short as effective PRMs, exhibiting limited capabilities in visual reasoning process evaluation with significant performance disparities across error types, positive evaluation bias, and sensitivity to reasoning step positions. These findings demonstrate the effectiveness of our benchmark and establish crucial foundations for advancing PRMs in LVLMs.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E-VAds：电子商务短视频理解 MLLM 的基准</w:t>
      </w:r>
    </w:p>
    <w:p>
      <w:r>
        <w:rPr>
          <w:rFonts w:ascii="Times New Roman" w:hAnsi="Times New Roman" w:eastAsia="宋体"/>
          <w:b/>
          <w:color w:val="003264"/>
          <w:sz w:val="24"/>
        </w:rPr>
        <w:t>E-VAds: An E-commerce Short Videos Understanding Benchmark for MLLMs</w:t>
      </w:r>
    </w:p>
    <w:p>
      <w:r>
        <w:rPr>
          <w:rFonts w:ascii="Times New Roman" w:hAnsi="Times New Roman" w:eastAsia="宋体"/>
          <w:sz w:val="21"/>
        </w:rPr>
        <w:t>作者: Bo Zheng</w:t>
        <w:br/>
      </w:r>
      <w:r>
        <w:rPr>
          <w:rFonts w:ascii="Times New Roman" w:hAnsi="Times New Roman" w:eastAsia="宋体"/>
          <w:sz w:val="21"/>
        </w:rPr>
        <w:t xml:space="preserve">时间: 2026-02-09T07:43:38Z | </w:t>
      </w:r>
      <w:r>
        <w:t xml:space="preserve">链接: </w:t>
      </w:r>
      <w:hyperlink r:id="rId191">
        <w:r>
          <w:rPr>
            <w:rFonts w:ascii="Times New Roman" w:hAnsi="Times New Roman" w:eastAsia="宋体"/>
            <w:color w:val="0000FF"/>
            <w:sz w:val="21"/>
            <w:u w:val="single"/>
          </w:rPr>
          <w:t>https://arxiv.org/abs/2602.08355v1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电商短视频代表了在线视频行业的高收入部分，其特点是目标驱动的格式和密集的多模态信号。当前的模型经常难以处理这些视频，因为现有的基准主要关注通用任务，而忽略了商业意图的推理。在这项工作中，我们首先提出了一个 \textbf{多模态信息密度评估框架} 来量化该领域的复杂性。我们的评估表明，与主流数据集相比，电子商务内容在视觉、音频和文本模式上表现出更高的密度，为视频理解建立了更具挑战性的前沿。为了解决这个差距，我们引入了 \textbf{电子商务视频广告基准（E-VAds）}，这是第一个专门为电子商务短视频理解而设计的基准。我们从淘宝精选了 3,961 个高质量视频，涵盖广泛的产品类别，并使用多智能体系统生成 19,785 个开放式问答对。这些问题分为两个主要维度，即感知、认知和推理，由五个不同的任务组成。最后，我们开发了 \textbf{E-VAds-R1}，这是一种基于强化学习的推理模型，具有称为 \textbf{MG-GRPO} 的多粒度奖励设计。该策略为早期探索提供了平稳的指导，同时为专家级精度创建了非线性激励。实验结果表明，E-VAds-R1 仅用几百个训练样本就在商业意图推理中实现了 109.2% 的性能提升。</w:t>
      </w:r>
    </w:p>
    <w:p>
      <w:pPr>
        <w:spacing w:before="120"/>
      </w:pPr>
      <w:r>
        <w:rPr>
          <w:rFonts w:ascii="Times New Roman" w:hAnsi="Times New Roman" w:eastAsia="宋体"/>
          <w:b/>
          <w:sz w:val="21"/>
        </w:rPr>
        <w:t>English Abstract:</w:t>
      </w:r>
    </w:p>
    <w:p>
      <w:r>
        <w:rPr>
          <w:rFonts w:ascii="Times New Roman" w:hAnsi="Times New Roman" w:eastAsia="宋体"/>
          <w:sz w:val="21"/>
        </w:rPr>
        <w:t>E-commerce short videos represent a high-revenue segment of the online video industry characterized by a goal-driven format and dense multi-modal signals. Current models often struggle with these videos because existing benchmarks focus primarily on general-purpose tasks and neglect the reasoning of commercial intent. In this work, we first propose a \textbf{multi-modal information density assessment framework} to quantify the complexity of this domain. Our evaluation reveals that e-commerce content exhibits substantially higher density across visual, audio, and textual modalities compared to mainstream datasets, establishing a more challenging frontier for video understanding. To address this gap, we introduce \textbf{E-commerce Video Ads Benchmark (E-VAds)}, which is the first benchmark specifically designed for e-commerce short video understanding. We curated 3,961 high-quality videos from Taobao covering a wide range of product categories and used a multi-agent system to generate 19,785 open-ended Q&amp;A pairs. These questions are organized into two primary dimensions, namely Perception and Cognition and Reasoning, which consist of five distinct tasks. Finally, we develop \textbf{E-VAds-R1}, an RL-based reasoning model featuring a multi-grained reward design called \textbf{MG-GRPO}. This strategy provides smooth guidance for early exploration while creating a non-linear incentive for expert-level precision. Experimental results demonstrate that E-VAds-R1 achieves a 109.2% performance gain in commercial intent reasoning with only a few hundred training samples.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使用扩散变压器通过效果敏感的上下文修复进行几何图像编辑</w:t>
      </w:r>
    </w:p>
    <w:p>
      <w:r>
        <w:rPr>
          <w:rFonts w:ascii="Times New Roman" w:hAnsi="Times New Roman" w:eastAsia="宋体"/>
          <w:b/>
          <w:color w:val="003264"/>
          <w:sz w:val="24"/>
        </w:rPr>
        <w:t>Geometric Image Editing via Effects-Sensitive In-Context Inpainting with Diffusion Transformers</w:t>
      </w:r>
    </w:p>
    <w:p>
      <w:r>
        <w:rPr>
          <w:rFonts w:ascii="Times New Roman" w:hAnsi="Times New Roman" w:eastAsia="宋体"/>
          <w:sz w:val="21"/>
        </w:rPr>
        <w:t>作者: Zhanyu Ma</w:t>
        <w:br/>
      </w:r>
      <w:r>
        <w:rPr>
          <w:rFonts w:ascii="Times New Roman" w:hAnsi="Times New Roman" w:eastAsia="宋体"/>
          <w:sz w:val="21"/>
        </w:rPr>
        <w:t xml:space="preserve">时间: 2026-02-09T08:39:47Z | </w:t>
      </w:r>
      <w:r>
        <w:t xml:space="preserve">链接: </w:t>
      </w:r>
      <w:hyperlink r:id="rId192">
        <w:r>
          <w:rPr>
            <w:rFonts w:ascii="Times New Roman" w:hAnsi="Times New Roman" w:eastAsia="宋体"/>
            <w:color w:val="0000FF"/>
            <w:sz w:val="21"/>
            <w:u w:val="single"/>
          </w:rPr>
          <w:t>https://arxiv.org/abs/2602.08388v1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扩散模型的最新进展显着改进了图像编辑。然而，处理几何变换（例如平移、旋转和缩放）仍然存在挑战，特别是在复杂场景中。现有方法存在两个主要局限性：（1）难以实现对象平移、旋转和缩放的精确几何编辑； (2)复杂的光影效果建模不充分，导致结果不切实际。为了解决这些问题，我们提出了 GeoEdit，这是一个通过扩散转换器模块利用上下文生成的框架，该模块集成了几何变换以实现精确的对象编辑。此外，我们引入了效果敏感注意力，它增强了复杂照明和阴影效果的建模，以提高真实感。为了进一步支持训练，我们构建了 RS-Objects，这是一个包含超过 120,000 个高质量图像对的大规模几何编辑数据集，使模型能够学习精确的几何编辑，同时生成逼真的光照和阴影。对公共基准的大量实验表明，GeoEdit 在视觉质量、几何精度和真实感方面始终优于最先进的方法。</w:t>
      </w:r>
    </w:p>
    <w:p>
      <w:pPr>
        <w:spacing w:before="120"/>
      </w:pPr>
      <w:r>
        <w:rPr>
          <w:rFonts w:ascii="Times New Roman" w:hAnsi="Times New Roman" w:eastAsia="宋体"/>
          <w:b/>
          <w:sz w:val="21"/>
        </w:rPr>
        <w:t>English Abstract:</w:t>
      </w:r>
    </w:p>
    <w:p>
      <w:r>
        <w:rPr>
          <w:rFonts w:ascii="Times New Roman" w:hAnsi="Times New Roman" w:eastAsia="宋体"/>
          <w:sz w:val="21"/>
        </w:rPr>
        <w:t>Recent advances in diffusion models have significantly improved image editing. However, challenges persist in handling geometric transformations, such as translation, rotation, and scaling, particularly in complex scenes. Existing approaches suffer from two main limitations: (1) difficulty in achieving accurate geometric editing of object translation, rotation, and scaling; (2) inadequate modeling of intricate lighting and shadow effects, leading to unrealistic results. To address these issues, we propose GeoEdit, a framework that leverages in-context generation through a diffusion transformer module, which integrates geometric transformations for precise object edits. Moreover, we introduce Effects-Sensitive Attention, which enhances the modeling of intricate lighting and shadow effects for improved realism. To further support training, we construct RS-Objects, a large-scale geometric editing dataset containing over 120,000 high-quality image pairs, enabling the model to learn precise geometric editing while generating realistic lighting and shadows. Extensive experiments on public benchmarks demonstrate that GeoEdit consistently outperforms state-of-the-art methods in terms of visual quality, geometric accuracy, and realism.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D$^2$-VR：具有协同优化策略的降级稳健和蒸馏视频恢复</w:t>
      </w:r>
    </w:p>
    <w:p>
      <w:r>
        <w:rPr>
          <w:rFonts w:ascii="Times New Roman" w:hAnsi="Times New Roman" w:eastAsia="宋体"/>
          <w:b/>
          <w:color w:val="003264"/>
          <w:sz w:val="24"/>
        </w:rPr>
        <w:t>D$^2$-VR: Degradation-Robust and Distilled Video Restoration with Synergistic Optimization Strategy</w:t>
      </w:r>
    </w:p>
    <w:p>
      <w:r>
        <w:rPr>
          <w:rFonts w:ascii="Times New Roman" w:hAnsi="Times New Roman" w:eastAsia="宋体"/>
          <w:sz w:val="21"/>
        </w:rPr>
        <w:t>作者: Xiaoyun Zhang</w:t>
        <w:br/>
      </w:r>
      <w:r>
        <w:rPr>
          <w:rFonts w:ascii="Times New Roman" w:hAnsi="Times New Roman" w:eastAsia="宋体"/>
          <w:sz w:val="21"/>
        </w:rPr>
        <w:t xml:space="preserve">时间: 2026-02-09T08:52:51Z | </w:t>
      </w:r>
      <w:r>
        <w:t xml:space="preserve">链接: </w:t>
      </w:r>
      <w:hyperlink r:id="rId193">
        <w:r>
          <w:rPr>
            <w:rFonts w:ascii="Times New Roman" w:hAnsi="Times New Roman" w:eastAsia="宋体"/>
            <w:color w:val="0000FF"/>
            <w:sz w:val="21"/>
            <w:u w:val="single"/>
          </w:rPr>
          <w:t>https://arxiv.org/abs/2602.08395v1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扩散先验与时间对齐的集成已成为视频恢复的变革范例，提供了出色的感知质量，但在面对复杂的现实世界退化时，此类框架的实际部署受到令人望而却步的推理延迟和时间不稳定性的严重限制。为了解决这些限制，我们提出了 \textbf{D$^2$-VR}，一种具有低步推理的基于单图像扩散的视频恢复框架。为了在严重退化的情况下获得精确的时间指导，我们首先设计了一个退化鲁棒流对齐（DRFA）模块，该模块利用置信感知注意力来过滤不可靠的运动线索。然后，我们采用对抗性蒸馏范例，将扩散采样轨迹压缩为快速的几步状态。最后，设计了一种协同优化策略来协调感知质量与严格的时间一致性。大量实验表明，D$^2$-VR 实现了最先进的性能，同时将采样过程加速了 \textbf{12$\times$}</w:t>
      </w:r>
    </w:p>
    <w:p>
      <w:pPr>
        <w:spacing w:before="120"/>
      </w:pPr>
      <w:r>
        <w:rPr>
          <w:rFonts w:ascii="Times New Roman" w:hAnsi="Times New Roman" w:eastAsia="宋体"/>
          <w:b/>
          <w:sz w:val="21"/>
        </w:rPr>
        <w:t>English Abstract:</w:t>
      </w:r>
    </w:p>
    <w:p>
      <w:r>
        <w:rPr>
          <w:rFonts w:ascii="Times New Roman" w:hAnsi="Times New Roman" w:eastAsia="宋体"/>
          <w:sz w:val="21"/>
        </w:rPr>
        <w:t>The integration of diffusion priors with temporal alignment has emerged as a transformative paradigm for video restoration, delivering fantastic perceptual quality, yet the practical deployment of such frameworks is severely constrained by prohibitive inference latency and temporal instability when confronted with complex real-world degradations. To address these limitations, we propose \textbf{D$^2$-VR}, a single-image diffusion-based video-restoration framework with low-step inference. To obtain precise temporal guidance under severe degradation, we first design a Degradation-Robust Flow Alignment (DRFA) module that leverages confidence-aware attention to filter unreliable motion cues. We then incorporate an adversarial distillation paradigm to compress the diffusion sampling trajectory into a rapid few-step regime. Finally, a synergistic optimization strategy is devised to harmonize perceptual quality with rigorous temporal consistency. Extensive experiments demonstrate that D$^2$-VR achieves state-of-the-art performance while accelerating the sampling process by \textbf{12$\times$}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RealSynCol：用于 3D 重建应用的高保真合成结肠数据集</w:t>
      </w:r>
    </w:p>
    <w:p>
      <w:r>
        <w:rPr>
          <w:rFonts w:ascii="Times New Roman" w:hAnsi="Times New Roman" w:eastAsia="宋体"/>
          <w:b/>
          <w:color w:val="003264"/>
          <w:sz w:val="24"/>
        </w:rPr>
        <w:t>RealSynCol: a high-fidelity synthetic colon dataset for 3D reconstruction applications</w:t>
      </w:r>
    </w:p>
    <w:p>
      <w:r>
        <w:rPr>
          <w:rFonts w:ascii="Times New Roman" w:hAnsi="Times New Roman" w:eastAsia="宋体"/>
          <w:sz w:val="21"/>
        </w:rPr>
        <w:t>作者: Elena De Momi</w:t>
        <w:br/>
      </w:r>
      <w:r>
        <w:rPr>
          <w:rFonts w:ascii="Times New Roman" w:hAnsi="Times New Roman" w:eastAsia="宋体"/>
          <w:sz w:val="21"/>
        </w:rPr>
        <w:t xml:space="preserve">时间: 2026-02-09T08:57:37Z | </w:t>
      </w:r>
      <w:r>
        <w:t xml:space="preserve">链接: </w:t>
      </w:r>
      <w:hyperlink r:id="rId194">
        <w:r>
          <w:rPr>
            <w:rFonts w:ascii="Times New Roman" w:hAnsi="Times New Roman" w:eastAsia="宋体"/>
            <w:color w:val="0000FF"/>
            <w:sz w:val="21"/>
            <w:u w:val="single"/>
          </w:rPr>
          <w:t>https://arxiv.org/abs/2602.08397v1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深度学习有潜力通过实现结肠的 3D 重建、提供粘膜表面和病变的全面视图以及促进未探索区域的识别来改善结肠镜检查。然而，鲁棒方法的发展受到大规模地面实况数据稀缺的限制。我们提出了 RealSynCol，一个高度真实的合成数据集，旨在复制内窥镜环境。从 10 次 CT 扫描中提取的结肠几何形状被导入虚拟环境中，该环境非常模仿术中条件，并以逼真的血管纹理进行渲染。生成的数据集包含 28\,130 帧，与地面真实深度图、光流、3D 网格和相机轨迹配对。进行了一项基准研究来评估用于深度和姿态估计任务的可用合成结肠数据集。结果表明，RealSynCol 的高度真实性和可变性显着增强了临床图像的泛化性能，证明它是开发支持内窥镜诊断的深度学习算法的强大工具。</w:t>
      </w:r>
    </w:p>
    <w:p>
      <w:pPr>
        <w:spacing w:before="120"/>
      </w:pPr>
      <w:r>
        <w:rPr>
          <w:rFonts w:ascii="Times New Roman" w:hAnsi="Times New Roman" w:eastAsia="宋体"/>
          <w:b/>
          <w:sz w:val="21"/>
        </w:rPr>
        <w:t>English Abstract:</w:t>
      </w:r>
    </w:p>
    <w:p>
      <w:r>
        <w:rPr>
          <w:rFonts w:ascii="Times New Roman" w:hAnsi="Times New Roman" w:eastAsia="宋体"/>
          <w:sz w:val="21"/>
        </w:rPr>
        <w:t>Deep learning has the potential to improve colonoscopy by enabling 3D reconstruction of the colon, providing a comprehensive view of mucosal surfaces and lesions, and facilitating the identification of unexplored areas. However, the development of robust methods is limited by the scarcity of large-scale ground truth data. We propose RealSynCol, a highly realistic synthetic dataset designed to replicate the endoscopic environment. Colon geometries extracted from 10 CT scans were imported into a virtual environment that closely mimics intraoperative conditions and rendered with realistic vascular textures. The resulting dataset comprises 28\,130 frames, paired with ground truth depth maps, optical flow, 3D meshes, and camera trajectories. A benchmark study was conducted to evaluate the available synthetic colon datasets for the tasks of depth and pose estimation. Results demonstrate that the high realism and variability of RealSynCol significantly enhance generalization performance on clinical images, proving it to be a powerful tool for developing deep learning algorithms to support endoscopic diagnosis.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理解和优化针对不同局部特征的基于注意力的稀疏匹配</w:t>
      </w:r>
    </w:p>
    <w:p>
      <w:r>
        <w:rPr>
          <w:rFonts w:ascii="Times New Roman" w:hAnsi="Times New Roman" w:eastAsia="宋体"/>
          <w:b/>
          <w:color w:val="003264"/>
          <w:sz w:val="24"/>
        </w:rPr>
        <w:t>Understanding and Optimizing Attention-Based Sparse Matching for Diverse Local Features</w:t>
      </w:r>
    </w:p>
    <w:p>
      <w:r>
        <w:rPr>
          <w:rFonts w:ascii="Times New Roman" w:hAnsi="Times New Roman" w:eastAsia="宋体"/>
          <w:sz w:val="21"/>
        </w:rPr>
        <w:t>作者: Qiang Wang</w:t>
        <w:br/>
      </w:r>
      <w:r>
        <w:rPr>
          <w:rFonts w:ascii="Times New Roman" w:hAnsi="Times New Roman" w:eastAsia="宋体"/>
          <w:sz w:val="21"/>
        </w:rPr>
        <w:t xml:space="preserve">时间: 2026-02-09T09:39:04Z | </w:t>
      </w:r>
      <w:r>
        <w:t xml:space="preserve">链接: </w:t>
      </w:r>
      <w:hyperlink r:id="rId195">
        <w:r>
          <w:rPr>
            <w:rFonts w:ascii="Times New Roman" w:hAnsi="Times New Roman" w:eastAsia="宋体"/>
            <w:color w:val="0000FF"/>
            <w:sz w:val="21"/>
            <w:u w:val="single"/>
          </w:rPr>
          <w:t>https://arxiv.org/abs/2602.08430v1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我们重新审视针对各种局部特征训练基于注意力的稀疏图像匹配模型的问题。我们首先确定了一个之前被忽视的关键设计选择，它显着影响了 LightGlue 模型的性能。然后，我们研究了检测器和描述符在基于变压器的匹配框架中的作用，发现检测器而不是描述符通常是性能差异的主要原因。最后，我们提出了一种新方法，使用来自不同检测器组的关键点来微调现有图像匹配模型，从而形成通用的、与检测器无关的模型。当部署为新型探测器的零样本匹配器时，生成的模型达到或超过了专门针对这些特征训练的模型的准确性。我们的研究结果为基于变压器的匹配模型的部署和局部特征的未来设计提供了宝贵的见解。</w:t>
      </w:r>
    </w:p>
    <w:p>
      <w:pPr>
        <w:spacing w:before="120"/>
      </w:pPr>
      <w:r>
        <w:rPr>
          <w:rFonts w:ascii="Times New Roman" w:hAnsi="Times New Roman" w:eastAsia="宋体"/>
          <w:b/>
          <w:sz w:val="21"/>
        </w:rPr>
        <w:t>English Abstract:</w:t>
      </w:r>
    </w:p>
    <w:p>
      <w:r>
        <w:rPr>
          <w:rFonts w:ascii="Times New Roman" w:hAnsi="Times New Roman" w:eastAsia="宋体"/>
          <w:sz w:val="21"/>
        </w:rPr>
        <w:t>We revisit the problem of training attention-based sparse image matching models for various local features. We first identify one critical design choice that has been previously overlooked, which significantly impacts the performance of the LightGlue model. We then investigate the role of detectors and descriptors within the transformer-based matching framework, finding that detectors, rather than descriptors, are often the primary cause for performance difference. Finally, we propose a novel approach to fine-tune existing image matching models using keypoints from a diverse set of detectors, resulting in a universal, detector-agnostic model. When deployed as a zero-shot matcher for novel detectors, the resulting model achieves or exceeds the accuracy of models specifically trained for those features. Our findings offer valuable insights for the deployment of transformer-based matching models and the future design of local features.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用于近场和离轴视觉引导机器人对准的可靠性感知执行门控</w:t>
      </w:r>
    </w:p>
    <w:p>
      <w:r>
        <w:rPr>
          <w:rFonts w:ascii="Times New Roman" w:hAnsi="Times New Roman" w:eastAsia="宋体"/>
          <w:b/>
          <w:color w:val="003264"/>
          <w:sz w:val="24"/>
        </w:rPr>
        <w:t>Reliability-aware Execution Gating for Near-field and Off-axis Vision-guided Robotic Alignment</w:t>
      </w:r>
    </w:p>
    <w:p>
      <w:r>
        <w:rPr>
          <w:rFonts w:ascii="Times New Roman" w:hAnsi="Times New Roman" w:eastAsia="宋体"/>
          <w:sz w:val="21"/>
        </w:rPr>
        <w:t>作者: Maochen Li</w:t>
        <w:br/>
      </w:r>
      <w:r>
        <w:rPr>
          <w:rFonts w:ascii="Times New Roman" w:hAnsi="Times New Roman" w:eastAsia="宋体"/>
          <w:sz w:val="21"/>
        </w:rPr>
        <w:t xml:space="preserve">时间: 2026-02-09T10:14:39Z | </w:t>
      </w:r>
      <w:r>
        <w:t xml:space="preserve">链接: </w:t>
      </w:r>
      <w:hyperlink r:id="rId196">
        <w:r>
          <w:rPr>
            <w:rFonts w:ascii="Times New Roman" w:hAnsi="Times New Roman" w:eastAsia="宋体"/>
            <w:color w:val="0000FF"/>
            <w:sz w:val="21"/>
            <w:u w:val="single"/>
          </w:rPr>
          <w:t>https://arxiv.org/abs/2602.08466v1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引导机器人系统越来越多地部署在需要在近场和离轴配置下可靠执行的精密对准任务中。尽管姿态估计方面的最新进展显着提高了数值精度，但即使姿态估计看起来准确，实际的机器人系统仍然会频繁出现执行失败。这一差距表明，仅靠姿势精度不足以保证执行级的可靠性。在本文中，我们揭示了此类故障源于确定性几何误差放大机制，其中小的位姿估计误差通过系统结构和运动执行被放大，导致对准不稳定或失败。我们提出了一种在执行级别运行的可靠性感知执行门控机制，而不是修改姿态估计算法。所提出的方法在执行前评估几何一致性和配置风险，并选择性地拒绝或缩放高风险的姿态更新。我们在真实的 UR5 机器人平台上验证了所提出的方法，在不同的相机目标距离和离轴配置下执行单步视觉对准任务。实验结果表明，所提出的执行门控显着提高了任务成功率，减少了执行方差，并抑制了尾部风险行为，同时平均姿态精度基本保持不变。重要的是，所提出的机制与估计器无关，并且可以轻松地与经典的基于几何和基于学习的姿态估计管道集成。这些结果凸显了执行级可靠性建模的重要性，并为提高近场视觉引导机器人系统的鲁棒性提供了实用的解决方案。</w:t>
      </w:r>
    </w:p>
    <w:p>
      <w:pPr>
        <w:spacing w:before="120"/>
      </w:pPr>
      <w:r>
        <w:rPr>
          <w:rFonts w:ascii="Times New Roman" w:hAnsi="Times New Roman" w:eastAsia="宋体"/>
          <w:b/>
          <w:sz w:val="21"/>
        </w:rPr>
        <w:t>English Abstract:</w:t>
      </w:r>
    </w:p>
    <w:p>
      <w:r>
        <w:rPr>
          <w:rFonts w:ascii="Times New Roman" w:hAnsi="Times New Roman" w:eastAsia="宋体"/>
          <w:sz w:val="21"/>
        </w:rPr>
        <w:t>Vision-guided robotic systems are increasingly deployed in precision alignment tasks that require reliable execution under near-field and off-axis configurations. While recent advances in pose estimation have significantly improved numerical accuracy, practical robotic systems still suffer from frequent execution failures even when pose estimates appear accurate. This gap suggests that pose accuracy alone is insufficient to guarantee execution-level reliability. In this paper, we reveal that such failures arise from a deterministic geometric error amplification mechanism, in which small pose estimation errors are magnified through system structure and motion execution, leading to unstable or failed alignment. Rather than modifying pose estimation algorithms, we propose a Reliability-aware Execution Gating mechanism that operates at the execution level. The proposed approach evaluates geometric consistency and configuration risk before execution, and selectively rejects or scales high-risk pose updates. We validate the proposed method on a real UR5 robotic platform performing single-step visual alignment tasks under varying camera-target distances and off-axis configurations. Experimental results demonstrate that the proposed execution gating significantly improves task success rates, reduces execution variance, and suppresses tail-risk behavior, while leaving average pose accuracy largely unchanged. Importantly, the proposed mechanism is estimator-agnostic and can be readily integrated with both classical geometry-based and learning-based pose estimation pipelines. These results highlight the importance of execution-level reliability modeling and provide a practical solution for improving robustness in near-field vision-guided robotic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视觉基础模型是电子显微镜图像分割的基础吗？</w:t>
      </w:r>
    </w:p>
    <w:p>
      <w:r>
        <w:rPr>
          <w:rFonts w:ascii="Times New Roman" w:hAnsi="Times New Roman" w:eastAsia="宋体"/>
          <w:b/>
          <w:color w:val="003264"/>
          <w:sz w:val="24"/>
        </w:rPr>
        <w:t>Are Vision Foundation Models Foundational for Electron Microscopy Image Segmentation?</w:t>
      </w:r>
    </w:p>
    <w:p>
      <w:r>
        <w:rPr>
          <w:rFonts w:ascii="Times New Roman" w:hAnsi="Times New Roman" w:eastAsia="宋体"/>
          <w:sz w:val="21"/>
        </w:rPr>
        <w:t>作者: Virginie Uhlmann</w:t>
        <w:br/>
      </w:r>
      <w:r>
        <w:rPr>
          <w:rFonts w:ascii="Times New Roman" w:hAnsi="Times New Roman" w:eastAsia="宋体"/>
          <w:sz w:val="21"/>
        </w:rPr>
        <w:t xml:space="preserve">时间: 2026-02-09T10:55:18Z | </w:t>
      </w:r>
      <w:r>
        <w:t xml:space="preserve">链接: </w:t>
      </w:r>
      <w:hyperlink r:id="rId197">
        <w:r>
          <w:rPr>
            <w:rFonts w:ascii="Times New Roman" w:hAnsi="Times New Roman" w:eastAsia="宋体"/>
            <w:color w:val="0000FF"/>
            <w:sz w:val="21"/>
            <w:u w:val="single"/>
          </w:rPr>
          <w:t>https://arxiv.org/abs/2602.08505v1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尽管视觉基础模型（VFM）越来越多地被重复用于生物医学图像分析，但仍不清楚它们提供的潜在表示是否足够通用以支持跨异构显微图像数据集的有效传输和重用。在这里，我们使用两个流行的公共 EM 数据集（Lucchi++ 和 VNC）和三个最近的代表性 VFM（DINOv2、DINOv3 和 OpenCLIP）研究电子显微镜 (EM) 图像中线粒体分割问题。我们评估了两种实用的模型适应机制：冻结骨干设置，其中仅在 VFM 之上训练轻量级分割头；以及通过低秩适应（LoRA）进行参数高效微调（PEFT），其中 VFM 有针对性地针对特定数据集进行微调。在所有主干网络中，我们观察到对单个 EM 数据集的训练产生了良好的分割性能（量化为前景 Intersection-over-Union），并且 LoRA 持续提高了域内性能。相比之下，对多个 EM 数据集进行训练会导致所有考虑的模型的性能严重下降，而 PEFT 只能带来边际收益。通过各种技术（PCA、Fréchet Dinov2 距离和线性探针）探索潜在表示空间，揭示了两个考虑的 EM 数据集之间存在明显且持续的域不匹配，尽管它们具有视觉相似性，这与观察到的配对训练失败一致。这些结果表明，虽然 VFM 可以在轻量级适应下为单个域内的 EM 分割提供有竞争力的结果，但当前的 PEFT 策略不足以在没有额外的域对齐机制的情况下跨异构 EM 数据集获得单一稳健的模型。</w:t>
      </w:r>
    </w:p>
    <w:p>
      <w:pPr>
        <w:spacing w:before="120"/>
      </w:pPr>
      <w:r>
        <w:rPr>
          <w:rFonts w:ascii="Times New Roman" w:hAnsi="Times New Roman" w:eastAsia="宋体"/>
          <w:b/>
          <w:sz w:val="21"/>
        </w:rPr>
        <w:t>English Abstract:</w:t>
      </w:r>
    </w:p>
    <w:p>
      <w:r>
        <w:rPr>
          <w:rFonts w:ascii="Times New Roman" w:hAnsi="Times New Roman" w:eastAsia="宋体"/>
          <w:sz w:val="21"/>
        </w:rPr>
        <w:t>Although vision foundation models (VFMs) are increasingly reused for biomedical image analysis, it remains unclear whether the latent representations they provide are general enough to support effective transfer and reuse across heterogeneous microscopy image datasets. Here, we study this question for the problem of mitochondria segmentation in electron microscopy (EM) images, using two popular public EM datasets (Lucchi++ and VNC) and three recent representative VFMs (DINOv2, DINOv3, and OpenCLIP). We evaluate two practical model adaptation regimes: a frozen-backbone setting in which only a lightweight segmentation head is trained on top of the VFM, and parameter-efficient fine-tuning (PEFT) via Low-Rank Adaptation (LoRA) in which the VFM is fine-tuned in a targeted manner to a specific dataset. Across all backbones, we observe that training on a single EM dataset yields good segmentation performance (quantified as foreground Intersection-over-Union), and that LoRA consistently improves in-domain performance. In contrast, training on multiple EM datasets leads to severe performance degradation for all models considered, with only marginal gains from PEFT. Exploration of the latent representation space through various techniques (PCA, Fréchet Dinov2 distance, and linear probes) reveals a pronounced and persistent domain mismatch between the two considered EM datasets in spite of their visual similarity, which is consistent with the observed failure of paired training. These results suggest that, while VFMs can deliver competitive results for EM segmentation within a single domain under lightweight adaptation, current PEFT strategies are insufficient to obtain a single robust model across heterogeneous EM datasets without additional domain-alignment mechanisms.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使用双模型方法自动选择层析成像正则化参数</w:t>
      </w:r>
    </w:p>
    <w:p>
      <w:r>
        <w:rPr>
          <w:rFonts w:ascii="Times New Roman" w:hAnsi="Times New Roman" w:eastAsia="宋体"/>
          <w:b/>
          <w:color w:val="003264"/>
          <w:sz w:val="24"/>
        </w:rPr>
        <w:t>Automatic regularization parameter choice for tomography using a double model approach</w:t>
      </w:r>
    </w:p>
    <w:p>
      <w:r>
        <w:rPr>
          <w:rFonts w:ascii="Times New Roman" w:hAnsi="Times New Roman" w:eastAsia="宋体"/>
          <w:sz w:val="21"/>
        </w:rPr>
        <w:t>作者: Samuli Siltanen</w:t>
        <w:br/>
      </w:r>
      <w:r>
        <w:rPr>
          <w:rFonts w:ascii="Times New Roman" w:hAnsi="Times New Roman" w:eastAsia="宋体"/>
          <w:sz w:val="21"/>
        </w:rPr>
        <w:t xml:space="preserve">时间: 2026-02-09T11:23:57Z | </w:t>
      </w:r>
      <w:r>
        <w:t xml:space="preserve">链接: </w:t>
      </w:r>
      <w:hyperlink r:id="rId198">
        <w:r>
          <w:rPr>
            <w:rFonts w:ascii="Times New Roman" w:hAnsi="Times New Roman" w:eastAsia="宋体"/>
            <w:color w:val="0000FF"/>
            <w:sz w:val="21"/>
            <w:u w:val="single"/>
          </w:rPr>
          <w:t>https://arxiv.org/abs/2602.08528v1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X 射线断层扫描中的图像重建是一个不适定的逆问题，特别是在可用数据有限的情况下。因此，正则化至关重要，但其有效性取决于正则化参数的选择，以平衡数据保真度与先验信息。我们提出了一种基于同一问题的两种不同计算离散化的自动参数选择的新方法。反馈控制算法动态调整正则化强度，驱动迭代重建朝向最小参数，从而在两个网格上的重建之间产生足够的相似性。使用真实断层扫描数据证明了所提出方法的有效性。</w:t>
      </w:r>
    </w:p>
    <w:p>
      <w:pPr>
        <w:spacing w:before="120"/>
      </w:pPr>
      <w:r>
        <w:rPr>
          <w:rFonts w:ascii="Times New Roman" w:hAnsi="Times New Roman" w:eastAsia="宋体"/>
          <w:b/>
          <w:sz w:val="21"/>
        </w:rPr>
        <w:t>English Abstract:</w:t>
      </w:r>
    </w:p>
    <w:p>
      <w:r>
        <w:rPr>
          <w:rFonts w:ascii="Times New Roman" w:hAnsi="Times New Roman" w:eastAsia="宋体"/>
          <w:sz w:val="21"/>
        </w:rPr>
        <w:t>Image reconstruction in X-ray tomography is an ill-posed inverse problem, particularly with limited available data. Regularization is thus essential, but its effectiveness hinges on the choice of a regularization parameter that balances data fidelity against a priori information. We present a novel method for automatic parameter selection based on the use of two distinct computational discretizations of the same problem. A feedback control algorithm dynamically adjusts the regularization strength, driving an iterative reconstruction toward the smallest parameter that yields sufficient similarity between reconstructions on the two grids. The effectiveness of the proposed approach is demonstrated using real tomographic data.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Thegra：基于图的热成像 SLAM</w:t>
      </w:r>
    </w:p>
    <w:p>
      <w:r>
        <w:rPr>
          <w:rFonts w:ascii="Times New Roman" w:hAnsi="Times New Roman" w:eastAsia="宋体"/>
          <w:b/>
          <w:color w:val="003264"/>
          <w:sz w:val="24"/>
        </w:rPr>
        <w:t>Thegra: Graph-based SLAM for Thermal Imagery</w:t>
      </w:r>
    </w:p>
    <w:p>
      <w:r>
        <w:rPr>
          <w:rFonts w:ascii="Times New Roman" w:hAnsi="Times New Roman" w:eastAsia="宋体"/>
          <w:sz w:val="21"/>
        </w:rPr>
        <w:t>作者: Alexander Menshchikov</w:t>
        <w:br/>
      </w:r>
      <w:r>
        <w:rPr>
          <w:rFonts w:ascii="Times New Roman" w:hAnsi="Times New Roman" w:eastAsia="宋体"/>
          <w:sz w:val="21"/>
        </w:rPr>
        <w:t xml:space="preserve">时间: 2026-02-09T11:29:42Z | </w:t>
      </w:r>
      <w:r>
        <w:t xml:space="preserve">链接: </w:t>
      </w:r>
      <w:hyperlink r:id="rId199">
        <w:r>
          <w:rPr>
            <w:rFonts w:ascii="Times New Roman" w:hAnsi="Times New Roman" w:eastAsia="宋体"/>
            <w:color w:val="0000FF"/>
            <w:sz w:val="21"/>
            <w:u w:val="single"/>
          </w:rPr>
          <w:t>https://arxiv.org/abs/2602.08531v1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热成像为低照度、烟雾或恶劣天气等视觉退化环境中的视觉 SLAM 提供了实用的传感方式。然而，热图像通常表现出低纹理、低对比度和高噪声，使基于特征的 SLAM 变得复杂。在这项工作中，我们提出了一种基于稀疏单目图的热成像 SLAM 系统，该系统利用通用学习特征——SuperPoint 检测器和 LightGlue 匹配器，在大规模可见光谱数据上进行训练，以提高跨域泛化能力。为了使这些组件适应热数据，我们引入了预处理管道来增强输入适用性并修改核心 SLAM 模块以处理稀疏和容易出现异常值的特征匹配。我们进一步将 SuperPoint 的关键点置信度得分合并到置信度加权因子图中，以提高估计的稳健性。对公共热数据集的评估表明，鉴于高质量热数据的稀缺性，所提出的系统无需特定于数据集的训练或微调所需的特征检测器即可实现可靠的性能。代码将在发布后提供。</w:t>
      </w:r>
    </w:p>
    <w:p>
      <w:pPr>
        <w:spacing w:before="120"/>
      </w:pPr>
      <w:r>
        <w:rPr>
          <w:rFonts w:ascii="Times New Roman" w:hAnsi="Times New Roman" w:eastAsia="宋体"/>
          <w:b/>
          <w:sz w:val="21"/>
        </w:rPr>
        <w:t>English Abstract:</w:t>
      </w:r>
    </w:p>
    <w:p>
      <w:r>
        <w:rPr>
          <w:rFonts w:ascii="Times New Roman" w:hAnsi="Times New Roman" w:eastAsia="宋体"/>
          <w:sz w:val="21"/>
        </w:rPr>
        <w:t>Thermal imaging provides a practical sensing modality for visual SLAM in visually degraded environments such as low illumination, smoke, or adverse weather. However, thermal imagery often exhibits low texture, low contrast, and high noise, complicating feature-based SLAM. In this work, we propose a sparse monocular graph-based SLAM system for thermal imagery that leverages general-purpose learned features -- the SuperPoint detector and LightGlue matcher, trained on large-scale visible-spectrum data to improve cross-domain generalization. To adapt these components to thermal data, we introduce a preprocessing pipeline to enhance input suitability and modify core SLAM modules to handle sparse and outlier-prone feature matches. We further incorporate keypoint confidence scores from SuperPoint into a confidence-weighted factor graph to improve estimation robustness. Evaluations on public thermal datasets demonstrate that the proposed system achieves reliable performance without requiring dataset-specific training or fine-tuning a desired feature detector, given the scarcity of quality thermal data. Code will be made available upon publication.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FLAG-4D：用于 4D 重建的流引导局部全局双变形模型</w:t>
      </w:r>
    </w:p>
    <w:p>
      <w:r>
        <w:rPr>
          <w:rFonts w:ascii="Times New Roman" w:hAnsi="Times New Roman" w:eastAsia="宋体"/>
          <w:b/>
          <w:color w:val="003264"/>
          <w:sz w:val="24"/>
        </w:rPr>
        <w:t>FLAG-4D: Flow-Guided Local-Global Dual-Deformation Model for 4D Reconstruction</w:t>
      </w:r>
    </w:p>
    <w:p>
      <w:r>
        <w:rPr>
          <w:rFonts w:ascii="Times New Roman" w:hAnsi="Times New Roman" w:eastAsia="宋体"/>
          <w:sz w:val="21"/>
        </w:rPr>
        <w:t>作者: Chee-Ming Ting</w:t>
        <w:br/>
      </w:r>
      <w:r>
        <w:rPr>
          <w:rFonts w:ascii="Times New Roman" w:hAnsi="Times New Roman" w:eastAsia="宋体"/>
          <w:sz w:val="21"/>
        </w:rPr>
        <w:t xml:space="preserve">时间: 2026-02-09T11:55:15Z | </w:t>
      </w:r>
      <w:r>
        <w:t xml:space="preserve">链接: </w:t>
      </w:r>
      <w:hyperlink r:id="rId200">
        <w:r>
          <w:rPr>
            <w:rFonts w:ascii="Times New Roman" w:hAnsi="Times New Roman" w:eastAsia="宋体"/>
            <w:color w:val="0000FF"/>
            <w:sz w:val="21"/>
            <w:u w:val="single"/>
          </w:rPr>
          <w:t>https://arxiv.org/abs/2602.08558v1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我们介绍 FLAG-4D，这是一种新颖的框架，用于通过重建 3D 高斯基元如何随空间和时间演化来生成动态场景的新颖视图。现有方法通常依赖于单个多层感知器（MLP）来对时间变形进行建模，并且它们通常很难随着时间的推移持续捕获复杂的点运动和细粒度的动态细节，尤其是从稀疏的输入视图中。我们的方法 FLAG-4D 通过采用双变形网络克服了这一问题，该网络随着时间的推移将一组规范的 3D 高斯曲线动态变形为新的位置和各向异性形状。这种双变形网络由用于建模细粒度局部变形的瞬时变形网络 (IDN) 和用于捕获远程动态并通过相互学习进行细化的全局运动网络 (GMN) 组成。为了确保这些变形既准确又在时间上平滑，FLAG-4D 结合了来自预训练光流主干的密集运动特征。我们融合来自相邻时间帧的这些运动线索，并使用变形引导的注意力机制将该流信息与每个演化的 3D 高斯的当前状态对齐。大量实验表明，与最先进的方法相比，FLAG-4D 可以实现更高保真度和时间上更一致的重建，并具有更精细的细节保留。</w:t>
      </w:r>
    </w:p>
    <w:p>
      <w:pPr>
        <w:spacing w:before="120"/>
      </w:pPr>
      <w:r>
        <w:rPr>
          <w:rFonts w:ascii="Times New Roman" w:hAnsi="Times New Roman" w:eastAsia="宋体"/>
          <w:b/>
          <w:sz w:val="21"/>
        </w:rPr>
        <w:t>English Abstract:</w:t>
      </w:r>
    </w:p>
    <w:p>
      <w:r>
        <w:rPr>
          <w:rFonts w:ascii="Times New Roman" w:hAnsi="Times New Roman" w:eastAsia="宋体"/>
          <w:sz w:val="21"/>
        </w:rPr>
        <w:t>We introduce FLAG-4D, a novel framework for generating novel views of dynamic scenes by reconstructing how 3D Gaussian primitives evolve through space and time. Existing methods typically rely on a single Multilayer Perceptron (MLP) to model temporal deformations, and they often struggle to capture complex point motions and fine-grained dynamic details consistently over time, especially from sparse input views. Our approach, FLAG-4D, overcomes this by employing a dual-deformation network that dynamically warps a canonical set of 3D Gaussians over time into new positions and anisotropic shapes. This dual-deformation network consists of an Instantaneous Deformation Network (IDN) for modeling fine-grained, local deformations and a Global Motion Network (GMN) for capturing long-range dynamics, refined through mutual learning. To ensure these deformations are both accurate and temporally smooth, FLAG-4D incorporates dense motion features from a pretrained optical flow backbone. We fuse these motion cues from adjacent timeframes and use a deformation-guided attention mechanism to align this flow information with the current state of each evolving 3D Gaussian. Extensive experiments demonstrate that FLAG-4D achieves higher-fidelity and more temporally coherent reconstructions with finer detail preservation than state-of-the-art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retinaanalysis-vascx：用于提取视网膜血管生物标志物的可解释的软件工具箱</w:t>
      </w:r>
    </w:p>
    <w:p>
      <w:r>
        <w:rPr>
          <w:rFonts w:ascii="Times New Roman" w:hAnsi="Times New Roman" w:eastAsia="宋体"/>
          <w:b/>
          <w:color w:val="003264"/>
          <w:sz w:val="24"/>
        </w:rPr>
        <w:t>retinalysis-vascx: An explainable software toolbox for the extraction of retinal vascular biomarkers</w:t>
      </w:r>
    </w:p>
    <w:p>
      <w:r>
        <w:rPr>
          <w:rFonts w:ascii="Times New Roman" w:hAnsi="Times New Roman" w:eastAsia="宋体"/>
          <w:sz w:val="21"/>
        </w:rPr>
        <w:t>作者: Bart Liefers</w:t>
        <w:br/>
      </w:r>
      <w:r>
        <w:rPr>
          <w:rFonts w:ascii="Times New Roman" w:hAnsi="Times New Roman" w:eastAsia="宋体"/>
          <w:sz w:val="21"/>
        </w:rPr>
        <w:t xml:space="preserve">时间: 2026-02-09T12:19:33Z | </w:t>
      </w:r>
      <w:r>
        <w:t xml:space="preserve">链接: </w:t>
      </w:r>
      <w:hyperlink r:id="rId201">
        <w:r>
          <w:rPr>
            <w:rFonts w:ascii="Times New Roman" w:hAnsi="Times New Roman" w:eastAsia="宋体"/>
            <w:color w:val="0000FF"/>
            <w:sz w:val="21"/>
            <w:u w:val="single"/>
          </w:rPr>
          <w:t>https://arxiv.org/abs/2602.08580v1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从彩色眼底图像（CFI）中自动提取视网膜血管生物标志物对于视网膜血管系统的大规模研究至关重要。我们推出了 VascX，这是一个开源 Python 工具箱，专为从动脉和静脉分割中自动提取生物标志物而设计。 VascX 工作流程将血管分割掩模处理为骨架，以构建无向和有向血管图，然后使用这些图将分段解析为连续血管。该架构能够计算一整套生物标志物，包括血管密度、分叉角、中央视网膜等效值 (CRE)、弯曲度和时间角以及图像质量指标。 VascX 的一个显着特点是它的区域感知；通过利用中央凹、视神经盘和 CFI 边界作为解剖标志，该工具可确保空间标准化测量，并识别何时无法计算特定的生物标记。通过相对于这些地标的网格计算空间定位的生物标志物，从而促进精确的临床分析。 VascX 通过 GitHub 和 PyPI 发布，提供了一个可解释和可修改的框架，通过集成可视化支持可重复的血管研究。通过快速提取已建立的生物标志物并开发新的生物标志物，VascX 推动了眼科领域的发展，为大规模临床和流行病学数据库中的可扩展部署提供了强大且计算高效的解决方案。</w:t>
      </w:r>
    </w:p>
    <w:p>
      <w:pPr>
        <w:spacing w:before="120"/>
      </w:pPr>
      <w:r>
        <w:rPr>
          <w:rFonts w:ascii="Times New Roman" w:hAnsi="Times New Roman" w:eastAsia="宋体"/>
          <w:b/>
          <w:sz w:val="21"/>
        </w:rPr>
        <w:t>English Abstract:</w:t>
      </w:r>
    </w:p>
    <w:p>
      <w:r>
        <w:rPr>
          <w:rFonts w:ascii="Times New Roman" w:hAnsi="Times New Roman" w:eastAsia="宋体"/>
          <w:sz w:val="21"/>
        </w:rPr>
        <w:t>The automatic extraction of retinal vascular biomarkers from color fundus images (CFI) is essential for large-scale studies of the retinal vasculature. We present VascX, an open-source Python toolbox designed for the automated extraction of biomarkers from artery and vein segmentations. The VascX workflow processes vessel segmentation masks into skeletons to build undirected and directed vessel graphs, which are then used to resolve segments into continuous vessels. This architecture enables the calculation of a comprehensive suite of biomarkers, including vascular density, bifurcation angles, central retinal equivalents (CREs), tortuosity, and temporal angles, alongside image quality metrics. A distinguishing feature of VascX is its region awareness; by utilizing the fovea, optic disc, and CFI boundaries as anatomical landmarks, the tool ensures spatially standardized measurements and identifies when specific biomarkers are not computable. Spatially localized biomarkers are calculated over grids relative to these landmarks, facilitating precise clinical analysis. Released via GitHub and PyPI, VascX provides an explainable and modifiable framework that supports reproducible vascular research through integrated visualizations. By enabling the rapid extraction of established biomarkers and the development of new ones, VascX advances the field of oculomics, offering a robust, computationally efficient solution for scalable deployment in large-scale clinical and epidemiological databases.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SemiNFT：通过混合样本强化学习学习将预设从模仿转移到欣赏</w:t>
      </w:r>
    </w:p>
    <w:p>
      <w:r>
        <w:rPr>
          <w:rFonts w:ascii="Times New Roman" w:hAnsi="Times New Roman" w:eastAsia="宋体"/>
          <w:b/>
          <w:color w:val="003264"/>
          <w:sz w:val="24"/>
        </w:rPr>
        <w:t>SemiNFT: Learning to Transfer Presets from Imitation to Appreciation via Hybrid-Sample Reinforcement Learning</w:t>
      </w:r>
    </w:p>
    <w:p>
      <w:r>
        <w:rPr>
          <w:rFonts w:ascii="Times New Roman" w:hAnsi="Times New Roman" w:eastAsia="宋体"/>
          <w:sz w:val="21"/>
        </w:rPr>
        <w:t>作者: Wei Dong</w:t>
        <w:br/>
      </w:r>
      <w:r>
        <w:rPr>
          <w:rFonts w:ascii="Times New Roman" w:hAnsi="Times New Roman" w:eastAsia="宋体"/>
          <w:sz w:val="21"/>
        </w:rPr>
        <w:t xml:space="preserve">时间: 2026-02-09T12:20:33Z | </w:t>
      </w:r>
      <w:r>
        <w:t xml:space="preserve">链接: </w:t>
      </w:r>
      <w:hyperlink r:id="rId202">
        <w:r>
          <w:rPr>
            <w:rFonts w:ascii="Times New Roman" w:hAnsi="Times New Roman" w:eastAsia="宋体"/>
            <w:color w:val="0000FF"/>
            <w:sz w:val="21"/>
            <w:u w:val="single"/>
          </w:rPr>
          <w:t>https://arxiv.org/abs/2602.08582v1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逼真的色彩修饰在视觉内容创作中起着至关重要的作用，但由于手动修饰依赖于专业知识，因此非专家仍然无法使用。基于参考的方法通过将参考图像的预设颜色转移到源图像提供了一种有前途的替代方案。然而，这些方法通常作为新手学习者操作，执行从像素级统计数据导出的全局颜色映射，而没有真正理解语义上下文或人类美学。为了解决这个问题，我们提出了 SemiNFT，一种基于扩散变压器（DiT）的修饰框架，它反映了人类艺术训练的轨迹：从严格的模仿开始，演变成直观的创作。具体来说，SemiNFT 首先使用配对三元组进行教学，以获取基本的结构保存和颜色映射技能，然后进一步对不配对的数据进行强化学习 (RL)，以培养细致入微的美感。至关重要的是，在强化学习阶段，为了防止对旧技能的灾难性遗忘，我们设计了一种混合的线上线下奖励机制，将美学探索与结构审查结合起来。大量实验表明，SemiNFT 不仅在标准预设传输基准上优于最先进的方法，而且在零样本任务中表现出卓越的智能，例如黑白照片着色和跨域（动漫到照片）预设传输。这些结果证实 SemiNFT 超越了简单的统计匹配，达到了复杂的审美理解水平。我们的项目可以在 https://melanyyang.github.io/SemiNFT/ 找到。</w:t>
      </w:r>
    </w:p>
    <w:p>
      <w:pPr>
        <w:spacing w:before="120"/>
      </w:pPr>
      <w:r>
        <w:rPr>
          <w:rFonts w:ascii="Times New Roman" w:hAnsi="Times New Roman" w:eastAsia="宋体"/>
          <w:b/>
          <w:sz w:val="21"/>
        </w:rPr>
        <w:t>English Abstract:</w:t>
      </w:r>
    </w:p>
    <w:p>
      <w:r>
        <w:rPr>
          <w:rFonts w:ascii="Times New Roman" w:hAnsi="Times New Roman" w:eastAsia="宋体"/>
          <w:sz w:val="21"/>
        </w:rPr>
        <w:t>Photorealistic color retouching plays a vital role in visual content creation, yet manual retouching remains inaccessible to non-experts due to its reliance on specialized expertise. Reference-based methods offer a promising alternative by transferring the preset color of a reference image to a source image. However, these approaches often operate as novice learners, performing global color mappings derived from pixel-level statistics, without a true understanding of semantic context or human aesthetics. To address this issue, we propose SemiNFT, a Diffusion Transformer (DiT)-based retouching framework that mirrors the trajectory of human artistic training: beginning with rigid imitation and evolving into intuitive creation. Specifically, SemiNFT is first taught with paired triplets to acquire basic structural preservation and color mapping skills, and then advanced to reinforcement learning (RL) on unpaired data to cultivate nuanced aesthetic perception. Crucially, during the RL stage, to prevent catastrophic forgetting of old skills, we design a hybrid online-offline reward mechanism that anchors aesthetic exploration with structural review. % experiments Extensive experiments show that SemiNFT not only outperforms state-of-the-art methods on standard preset transfer benchmarks but also demonstrates remarkable intelligence in zero-shot tasks, such as black-and-white photo colorization and cross-domain (anime-to-photo) preset transfer. These results confirm that SemiNFT transcends simple statistical matching and achieves a sophisticated level of aesthetic comprehension. Our project can be found at https://melanyyang.github.io/SemiNFT/.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AVS点云压缩标准概述与比较</w:t>
      </w:r>
    </w:p>
    <w:p>
      <w:r>
        <w:rPr>
          <w:rFonts w:ascii="Times New Roman" w:hAnsi="Times New Roman" w:eastAsia="宋体"/>
          <w:b/>
          <w:color w:val="003264"/>
          <w:sz w:val="24"/>
        </w:rPr>
        <w:t>Overview and Comparison of AVS Point Cloud Compression Standard</w:t>
      </w:r>
    </w:p>
    <w:p>
      <w:r>
        <w:rPr>
          <w:rFonts w:ascii="Times New Roman" w:hAnsi="Times New Roman" w:eastAsia="宋体"/>
          <w:sz w:val="21"/>
        </w:rPr>
        <w:t>作者: Ge Li</w:t>
        <w:br/>
      </w:r>
      <w:r>
        <w:rPr>
          <w:rFonts w:ascii="Times New Roman" w:hAnsi="Times New Roman" w:eastAsia="宋体"/>
          <w:sz w:val="21"/>
        </w:rPr>
        <w:t xml:space="preserve">时间: 2026-02-09T12:58:41Z | </w:t>
      </w:r>
      <w:r>
        <w:t xml:space="preserve">链接: </w:t>
      </w:r>
      <w:hyperlink r:id="rId203">
        <w:r>
          <w:rPr>
            <w:rFonts w:ascii="Times New Roman" w:hAnsi="Times New Roman" w:eastAsia="宋体"/>
            <w:color w:val="0000FF"/>
            <w:sz w:val="21"/>
            <w:u w:val="single"/>
          </w:rPr>
          <w:t>https://arxiv.org/abs/2602.08613v1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点云是一种流行的3D数据表示格式，在沉浸式媒体、自动驾驶、数字遗产保护等方面具有重要的应用价值。然而，点云的大数据量给传输和存储带来了挑战，影响了广泛的部署。因此，点云压缩在人类和机器感知优化的实际应用中起着至关重要的作用。为此，运动图像专家组（MPEG）建立了两个点云压缩标准，包括基于几何的点云压缩（G-PCC）和基于视频的点云压缩（V-PCC）。与此同时，中国音视频编码标准（AVS）工作组也启动并完成了第一代点云压缩标准AVS PCC的开发。这项新的标准化工作采用了许多新的编码工具和技术，这些工具和技术与其他对应标准不同。本文从相关技术和性能比较两个角度对AVS PCC标准进行了回顾。</w:t>
      </w:r>
    </w:p>
    <w:p>
      <w:pPr>
        <w:spacing w:before="120"/>
      </w:pPr>
      <w:r>
        <w:rPr>
          <w:rFonts w:ascii="Times New Roman" w:hAnsi="Times New Roman" w:eastAsia="宋体"/>
          <w:b/>
          <w:sz w:val="21"/>
        </w:rPr>
        <w:t>English Abstract:</w:t>
      </w:r>
    </w:p>
    <w:p>
      <w:r>
        <w:rPr>
          <w:rFonts w:ascii="Times New Roman" w:hAnsi="Times New Roman" w:eastAsia="宋体"/>
          <w:sz w:val="21"/>
        </w:rPr>
        <w:t>Point cloud is a prevalent 3D data representation format with significant application values in immersive media, autonomous driving, digital heritage protection, etc. However, the large data size of point clouds poses challenges to transmission and storage, which influences the wide deployments. Therefore, point cloud compression plays a crucial role in practical applications for both human and machine perception optimization. To this end, the Moving Picture Experts Group (MPEG) has established two standards for point cloud compression, including Geometry-based Point Cloud Compression (G-PCC) and Video-based Point Cloud Compression (V-PCC). In the meantime, the Audio Video coding Standard (AVS) Workgroup of China also have launched and completed the development for its first generation point cloud compression standard, namely AVS PCC. This new standardization effort has adopted many new coding tools and techniques, which are different from the other counterpart standards. This paper reviews the AVS PCC standard from two perspectives, i.e., the related technologies and performance comparisons.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灵感种子：学习非文字视觉组合进行生成探索</w:t>
      </w:r>
    </w:p>
    <w:p>
      <w:r>
        <w:rPr>
          <w:rFonts w:ascii="Times New Roman" w:hAnsi="Times New Roman" w:eastAsia="宋体"/>
          <w:b/>
          <w:color w:val="003264"/>
          <w:sz w:val="24"/>
        </w:rPr>
        <w:t>Inspiration Seeds: Learning Non-Literal Visual Combinations for Generative Exploration</w:t>
      </w:r>
    </w:p>
    <w:p>
      <w:r>
        <w:rPr>
          <w:rFonts w:ascii="Times New Roman" w:hAnsi="Times New Roman" w:eastAsia="宋体"/>
          <w:sz w:val="21"/>
        </w:rPr>
        <w:t>作者: Yael Vinker</w:t>
        <w:br/>
      </w:r>
      <w:r>
        <w:rPr>
          <w:rFonts w:ascii="Times New Roman" w:hAnsi="Times New Roman" w:eastAsia="宋体"/>
          <w:sz w:val="21"/>
        </w:rPr>
        <w:t xml:space="preserve">时间: 2026-02-09T13:00:16Z | </w:t>
      </w:r>
      <w:r>
        <w:t xml:space="preserve">链接: </w:t>
      </w:r>
      <w:hyperlink r:id="rId204">
        <w:r>
          <w:rPr>
            <w:rFonts w:ascii="Times New Roman" w:hAnsi="Times New Roman" w:eastAsia="宋体"/>
            <w:color w:val="0000FF"/>
            <w:sz w:val="21"/>
            <w:u w:val="single"/>
          </w:rPr>
          <w:t>https://arxiv.org/abs/2602.08615v1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生成模型已成为图像合成的强大工具，但它们通常针对执行精心设计的文本提示进行了优化，为通常在想法形成之前的开放式视觉探索提供了有限的支持。相比之下，设计师经常从松散连接的视觉参考中汲取灵感，寻求激发新想法的新兴联系。我们提出了 Inspiration Seeds，这是一种生成框架，可将图像生成从最终执行转变为探索性构思。给定两个输入图像，我们的模型会产生多样化的、视觉上连贯的组合，揭示输入之间的潜在关系，而不依赖于用户指定的文本提示。我们的方法是前馈的，对完全通过视觉手段导出的分解视觉方面的合成三元组进行训练：我们使用 CLIP 稀疏自动编码器来提取 CLIP 潜在空间中的编辑方向并隔离概念对。通过消除对语言的依赖并实现快速、直观的重组，我们的方法支持创意工作的早期和模糊阶段的视觉构思。</w:t>
      </w:r>
    </w:p>
    <w:p>
      <w:pPr>
        <w:spacing w:before="120"/>
      </w:pPr>
      <w:r>
        <w:rPr>
          <w:rFonts w:ascii="Times New Roman" w:hAnsi="Times New Roman" w:eastAsia="宋体"/>
          <w:b/>
          <w:sz w:val="21"/>
        </w:rPr>
        <w:t>English Abstract:</w:t>
      </w:r>
    </w:p>
    <w:p>
      <w:r>
        <w:rPr>
          <w:rFonts w:ascii="Times New Roman" w:hAnsi="Times New Roman" w:eastAsia="宋体"/>
          <w:sz w:val="21"/>
        </w:rPr>
        <w:t>While generative models have become powerful tools for image synthesis, they are typically optimized for executing carefully crafted textual prompts, offering limited support for the open-ended visual exploration that often precedes idea formation. In contrast, designers frequently draw inspiration from loosely connected visual references, seeking emergent connections that spark new ideas. We propose Inspiration Seeds, a generative framework that shifts image generation from final execution to exploratory ideation. Given two input images, our model produces diverse, visually coherent compositions that reveal latent relationships between inputs, without relying on user-specified text prompts. Our approach is feed-forward, trained on synthetic triplets of decomposed visual aspects derived entirely through visual means: we use CLIP Sparse Autoencoders to extract editing directions in CLIP latent space and isolate concept pairs. By removing the reliance on language and enabling fast, intuitive recombination, our method supports visual ideation at the early and ambiguous stages of creative work.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改进表示自动编码器的重构</w:t>
      </w:r>
    </w:p>
    <w:p>
      <w:r>
        <w:rPr>
          <w:rFonts w:ascii="Times New Roman" w:hAnsi="Times New Roman" w:eastAsia="宋体"/>
          <w:b/>
          <w:color w:val="003264"/>
          <w:sz w:val="24"/>
        </w:rPr>
        <w:t>Improving Reconstruction of Representation Autoencoder</w:t>
      </w:r>
    </w:p>
    <w:p>
      <w:r>
        <w:rPr>
          <w:rFonts w:ascii="Times New Roman" w:hAnsi="Times New Roman" w:eastAsia="宋体"/>
          <w:sz w:val="21"/>
        </w:rPr>
        <w:t>作者: Chongyi Li</w:t>
        <w:br/>
      </w:r>
      <w:r>
        <w:rPr>
          <w:rFonts w:ascii="Times New Roman" w:hAnsi="Times New Roman" w:eastAsia="宋体"/>
          <w:sz w:val="21"/>
        </w:rPr>
        <w:t xml:space="preserve">时间: 2026-02-09T13:12:35Z | </w:t>
      </w:r>
      <w:r>
        <w:t xml:space="preserve">链接: </w:t>
      </w:r>
      <w:hyperlink r:id="rId205">
        <w:r>
          <w:rPr>
            <w:rFonts w:ascii="Times New Roman" w:hAnsi="Times New Roman" w:eastAsia="宋体"/>
            <w:color w:val="0000FF"/>
            <w:sz w:val="21"/>
            <w:u w:val="single"/>
          </w:rPr>
          <w:t>https://arxiv.org/abs/2602.08620v1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的工作利用视觉基础模型作为图像编码器来提高潜在扩散模型（LDM）的生成性能，因为它们的语义特征分布很容易学习。然而，此类语义特征通常缺乏低级信息（例如颜色和纹理），导致重建保真度下降，这已成为进一步扩展 LDM 的主要瓶颈。为了解决这个限制，我们提出了 LV-RAE，一种表示自动编码器，它通过丢失的低级信息来增强语义特征，从而实现高保真重建，同时保持与语义分布高度一致。我们进一步观察到，由此产生的高维、信息丰富的潜在数据使解码器对潜在扰动敏感，在解码生成潜在数据时导致严重的伪影，从而降低生成质量。我们的分析表明，这种敏感性主要源于沿数据流形方向的过度解码器响应。基于这些见解，我们建议对解码器进行微调，以提高其鲁棒性，并通过受控噪声注入平滑生成的潜伏，从而提高生成质量。实验表明，LV-RAE 显着提高了重建保真度，同时保留了语义抽象并实现了强大的生成质量。我们的代码可在 https://github.com/modyu-liu/LVRAE 获取。</w:t>
      </w:r>
    </w:p>
    <w:p>
      <w:pPr>
        <w:spacing w:before="120"/>
      </w:pPr>
      <w:r>
        <w:rPr>
          <w:rFonts w:ascii="Times New Roman" w:hAnsi="Times New Roman" w:eastAsia="宋体"/>
          <w:b/>
          <w:sz w:val="21"/>
        </w:rPr>
        <w:t>English Abstract:</w:t>
      </w:r>
    </w:p>
    <w:p>
      <w:r>
        <w:rPr>
          <w:rFonts w:ascii="Times New Roman" w:hAnsi="Times New Roman" w:eastAsia="宋体"/>
          <w:sz w:val="21"/>
        </w:rPr>
        <w:t>Recent work leverages Vision Foundation Models as image encoders to boost the generative performance of latent diffusion models (LDMs), as their semantic feature distributions are easy to learn. However, such semantic features often lack low-level information (\eg, color and texture), leading to degraded reconstruction fidelity, which has emerged as a primary bottleneck in further scaling LDMs. To address this limitation, we propose LV-RAE, a representation autoencoder that augments semantic features with missing low-level information, enabling high-fidelity reconstruction while remaining highly aligned with the semantic distribution. We further observe that the resulting high-dimensional, information-rich latent make decoders sensitive to latent perturbations, causing severe artifacts when decoding generated latent and consequently degrading generation quality. Our analysis suggests that this sensitivity primarily stems from excessive decoder responses along directions off the data manifold. Building on these insights, we propose fine-tuning the decoder to increase its robustness and smoothing the generated latent via controlled noise injection, thereby enhancing generation quality. Experiments demonstrate that LV-RAE significantly improves reconstruction fidelity while preserving the semantic abstraction and achieving strong generative quality. Our code is available at https://github.com/modyu-liu/LVRAE.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基于深度学习的注视类型预测，用于数字病理学的质量保证</w:t>
      </w:r>
    </w:p>
    <w:p>
      <w:r>
        <w:rPr>
          <w:rFonts w:ascii="Times New Roman" w:hAnsi="Times New Roman" w:eastAsia="宋体"/>
          <w:b/>
          <w:color w:val="003264"/>
          <w:sz w:val="24"/>
        </w:rPr>
        <w:t>Deep Learning-Based Fixation Type Prediction for Quality Assurance in Digital Pathology</w:t>
      </w:r>
    </w:p>
    <w:p>
      <w:r>
        <w:rPr>
          <w:rFonts w:ascii="Times New Roman" w:hAnsi="Times New Roman" w:eastAsia="宋体"/>
          <w:sz w:val="21"/>
        </w:rPr>
        <w:t>作者: Peter J. Schüffler</w:t>
        <w:br/>
      </w:r>
      <w:r>
        <w:rPr>
          <w:rFonts w:ascii="Times New Roman" w:hAnsi="Times New Roman" w:eastAsia="宋体"/>
          <w:sz w:val="21"/>
        </w:rPr>
        <w:t xml:space="preserve">时间: 2026-02-09T13:46:55Z | </w:t>
      </w:r>
      <w:r>
        <w:t xml:space="preserve">链接: </w:t>
      </w:r>
      <w:hyperlink r:id="rId206">
        <w:r>
          <w:rPr>
            <w:rFonts w:ascii="Times New Roman" w:hAnsi="Times New Roman" w:eastAsia="宋体"/>
            <w:color w:val="0000FF"/>
            <w:sz w:val="21"/>
            <w:u w:val="single"/>
          </w:rPr>
          <w:t>https://arxiv.org/abs/2602.08652v1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固定类型的准确注释是病理实验室载玻片制备的关键步骤。然而，这个手动过程很容易出错，影响下游分析和诊断准确性。验证福尔马林固定、石蜡包埋 (FFPE) 和冰冻切片 (FS) 固定类型的现有方法通常需要全分辨率全玻片图像 (WSI)，限制了高通量质量控制的可扩展性。我们提出了一种深度学习模型，使用低分辨率、预扫描缩略图来预测注视类型。该模型在 TUM 病理学研究所（n=1,200，Leica GT450DX）的 WSI 上进行训练，并在癌症基因组图谱数据集（TCGA，n=8,800，Leica AT2）的类平衡子集以及奥格斯堡（n=695 [392 FFPE，303 FS]，Philips UFS）和雷根斯堡的类平衡数据集上进行评估（n=202，3DHISTECH P1000）。我们的模型在 TCGA 上的 AUROC 达到 0.88，比同类预扫描方法高 4.8%。它还在雷根斯堡和奥格斯堡幻灯片上实现了 0.72 的 AUROC，凸显了与扫描仪引起的域转移相关的挑战。此外，该模型在 21 毫秒内处理每张幻灯片，比现有的高放大倍率、全分辨率方法快 400 倍，从而实现快速、高通量处理。这种方法为检测标记错误提供了一种有效的解决方案，无需依赖高倍率扫描，为高通量病理工作流程中的质量控制提供了宝贵的工具。未来的工作将改进和评估该模型对其他扫描仪类型的泛化。我们的研究结果表明，这种方法可以提高数字病理工作流程的准确性和效率，并且可以扩展到其他低分辨率幻灯片注释。</w:t>
      </w:r>
    </w:p>
    <w:p>
      <w:pPr>
        <w:spacing w:before="120"/>
      </w:pPr>
      <w:r>
        <w:rPr>
          <w:rFonts w:ascii="Times New Roman" w:hAnsi="Times New Roman" w:eastAsia="宋体"/>
          <w:b/>
          <w:sz w:val="21"/>
        </w:rPr>
        <w:t>English Abstract:</w:t>
      </w:r>
    </w:p>
    <w:p>
      <w:r>
        <w:rPr>
          <w:rFonts w:ascii="Times New Roman" w:hAnsi="Times New Roman" w:eastAsia="宋体"/>
          <w:sz w:val="21"/>
        </w:rPr>
        <w:t>Accurate annotation of fixation type is a critical step in slide preparation for pathology laboratories. However, this manual process is prone to errors, impacting downstream analyses and diagnostic accuracy. Existing methods for verifying formalin-fixed, paraffin-embedded (FFPE), and frozen section (FS) fixation types typically require full-resolution whole-slide images (WSIs), limiting scalability for high-throughput quality control. We propose a deep-learning model to predict fixation types using low-resolution, pre-scan thumbnail images. The model was trained on WSIs from the TUM Institute of Pathology (n=1,200, Leica GT450DX) and evaluated on a class-balanced subset of The Cancer Genome Atlas dataset (TCGA, n=8,800, Leica AT2), as well as on class-balanced datasets from Augsburg (n=695 [392 FFPE, 303 FS], Philips UFS) and Regensburg (n=202, 3DHISTECH P1000). Our model achieves an AUROC of 0.88 on TCGA, outperforming comparable pre-scan methods by 4.8%. It also achieves AUROCs of 0.72 on Regensburg and Augsburg slides, underscoring challenges related to scanner-induced domain shifts. Furthermore, the model processes each slide in 21 ms, $400\times$ faster than existing high-magnification, full-resolution methods, enabling rapid, high-throughput processing. This approach provides an efficient solution for detecting labelling errors without relying on high-magnification scans, offering a valuable tool for quality control in high-throughput pathology workflows. Future work will improve and evaluate the model's generalisation to additional scanner types. Our findings suggest that this method can increase accuracy and efficiency in digital pathology workflows and may be extended to other low-resolution slide annotations.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WiFlow：具有时空特征解耦的基于 WiFi 的轻量级连续人体姿势估计网络</w:t>
      </w:r>
    </w:p>
    <w:p>
      <w:r>
        <w:rPr>
          <w:rFonts w:ascii="Times New Roman" w:hAnsi="Times New Roman" w:eastAsia="宋体"/>
          <w:b/>
          <w:color w:val="003264"/>
          <w:sz w:val="24"/>
        </w:rPr>
        <w:t>WiFlow: A Lightweight WiFi-based Continuous Human Pose Estimation Network with Spatio-Temporal Feature Decoupling</w:t>
      </w:r>
    </w:p>
    <w:p>
      <w:r>
        <w:rPr>
          <w:rFonts w:ascii="Times New Roman" w:hAnsi="Times New Roman" w:eastAsia="宋体"/>
          <w:sz w:val="21"/>
        </w:rPr>
        <w:t>作者: Wenbo Wang</w:t>
        <w:br/>
      </w:r>
      <w:r>
        <w:rPr>
          <w:rFonts w:ascii="Times New Roman" w:hAnsi="Times New Roman" w:eastAsia="宋体"/>
          <w:sz w:val="21"/>
        </w:rPr>
        <w:t xml:space="preserve">时间: 2026-02-09T13:52:43Z | </w:t>
      </w:r>
      <w:r>
        <w:t xml:space="preserve">链接: </w:t>
      </w:r>
      <w:hyperlink r:id="rId207">
        <w:r>
          <w:rPr>
            <w:rFonts w:ascii="Times New Roman" w:hAnsi="Times New Roman" w:eastAsia="宋体"/>
            <w:color w:val="0000FF"/>
            <w:sz w:val="21"/>
            <w:u w:val="single"/>
          </w:rPr>
          <w:t>https://arxiv.org/abs/2602.08661v1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人体姿势估计是物联网 (IoT) 智能感知的基础，可实现从智能医疗保健到人机交互等各种应用。虽然基于 WiFi 的方法已经受到关注，但它们经常面临连续运动和高计算开销的问题。这项工作提出了 WiFlow，一种使用 WiFi 信号进行连续人体姿势估计的新颖框架。与基于视觉的方法（例如将通道状态信息 (CSI) 视为图像的二维深度残差网络）不同，WiFlow 采用编码器-解码器架构。编码器使用时间和非对称卷积捕获 CSI 的时空特征，保留信号的原始顺序结构。然后，它细化要跟踪的人体关键点特征，并通过轴向注意力捕获其结构依赖性。解码器随后将编码的高维特征映射到关键点坐标。 WiFlow 在自收集的 360,000 个同步 CSI 姿势样本数据集上进行训练，这些样本来自执行 8 项连续序列的日常活动的 5 名受试者，WiFlow 在阈值 20% (PCK@20) 下实现了 97.00% 的正确关键点百分比 (PCK)，在 PCK@50 下实现了 99.48%，平均每个关节位置误差为 0.008m。 WiFlow 仅具有 4.82M 个参数，显着降低了模型复杂性和计算成本，为基于 WiFi 的实用人体姿态估计建立了新的性能基准。我们的代码和数据集可在 https://github.com/DY2434/WiFlow-WiFi-Pose-Estimation-with-Spatio-Temporal-Decoupling.git 获取。</w:t>
      </w:r>
    </w:p>
    <w:p>
      <w:pPr>
        <w:spacing w:before="120"/>
      </w:pPr>
      <w:r>
        <w:rPr>
          <w:rFonts w:ascii="Times New Roman" w:hAnsi="Times New Roman" w:eastAsia="宋体"/>
          <w:b/>
          <w:sz w:val="21"/>
        </w:rPr>
        <w:t>English Abstract:</w:t>
      </w:r>
    </w:p>
    <w:p>
      <w:r>
        <w:rPr>
          <w:rFonts w:ascii="Times New Roman" w:hAnsi="Times New Roman" w:eastAsia="宋体"/>
          <w:sz w:val="21"/>
        </w:rPr>
        <w:t>Human pose estimation is fundamental to intelligent perception in the Internet of Things (IoT), enabling applications ranging from smart healthcare to human-computer interaction. While WiFi-based methods have gained traction, they often struggle with continuous motion and high computational overhead. This work presents WiFlow, a novel framework for continuous human pose estimation using WiFi signals. Unlike vision-based approaches such as two-dimensional deep residual networks that treat Channel State Information (CSI) as images, WiFlow employs an encoder-decoder architecture. The encoder captures spatio-temporal features of CSI using temporal and asymmetric convolutions, preserving the original sequential structure of signals. It then refines keypoint features of human bodies to be tracked and capture their structural dependencies via axial attention. The decoder subsequently maps the encoded high-dimensional features into keypoint coordinates. Trained on a self-collected dataset of 360,000 synchronized CSI-pose samples from 5 subjects performing continuous sequences of 8 daily activities, WiFlow achieves a Percentage of Correct Keypoints (PCK) of 97.00% at a threshold of 20% (PCK@20) and 99.48% at PCK@50, with a mean per-joint position error of 0.008m. With only 4.82M parameters, WiFlow significantly reduces model complexity and computational cost, establishing a new performance baseline for practical WiFi-based human pose estimation. Our code and datasets are available at https://github.com/DY2434/WiFlow-WiFi-Pose-Estimation-with-Spatio-Temporal-Decoupling.git.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机器学习加速地球物理流体求解器</w:t>
      </w:r>
    </w:p>
    <w:p>
      <w:r>
        <w:rPr>
          <w:rFonts w:ascii="Times New Roman" w:hAnsi="Times New Roman" w:eastAsia="宋体"/>
          <w:b/>
          <w:color w:val="003264"/>
          <w:sz w:val="24"/>
        </w:rPr>
        <w:t>A Machine Learning accelerated geophysical fluid solver</w:t>
      </w:r>
    </w:p>
    <w:p>
      <w:r>
        <w:rPr>
          <w:rFonts w:ascii="Times New Roman" w:hAnsi="Times New Roman" w:eastAsia="宋体"/>
          <w:sz w:val="21"/>
        </w:rPr>
        <w:t>作者: Yang Bai</w:t>
        <w:br/>
      </w:r>
      <w:r>
        <w:rPr>
          <w:rFonts w:ascii="Times New Roman" w:hAnsi="Times New Roman" w:eastAsia="宋体"/>
          <w:sz w:val="21"/>
        </w:rPr>
        <w:t xml:space="preserve">时间: 2026-02-09T13:55:26Z | </w:t>
      </w:r>
      <w:r>
        <w:t xml:space="preserve">链接: </w:t>
      </w:r>
      <w:hyperlink r:id="rId208">
        <w:r>
          <w:rPr>
            <w:rFonts w:ascii="Times New Roman" w:hAnsi="Times New Roman" w:eastAsia="宋体"/>
            <w:color w:val="0000FF"/>
            <w:sz w:val="21"/>
            <w:u w:val="single"/>
          </w:rPr>
          <w:t>https://arxiv.org/abs/2602.08670v1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机器学习方法在许多领域都取得了成功，例如图像分类和自然语言处理。然而，仍然需要确定如何将机器学习应用于具有数学约束的领域，例如求解偏微分方程。在应用机器学习技术求解偏微分方程的各种方法中，数据驱动的离散方法提供了一种在结构化网格上加速和改进现有偏微分方程求解器的有前景的方法，它可以预测准线性模板的系数，以计算给定位置处函数的值或导数。与使用传统的有限差分或有限体积方案相比，它可以提高低分辨率模拟的精度和稳定性。同时，它也可以受益于传统的数值方案，例如通过采用有限体积类型公式来实现守恒定律。在本文中，我们在不同的框架下实现了浅水方程和欧拉方程经典求解器。实验表明，我们的经典求解器的性能比 Pyclaw 求解器好得多。然后，我们为基于机器学习的求解器提出了四种不同的深度神经网络。结果表明，其中两种方法可以输出令人满意的解决方案。</w:t>
      </w:r>
    </w:p>
    <w:p>
      <w:pPr>
        <w:spacing w:before="120"/>
      </w:pPr>
      <w:r>
        <w:rPr>
          <w:rFonts w:ascii="Times New Roman" w:hAnsi="Times New Roman" w:eastAsia="宋体"/>
          <w:b/>
          <w:sz w:val="21"/>
        </w:rPr>
        <w:t>English Abstract:</w:t>
      </w:r>
    </w:p>
    <w:p>
      <w:r>
        <w:rPr>
          <w:rFonts w:ascii="Times New Roman" w:hAnsi="Times New Roman" w:eastAsia="宋体"/>
          <w:sz w:val="21"/>
        </w:rPr>
        <w:t>Machine learning methods have been successful in many areas, like image classification and natural language processing. However, it still needs to be determined how to apply ML to areas with mathematical constraints, like solving PDEs. Among various approaches to applying ML techniques to solving PDEs, the data-driven discretization method presents a promising way of accelerating and improving existing PDE solver on structured grids where it predicts the coefficients of quasi-linear stencils for computing values or derivatives of a function at given positions. It can improve the accuracy and stability of low-resolution simulation compared with using traditional finite difference or finite volume schemes. Meanwhile, it can also benefit from traditional numerical schemes like achieving conservation law by adapting finite volume type formulations. In this thesis, we have implemented the shallow water equation and Euler equation classic solver under a different framework. Experiments show that our classic solver performs much better than the Pyclaw solver. Then we propose four different deep neural networks for the ML-based solver. The results indicate that two of these approaches could output satisfactory solutions.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OneVision-Encoder：编解码器对齐的稀疏性作为多模态智能的基本原则</w:t>
      </w:r>
    </w:p>
    <w:p>
      <w:r>
        <w:rPr>
          <w:rFonts w:ascii="Times New Roman" w:hAnsi="Times New Roman" w:eastAsia="宋体"/>
          <w:b/>
          <w:color w:val="003264"/>
          <w:sz w:val="24"/>
        </w:rPr>
        <w:t>OneVision-Encoder: Codec-Aligned Sparsity as a Foundational Principle for Multimodal Intelligence</w:t>
      </w:r>
    </w:p>
    <w:p>
      <w:r>
        <w:rPr>
          <w:rFonts w:ascii="Times New Roman" w:hAnsi="Times New Roman" w:eastAsia="宋体"/>
          <w:sz w:val="21"/>
        </w:rPr>
        <w:t>作者: Jiankang Deng</w:t>
        <w:br/>
      </w:r>
      <w:r>
        <w:rPr>
          <w:rFonts w:ascii="Times New Roman" w:hAnsi="Times New Roman" w:eastAsia="宋体"/>
          <w:sz w:val="21"/>
        </w:rPr>
        <w:t xml:space="preserve">时间: 2026-02-09T14:06:17Z | </w:t>
      </w:r>
      <w:r>
        <w:t xml:space="preserve">链接: </w:t>
      </w:r>
      <w:hyperlink r:id="rId209">
        <w:r>
          <w:rPr>
            <w:rFonts w:ascii="Times New Roman" w:hAnsi="Times New Roman" w:eastAsia="宋体"/>
            <w:color w:val="0000FF"/>
            <w:sz w:val="21"/>
            <w:u w:val="single"/>
          </w:rPr>
          <w:t>https://arxiv.org/abs/2602.08683v1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假设。通用人工智能的核心是一个压缩问题。有效的压缩需要共鸣：当深度学习的架构与数据的基本结构保持一致时，深度学习的扩展效果最佳。这些是基本原则。然而，现代视觉架构已经偏离了这些事实：视觉信号高度冗余，而令人惊讶的是，辨别信息却很少。当前的模型统一处理密集的像素网格，在静态背景上浪费大量计算，而不是专注于定义运动和含义的预测残差。我们认为，为了解决视觉理解问题，我们必须使我们的架构与视频的信息理论原则（即编解码器）保持一致。方法。 OneVision-Encoder 通过将预测视觉结构压缩为语义来对视频进行编码。通过采用Codec Patchification，OV-Encoder放弃了统一计算，只关注信号熵丰富的3.1%-25%区域。为了统一不规则标记布局下的空间和时间推理，OneVision-Encoder 采用共享 3D RoPE，并使用超过一百万个语义概念的大规模集群判别目标进行训练，共同捕获对象持久性和运动动态。证据。结果验证了我们的核心假设：效率和准确性不是一个权衡；它们是正相关的。当集成到 LLM 中时，尽管使用的视觉标记和预训练数据少得多，但它在 16 个图像、视频和文档理解基准中始终优于 Qwen3-ViT 和 SigLIP2 等强大的视觉主干。值得注意的是，在视频理解任务上，OV-Encoder 比 Qwen3-ViT 平均提高了 4.1%。编解码器对齐、补丁级稀疏性是一项基本原则，使 OV-Encoder 成为下一代视觉通才的可扩展引擎。</w:t>
      </w:r>
    </w:p>
    <w:p>
      <w:pPr>
        <w:spacing w:before="120"/>
      </w:pPr>
      <w:r>
        <w:rPr>
          <w:rFonts w:ascii="Times New Roman" w:hAnsi="Times New Roman" w:eastAsia="宋体"/>
          <w:b/>
          <w:sz w:val="21"/>
        </w:rPr>
        <w:t>English Abstract:</w:t>
      </w:r>
    </w:p>
    <w:p>
      <w:r>
        <w:rPr>
          <w:rFonts w:ascii="Times New Roman" w:hAnsi="Times New Roman" w:eastAsia="宋体"/>
          <w:sz w:val="21"/>
        </w:rPr>
        <w:t>Hypothesis. Artificial general intelligence is, at its core, a compression problem. Effective compression demands resonance: deep learning scales best when its architecture aligns with the fundamental structure of the data. These are the fundamental principles. Yet, modern vision architectures have strayed from these truths: visual signals are highly redundant, while discriminative information, the surprise, is sparse. Current models process dense pixel grids uniformly, wasting vast compute on static background rather than focusing on the predictive residuals that define motion and meaning. We argue that to solve visual understanding, we must align our architectures with the information-theoretic principles of video, i.e., Codecs. Method. OneVision-Encoder encodes video by compressing predictive visual structure into semantic meaning. By adopting Codec Patchification, OV-Encoder abandons uniform computation to focus exclusively on the 3.1%-25% of regions rich in signal entropy. To unify spatial and temporal reasoning under irregular token layouts, OneVision-Encoder employs a shared 3D RoPE and is trained with a large-scale cluster discrimination objective over more than one million semantic concepts, jointly capturing object permanence and motion dynamics. Evidence. The results validate our core hypothesis: efficiency and accuracy are not a trade-off; they are positively correlated. When integrated into LLM, it consistently outperforms strong vision backbones such as Qwen3-ViT and SigLIP2 across 16 image, video, and document understanding benchmarks, despite using substantially fewer visual tokens and pretraining data. Notably, on video understanding tasks, OV-Encoder achieves an average improvement of 4.1% over Qwen3-ViT. Codec-aligned, patch-level sparsity is a foundational principle, enabling OV-Encoder as a scalable engine for next-generation visual generalists.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用于体积 CT 和 MR 图像自动身体区域检测的零样本系统</w:t>
      </w:r>
    </w:p>
    <w:p>
      <w:r>
        <w:rPr>
          <w:rFonts w:ascii="Times New Roman" w:hAnsi="Times New Roman" w:eastAsia="宋体"/>
          <w:b/>
          <w:color w:val="003264"/>
          <w:sz w:val="24"/>
        </w:rPr>
        <w:t>Zero-shot System for Automatic Body Region Detection for Volumetric CT and MR Images</w:t>
      </w:r>
    </w:p>
    <w:p>
      <w:r>
        <w:rPr>
          <w:rFonts w:ascii="Times New Roman" w:hAnsi="Times New Roman" w:eastAsia="宋体"/>
          <w:sz w:val="21"/>
        </w:rPr>
        <w:t>作者: Matthias Lenga</w:t>
        <w:br/>
      </w:r>
      <w:r>
        <w:rPr>
          <w:rFonts w:ascii="Times New Roman" w:hAnsi="Times New Roman" w:eastAsia="宋体"/>
          <w:sz w:val="21"/>
        </w:rPr>
        <w:t xml:space="preserve">时间: 2026-02-09T14:26:24Z | </w:t>
      </w:r>
      <w:r>
        <w:t xml:space="preserve">链接: </w:t>
      </w:r>
      <w:hyperlink r:id="rId210">
        <w:r>
          <w:rPr>
            <w:rFonts w:ascii="Times New Roman" w:hAnsi="Times New Roman" w:eastAsia="宋体"/>
            <w:color w:val="0000FF"/>
            <w:sz w:val="21"/>
            <w:u w:val="single"/>
          </w:rPr>
          <w:t>https://arxiv.org/abs/2602.08717v1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可靠地识别身体解剖区域是许多自动化医学成像工作流程的先决条件，但现有解决方案仍然严重依赖于不可靠的 DICOM 元数据。当前的解决方案主要使用监督学习，这限制了它们在许多现实场景中的适用性。在这项工作中，我们研究是否可以通过使用大型预训练基础模型中嵌入的知识以完全零样本的方式实现体积 CT 和 MR 图像中的身体区域检测。我们提出并系统地评估了三个免训练管道：（1）利用预先训练的多器官分割模型的分割驱动的基于规则的系统，（2）由放射科医生定义的规则引导的多模态大语言模型（MLLM），以及（3）将视觉输入与明确的解剖证据相结合的分割感知MLLM。所有方法均在 887 幅异质 CT 和 MR 扫描上进行评估，并带有手动验证的解剖区域标签。分段驱动的基于规则的方法实现了最强且最一致的性能，加权 F1 分数为 0.947 (CT) 和 0.914 (MR)，证明了跨模式和非典型扫描覆盖范围的稳健性。 MLLM 在视觉上独特的区域中表现出竞争力，而分段感知的 MLLM 则暴露出根本的局限性。</w:t>
      </w:r>
    </w:p>
    <w:p>
      <w:pPr>
        <w:spacing w:before="120"/>
      </w:pPr>
      <w:r>
        <w:rPr>
          <w:rFonts w:ascii="Times New Roman" w:hAnsi="Times New Roman" w:eastAsia="宋体"/>
          <w:b/>
          <w:sz w:val="21"/>
        </w:rPr>
        <w:t>English Abstract:</w:t>
      </w:r>
    </w:p>
    <w:p>
      <w:r>
        <w:rPr>
          <w:rFonts w:ascii="Times New Roman" w:hAnsi="Times New Roman" w:eastAsia="宋体"/>
          <w:sz w:val="21"/>
        </w:rPr>
        <w:t>Reliable identification of anatomical body regions is a prerequisite for many automated medical imaging workflows, yet existing solutions remain heavily dependent on unreliable DICOM metadata. Current solutions mainly use supervised learning, which limits their applicability in many real-world scenarios. In this work, we investigate whether body region detection in volumetric CT and MR images can be achieved in a fully zero-shot manner by using knowledge embedded in large pre-trained foundation models. We propose and systematically evaluate three training-free pipelines: (1) a segmentation-driven rule-based system leveraging pre-trained multi-organ segmentation models, (2) a Multimodal Large Language Model (MLLM) guided by radiologist-defined rules, and (3) a segmentation-aware MLLM that combines visual input with explicit anatomical evidence. All methods are evaluated on 887 heterogeneous CT and MR scans with manually verified anatomical region labels. The segmentation-driven rule-based approach achieves the strongest and most consistent performance, with weighted F1-scores of 0.947 (CT) and 0.914 (MR), demonstrating robustness across modalities and atypical scan coverage. The MLLM performs competitively in visually distinctive regions, while the segmentation-aware MLLM reveals fundamental limitations.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FusionEdit：用于免训练图像编辑的语义融合和注意力调制</w:t>
      </w:r>
    </w:p>
    <w:p>
      <w:r>
        <w:rPr>
          <w:rFonts w:ascii="Times New Roman" w:hAnsi="Times New Roman" w:eastAsia="宋体"/>
          <w:b/>
          <w:color w:val="003264"/>
          <w:sz w:val="24"/>
        </w:rPr>
        <w:t>FusionEdit: Semantic Fusion and Attention Modulation for Training-Free Image Editing</w:t>
      </w:r>
    </w:p>
    <w:p>
      <w:r>
        <w:rPr>
          <w:rFonts w:ascii="Times New Roman" w:hAnsi="Times New Roman" w:eastAsia="宋体"/>
          <w:sz w:val="21"/>
        </w:rPr>
        <w:t>作者: Shaobo Min</w:t>
        <w:br/>
      </w:r>
      <w:r>
        <w:rPr>
          <w:rFonts w:ascii="Times New Roman" w:hAnsi="Times New Roman" w:eastAsia="宋体"/>
          <w:sz w:val="21"/>
        </w:rPr>
        <w:t xml:space="preserve">时间: 2026-02-09T14:34:18Z | </w:t>
      </w:r>
      <w:r>
        <w:t xml:space="preserve">链接: </w:t>
      </w:r>
      <w:hyperlink r:id="rId211">
        <w:r>
          <w:rPr>
            <w:rFonts w:ascii="Times New Roman" w:hAnsi="Times New Roman" w:eastAsia="宋体"/>
            <w:color w:val="0000FF"/>
            <w:sz w:val="21"/>
            <w:u w:val="single"/>
          </w:rPr>
          <w:t>https://arxiv.org/abs/2602.08725v1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文本引导图像编辑旨在根据目标提示修改特定区域，同时保留源图像的身份。最近的方法利用显式二进制掩码来限制编辑，但硬掩码边界会引入伪影并降低可编辑性。为了解决这些问题，我们提出了FusionEdit，一个无需训练的图像编辑框架，可以实现精确可控的编辑。首先，通过测量源提示和目标提示之间的语义差异来自动识别编辑和保留区域。为了减轻边界伪影，FusionEdit 沿着区域边界执行距离感知的潜在融合，以产生柔和且准确的掩模，并采用总变化损失来强制平滑过渡，从而获得自然的编辑结果。其次，FusionEdit 在 DiT 注意力层中利用基于 AdaIN 的调制在编辑区域中执行统计注意力融合，增强可编辑性，同时保持与源图像的全局一致性。大量实验表明，我们的 FusionEdit 明显优于最先进的方法。代码可在 \href{https://github.com/Yvan1001/FusionEdit}{https://github.com/Yvan1001/FusionEdit} 获取。</w:t>
      </w:r>
    </w:p>
    <w:p>
      <w:pPr>
        <w:spacing w:before="120"/>
      </w:pPr>
      <w:r>
        <w:rPr>
          <w:rFonts w:ascii="Times New Roman" w:hAnsi="Times New Roman" w:eastAsia="宋体"/>
          <w:b/>
          <w:sz w:val="21"/>
        </w:rPr>
        <w:t>English Abstract:</w:t>
      </w:r>
    </w:p>
    <w:p>
      <w:r>
        <w:rPr>
          <w:rFonts w:ascii="Times New Roman" w:hAnsi="Times New Roman" w:eastAsia="宋体"/>
          <w:sz w:val="21"/>
        </w:rPr>
        <w:t>Text-guided image editing aims to modify specific regions according to the target prompt while preserving the identity of the source image. Recent methods exploit explicit binary masks to constrain editing, but hard mask boundaries introduce artifacts and reduce editability. To address these issues, we propose FusionEdit, a training-free image editing framework that achieves precise and controllable edits. First, editing and preserved regions are automatically identified by measuring semantic discrepancies between source and target prompts. To mitigate boundary artifacts, FusionEdit performs distance-aware latent fusion along region boundaries to yield the soft and accurate mask, and employs a total variation loss to enforce smooth transitions, obtaining natural editing results. Second, FusionEdit leverages AdaIN-based modulation within DiT attention layers to perform a statistical attention fusion in the editing region, enhancing editability while preserving global consistency with the source image. Extensive experiments demonstrate that our FusionEdit significantly outperforms state-of-the-art methods. Code is available at \href{https://github.com/Yvan1001/FusionEdit}{https://github.com/Yvan1001/FusionEdit}.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SynSacc：用于合成神经形态眼动数据和模拟到真实尖峰模型训练的 Blender 到 V2E 管道</w:t>
      </w:r>
    </w:p>
    <w:p>
      <w:r>
        <w:rPr>
          <w:rFonts w:ascii="Times New Roman" w:hAnsi="Times New Roman" w:eastAsia="宋体"/>
          <w:b/>
          <w:color w:val="003264"/>
          <w:sz w:val="24"/>
        </w:rPr>
        <w:t>SynSacc: A Blender-to-V2E Pipeline for Synthetic Neuromorphic Eye-Movement Data and Sim-to-Real Spiking Model Training</w:t>
      </w:r>
    </w:p>
    <w:p>
      <w:r>
        <w:rPr>
          <w:rFonts w:ascii="Times New Roman" w:hAnsi="Times New Roman" w:eastAsia="宋体"/>
          <w:sz w:val="21"/>
        </w:rPr>
        <w:t>作者: Noel OConnor</w:t>
        <w:br/>
      </w:r>
      <w:r>
        <w:rPr>
          <w:rFonts w:ascii="Times New Roman" w:hAnsi="Times New Roman" w:eastAsia="宋体"/>
          <w:sz w:val="21"/>
        </w:rPr>
        <w:t xml:space="preserve">时间: 2026-02-09T14:34:31Z | </w:t>
      </w:r>
      <w:r>
        <w:t xml:space="preserve">链接: </w:t>
      </w:r>
      <w:hyperlink r:id="rId212">
        <w:r>
          <w:rPr>
            <w:rFonts w:ascii="Times New Roman" w:hAnsi="Times New Roman" w:eastAsia="宋体"/>
            <w:color w:val="0000FF"/>
            <w:sz w:val="21"/>
            <w:u w:val="single"/>
          </w:rPr>
          <w:t>https://arxiv.org/abs/2602.08726v1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对眼球运动（尤其是眼跳和注视）的研究对于理解人类认知和感知机制至关重要。对这些运动的准确分类需要能够捕获快速动态而不失真的传感技术。事件摄像机，也称为动态视觉传感器 (DVS)，可异步记录光强度的变化，从而消除传统基于帧的摄像机固有的运动模糊，并提供卓越的时间分辨率和数据效率。在这项研究中，我们引入了一个用 Blender 生成的合成数据集，用于模拟受控条件下的眼跳和注视。利用尖峰神经网络 (SNN)，我们通过训练两种架构并根据真实事件数据进行微调来评估其鲁棒性。所提出的模型实现了高达 0.83 的准确度，并在不同的时间分辨率下保持一致的性能，证明了眼动分类的稳定性。此外，与人工神经网络 (ANN) 同类产品相比，SNN 与合成事件流的结合使用可带来显着的计算效率提升，凸显了合成数据增强在推进基于事件的视觉方面的实用性。与这项工作相关的所有代码和数据集均可在 https://github.com/Ikhadija-5/SynSacc-Dataset 上获取。</w:t>
      </w:r>
    </w:p>
    <w:p>
      <w:pPr>
        <w:spacing w:before="120"/>
      </w:pPr>
      <w:r>
        <w:rPr>
          <w:rFonts w:ascii="Times New Roman" w:hAnsi="Times New Roman" w:eastAsia="宋体"/>
          <w:b/>
          <w:sz w:val="21"/>
        </w:rPr>
        <w:t>English Abstract:</w:t>
      </w:r>
    </w:p>
    <w:p>
      <w:r>
        <w:rPr>
          <w:rFonts w:ascii="Times New Roman" w:hAnsi="Times New Roman" w:eastAsia="宋体"/>
          <w:sz w:val="21"/>
        </w:rPr>
        <w:t>The study of eye movements, particularly saccades and fixations, are fundamental to understanding the mechanisms of human cognition and perception. Accurate classification of these movements requires sensing technologies capable of capturing rapid dynamics without distortion. Event cameras, also known as Dynamic Vision Sensors (DVS), provide asynchronous recordings of changes in light intensity, thereby eliminating motion blur inherent in conventional frame-based cameras and offering superior temporal resolution and data efficiency. In this study, we introduce a synthetic dataset generated with Blender to simulate saccades and fixations under controlled conditions. Leveraging Spiking Neural Networks (SNNs), we evaluate its robustness by training two architectures and finetuning on real event data. The proposed models achieve up to 0.83 accuracy and maintain consistent performance across varying temporal resolutions, demonstrating stability in eye movement classification. Moreover, the use of SNNs with synthetic event streams yields substantial computational efficiency gains over artificial neural network (ANN) counterparts, underscoring the utility of synthetic data augmentation in advancing event-based vision. All code and datasets associated with this work is available at https: //github.com/Ikhadija-5/SynSacc-Dataset.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使用混合 2D-3D CNN 框架减少欠采样 3D 锥束 CT 中的伪影</w:t>
      </w:r>
    </w:p>
    <w:p>
      <w:r>
        <w:rPr>
          <w:rFonts w:ascii="Times New Roman" w:hAnsi="Times New Roman" w:eastAsia="宋体"/>
          <w:b/>
          <w:color w:val="003264"/>
          <w:sz w:val="24"/>
        </w:rPr>
        <w:t>Artifact Reduction in Undersampled 3D Cone-Beam CTs using a Hybrid 2D-3D CNN Framework</w:t>
      </w:r>
    </w:p>
    <w:p>
      <w:r>
        <w:rPr>
          <w:rFonts w:ascii="Times New Roman" w:hAnsi="Times New Roman" w:eastAsia="宋体"/>
          <w:sz w:val="21"/>
        </w:rPr>
        <w:t>作者: Florian Schaff</w:t>
        <w:br/>
      </w:r>
      <w:r>
        <w:rPr>
          <w:rFonts w:ascii="Times New Roman" w:hAnsi="Times New Roman" w:eastAsia="宋体"/>
          <w:sz w:val="21"/>
        </w:rPr>
        <w:t xml:space="preserve">时间: 2026-02-09T14:36:05Z | </w:t>
      </w:r>
      <w:r>
        <w:t xml:space="preserve">链接: </w:t>
      </w:r>
      <w:hyperlink r:id="rId213">
        <w:r>
          <w:rPr>
            <w:rFonts w:ascii="Times New Roman" w:hAnsi="Times New Roman" w:eastAsia="宋体"/>
            <w:color w:val="0000FF"/>
            <w:sz w:val="21"/>
            <w:u w:val="single"/>
          </w:rPr>
          <w:t>https://arxiv.org/abs/2602.08727v1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欠采样 CT 体积可最大限度地减少采集时间和辐射暴露，但会引入伪影，从而降低图像质量和诊断实用性。减少这些伪影对于高质量成像至关重要。我们提出了一种计算效率高的混合深度学习框架，结合了 2D 和 3D 模型的优势。首先，2D U-Net 对欠采样 CT 体积的各个切片进行操作以提取特征图。然后，这些切片特征图在体积上堆叠并用作 3D 解码器的输入，该解码器利用跨切片的上下文信息来预测无伪影的 3D CT 体积。所提出的两阶段方法平衡了 2D 处理的计算效率和 3D 建模提供的体积一致性。结果表明，在计算开销较低的情况下，冠状和矢状方向的切片间一致性得到了显着改善。这种混合框架为高质量 3D CT 图像后处理提供了强大而高效的解决方案。该项目的代码可以在github上找到：https://github.com/J-3TO/2D-3DCNN_sparseview/。</w:t>
      </w:r>
    </w:p>
    <w:p>
      <w:pPr>
        <w:spacing w:before="120"/>
      </w:pPr>
      <w:r>
        <w:rPr>
          <w:rFonts w:ascii="Times New Roman" w:hAnsi="Times New Roman" w:eastAsia="宋体"/>
          <w:b/>
          <w:sz w:val="21"/>
        </w:rPr>
        <w:t>English Abstract:</w:t>
      </w:r>
    </w:p>
    <w:p>
      <w:r>
        <w:rPr>
          <w:rFonts w:ascii="Times New Roman" w:hAnsi="Times New Roman" w:eastAsia="宋体"/>
          <w:sz w:val="21"/>
        </w:rPr>
        <w:t>Undersampled CT volumes minimize acquisition time and radiation exposure but introduce artifacts degrading image quality and diagnostic utility. Reducing these artifacts is critical for high-quality imaging. We propose a computationally efficient hybrid deep-learning framework that combines the strengths of 2D and 3D models. First, a 2D U-Net operates on individual slices of undersampled CT volumes to extract feature maps. These slice-wise feature maps are then stacked across the volume and used as input to a 3D decoder, which utilizes contextual information across slices to predict an artifact-free 3D CT volume. The proposed two-stage approach balances the computational efficiency of 2D processing with the volumetric consistency provided by 3D modeling. The results show substantial improvements in inter-slice consistency in coronal and sagittal direction with low computational overhead. This hybrid framework presents a robust and efficient solution for high-quality 3D CT image post-processing. The code of this project can be found on github: https://github.com/J-3TO/2D-3DCNN_sparseview/.</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从对应到动作：多模态大语言模型中的类人多图像空间推理</w:t>
      </w:r>
    </w:p>
    <w:p>
      <w:r>
        <w:rPr>
          <w:rFonts w:ascii="Times New Roman" w:hAnsi="Times New Roman" w:eastAsia="宋体"/>
          <w:b/>
          <w:color w:val="003264"/>
          <w:sz w:val="24"/>
        </w:rPr>
        <w:t>From Correspondence to Actions: Human-Like Multi-Image Spatial Reasoning in Multi-modal Large Language Models</w:t>
      </w:r>
    </w:p>
    <w:p>
      <w:r>
        <w:rPr>
          <w:rFonts w:ascii="Times New Roman" w:hAnsi="Times New Roman" w:eastAsia="宋体"/>
          <w:sz w:val="21"/>
        </w:rPr>
        <w:t>作者: Naoaki Okazaki</w:t>
        <w:br/>
      </w:r>
      <w:r>
        <w:rPr>
          <w:rFonts w:ascii="Times New Roman" w:hAnsi="Times New Roman" w:eastAsia="宋体"/>
          <w:sz w:val="21"/>
        </w:rPr>
        <w:t xml:space="preserve">时间: 2026-02-09T14:39:43Z | </w:t>
      </w:r>
      <w:r>
        <w:t xml:space="preserve">链接: </w:t>
      </w:r>
      <w:hyperlink r:id="rId214">
        <w:r>
          <w:rPr>
            <w:rFonts w:ascii="Times New Roman" w:hAnsi="Times New Roman" w:eastAsia="宋体"/>
            <w:color w:val="0000FF"/>
            <w:sz w:val="21"/>
            <w:u w:val="single"/>
          </w:rPr>
          <w:t>https://arxiv.org/abs/2602.08735v1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多模态大语言模型（MLLM）在单图像空间推理方面取得了实质性进展，但需要集成多个视角信息的多图像空间推理仍然具有挑战性。认知研究表明，人类通过两种机制来处理此类任务：跨视图对应，它识别不同视图中对应于相同物理位置的区域；以及逐步视点变换，它依次组成相对视点变化。然而，现有的研究仅部分地且通常隐式地结合了这些机制，而没有对这两种机制进行明确的监督。我们提出了跨视图对应和视点变化的人类感知训练（HATCH），这是一个具有两个互补目标的训练框架：（1）补丁级空间对齐，它鼓励补丁表示在空间对应区域的视图之间对齐，以及（2）行动然后答案推理，它要求模型在预测最终答案之前生成明确的视点转换动作。三个基准测试的实验表明，HATCH 始终明显优于同等大小的基线，并在保持单图像推理能力的同时，与更大的模型相比取得了有竞争力的结果。</w:t>
      </w:r>
    </w:p>
    <w:p>
      <w:pPr>
        <w:spacing w:before="120"/>
      </w:pPr>
      <w:r>
        <w:rPr>
          <w:rFonts w:ascii="Times New Roman" w:hAnsi="Times New Roman" w:eastAsia="宋体"/>
          <w:b/>
          <w:sz w:val="21"/>
        </w:rPr>
        <w:t>English Abstract:</w:t>
      </w:r>
    </w:p>
    <w:p>
      <w:r>
        <w:rPr>
          <w:rFonts w:ascii="Times New Roman" w:hAnsi="Times New Roman" w:eastAsia="宋体"/>
          <w:sz w:val="21"/>
        </w:rPr>
        <w:t>While multimodal large language models (MLLMs) have made substantial progress in single-image spatial reasoning, multi-image spatial reasoning, which requires integration of information from multiple viewpoints, remains challenging. Cognitive studies suggest that humans address such tasks through two mechanisms: cross-view correspondence, which identifies regions across different views that correspond to the same physical locations, and stepwise viewpoint transformation, which composes relative viewpoint changes sequentially. However, existing studies incorporate these mechanisms only partially and often implicitly, without explicit supervision for both. We propose Human-Aware Training for Cross-view correspondence and viewpoint cHange (HATCH), a training framework with two complementary objectives: (1) Patch-Level Spatial Alignment, which encourages patch representations to align across views for spatially corresponding regions, and (2) Action-then-Answer Reasoning, which requires the model to generate explicit viewpoint transition actions before predicting the final answer. Experiments on three benchmarks demonstrate that HATCH consistently outperforms baselines of comparable size by a clear margin and achieves competitive results against much larger models, while preserving single-image reasoning capabilities.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转移多实例编辑流程匹配的突破点</w:t>
      </w:r>
    </w:p>
    <w:p>
      <w:r>
        <w:rPr>
          <w:rFonts w:ascii="Times New Roman" w:hAnsi="Times New Roman" w:eastAsia="宋体"/>
          <w:b/>
          <w:color w:val="003264"/>
          <w:sz w:val="24"/>
        </w:rPr>
        <w:t>Shifting the Breaking Point of Flow Matching for Multi-Instance Editing</w:t>
      </w:r>
    </w:p>
    <w:p>
      <w:r>
        <w:rPr>
          <w:rFonts w:ascii="Times New Roman" w:hAnsi="Times New Roman" w:eastAsia="宋体"/>
          <w:sz w:val="21"/>
        </w:rPr>
        <w:t>作者: Silvia Cascianelli</w:t>
        <w:br/>
      </w:r>
      <w:r>
        <w:rPr>
          <w:rFonts w:ascii="Times New Roman" w:hAnsi="Times New Roman" w:eastAsia="宋体"/>
          <w:sz w:val="21"/>
        </w:rPr>
        <w:t xml:space="preserve">时间: 2026-02-09T14:52:45Z | </w:t>
      </w:r>
      <w:r>
        <w:t xml:space="preserve">链接: </w:t>
      </w:r>
      <w:hyperlink r:id="rId215">
        <w:r>
          <w:rPr>
            <w:rFonts w:ascii="Times New Roman" w:hAnsi="Times New Roman" w:eastAsia="宋体"/>
            <w:color w:val="0000FF"/>
            <w:sz w:val="21"/>
            <w:u w:val="single"/>
          </w:rPr>
          <w:t>https://arxiv.org/abs/2602.08749v1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流匹配模型最近已成为扩散的有效替代方案，特别是对于文本引导的图像生成和编辑，通过连续时间动态提供更快的推理。然而，现有的基于流的编辑器主要支持全局或单指令编辑，并且难以应对多实例场景，其中参考输入的多个部分必须在没有语义干扰的情况下独立编辑。我们认为这种限制是全局条件速度场和联合注意机制的结果，这会纠缠并发编辑。为了解决这个问题，我们引入了实例解缠注意力（Instance-Disentangled Attention），这是一种划分联合注意力操作的机制，在速度场估计期间强制特定于实例的文本指令和空间区域之间的绑定。我们评估了自然图像编辑和新引入的带有区域级编辑指令的文本密集信息图表基准的方法。实验结果表明，我们的方法促进了编辑解缠结和局部性，同时保持全局输出一致性，从而实现单通道实例级编辑。</w:t>
      </w:r>
    </w:p>
    <w:p>
      <w:pPr>
        <w:spacing w:before="120"/>
      </w:pPr>
      <w:r>
        <w:rPr>
          <w:rFonts w:ascii="Times New Roman" w:hAnsi="Times New Roman" w:eastAsia="宋体"/>
          <w:b/>
          <w:sz w:val="21"/>
        </w:rPr>
        <w:t>English Abstract:</w:t>
      </w:r>
    </w:p>
    <w:p>
      <w:r>
        <w:rPr>
          <w:rFonts w:ascii="Times New Roman" w:hAnsi="Times New Roman" w:eastAsia="宋体"/>
          <w:sz w:val="21"/>
        </w:rPr>
        <w:t>Flow matching models have recently emerged as an efficient alternative to diffusion, especially for text-guided image generation and editing, offering faster inference through continuous-time dynamics. However, existing flow-based editors predominantly support global or single-instruction edits and struggle with multi-instance scenarios, where multiple parts of a reference input must be edited independently without semantic interference. We identify this limitation as a consequence of globally conditioned velocity fields and joint attention mechanisms, which entangle concurrent edits. To address this issue, we introduce Instance-Disentangled Attention, a mechanism that partitions joint attention operations, enforcing binding between instance-specific textual instructions and spatial regions during velocity field estimation. We evaluate our approach on both natural image editing and a newly introduced benchmark of text-dense infographics with region-level editing instructions. Experimental results demonstrate that our approach promotes edit disentanglement and locality while preserving global output coherence, enabling single-pass, instance-level editing.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受电弓接触网系统中电弧检测的多模态学习</w:t>
      </w:r>
    </w:p>
    <w:p>
      <w:r>
        <w:rPr>
          <w:rFonts w:ascii="Times New Roman" w:hAnsi="Times New Roman" w:eastAsia="宋体"/>
          <w:b/>
          <w:color w:val="003264"/>
          <w:sz w:val="24"/>
        </w:rPr>
        <w:t>Multimodal Learning for Arcing Detection in Pantograph-Catenary Systems</w:t>
      </w:r>
    </w:p>
    <w:p>
      <w:r>
        <w:rPr>
          <w:rFonts w:ascii="Times New Roman" w:hAnsi="Times New Roman" w:eastAsia="宋体"/>
          <w:sz w:val="21"/>
        </w:rPr>
        <w:t>作者: Olga Fink</w:t>
        <w:br/>
      </w:r>
      <w:r>
        <w:rPr>
          <w:rFonts w:ascii="Times New Roman" w:hAnsi="Times New Roman" w:eastAsia="宋体"/>
          <w:sz w:val="21"/>
        </w:rPr>
        <w:t xml:space="preserve">时间: 2026-02-09T15:29:19Z | </w:t>
      </w:r>
      <w:r>
        <w:t xml:space="preserve">链接: </w:t>
      </w:r>
      <w:hyperlink r:id="rId216">
        <w:r>
          <w:rPr>
            <w:rFonts w:ascii="Times New Roman" w:hAnsi="Times New Roman" w:eastAsia="宋体"/>
            <w:color w:val="0000FF"/>
            <w:sz w:val="21"/>
            <w:u w:val="single"/>
          </w:rPr>
          <w:t>https://arxiv.org/abs/2602.08792v1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受电弓-接触网接口对于确保电气化铁路系统不间断且可靠的电力输送至关重要。然而，该接口处的电弧会带来严重的风险，包括接触部件的加速磨损、系统性能下降以及潜在的服务中断。由于其瞬态性质、嘈杂的操作环境、数据稀缺以及将电弧与其他类似瞬态现象区分开来的困难，检测受电弓-接触网界面处的电弧事件具有挑战性。为了应对这些挑战，我们提出了一种新颖的多模式框架，它将高分辨率图像数据与力测量相结合，以更准确、更稳健地检测电弧事件。首先，我们构建两个电弧检测数据集，包括同步的视觉和力测量。一个数据集是根据瑞士联邦铁路 (SBB) 提供的数据构建的，另一个数据集是根据不同铁路系统中电弧事件的公开视频以及模拟真实数据集中观察到的特征的合成力数据得出的。利用这些数据集，我们提出了 MultiDeepSAD，它是 DeepSAD 算法的扩展，具有新的损失公式，适用于多种模式。此外，我们还引入了针对每种数据类型的定制伪异常生成技术，例如图像中的合成弧状伪影和模拟力不规则性，以增强训练数据并提高模型的判别能力。通过广泛的实验和消融研究，我们证明我们的框架显着优于基线方法，即使在域转移和真实电弧观察的可用性有限的情况下，也表现出对真实电弧事件的更高敏感性。</w:t>
      </w:r>
    </w:p>
    <w:p>
      <w:pPr>
        <w:spacing w:before="120"/>
      </w:pPr>
      <w:r>
        <w:rPr>
          <w:rFonts w:ascii="Times New Roman" w:hAnsi="Times New Roman" w:eastAsia="宋体"/>
          <w:b/>
          <w:sz w:val="21"/>
        </w:rPr>
        <w:t>English Abstract:</w:t>
      </w:r>
    </w:p>
    <w:p>
      <w:r>
        <w:rPr>
          <w:rFonts w:ascii="Times New Roman" w:hAnsi="Times New Roman" w:eastAsia="宋体"/>
          <w:sz w:val="21"/>
        </w:rPr>
        <w:t>The pantograph-catenary interface is essential for ensuring uninterrupted and reliable power delivery in electrified rail systems. However, electrical arcing at this interface poses serious risks, including accelerated wear of contact components, degraded system performance, and potential service disruptions. Detecting arcing events at the pantograph-catenary interface is challenging due to their transient nature, noisy operating environment, data scarcity, and the difficulty of distinguishing arcs from other similar transient phenomena. To address these challenges, we propose a novel multimodal framework that combines high-resolution image data with force measurements to more accurately and robustly detect arcing events. First, we construct two arcing detection datasets comprising synchronized visual and force measurements. One dataset is built from data provided by the Swiss Federal Railways (SBB), and the other is derived from publicly available videos of arcing events in different railway systems and synthetic force data that mimic the characteristics observed in the real dataset. Leveraging these datasets, we propose MultiDeepSAD, an extension of the DeepSAD algorithm for multiple modalities with a new loss formulation. Additionally, we introduce tailored pseudo-anomaly generation techniques specific to each data type, such as synthetic arc-like artifacts in images and simulated force irregularities, to augment training data and improve the discriminative ability of the model. Through extensive experiments and ablation studies, we demonstrate that our framework significantly outperforms baseline approaches, exhibiting enhanced sensitivity to real arcing events even under domain shifts and limited availability of real arcing observations.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MOVA：迈向可扩展和同步的视频音频生成</w:t>
      </w:r>
    </w:p>
    <w:p>
      <w:r>
        <w:rPr>
          <w:rFonts w:ascii="Times New Roman" w:hAnsi="Times New Roman" w:eastAsia="宋体"/>
          <w:b/>
          <w:color w:val="003264"/>
          <w:sz w:val="24"/>
        </w:rPr>
        <w:t>MOVA: Towards Scalable and Synchronized Video-Audio Generation</w:t>
      </w:r>
    </w:p>
    <w:p>
      <w:r>
        <w:rPr>
          <w:rFonts w:ascii="Times New Roman" w:hAnsi="Times New Roman" w:eastAsia="宋体"/>
          <w:sz w:val="21"/>
        </w:rPr>
        <w:t>作者: Xipeng Qiu</w:t>
        <w:br/>
      </w:r>
      <w:r>
        <w:rPr>
          <w:rFonts w:ascii="Times New Roman" w:hAnsi="Times New Roman" w:eastAsia="宋体"/>
          <w:sz w:val="21"/>
        </w:rPr>
        <w:t xml:space="preserve">时间: 2026-02-09T15:31:54Z | </w:t>
      </w:r>
      <w:r>
        <w:t xml:space="preserve">链接: </w:t>
      </w:r>
      <w:hyperlink r:id="rId217">
        <w:r>
          <w:rPr>
            <w:rFonts w:ascii="Times New Roman" w:hAnsi="Times New Roman" w:eastAsia="宋体"/>
            <w:color w:val="0000FF"/>
            <w:sz w:val="21"/>
            <w:u w:val="single"/>
          </w:rPr>
          <w:t>https://arxiv.org/abs/2602.08794v1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音频对于现实世界的视频是不可或缺的，但一代模型在很大程度上忽略了音频组件。当前制作视听内容的方法通常依赖于级联管道，这会增加成本、累积错误并降低整体质量。虽然 Veo 3 和 Sora 2 等系统强调同时生成的价值，但联合多模态建模在架构、数据和训练方面带来了独特的挑战。此外，现有系统的闭源性质限制了该领域的进展。在这项工作中，我们介绍了 MOVA（MOSS 视频和音频），这是一种开源模型，能够生成高质量、同步的视听内容，包括逼真的口型同步语音、环境感知音效和内容一致的音乐。 MOVA采用混合专家（MoE）架构，共有32B个参数，其中18B在推理过程中处于活动状态。它支持IT2VA（图像文本到视频音频）生成任务。通过发布模型权重和代码，我们的目标是推进研究并培育一个充满活力的创作者社区。发布的代码库全面支持高效推理、LoRA 微调和即时增强。</w:t>
      </w:r>
    </w:p>
    <w:p>
      <w:pPr>
        <w:spacing w:before="120"/>
      </w:pPr>
      <w:r>
        <w:rPr>
          <w:rFonts w:ascii="Times New Roman" w:hAnsi="Times New Roman" w:eastAsia="宋体"/>
          <w:b/>
          <w:sz w:val="21"/>
        </w:rPr>
        <w:t>English Abstract:</w:t>
      </w:r>
    </w:p>
    <w:p>
      <w:r>
        <w:rPr>
          <w:rFonts w:ascii="Times New Roman" w:hAnsi="Times New Roman" w:eastAsia="宋体"/>
          <w:sz w:val="21"/>
        </w:rPr>
        <w:t>Audio is indispensable for real-world video, yet generation models have largely overlooked audio components. Current approaches to producing audio-visual content often rely on cascaded pipelines, which increase cost, accumulate errors, and degrade overall quality. While systems such as Veo 3 and Sora 2 emphasize the value of simultaneous generation, joint multimodal modeling introduces unique challenges in architecture, data, and training. Moreover, the closed-source nature of existing systems limits progress in the field. In this work, we introduce MOVA (MOSS Video and Audio), an open-source model capable of generating high-quality, synchronized audio-visual content, including realistic lip-synced speech, environment-aware sound effects, and content-aligned music. MOVA employs a Mixture-of-Experts (MoE) architecture, with a total of 32B parameters, of which 18B are active during inference. It supports IT2VA (Image-Text to Video-Audio) generation task. By releasing the model weights and code, we aim to advance research and foster a vibrant community of creators. The released codebase features comprehensive support for efficient inference, LoRA fine-tuning, and prompt enhancement.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使用半监督师生框架解决 3D MRI 扫描脑肿瘤分割中的数据注释稀缺问题</w:t>
      </w:r>
    </w:p>
    <w:p>
      <w:r>
        <w:rPr>
          <w:rFonts w:ascii="Times New Roman" w:hAnsi="Times New Roman" w:eastAsia="宋体"/>
          <w:b/>
          <w:color w:val="003264"/>
          <w:sz w:val="24"/>
        </w:rPr>
        <w:t>Addressing data annotation scarcity in Brain Tumor Segmentation on 3D MRI scan Using a Semi-Supervised Teacher-Student Framework</w:t>
      </w:r>
    </w:p>
    <w:p>
      <w:r>
        <w:rPr>
          <w:rFonts w:ascii="Times New Roman" w:hAnsi="Times New Roman" w:eastAsia="宋体"/>
          <w:sz w:val="21"/>
        </w:rPr>
        <w:t>作者: Daoqiang Zhang</w:t>
        <w:br/>
      </w:r>
      <w:r>
        <w:rPr>
          <w:rFonts w:ascii="Times New Roman" w:hAnsi="Times New Roman" w:eastAsia="宋体"/>
          <w:sz w:val="21"/>
        </w:rPr>
        <w:t xml:space="preserve">时间: 2026-02-09T15:37:40Z | </w:t>
      </w:r>
      <w:r>
        <w:t xml:space="preserve">链接: </w:t>
      </w:r>
      <w:hyperlink r:id="rId218">
        <w:r>
          <w:rPr>
            <w:rFonts w:ascii="Times New Roman" w:hAnsi="Times New Roman" w:eastAsia="宋体"/>
            <w:color w:val="0000FF"/>
            <w:sz w:val="21"/>
            <w:u w:val="single"/>
          </w:rPr>
          <w:t>https://arxiv.org/abs/2602.08797v1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MRI 准确的脑肿瘤分割受到昂贵的注释以及扫描仪和站点之间的数据异质性的限制。我们提出了一个半监督的师生框架，将具有不确定性意识的伪标签教师与学生的渐进式、基于信心的课程结合起来。教师生成概率掩模和每个像素的不确定性；未标记的扫描按图像级置信度排序并分阶段引入，而双损失目标则训练学生从高置信度区域中学习并忘记低置信度区域。基于协议的细化进一步提高了伪标签质量。在 BraTS 2021 上，验证 DSC 从 0.393（10% 数据）增加到 0.872（100%），早期阶段收益最大，证明了数据效率。老师的验证 DSC 达到 0.922，学生在肿瘤分区上超过了老师（例如，NCR/NET 0.797 和水肿 0.980）；值得注意的是，学生恢复了老师失败的增强课程（DSC 0.620）。这些结果表明，信心驱动的课程和选择性遗忘在有限的监督和嘈杂的伪标签下提供了稳健的分割。</w:t>
      </w:r>
    </w:p>
    <w:p>
      <w:pPr>
        <w:spacing w:before="120"/>
      </w:pPr>
      <w:r>
        <w:rPr>
          <w:rFonts w:ascii="Times New Roman" w:hAnsi="Times New Roman" w:eastAsia="宋体"/>
          <w:b/>
          <w:sz w:val="21"/>
        </w:rPr>
        <w:t>English Abstract:</w:t>
      </w:r>
    </w:p>
    <w:p>
      <w:r>
        <w:rPr>
          <w:rFonts w:ascii="Times New Roman" w:hAnsi="Times New Roman" w:eastAsia="宋体"/>
          <w:sz w:val="21"/>
        </w:rPr>
        <w:t>Accurate brain tumor segmentation from MRI is limited by expensive annotations and data heterogeneity across scanners and sites. We propose a semi-supervised teacher-student framework that combines an uncertainty-aware pseudo-labeling teacher with a progressive, confidence-based curriculum for the student. The teacher produces probabilistic masks and per-pixel uncertainty; unlabeled scans are ranked by image-level confidence and introduced in stages, while a dual-loss objective trains the student to learn from high-confidence regions and unlearn low-confidence ones. Agreement-based refinement further improves pseudo-label quality. On BraTS 2021, validation DSC increased from 0.393 (10% data) to 0.872 (100%), with the largest gains in early stages, demonstrating data efficiency. The teacher reached a validation DSC of 0.922, and the student surpassed the teacher on tumor subregions (e.g., NCR/NET 0.797 and Edema 0.980); notably, the student recovered the Enhancing class (DSC 0.620) where the teacher failed. These results show that confidence-driven curricula and selective unlearning provide robust segmentation under limited supervision and noisy pseudo-labels.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Any-to-All MRI 综合：鼻咽癌的统一基础模型及其下游应用</w:t>
      </w:r>
    </w:p>
    <w:p>
      <w:r>
        <w:rPr>
          <w:rFonts w:ascii="Times New Roman" w:hAnsi="Times New Roman" w:eastAsia="宋体"/>
          <w:b/>
          <w:color w:val="003264"/>
          <w:sz w:val="24"/>
        </w:rPr>
        <w:t>Any-to-All MRI Synthesis: A Unified Foundation Model for Nasopharyngeal Carcinoma and Its Downstream Applications</w:t>
      </w:r>
    </w:p>
    <w:p>
      <w:r>
        <w:rPr>
          <w:rFonts w:ascii="Times New Roman" w:hAnsi="Times New Roman" w:eastAsia="宋体"/>
          <w:sz w:val="21"/>
        </w:rPr>
        <w:t>作者: Ge Ren</w:t>
        <w:br/>
      </w:r>
      <w:r>
        <w:rPr>
          <w:rFonts w:ascii="Times New Roman" w:hAnsi="Times New Roman" w:eastAsia="宋体"/>
          <w:sz w:val="21"/>
        </w:rPr>
        <w:t xml:space="preserve">时间: 2026-02-09T15:56:53Z | </w:t>
      </w:r>
      <w:r>
        <w:t xml:space="preserve">链接: </w:t>
      </w:r>
      <w:hyperlink r:id="rId219">
        <w:r>
          <w:rPr>
            <w:rFonts w:ascii="Times New Roman" w:hAnsi="Times New Roman" w:eastAsia="宋体"/>
            <w:color w:val="0000FF"/>
            <w:sz w:val="21"/>
            <w:u w:val="single"/>
          </w:rPr>
          <w:t>https://arxiv.org/abs/2602.08822v1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磁共振成像 (MRI) 对于鼻咽癌 (NPC) 放疗 (RT) 至关重要，但患者不适、扫描时间长和成本高等实际限制往往会导致临床实践中的治疗方式不完整，从而影响放疗计划的准确性。传统的MRI合成方法具有模态特异性、解剖适应性有限、缺乏临床可解释性，无法满足鼻咽癌的RT需求。在这里，我们开发了一个统一的基础模型，集成了对比视觉表示学习和视觉语言对齐（VLA），以实现任意到所有的 MRI 合成。该模型使用对比编码器进行模态不变表示，并使用基于 CLIP 的文本通知解码器进行语义一致的合成，通过一个统一的基础模型支持任意到所有 MRI 合成。它使用来自 13 个机构的 40,825 张图像进行训练，在 26 个内部/外部验证站点（15,748 张图像）中实现了一致的高性能（平均 SSIM 0.90，PSNR 27），具有卓越的合成保真度以及对噪声和域偏移的鲁棒性。同时，其统一表示增强了下游 RT 相关任务（例如分割）。这项工作通过利用基础模型连接技术综合和临床实用，推进了鼻咽癌护理的数字医学解决方案。</w:t>
      </w:r>
    </w:p>
    <w:p>
      <w:pPr>
        <w:spacing w:before="120"/>
      </w:pPr>
      <w:r>
        <w:rPr>
          <w:rFonts w:ascii="Times New Roman" w:hAnsi="Times New Roman" w:eastAsia="宋体"/>
          <w:b/>
          <w:sz w:val="21"/>
        </w:rPr>
        <w:t>English Abstract:</w:t>
      </w:r>
    </w:p>
    <w:p>
      <w:r>
        <w:rPr>
          <w:rFonts w:ascii="Times New Roman" w:hAnsi="Times New Roman" w:eastAsia="宋体"/>
          <w:sz w:val="21"/>
        </w:rPr>
        <w:t>Magnetic resonance imaging (MRI) is essential for nasopharyngeal carcinoma (NPC) radiotherapy (RT), but practical constraints, such as patient discomfort, long scan times, and high costs often lead to incomplete modalities in clinical practice, compromising RT planning accuracy. Traditional MRI synthesis methods are modality-specific, limited in anatomical adaptability, and lack clinical interpretability-failing to meet NPC's RT needs. Here, we developed a unified foundation model integrating contrastive visual representation learning and vision-language alignment (VLA) to enable any-to-all MRI synthesis. The model uses a contrastive encoder for modality-invariant representations and a CLIP-based text-informed decoder for semantically consistent synthesis, supporting any-to-all MRI synthesis via one unified foundation model. Trained on 40,825 images from 13 institutions, it achieves consistently high performance (average SSIM 0.90, PSNR 27) across 26 internal/external validation sites (15,748 images), with superior synthesis fidelity and robustness to noise and domain shifts. Meanwhile, its unified representation enhances downstream RT-relevant tasks (e.g., segmentation). This work advances digital medicine solutions for NPC care by leveraging foundation models to bridge technical synthesis and clinical utility.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随流生长：利用高斯流场 4D 重建正在生长的植物</w:t>
      </w:r>
    </w:p>
    <w:p>
      <w:r>
        <w:rPr>
          <w:rFonts w:ascii="Times New Roman" w:hAnsi="Times New Roman" w:eastAsia="宋体"/>
          <w:b/>
          <w:color w:val="003264"/>
          <w:sz w:val="24"/>
        </w:rPr>
        <w:t>Grow with the Flow: 4D Reconstruction of Growing Plants with Gaussian Flow Fields</w:t>
      </w:r>
    </w:p>
    <w:p>
      <w:r>
        <w:rPr>
          <w:rFonts w:ascii="Times New Roman" w:hAnsi="Times New Roman" w:eastAsia="宋体"/>
          <w:sz w:val="21"/>
        </w:rPr>
        <w:t>作者: David B. Lindell</w:t>
        <w:br/>
      </w:r>
      <w:r>
        <w:rPr>
          <w:rFonts w:ascii="Times New Roman" w:hAnsi="Times New Roman" w:eastAsia="宋体"/>
          <w:sz w:val="21"/>
        </w:rPr>
        <w:t xml:space="preserve">时间: 2026-02-09T17:55:01Z | </w:t>
      </w:r>
      <w:r>
        <w:t xml:space="preserve">链接: </w:t>
      </w:r>
      <w:hyperlink r:id="rId220">
        <w:r>
          <w:rPr>
            <w:rFonts w:ascii="Times New Roman" w:hAnsi="Times New Roman" w:eastAsia="宋体"/>
            <w:color w:val="0000FF"/>
            <w:sz w:val="21"/>
            <w:u w:val="single"/>
          </w:rPr>
          <w:t>https://arxiv.org/abs/2602.08958v1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对植物生长过程中随时间变化的 3D 外观进行建模提出了独特的挑战：与许多动态场景不同，植物随着时间的推移，在扩展、分支和分化时会生成新的几何形状。最近的运动建模技术不适合这个问题设置。例如，变形场无法引入新的几何形状，4D 高斯喷射将运动限制为空间和时间中的线性轨迹，并且无法随时间跟踪同一组高斯。在这里，我们引入了 3D 高斯流场表示，将植物生长建模为高斯参数（位置、尺度、方向、颜色和不透明度）的时变导数，从而实现非线性和连续时间生长动态。为了初始化一组足够的高斯原语，我们重建了成熟的植物并学习了反向生长的过程，有效地反向模拟了植物的发育历史。与植物生长多视图延时数据集上的先前方法相比，我们的方法实现了卓越的图像质量和几何精度，为生长 3D 结构的外观建模提供了一种新方法。</w:t>
      </w:r>
    </w:p>
    <w:p>
      <w:pPr>
        <w:spacing w:before="120"/>
      </w:pPr>
      <w:r>
        <w:rPr>
          <w:rFonts w:ascii="Times New Roman" w:hAnsi="Times New Roman" w:eastAsia="宋体"/>
          <w:b/>
          <w:sz w:val="21"/>
        </w:rPr>
        <w:t>English Abstract:</w:t>
      </w:r>
    </w:p>
    <w:p>
      <w:r>
        <w:rPr>
          <w:rFonts w:ascii="Times New Roman" w:hAnsi="Times New Roman" w:eastAsia="宋体"/>
          <w:sz w:val="21"/>
        </w:rPr>
        <w:t>Modeling the time-varying 3D appearance of plants during their growth poses unique challenges: unlike many dynamic scenes, plants generate new geometry over time as they expand, branch, and differentiate. Recent motion modeling techniques are ill-suited to this problem setting. For example, deformation fields cannot introduce new geometry, and 4D Gaussian splatting constrains motion to a linear trajectory in space and time and cannot track the same set of Gaussians over time. Here, we introduce a 3D Gaussian flow field representation that models plant growth as a time-varying derivative over Gaussian parameters -- position, scale, orientation, color, and opacity -- enabling nonlinear and continuous-time growth dynamics. To initialize a sufficient set of Gaussian primitives, we reconstruct the mature plant and learn a process of reverse growth, effectively simulating the plant's developmental history in reverse. Our approach achieves superior image quality and geometric accuracy compared to prior methods on multi-view timelapse datasets of plant growth, providing a new approach for appearance modeling of growing 3D structures.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GEBench：将图像生成模型作为 GUI 环境进行基准测试</w:t>
      </w:r>
    </w:p>
    <w:p>
      <w:r>
        <w:rPr>
          <w:rFonts w:ascii="Times New Roman" w:hAnsi="Times New Roman" w:eastAsia="宋体"/>
          <w:b/>
          <w:color w:val="003264"/>
          <w:sz w:val="24"/>
        </w:rPr>
        <w:t>GEBench: Benchmarking Image Generation Models as GUI Environments</w:t>
      </w:r>
    </w:p>
    <w:p>
      <w:r>
        <w:rPr>
          <w:rFonts w:ascii="Times New Roman" w:hAnsi="Times New Roman" w:eastAsia="宋体"/>
          <w:sz w:val="21"/>
        </w:rPr>
        <w:t>作者: Daxin Jiang</w:t>
        <w:br/>
      </w:r>
      <w:r>
        <w:rPr>
          <w:rFonts w:ascii="Times New Roman" w:hAnsi="Times New Roman" w:eastAsia="宋体"/>
          <w:sz w:val="21"/>
        </w:rPr>
        <w:t xml:space="preserve">时间: 2026-02-09T18:52:02Z | </w:t>
      </w:r>
      <w:r>
        <w:t xml:space="preserve">链接: </w:t>
      </w:r>
      <w:hyperlink r:id="rId221">
        <w:r>
          <w:rPr>
            <w:rFonts w:ascii="Times New Roman" w:hAnsi="Times New Roman" w:eastAsia="宋体"/>
            <w:color w:val="0000FF"/>
            <w:sz w:val="21"/>
            <w:u w:val="single"/>
          </w:rPr>
          <w:t>https://arxiv.org/abs/2602.09007v1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图像生成模型的最新进展使得能够根据用户指令预测未来的图形用户界面（GUI）状态。然而，现有的基准主要关注一般领域的视觉保真度，而对特定于 GUI 的上下文中的状态转换和时间一致性的评估尚未得到充分探索。为了解决这一差距，我们引入了 GEBench，这是一个用于评估 GUI 生成中的动态交互和时间一致性的综合基准。 GEBench 包含 700 个精心策划的样本，涵盖五个任务类别，涵盖现实世界和虚构场景中的单步交互和多步轨迹，以及接地点定位。为了支持系统评估，我们提出了 GE-Score，这是一种新颖的五维指标，用于评估目标实现、交互逻辑、内容一致性、UI 合理性和视觉质量。对当前模型的广泛评估表明，虽然它们在单步转换上表现良好，但在较长交互序列上维持时间连贯性和空间基础方面存在很大困难。我们的研究结果表明图标解释、文本渲染和定位精度是关键瓶颈。这项工作为系统评估奠定了基础，并为构建高保真生成 GUI 环境的未来研究提出了有前景的方向。代码位于：https://github.com/stepfun-ai/GEBench。</w:t>
      </w:r>
    </w:p>
    <w:p>
      <w:pPr>
        <w:spacing w:before="120"/>
      </w:pPr>
      <w:r>
        <w:rPr>
          <w:rFonts w:ascii="Times New Roman" w:hAnsi="Times New Roman" w:eastAsia="宋体"/>
          <w:b/>
          <w:sz w:val="21"/>
        </w:rPr>
        <w:t>English Abstract:</w:t>
      </w:r>
    </w:p>
    <w:p>
      <w:r>
        <w:rPr>
          <w:rFonts w:ascii="Times New Roman" w:hAnsi="Times New Roman" w:eastAsia="宋体"/>
          <w:sz w:val="21"/>
        </w:rPr>
        <w:t>Recent advancements in image generation models have enabled the prediction of future Graphical User Interface (GUI) states based on user instructions. However, existing benchmarks primarily focus on general domain visual fidelity, leaving the evaluation of state transitions and temporal coherence in GUI-specific contexts underexplored. To address this gap, we introduce GEBench, a comprehensive benchmark for evaluating dynamic interaction and temporal coherence in GUI generation. GEBench comprises 700 carefully curated samples spanning five task categories, covering both single-step interactions and multi-step trajectories across real-world and fictional scenarios, as well as grounding point localization. To support systematic evaluation, we propose GE-Score, a novel five-dimensional metric that assesses Goal Achievement, Interaction Logic, Content Consistency, UI Plausibility, and Visual Quality. Extensive evaluations on current models indicate that while they perform well on single-step transitions, they struggle significantly with maintaining temporal coherence and spatial grounding over longer interaction sequences. Our findings identify icon interpretation, text rendering, and localization precision as critical bottlenecks. This work provides a foundation for systematic assessment and suggests promising directions for future research toward building high-fidelity generative GUI environments. The code is available at: https://github.com/stepfun-ai/GEBench.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ArcFlow：通过高精度非线性流动蒸馏实现两步文本到图像生成</w:t>
      </w:r>
    </w:p>
    <w:p>
      <w:r>
        <w:rPr>
          <w:rFonts w:ascii="Times New Roman" w:hAnsi="Times New Roman" w:eastAsia="宋体"/>
          <w:b/>
          <w:color w:val="003264"/>
          <w:sz w:val="24"/>
        </w:rPr>
        <w:t>ArcFlow: Unleashing 2-Step Text-to-Image Generation via High-Precision Non-Linear Flow Distillation</w:t>
      </w:r>
    </w:p>
    <w:p>
      <w:r>
        <w:rPr>
          <w:rFonts w:ascii="Times New Roman" w:hAnsi="Times New Roman" w:eastAsia="宋体"/>
          <w:sz w:val="21"/>
        </w:rPr>
        <w:t>作者: Zuxuan Wu</w:t>
        <w:br/>
      </w:r>
      <w:r>
        <w:rPr>
          <w:rFonts w:ascii="Times New Roman" w:hAnsi="Times New Roman" w:eastAsia="宋体"/>
          <w:sz w:val="21"/>
        </w:rPr>
        <w:t xml:space="preserve">时间: 2026-02-09T18:56:14Z | </w:t>
      </w:r>
      <w:r>
        <w:t xml:space="preserve">链接: </w:t>
      </w:r>
      <w:hyperlink r:id="rId222">
        <w:r>
          <w:rPr>
            <w:rFonts w:ascii="Times New Roman" w:hAnsi="Times New Roman" w:eastAsia="宋体"/>
            <w:color w:val="0000FF"/>
            <w:sz w:val="21"/>
            <w:u w:val="single"/>
          </w:rPr>
          <w:t>https://arxiv.org/abs/2602.09014v1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扩散模型已经实现了卓越的生成质量，但由于依赖多个连续的去噪步骤，它们的推理成本很高，这促使人们最近努力将这种推理过程提炼为几个步骤。然而，现有的蒸馏方法通常使用线性捷径来近似教师轨迹，这使得随着速度跨时间步长的变化而难以匹配其不断变化的切线方向，从而导致质量下降。为了解决这个限制，我们提出了 ArcFlow，这是一种分步蒸馏框架，它明确地采用非线性流动轨迹来近似预先训练的教师轨迹。具体来说，ArcFlow 将推理轨迹下的速度场参数化为连续动量过程的混合。这使得 ArcFlow 能够捕获速度演化并推断相干速度，以在每个去噪步骤内形成连续的非线性轨迹。重要的是，这种参数化允许对非线性轨迹进行分析积分，从而避免数值离散误差并导致教师轨迹的高精度近似。为了将这种参数化训练成几步生成器，我们使用轻量级适配器在预先训练的教师模型上通过轨迹蒸馏来实现 ArcFlow。该策略确保快速、稳定的收敛，同时保持生成多样性和质量。 ArcFlow 基于大型模型（Qwen-Image-20B 和 FLUX.1-dev）构建，仅对不到 5% 的原始参数进行微调，与原始多步教师相比，通过 2 个 NFE 实现了 40 倍的加速，而质量没有显着下降。基准实验从定性和定量两个方面证明了 ArcFlow 的有效性。</w:t>
      </w:r>
    </w:p>
    <w:p>
      <w:pPr>
        <w:spacing w:before="120"/>
      </w:pPr>
      <w:r>
        <w:rPr>
          <w:rFonts w:ascii="Times New Roman" w:hAnsi="Times New Roman" w:eastAsia="宋体"/>
          <w:b/>
          <w:sz w:val="21"/>
        </w:rPr>
        <w:t>English Abstract:</w:t>
      </w:r>
    </w:p>
    <w:p>
      <w:r>
        <w:rPr>
          <w:rFonts w:ascii="Times New Roman" w:hAnsi="Times New Roman" w:eastAsia="宋体"/>
          <w:sz w:val="21"/>
        </w:rPr>
        <w:t>Diffusion models have achieved remarkable generation quality, but they suffer from significant inference cost due to their reliance on multiple sequential denoising steps, motivating recent efforts to distill this inference process into a few-step regime. However, existing distillation methods typically approximate the teacher trajectory by using linear shortcuts, which makes it difficult to match its constantly changing tangent directions as velocities evolve across timesteps, thereby leading to quality degradation. To address this limitation, we propose ArcFlow, a few-step distillation framework that explicitly employs non-linear flow trajectories to approximate pre-trained teacher trajectories. Concretely, ArcFlow parameterizes the velocity field underlying the inference trajectory as a mixture of continuous momentum processes. This enables ArcFlow to capture velocity evolution and extrapolate coherent velocities to form a continuous non-linear trajectory within each denoising step. Importantly, this parameterization admits an analytical integration of this non-linear trajectory, which circumvents numerical discretization errors and results in high-precision approximation of the teacher trajectory. To train this parameterization into a few-step generator, we implement ArcFlow via trajectory distillation on pre-trained teacher models using lightweight adapters. This strategy ensures fast, stable convergence while preserving generative diversity and quality. Built on large-scale models (Qwen-Image-20B and FLUX.1-dev), ArcFlow only fine-tunes on less than 5% of original parameters and achieves a 40x speedup with 2 NFEs over the original multi-step teachers without significant quality degradation. Experiments on benchmarks show the effectiveness of ArcFlow both qualitatively and quantitatively.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Raster2Seq：用于平面重建的多边形序列生成</w:t>
      </w:r>
    </w:p>
    <w:p>
      <w:r>
        <w:rPr>
          <w:rFonts w:ascii="Times New Roman" w:hAnsi="Times New Roman" w:eastAsia="宋体"/>
          <w:b/>
          <w:color w:val="003264"/>
          <w:sz w:val="24"/>
        </w:rPr>
        <w:t>Raster2Seq: Polygon Sequence Generation for Floorplan Reconstruction</w:t>
      </w:r>
    </w:p>
    <w:p>
      <w:r>
        <w:rPr>
          <w:rFonts w:ascii="Times New Roman" w:hAnsi="Times New Roman" w:eastAsia="宋体"/>
          <w:sz w:val="21"/>
        </w:rPr>
        <w:t>作者: Hadar Averbuch-Elor</w:t>
        <w:br/>
      </w:r>
      <w:r>
        <w:rPr>
          <w:rFonts w:ascii="Times New Roman" w:hAnsi="Times New Roman" w:eastAsia="宋体"/>
          <w:sz w:val="21"/>
        </w:rPr>
        <w:t xml:space="preserve">时间: 2026-02-09T18:58:46Z | </w:t>
      </w:r>
      <w:r>
        <w:t xml:space="preserve">链接: </w:t>
      </w:r>
      <w:hyperlink r:id="rId223">
        <w:r>
          <w:rPr>
            <w:rFonts w:ascii="Times New Roman" w:hAnsi="Times New Roman" w:eastAsia="宋体"/>
            <w:color w:val="0000FF"/>
            <w:sz w:val="21"/>
            <w:u w:val="single"/>
          </w:rPr>
          <w:t>https://arxiv.org/abs/2602.09016v1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从光栅化平面图图像重建结构化矢量图形表示通常是涉及平面图的计算任务（例如自动理解或 CAD 工作流程）的重要先决条件。然而，现有技术很难忠实地生成复杂平面图所传达的结构和语义，这些平面图描绘了具有许多房间和不同数量的多边形角的大型室内空间。为此，我们提出了 Raster2Seq，将平面图重建框架作为序列到序列的任务，其中平面图元素（例如房间、窗户和门）被表示为联合编码几何和语义的标记多边形序列。我们的方法引入了一种自回归解码器，它学习使用可学习锚点的指导来根据图像特征和先前生成的角点来预测下一个角点。这些锚点代表图像空间中的空间坐标，因此可以有效地引导注意力机制关注信息丰富的图像区域。通过采用自回归机制，我们的方法提供了输出格式的灵活性，能够有效地处理具有大量房间和不同多边形结构的复杂平面图。我们的方法在 Structure3D、CubiCasa5K 和 Raster2Graph 等标准基准上实现了最先进的性能，同时还展示了对 WAFFLE 等更具挑战性的数据集的强大泛化能力，这些数据集包含不同的房间结构和复杂的几何变化。</w:t>
      </w:r>
    </w:p>
    <w:p>
      <w:pPr>
        <w:spacing w:before="120"/>
      </w:pPr>
      <w:r>
        <w:rPr>
          <w:rFonts w:ascii="Times New Roman" w:hAnsi="Times New Roman" w:eastAsia="宋体"/>
          <w:b/>
          <w:sz w:val="21"/>
        </w:rPr>
        <w:t>English Abstract:</w:t>
      </w:r>
    </w:p>
    <w:p>
      <w:r>
        <w:rPr>
          <w:rFonts w:ascii="Times New Roman" w:hAnsi="Times New Roman" w:eastAsia="宋体"/>
          <w:sz w:val="21"/>
        </w:rPr>
        <w:t>Reconstructing a structured vector-graphics representation from a rasterized floorplan image is typically an important prerequisite for computational tasks involving floorplans such as automated understanding or CAD workflows. However, existing techniques struggle in faithfully generating the structure and semantics conveyed by complex floorplans that depict large indoor spaces with many rooms and a varying numbers of polygon corners. To this end, we propose Raster2Seq, framing floorplan reconstruction as a sequence-to-sequence task in which floorplan elements--such as rooms, windows, and doors--are represented as labeled polygon sequences that jointly encode geometry and semantics. Our approach introduces an autoregressive decoder that learns to predict the next corner conditioned on image features and previously generated corners using guidance from learnable anchors. These anchors represent spatial coordinates in image space, hence allowing for effectively directing the attention mechanism to focus on informative image regions. By embracing the autoregressive mechanism, our method offers flexibility in the output format, enabling for efficiently handling complex floorplans with numerous rooms and diverse polygon structures. Our method achieves state-of-the-art performance on standard benchmarks such as Structure3D, CubiCasa5K, and Raster2Graph, while also demonstrating strong generalization to more challenging datasets like WAFFLE, which contain diverse room structures and complex geometric variations.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Nerf &amp; Neural Fields</w:t>
      </w:r>
    </w:p>
    <w:p>
      <w:pPr>
        <w:jc w:val="center"/>
      </w:pPr>
      <w:r>
        <w:t>--- 更新: 13:32 ---</w:t>
      </w:r>
    </w:p>
    <w:p>
      <w:pPr>
        <w:pStyle w:val="Heading2"/>
      </w:pPr>
      <w:r/>
      <w:r>
        <w:rPr>
          <w:rFonts w:ascii="Times New Roman" w:hAnsi="Times New Roman" w:eastAsia="宋体"/>
          <w:b/>
          <w:color w:val="000000"/>
          <w:sz w:val="24"/>
        </w:rPr>
        <w:t>无需反向传播即可摆脱谱偏差：使用极限学习机进行快速隐式神经表示</w:t>
      </w:r>
    </w:p>
    <w:p>
      <w:r>
        <w:rPr>
          <w:rFonts w:ascii="Times New Roman" w:hAnsi="Times New Roman" w:eastAsia="宋体"/>
          <w:b/>
          <w:color w:val="003264"/>
          <w:sz w:val="24"/>
        </w:rPr>
        <w:t>Escaping Spectral Bias without Backpropagation: Fast Implicit Neural Representations with Extreme Learning Machines</w:t>
      </w:r>
    </w:p>
    <w:p>
      <w:r>
        <w:rPr>
          <w:rFonts w:ascii="Times New Roman" w:hAnsi="Times New Roman" w:eastAsia="宋体"/>
          <w:sz w:val="21"/>
        </w:rPr>
        <w:t>作者: Junghwan Park</w:t>
        <w:br/>
      </w:r>
      <w:r>
        <w:rPr>
          <w:rFonts w:ascii="Times New Roman" w:hAnsi="Times New Roman" w:eastAsia="宋体"/>
          <w:sz w:val="21"/>
        </w:rPr>
        <w:t xml:space="preserve">时间: 2026-02-07T16:12:39Z | </w:t>
      </w:r>
      <w:r>
        <w:t xml:space="preserve">链接: </w:t>
      </w:r>
      <w:hyperlink r:id="rId224">
        <w:r>
          <w:rPr>
            <w:rFonts w:ascii="Times New Roman" w:hAnsi="Times New Roman" w:eastAsia="宋体"/>
            <w:color w:val="0000FF"/>
            <w:sz w:val="21"/>
            <w:u w:val="single"/>
          </w:rPr>
          <w:t>https://arxiv.org/abs/2602.07603v1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训练隐式神经表示（INR）来捕获精细尺度细节通常依赖于迭代反向传播，并且当目标表现出高度不均匀的频率内容时，通常会受到频谱偏差的阻碍。我们提出了 ELM-INR，一种无反向传播的 INR，它将域分解为重叠的子域，并使用封闭形式的极限学习机 (ELM) 来拟合每个局部问题，用稳定的线性最小二乘解取代迭代优化。该设计通过统一分区组合局部预测变量，产生快速且数值稳健的重建。为了理解在固定局部容量下近似变得困难的地方，我们从谱巴伦范数的角度分析了该方法，这表明全局重建误差主要由谱复杂度高的区域决定。基于这一见解，我们引入了 BEAM，这是一种自适应网格细化策略，可以平衡子域之间的频谱复杂性，以提高容量受限情况下的重建质量。</w:t>
      </w:r>
    </w:p>
    <w:p>
      <w:pPr>
        <w:spacing w:before="120"/>
      </w:pPr>
      <w:r>
        <w:rPr>
          <w:rFonts w:ascii="Times New Roman" w:hAnsi="Times New Roman" w:eastAsia="宋体"/>
          <w:b/>
          <w:sz w:val="21"/>
        </w:rPr>
        <w:t>English Abstract:</w:t>
      </w:r>
    </w:p>
    <w:p>
      <w:r>
        <w:rPr>
          <w:rFonts w:ascii="Times New Roman" w:hAnsi="Times New Roman" w:eastAsia="宋体"/>
          <w:sz w:val="21"/>
        </w:rPr>
        <w:t>Training implicit neural representations (INRs) to capture fine-scale details typically relies on iterative backpropagation and is often hindered by spectral bias when the target exhibits highly non-uniform frequency content. We propose ELM-INR, a backpropagation-free INR that decomposes the domain into overlapping subdomains and fits each local problem using an Extreme Learning Machine (ELM) in closed form, replacing iterative optimization with stable linear least-squares solutions. This design yields fast and numerically robust reconstruction by combining local predictors through a partition of unity. To understand where approximation becomes difficult under fixed local capacity, we analyze the method from a spectral Barron norm perspective, which reveals that global reconstruction error is dominated by regions with high spectral complexity. Building on this insight, we introduce BEAM, an adaptive mesh refinement strategy that balances spectral complexity across subdomains to improve reconstruction quality in capacity-constrained regimes.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Deepfake 合成与检测：一场不平等的竞赛</w:t>
      </w:r>
    </w:p>
    <w:p>
      <w:r>
        <w:rPr>
          <w:rFonts w:ascii="Times New Roman" w:hAnsi="Times New Roman" w:eastAsia="宋体"/>
          <w:b/>
          <w:color w:val="003264"/>
          <w:sz w:val="24"/>
        </w:rPr>
        <w:t>Deepfake Synthesis vs. Detection: An Uneven Contest</w:t>
      </w:r>
    </w:p>
    <w:p>
      <w:r>
        <w:rPr>
          <w:rFonts w:ascii="Times New Roman" w:hAnsi="Times New Roman" w:eastAsia="宋体"/>
          <w:sz w:val="21"/>
        </w:rPr>
        <w:t>作者: Terence Sim</w:t>
        <w:br/>
      </w:r>
      <w:r>
        <w:rPr>
          <w:rFonts w:ascii="Times New Roman" w:hAnsi="Times New Roman" w:eastAsia="宋体"/>
          <w:sz w:val="21"/>
        </w:rPr>
        <w:t xml:space="preserve">时间: 2026-02-08T14:26:14Z | </w:t>
      </w:r>
      <w:r>
        <w:t xml:space="preserve">链接: </w:t>
      </w:r>
      <w:hyperlink r:id="rId225">
        <w:r>
          <w:rPr>
            <w:rFonts w:ascii="Times New Roman" w:hAnsi="Times New Roman" w:eastAsia="宋体"/>
            <w:color w:val="0000FF"/>
            <w:sz w:val="21"/>
            <w:u w:val="single"/>
          </w:rPr>
          <w:t>https://arxiv.org/abs/2602.07986v1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Deepfake 技术的快速进步显着提高了合成媒体的真实性和可访问性。基于扩散的模型和神经辐射场 (NeRF) 等新兴技术，以及传统生成对抗网络 (GAN) 的增强，为深度伪造视频的复杂生成做出了贡献。与此同时，在 Transformer 架构、对比学习和其他机器学习方法创新的推动下，深度伪造检测方法取得了显着进展。在这项研究中，我们对最先进的深度伪造检测技术进行了全面的实证分析，包括针对尖端合成方法的人体评估实验。我们的研究结果强调了一个令人担忧的趋势：许多最先进的检测模型在面对现代合成技术产生的深度赝品的挑战时表现出明显较差的性能，包括人类参与者在对抗最优质的深度赝品时表现不佳。通过广泛的实验，我们提供的证据强调了持续改进检测模型的迫切需要，以跟上 Deepfake 生成技术不断发展的能力。这项研究强调了当前检测方法与新一代技术的复杂性之间的关键差距，呼吁在这一关键研究领域加大力度。</w:t>
      </w:r>
    </w:p>
    <w:p>
      <w:pPr>
        <w:spacing w:before="120"/>
      </w:pPr>
      <w:r>
        <w:rPr>
          <w:rFonts w:ascii="Times New Roman" w:hAnsi="Times New Roman" w:eastAsia="宋体"/>
          <w:b/>
          <w:sz w:val="21"/>
        </w:rPr>
        <w:t>English Abstract:</w:t>
      </w:r>
    </w:p>
    <w:p>
      <w:r>
        <w:rPr>
          <w:rFonts w:ascii="Times New Roman" w:hAnsi="Times New Roman" w:eastAsia="宋体"/>
          <w:sz w:val="21"/>
        </w:rPr>
        <w:t>The rapid advancement of deepfake technology has significantly elevated the realism and accessibility of synthetic media. Emerging techniques, such as diffusion-based models and Neural Radiance Fields (NeRF), alongside enhancements in traditional Generative Adversarial Networks (GANs), have contributed to the sophisticated generation of deepfake videos. Concurrently, deepfake detection methods have seen notable progress, driven by innovations in Transformer architectures, contrastive learning, and other machine learning approaches. In this study, we conduct a comprehensive empirical analysis of state-of-the-art deepfake detection techniques, including human evaluation experiments against cutting-edge synthesis methods. Our findings highlight a concerning trend: many state-of-the-art detection models exhibit markedly poor performance when challenged with deepfakes produced by modern synthesis techniques, including poor performance by human participants against the best quality deepfakes. Through extensive experimentation, we provide evidence that underscores the urgent need for continued refinement of detection models to keep pace with the evolving capabilities of deepfake generation technologies. This research emphasizes the critical gap between current detection methodologies and the sophistication of new generation techniques, calling for intensified efforts in this crucial area of study.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用于一致且高效的 2D 高斯逆渲染的旋转灯</w:t>
      </w:r>
    </w:p>
    <w:p>
      <w:r>
        <w:rPr>
          <w:rFonts w:ascii="Times New Roman" w:hAnsi="Times New Roman" w:eastAsia="宋体"/>
          <w:b/>
          <w:color w:val="003264"/>
          <w:sz w:val="24"/>
        </w:rPr>
        <w:t>Rotated Lights for Consistent and Efficient 2D Gaussians Inverse Rendering</w:t>
      </w:r>
    </w:p>
    <w:p>
      <w:r>
        <w:rPr>
          <w:rFonts w:ascii="Times New Roman" w:hAnsi="Times New Roman" w:eastAsia="宋体"/>
          <w:sz w:val="21"/>
        </w:rPr>
        <w:t>作者: Matthias Zwicker</w:t>
        <w:br/>
      </w:r>
      <w:r>
        <w:rPr>
          <w:rFonts w:ascii="Times New Roman" w:hAnsi="Times New Roman" w:eastAsia="宋体"/>
          <w:sz w:val="21"/>
        </w:rPr>
        <w:t xml:space="preserve">时间: 2026-02-09T14:34:06Z | </w:t>
      </w:r>
      <w:r>
        <w:t xml:space="preserve">链接: </w:t>
      </w:r>
      <w:hyperlink r:id="rId226">
        <w:r>
          <w:rPr>
            <w:rFonts w:ascii="Times New Roman" w:hAnsi="Times New Roman" w:eastAsia="宋体"/>
            <w:color w:val="0000FF"/>
            <w:sz w:val="21"/>
            <w:u w:val="single"/>
          </w:rPr>
          <w:t>https://arxiv.org/abs/2602.08724v1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逆渲染旨在将场景在一定的渲染模型下分解为其几何形状、材质属性和光照条件。它具有广泛的应用，如视图合成、重新照明和场景编辑。近年来，逆渲染方法受到神经辐射场和高斯分布等视图合成方法的启发，这些方法能够有效地将场景分解为其几何形状和辐射度。然后，他们进一步估计导致观察到的场景辐射的材料和照明。然而，后一步是高度模糊的，并且先前的作品尽管进行了正则化，但在反照率估计中仍存在不准确的颜色和烘焙阴影。为此，我们提出了 RotLight（一种简单的捕获设置）来解决模糊性问题。与通常的捕捉相比，RotLight 在过程中只需要将物体旋转几次。我们证明，只需两次旋转就可以有效减少伪影。为了进一步改进基于 2DGS 的逆渲染，我们还引入了代理网格，它不仅允许精确的入射光跟踪，而且还支持残差约束并改进全局照明处理。我们通过合成数据集和现实世界数据集证明，我们的方法在保持高效计算的同时实现了卓越的反照率估计。</w:t>
      </w:r>
    </w:p>
    <w:p>
      <w:pPr>
        <w:spacing w:before="120"/>
      </w:pPr>
      <w:r>
        <w:rPr>
          <w:rFonts w:ascii="Times New Roman" w:hAnsi="Times New Roman" w:eastAsia="宋体"/>
          <w:b/>
          <w:sz w:val="21"/>
        </w:rPr>
        <w:t>English Abstract:</w:t>
      </w:r>
    </w:p>
    <w:p>
      <w:r>
        <w:rPr>
          <w:rFonts w:ascii="Times New Roman" w:hAnsi="Times New Roman" w:eastAsia="宋体"/>
          <w:sz w:val="21"/>
        </w:rPr>
        <w:t>Inverse rendering aims to decompose a scene into its geometry, material properties and light conditions under a certain rendering model. It has wide applications like view synthesis, relighting, and scene editing. In recent years, inverse rendering methods have been inspired by view synthesis approaches like neural radiance fields and Gaussian splatting, which are capable of efficiently decomposing a scene into its geometry and radiance. They then further estimate the material and lighting that lead to the observed scene radiance. However, the latter step is highly ambiguous and prior works suffer from inaccurate color and baked shadows in their albedo estimation albeit their regularization. To this end, we propose RotLight, a simple capturing setup, to address the ambiguity. Compared to a usual capture, RotLight only requires the object to be rotated several times during the process. We show that as few as two rotations is effective in reducing artifacts. To further improve 2DGS-based inverse rendering, we additionally introduce a proxy mesh that not only allows accurate incident light tracing, but also enables a residual constraint and improves global illumination handling. We demonstrate with both synthetic and real world datasets that our method achieves superior albedo estimation while keeping efficient computation.</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s41598-026-36344-1" TargetMode="External"/><Relationship Id="rId11" Type="http://schemas.openxmlformats.org/officeDocument/2006/relationships/hyperlink" Target="https://doi.org/10.1038/s41598-026-38722-1" TargetMode="External"/><Relationship Id="rId12" Type="http://schemas.openxmlformats.org/officeDocument/2006/relationships/hyperlink" Target="https://doi.org/10.1038/s41598-026-39238-4" TargetMode="External"/><Relationship Id="rId13" Type="http://schemas.openxmlformats.org/officeDocument/2006/relationships/hyperlink" Target="https://doi.org/10.1038/s41598-026-38842-8" TargetMode="External"/><Relationship Id="rId14" Type="http://schemas.openxmlformats.org/officeDocument/2006/relationships/hyperlink" Target="https://doi.org/10.1038/s41598-026-37773-8" TargetMode="External"/><Relationship Id="rId15" Type="http://schemas.openxmlformats.org/officeDocument/2006/relationships/hyperlink" Target="https://doi.org/10.1038/s41598-026-39319-4" TargetMode="External"/><Relationship Id="rId16" Type="http://schemas.openxmlformats.org/officeDocument/2006/relationships/hyperlink" Target="https://doi.org/10.1038/s41598-026-39359-w" TargetMode="External"/><Relationship Id="rId17" Type="http://schemas.openxmlformats.org/officeDocument/2006/relationships/hyperlink" Target="https://doi.org/10.1038/s41598-026-38554-z" TargetMode="External"/><Relationship Id="rId18" Type="http://schemas.openxmlformats.org/officeDocument/2006/relationships/hyperlink" Target="https://doi.org/10.1038/s41598-026-39326-5" TargetMode="External"/><Relationship Id="rId19" Type="http://schemas.openxmlformats.org/officeDocument/2006/relationships/hyperlink" Target="https://doi.org/10.1038/s41598-026-39168-1" TargetMode="External"/><Relationship Id="rId20" Type="http://schemas.openxmlformats.org/officeDocument/2006/relationships/hyperlink" Target="https://doi.org/10.1038/s41598-026-39505-4" TargetMode="External"/><Relationship Id="rId21" Type="http://schemas.openxmlformats.org/officeDocument/2006/relationships/hyperlink" Target="https://doi.org/10.1038/s41598-026-39148-5" TargetMode="External"/><Relationship Id="rId22" Type="http://schemas.openxmlformats.org/officeDocument/2006/relationships/hyperlink" Target="https://doi.org/10.1038/s41598-026-39578-1" TargetMode="External"/><Relationship Id="rId23" Type="http://schemas.openxmlformats.org/officeDocument/2006/relationships/hyperlink" Target="https://doi.org/10.1038/s41598-026-38052-2" TargetMode="External"/><Relationship Id="rId24" Type="http://schemas.openxmlformats.org/officeDocument/2006/relationships/hyperlink" Target="https://doi.org/10.1038/s41598-026-39498-0" TargetMode="External"/><Relationship Id="rId25" Type="http://schemas.openxmlformats.org/officeDocument/2006/relationships/hyperlink" Target="https://doi.org/10.1038/s41598-026-39094-2" TargetMode="External"/><Relationship Id="rId26" Type="http://schemas.openxmlformats.org/officeDocument/2006/relationships/hyperlink" Target="https://doi.org/10.1038/s41598-026-39486-4" TargetMode="External"/><Relationship Id="rId27" Type="http://schemas.openxmlformats.org/officeDocument/2006/relationships/hyperlink" Target="https://doi.org/10.1038/s41598-026-36466-6" TargetMode="External"/><Relationship Id="rId28" Type="http://schemas.openxmlformats.org/officeDocument/2006/relationships/hyperlink" Target="https://doi.org/10.1038/s41598-026-38650-0" TargetMode="External"/><Relationship Id="rId29" Type="http://schemas.openxmlformats.org/officeDocument/2006/relationships/hyperlink" Target="https://doi.org/10.1038/s41598-026-39234-8" TargetMode="External"/><Relationship Id="rId30" Type="http://schemas.openxmlformats.org/officeDocument/2006/relationships/hyperlink" Target="https://doi.org/10.1038/s41598-026-38854-4" TargetMode="External"/><Relationship Id="rId31" Type="http://schemas.openxmlformats.org/officeDocument/2006/relationships/hyperlink" Target="https://doi.org/10.29026/oea.2026.250216" TargetMode="External"/><Relationship Id="rId32" Type="http://schemas.openxmlformats.org/officeDocument/2006/relationships/hyperlink" Target="https://doi.org/10.29026/oea.2026.250260" TargetMode="External"/><Relationship Id="rId33" Type="http://schemas.openxmlformats.org/officeDocument/2006/relationships/hyperlink" Target="https://doi.org/10.29026/oea.2026.250197" TargetMode="External"/><Relationship Id="rId34" Type="http://schemas.openxmlformats.org/officeDocument/2006/relationships/hyperlink" Target="https://doi.org/10.29026/oea.2026.250211" TargetMode="External"/><Relationship Id="rId35" Type="http://schemas.openxmlformats.org/officeDocument/2006/relationships/hyperlink" Target="https://doi.org/10.1016/j.displa.2026.103383" TargetMode="External"/><Relationship Id="rId36" Type="http://schemas.openxmlformats.org/officeDocument/2006/relationships/hyperlink" Target="https://doi.org/10.1016/j.optcom.2026.133007" TargetMode="External"/><Relationship Id="rId37" Type="http://schemas.openxmlformats.org/officeDocument/2006/relationships/hyperlink" Target="https://doi.org/10.1364/oe.587479" TargetMode="External"/><Relationship Id="rId38" Type="http://schemas.openxmlformats.org/officeDocument/2006/relationships/hyperlink" Target="https://doi.org/10.1364/oe.582434" TargetMode="External"/><Relationship Id="rId39" Type="http://schemas.openxmlformats.org/officeDocument/2006/relationships/hyperlink" Target="https://doi.org/10.1364/oe.577130" TargetMode="External"/><Relationship Id="rId40" Type="http://schemas.openxmlformats.org/officeDocument/2006/relationships/hyperlink" Target="https://doi.org/10.1364/oe.579542" TargetMode="External"/><Relationship Id="rId41" Type="http://schemas.openxmlformats.org/officeDocument/2006/relationships/hyperlink" Target="https://doi.org/10.1364/oe.575815" TargetMode="External"/><Relationship Id="rId42" Type="http://schemas.openxmlformats.org/officeDocument/2006/relationships/hyperlink" Target="https://doi.org/10.1364/oe.587571" TargetMode="External"/><Relationship Id="rId43" Type="http://schemas.openxmlformats.org/officeDocument/2006/relationships/hyperlink" Target="https://doi.org/10.1364/oe.584154" TargetMode="External"/><Relationship Id="rId44" Type="http://schemas.openxmlformats.org/officeDocument/2006/relationships/hyperlink" Target="https://doi.org/10.1364/oe.585950" TargetMode="External"/><Relationship Id="rId45" Type="http://schemas.openxmlformats.org/officeDocument/2006/relationships/hyperlink" Target="https://doi.org/10.1364/oe.582238" TargetMode="External"/><Relationship Id="rId46" Type="http://schemas.openxmlformats.org/officeDocument/2006/relationships/hyperlink" Target="https://doi.org/10.1038/s41377-025-02066-8" TargetMode="External"/><Relationship Id="rId47" Type="http://schemas.openxmlformats.org/officeDocument/2006/relationships/hyperlink" Target="https://doi.org/10.1038/s41598-026-38488-6" TargetMode="External"/><Relationship Id="rId48" Type="http://schemas.openxmlformats.org/officeDocument/2006/relationships/hyperlink" Target="https://doi.org/10.37188/lam.2026.030" TargetMode="External"/><Relationship Id="rId49" Type="http://schemas.openxmlformats.org/officeDocument/2006/relationships/hyperlink" Target="https://doi.org/10.1364/oe.584530" TargetMode="External"/><Relationship Id="rId50" Type="http://schemas.openxmlformats.org/officeDocument/2006/relationships/hyperlink" Target="https://doi.org/10.1364/boe.584061" TargetMode="External"/><Relationship Id="rId51" Type="http://schemas.openxmlformats.org/officeDocument/2006/relationships/hyperlink" Target="https://doi.org/10.1364/optcon.580185" TargetMode="External"/><Relationship Id="rId52" Type="http://schemas.openxmlformats.org/officeDocument/2006/relationships/hyperlink" Target="https://doi.org/10.1021/acsphotonics.5c02733" TargetMode="External"/><Relationship Id="rId53" Type="http://schemas.openxmlformats.org/officeDocument/2006/relationships/hyperlink" Target="https://doi.org/10.1021/acsphotonics.5c03087" TargetMode="External"/><Relationship Id="rId54" Type="http://schemas.openxmlformats.org/officeDocument/2006/relationships/hyperlink" Target="https://doi.org/10.1038/s41598-025-12335-6" TargetMode="External"/><Relationship Id="rId55" Type="http://schemas.openxmlformats.org/officeDocument/2006/relationships/hyperlink" Target="https://doi.org/10.1038/s41598-026-38618-0" TargetMode="External"/><Relationship Id="rId56" Type="http://schemas.openxmlformats.org/officeDocument/2006/relationships/hyperlink" Target="https://doi.org/10.1038/s41598-025-14549-0" TargetMode="External"/><Relationship Id="rId57" Type="http://schemas.openxmlformats.org/officeDocument/2006/relationships/hyperlink" Target="https://doi.org/10.37188/lam.2026.031" TargetMode="External"/><Relationship Id="rId58" Type="http://schemas.openxmlformats.org/officeDocument/2006/relationships/hyperlink" Target="https://doi.org/10.1186/s43593-026-00122-3" TargetMode="External"/><Relationship Id="rId59" Type="http://schemas.openxmlformats.org/officeDocument/2006/relationships/hyperlink" Target="https://doi.org/10.1364/boe.576538" TargetMode="External"/><Relationship Id="rId60" Type="http://schemas.openxmlformats.org/officeDocument/2006/relationships/hyperlink" Target="https://doi.org/10.1364/boe.584264" TargetMode="External"/><Relationship Id="rId61" Type="http://schemas.openxmlformats.org/officeDocument/2006/relationships/hyperlink" Target="https://doi.org/10.1364/optcon.580971" TargetMode="External"/><Relationship Id="rId62" Type="http://schemas.openxmlformats.org/officeDocument/2006/relationships/hyperlink" Target="https://doi.org/10.1002/lpor.202502956" TargetMode="External"/><Relationship Id="rId63" Type="http://schemas.openxmlformats.org/officeDocument/2006/relationships/hyperlink" Target="https://doi.org/10.1038/s41377-025-02139-8" TargetMode="External"/><Relationship Id="rId64" Type="http://schemas.openxmlformats.org/officeDocument/2006/relationships/hyperlink" Target="https://doi.org/10.1038/s41598-025-32709-0" TargetMode="External"/><Relationship Id="rId65" Type="http://schemas.openxmlformats.org/officeDocument/2006/relationships/hyperlink" Target="https://doi.org/10.1038/s41598-025-33500-x" TargetMode="External"/><Relationship Id="rId66" Type="http://schemas.openxmlformats.org/officeDocument/2006/relationships/hyperlink" Target="https://doi.org/10.1038/s41598-026-39133-y" TargetMode="External"/><Relationship Id="rId67" Type="http://schemas.openxmlformats.org/officeDocument/2006/relationships/hyperlink" Target="https://doi.org/10.1038/s41598-026-39212-0" TargetMode="External"/><Relationship Id="rId68" Type="http://schemas.openxmlformats.org/officeDocument/2006/relationships/hyperlink" Target="https://doi.org/10.37188/lam.2026.032" TargetMode="External"/><Relationship Id="rId69" Type="http://schemas.openxmlformats.org/officeDocument/2006/relationships/hyperlink" Target="https://doi.org/10.1038/s41566-026-01849-8" TargetMode="External"/><Relationship Id="rId70" Type="http://schemas.openxmlformats.org/officeDocument/2006/relationships/hyperlink" Target="https://arxiv.org/abs/2602.07222v1" TargetMode="External"/><Relationship Id="rId71" Type="http://schemas.openxmlformats.org/officeDocument/2006/relationships/hyperlink" Target="https://arxiv.org/abs/2602.07448v1" TargetMode="External"/><Relationship Id="rId72" Type="http://schemas.openxmlformats.org/officeDocument/2006/relationships/hyperlink" Target="https://arxiv.org/abs/2602.07786v1" TargetMode="External"/><Relationship Id="rId73" Type="http://schemas.openxmlformats.org/officeDocument/2006/relationships/hyperlink" Target="https://arxiv.org/abs/2602.07138v1" TargetMode="External"/><Relationship Id="rId74" Type="http://schemas.openxmlformats.org/officeDocument/2006/relationships/hyperlink" Target="https://arxiv.org/abs/2602.07236v1" TargetMode="External"/><Relationship Id="rId75" Type="http://schemas.openxmlformats.org/officeDocument/2006/relationships/hyperlink" Target="https://arxiv.org/abs/2602.07239v1" TargetMode="External"/><Relationship Id="rId76" Type="http://schemas.openxmlformats.org/officeDocument/2006/relationships/hyperlink" Target="https://arxiv.org/abs/2602.07281v1" TargetMode="External"/><Relationship Id="rId77" Type="http://schemas.openxmlformats.org/officeDocument/2006/relationships/hyperlink" Target="https://arxiv.org/abs/2602.07328v1" TargetMode="External"/><Relationship Id="rId78" Type="http://schemas.openxmlformats.org/officeDocument/2006/relationships/hyperlink" Target="https://arxiv.org/abs/2602.07337v1" TargetMode="External"/><Relationship Id="rId79" Type="http://schemas.openxmlformats.org/officeDocument/2006/relationships/hyperlink" Target="https://arxiv.org/abs/2602.07416v1" TargetMode="External"/><Relationship Id="rId80" Type="http://schemas.openxmlformats.org/officeDocument/2006/relationships/hyperlink" Target="https://arxiv.org/abs/2602.07531v1" TargetMode="External"/><Relationship Id="rId81" Type="http://schemas.openxmlformats.org/officeDocument/2006/relationships/hyperlink" Target="https://arxiv.org/abs/2602.07536v1" TargetMode="External"/><Relationship Id="rId82" Type="http://schemas.openxmlformats.org/officeDocument/2006/relationships/hyperlink" Target="https://arxiv.org/abs/2602.07600v1" TargetMode="External"/><Relationship Id="rId83" Type="http://schemas.openxmlformats.org/officeDocument/2006/relationships/hyperlink" Target="https://arxiv.org/abs/2602.07649v1" TargetMode="External"/><Relationship Id="rId84" Type="http://schemas.openxmlformats.org/officeDocument/2006/relationships/hyperlink" Target="https://arxiv.org/abs/2602.07657v1" TargetMode="External"/><Relationship Id="rId85" Type="http://schemas.openxmlformats.org/officeDocument/2006/relationships/hyperlink" Target="https://arxiv.org/abs/2602.07737v1" TargetMode="External"/><Relationship Id="rId86" Type="http://schemas.openxmlformats.org/officeDocument/2006/relationships/hyperlink" Target="https://arxiv.org/abs/2602.07757v1" TargetMode="External"/><Relationship Id="rId87" Type="http://schemas.openxmlformats.org/officeDocument/2006/relationships/hyperlink" Target="https://arxiv.org/abs/2602.07792v1" TargetMode="External"/><Relationship Id="rId88" Type="http://schemas.openxmlformats.org/officeDocument/2006/relationships/hyperlink" Target="https://arxiv.org/abs/2602.07858v1" TargetMode="External"/><Relationship Id="rId89" Type="http://schemas.openxmlformats.org/officeDocument/2006/relationships/hyperlink" Target="https://arxiv.org/abs/2602.07914v1" TargetMode="External"/><Relationship Id="rId90" Type="http://schemas.openxmlformats.org/officeDocument/2006/relationships/hyperlink" Target="https://arxiv.org/abs/2602.07942v1" TargetMode="External"/><Relationship Id="rId91" Type="http://schemas.openxmlformats.org/officeDocument/2006/relationships/hyperlink" Target="https://arxiv.org/abs/2602.07949v1" TargetMode="External"/><Relationship Id="rId92" Type="http://schemas.openxmlformats.org/officeDocument/2006/relationships/hyperlink" Target="https://arxiv.org/abs/2602.08011v1" TargetMode="External"/><Relationship Id="rId93" Type="http://schemas.openxmlformats.org/officeDocument/2006/relationships/hyperlink" Target="https://arxiv.org/abs/2602.08150v1" TargetMode="External"/><Relationship Id="rId94" Type="http://schemas.openxmlformats.org/officeDocument/2006/relationships/hyperlink" Target="https://arxiv.org/abs/2602.08193v1" TargetMode="External"/><Relationship Id="rId95" Type="http://schemas.openxmlformats.org/officeDocument/2006/relationships/hyperlink" Target="https://arxiv.org/abs/2602.08284v1" TargetMode="External"/><Relationship Id="rId96" Type="http://schemas.openxmlformats.org/officeDocument/2006/relationships/hyperlink" Target="https://arxiv.org/abs/2602.08301v1" TargetMode="External"/><Relationship Id="rId97" Type="http://schemas.openxmlformats.org/officeDocument/2006/relationships/hyperlink" Target="https://arxiv.org/abs/2602.08364v1" TargetMode="External"/><Relationship Id="rId98" Type="http://schemas.openxmlformats.org/officeDocument/2006/relationships/hyperlink" Target="https://arxiv.org/abs/2602.08406v1" TargetMode="External"/><Relationship Id="rId99" Type="http://schemas.openxmlformats.org/officeDocument/2006/relationships/hyperlink" Target="https://arxiv.org/abs/2602.08433v1" TargetMode="External"/><Relationship Id="rId100" Type="http://schemas.openxmlformats.org/officeDocument/2006/relationships/hyperlink" Target="https://arxiv.org/abs/2602.08438v1" TargetMode="External"/><Relationship Id="rId101" Type="http://schemas.openxmlformats.org/officeDocument/2006/relationships/hyperlink" Target="https://arxiv.org/abs/2602.08472v1" TargetMode="External"/><Relationship Id="rId102" Type="http://schemas.openxmlformats.org/officeDocument/2006/relationships/hyperlink" Target="https://arxiv.org/abs/2602.08635v1" TargetMode="External"/><Relationship Id="rId103" Type="http://schemas.openxmlformats.org/officeDocument/2006/relationships/hyperlink" Target="https://arxiv.org/abs/2602.08654v1" TargetMode="External"/><Relationship Id="rId104" Type="http://schemas.openxmlformats.org/officeDocument/2006/relationships/hyperlink" Target="https://arxiv.org/abs/2602.08663v1" TargetMode="External"/><Relationship Id="rId105" Type="http://schemas.openxmlformats.org/officeDocument/2006/relationships/hyperlink" Target="https://arxiv.org/abs/2602.08677v1" TargetMode="External"/><Relationship Id="rId106" Type="http://schemas.openxmlformats.org/officeDocument/2006/relationships/hyperlink" Target="https://arxiv.org/abs/2602.08823v1" TargetMode="External"/><Relationship Id="rId107" Type="http://schemas.openxmlformats.org/officeDocument/2006/relationships/hyperlink" Target="https://arxiv.org/abs/2602.08836v1" TargetMode="External"/><Relationship Id="rId108" Type="http://schemas.openxmlformats.org/officeDocument/2006/relationships/hyperlink" Target="https://arxiv.org/abs/2602.07163v1" TargetMode="External"/><Relationship Id="rId109" Type="http://schemas.openxmlformats.org/officeDocument/2006/relationships/hyperlink" Target="https://arxiv.org/abs/2602.07168v1" TargetMode="External"/><Relationship Id="rId110" Type="http://schemas.openxmlformats.org/officeDocument/2006/relationships/hyperlink" Target="https://arxiv.org/abs/2602.07233v1" TargetMode="External"/><Relationship Id="rId111" Type="http://schemas.openxmlformats.org/officeDocument/2006/relationships/hyperlink" Target="https://arxiv.org/abs/2602.07393v1" TargetMode="External"/><Relationship Id="rId112" Type="http://schemas.openxmlformats.org/officeDocument/2006/relationships/hyperlink" Target="https://arxiv.org/abs/2602.07403v1" TargetMode="External"/><Relationship Id="rId113" Type="http://schemas.openxmlformats.org/officeDocument/2006/relationships/hyperlink" Target="https://arxiv.org/abs/2602.07534v1" TargetMode="External"/><Relationship Id="rId114" Type="http://schemas.openxmlformats.org/officeDocument/2006/relationships/hyperlink" Target="https://arxiv.org/abs/2602.07819v1" TargetMode="External"/><Relationship Id="rId115" Type="http://schemas.openxmlformats.org/officeDocument/2006/relationships/hyperlink" Target="https://arxiv.org/abs/2602.08249v1" TargetMode="External"/><Relationship Id="rId116" Type="http://schemas.openxmlformats.org/officeDocument/2006/relationships/hyperlink" Target="https://arxiv.org/abs/2602.08538v1" TargetMode="External"/><Relationship Id="rId117" Type="http://schemas.openxmlformats.org/officeDocument/2006/relationships/hyperlink" Target="https://arxiv.org/abs/2602.08550v1" TargetMode="External"/><Relationship Id="rId118" Type="http://schemas.openxmlformats.org/officeDocument/2006/relationships/hyperlink" Target="https://arxiv.org/abs/2602.08764v1" TargetMode="External"/><Relationship Id="rId119" Type="http://schemas.openxmlformats.org/officeDocument/2006/relationships/hyperlink" Target="https://arxiv.org/abs/2602.07125v1" TargetMode="External"/><Relationship Id="rId120" Type="http://schemas.openxmlformats.org/officeDocument/2006/relationships/hyperlink" Target="https://arxiv.org/abs/2602.07149v1" TargetMode="External"/><Relationship Id="rId121" Type="http://schemas.openxmlformats.org/officeDocument/2006/relationships/hyperlink" Target="https://arxiv.org/abs/2602.07198v1" TargetMode="External"/><Relationship Id="rId122" Type="http://schemas.openxmlformats.org/officeDocument/2006/relationships/hyperlink" Target="https://arxiv.org/abs/2602.07212v1" TargetMode="External"/><Relationship Id="rId123" Type="http://schemas.openxmlformats.org/officeDocument/2006/relationships/hyperlink" Target="https://arxiv.org/abs/2602.07251v1" TargetMode="External"/><Relationship Id="rId124" Type="http://schemas.openxmlformats.org/officeDocument/2006/relationships/hyperlink" Target="https://arxiv.org/abs/2602.07260v1" TargetMode="External"/><Relationship Id="rId125" Type="http://schemas.openxmlformats.org/officeDocument/2006/relationships/hyperlink" Target="https://arxiv.org/abs/2602.07272v1" TargetMode="External"/><Relationship Id="rId126" Type="http://schemas.openxmlformats.org/officeDocument/2006/relationships/hyperlink" Target="https://arxiv.org/abs/2602.07277v1" TargetMode="External"/><Relationship Id="rId127" Type="http://schemas.openxmlformats.org/officeDocument/2006/relationships/hyperlink" Target="https://arxiv.org/abs/2602.07301v1" TargetMode="External"/><Relationship Id="rId128" Type="http://schemas.openxmlformats.org/officeDocument/2006/relationships/hyperlink" Target="https://arxiv.org/abs/2602.07310v1" TargetMode="External"/><Relationship Id="rId129" Type="http://schemas.openxmlformats.org/officeDocument/2006/relationships/hyperlink" Target="https://arxiv.org/abs/2602.07311v1" TargetMode="External"/><Relationship Id="rId130" Type="http://schemas.openxmlformats.org/officeDocument/2006/relationships/hyperlink" Target="https://arxiv.org/abs/2602.07345v1" TargetMode="External"/><Relationship Id="rId131" Type="http://schemas.openxmlformats.org/officeDocument/2006/relationships/hyperlink" Target="https://arxiv.org/abs/2602.07428v1" TargetMode="External"/><Relationship Id="rId132" Type="http://schemas.openxmlformats.org/officeDocument/2006/relationships/hyperlink" Target="https://arxiv.org/abs/2602.07444v1" TargetMode="External"/><Relationship Id="rId133" Type="http://schemas.openxmlformats.org/officeDocument/2006/relationships/hyperlink" Target="https://arxiv.org/abs/2602.07446v1" TargetMode="External"/><Relationship Id="rId134" Type="http://schemas.openxmlformats.org/officeDocument/2006/relationships/hyperlink" Target="https://arxiv.org/abs/2602.07458v1" TargetMode="External"/><Relationship Id="rId135" Type="http://schemas.openxmlformats.org/officeDocument/2006/relationships/hyperlink" Target="https://arxiv.org/abs/2602.07463v1" TargetMode="External"/><Relationship Id="rId136" Type="http://schemas.openxmlformats.org/officeDocument/2006/relationships/hyperlink" Target="https://arxiv.org/abs/2602.07493v1" TargetMode="External"/><Relationship Id="rId137" Type="http://schemas.openxmlformats.org/officeDocument/2006/relationships/hyperlink" Target="https://arxiv.org/abs/2602.07495v1" TargetMode="External"/><Relationship Id="rId138" Type="http://schemas.openxmlformats.org/officeDocument/2006/relationships/hyperlink" Target="https://arxiv.org/abs/2602.07498v1" TargetMode="External"/><Relationship Id="rId139" Type="http://schemas.openxmlformats.org/officeDocument/2006/relationships/hyperlink" Target="https://arxiv.org/abs/2602.07512v1" TargetMode="External"/><Relationship Id="rId140" Type="http://schemas.openxmlformats.org/officeDocument/2006/relationships/hyperlink" Target="https://arxiv.org/abs/2602.07532v1" TargetMode="External"/><Relationship Id="rId141" Type="http://schemas.openxmlformats.org/officeDocument/2006/relationships/hyperlink" Target="https://arxiv.org/abs/2602.07535v1" TargetMode="External"/><Relationship Id="rId142" Type="http://schemas.openxmlformats.org/officeDocument/2006/relationships/hyperlink" Target="https://arxiv.org/abs/2602.07540v1" TargetMode="External"/><Relationship Id="rId143" Type="http://schemas.openxmlformats.org/officeDocument/2006/relationships/hyperlink" Target="https://arxiv.org/abs/2602.07554v1" TargetMode="External"/><Relationship Id="rId144" Type="http://schemas.openxmlformats.org/officeDocument/2006/relationships/hyperlink" Target="https://arxiv.org/abs/2602.07555v1" TargetMode="External"/><Relationship Id="rId145" Type="http://schemas.openxmlformats.org/officeDocument/2006/relationships/hyperlink" Target="https://arxiv.org/abs/2602.07564v1" TargetMode="External"/><Relationship Id="rId146" Type="http://schemas.openxmlformats.org/officeDocument/2006/relationships/hyperlink" Target="https://arxiv.org/abs/2602.07566v1" TargetMode="External"/><Relationship Id="rId147" Type="http://schemas.openxmlformats.org/officeDocument/2006/relationships/hyperlink" Target="https://arxiv.org/abs/2602.07568v1" TargetMode="External"/><Relationship Id="rId148" Type="http://schemas.openxmlformats.org/officeDocument/2006/relationships/hyperlink" Target="https://arxiv.org/abs/2602.07590v1" TargetMode="External"/><Relationship Id="rId149" Type="http://schemas.openxmlformats.org/officeDocument/2006/relationships/hyperlink" Target="https://arxiv.org/abs/2602.07605v1" TargetMode="External"/><Relationship Id="rId150" Type="http://schemas.openxmlformats.org/officeDocument/2006/relationships/hyperlink" Target="https://arxiv.org/abs/2602.07608v1" TargetMode="External"/><Relationship Id="rId151" Type="http://schemas.openxmlformats.org/officeDocument/2006/relationships/hyperlink" Target="https://arxiv.org/abs/2602.07643v1" TargetMode="External"/><Relationship Id="rId152" Type="http://schemas.openxmlformats.org/officeDocument/2006/relationships/hyperlink" Target="https://arxiv.org/abs/2602.07645v1" TargetMode="External"/><Relationship Id="rId153" Type="http://schemas.openxmlformats.org/officeDocument/2006/relationships/hyperlink" Target="https://arxiv.org/abs/2602.07658v1" TargetMode="External"/><Relationship Id="rId154" Type="http://schemas.openxmlformats.org/officeDocument/2006/relationships/hyperlink" Target="https://arxiv.org/abs/2602.07680v1" TargetMode="External"/><Relationship Id="rId155" Type="http://schemas.openxmlformats.org/officeDocument/2006/relationships/hyperlink" Target="https://arxiv.org/abs/2602.07694v1" TargetMode="External"/><Relationship Id="rId156" Type="http://schemas.openxmlformats.org/officeDocument/2006/relationships/hyperlink" Target="https://arxiv.org/abs/2602.07702v1" TargetMode="External"/><Relationship Id="rId157" Type="http://schemas.openxmlformats.org/officeDocument/2006/relationships/hyperlink" Target="https://arxiv.org/abs/2602.07717v1" TargetMode="External"/><Relationship Id="rId158" Type="http://schemas.openxmlformats.org/officeDocument/2006/relationships/hyperlink" Target="https://arxiv.org/abs/2602.07814v1" TargetMode="External"/><Relationship Id="rId159" Type="http://schemas.openxmlformats.org/officeDocument/2006/relationships/hyperlink" Target="https://arxiv.org/abs/2602.07815v1" TargetMode="External"/><Relationship Id="rId160" Type="http://schemas.openxmlformats.org/officeDocument/2006/relationships/hyperlink" Target="https://arxiv.org/abs/2602.07820v1" TargetMode="External"/><Relationship Id="rId161" Type="http://schemas.openxmlformats.org/officeDocument/2006/relationships/hyperlink" Target="https://arxiv.org/abs/2602.07833v1" TargetMode="External"/><Relationship Id="rId162" Type="http://schemas.openxmlformats.org/officeDocument/2006/relationships/hyperlink" Target="https://arxiv.org/abs/2602.07835v1" TargetMode="External"/><Relationship Id="rId163" Type="http://schemas.openxmlformats.org/officeDocument/2006/relationships/hyperlink" Target="https://arxiv.org/abs/2602.07854v1" TargetMode="External"/><Relationship Id="rId164" Type="http://schemas.openxmlformats.org/officeDocument/2006/relationships/hyperlink" Target="https://arxiv.org/abs/2602.07860v1" TargetMode="External"/><Relationship Id="rId165" Type="http://schemas.openxmlformats.org/officeDocument/2006/relationships/hyperlink" Target="https://arxiv.org/abs/2602.07864v1" TargetMode="External"/><Relationship Id="rId166" Type="http://schemas.openxmlformats.org/officeDocument/2006/relationships/hyperlink" Target="https://arxiv.org/abs/2602.07872v1" TargetMode="External"/><Relationship Id="rId167" Type="http://schemas.openxmlformats.org/officeDocument/2006/relationships/hyperlink" Target="https://arxiv.org/abs/2602.07888v1" TargetMode="External"/><Relationship Id="rId168" Type="http://schemas.openxmlformats.org/officeDocument/2006/relationships/hyperlink" Target="https://arxiv.org/abs/2602.07931v1" TargetMode="External"/><Relationship Id="rId169" Type="http://schemas.openxmlformats.org/officeDocument/2006/relationships/hyperlink" Target="https://arxiv.org/abs/2602.07955v1" TargetMode="External"/><Relationship Id="rId170" Type="http://schemas.openxmlformats.org/officeDocument/2006/relationships/hyperlink" Target="https://arxiv.org/abs/2602.07979v1" TargetMode="External"/><Relationship Id="rId171" Type="http://schemas.openxmlformats.org/officeDocument/2006/relationships/hyperlink" Target="https://arxiv.org/abs/2602.07980v1" TargetMode="External"/><Relationship Id="rId172" Type="http://schemas.openxmlformats.org/officeDocument/2006/relationships/hyperlink" Target="https://arxiv.org/abs/2602.07993v1" TargetMode="External"/><Relationship Id="rId173" Type="http://schemas.openxmlformats.org/officeDocument/2006/relationships/hyperlink" Target="https://arxiv.org/abs/2602.08006v1" TargetMode="External"/><Relationship Id="rId174" Type="http://schemas.openxmlformats.org/officeDocument/2006/relationships/hyperlink" Target="https://arxiv.org/abs/2602.08025v1" TargetMode="External"/><Relationship Id="rId175" Type="http://schemas.openxmlformats.org/officeDocument/2006/relationships/hyperlink" Target="https://arxiv.org/abs/2602.08029v1" TargetMode="External"/><Relationship Id="rId176" Type="http://schemas.openxmlformats.org/officeDocument/2006/relationships/hyperlink" Target="https://arxiv.org/abs/2602.08057v1" TargetMode="External"/><Relationship Id="rId177" Type="http://schemas.openxmlformats.org/officeDocument/2006/relationships/hyperlink" Target="https://arxiv.org/abs/2602.08059v1" TargetMode="External"/><Relationship Id="rId178" Type="http://schemas.openxmlformats.org/officeDocument/2006/relationships/hyperlink" Target="https://arxiv.org/abs/2602.08068v1" TargetMode="External"/><Relationship Id="rId179" Type="http://schemas.openxmlformats.org/officeDocument/2006/relationships/hyperlink" Target="https://arxiv.org/abs/2602.08112v1" TargetMode="External"/><Relationship Id="rId180" Type="http://schemas.openxmlformats.org/officeDocument/2006/relationships/hyperlink" Target="https://arxiv.org/abs/2602.08126v1" TargetMode="External"/><Relationship Id="rId181" Type="http://schemas.openxmlformats.org/officeDocument/2006/relationships/hyperlink" Target="https://arxiv.org/abs/2602.08136v1" TargetMode="External"/><Relationship Id="rId182" Type="http://schemas.openxmlformats.org/officeDocument/2006/relationships/hyperlink" Target="https://arxiv.org/abs/2602.08206v1" TargetMode="External"/><Relationship Id="rId183" Type="http://schemas.openxmlformats.org/officeDocument/2006/relationships/hyperlink" Target="https://arxiv.org/abs/2602.08211v1" TargetMode="External"/><Relationship Id="rId184" Type="http://schemas.openxmlformats.org/officeDocument/2006/relationships/hyperlink" Target="https://arxiv.org/abs/2602.08224v1" TargetMode="External"/><Relationship Id="rId185" Type="http://schemas.openxmlformats.org/officeDocument/2006/relationships/hyperlink" Target="https://arxiv.org/abs/2602.08230v1" TargetMode="External"/><Relationship Id="rId186" Type="http://schemas.openxmlformats.org/officeDocument/2006/relationships/hyperlink" Target="https://arxiv.org/abs/2602.08262v1" TargetMode="External"/><Relationship Id="rId187" Type="http://schemas.openxmlformats.org/officeDocument/2006/relationships/hyperlink" Target="https://arxiv.org/abs/2602.08336v1" TargetMode="External"/><Relationship Id="rId188" Type="http://schemas.openxmlformats.org/officeDocument/2006/relationships/hyperlink" Target="https://arxiv.org/abs/2602.08339v1" TargetMode="External"/><Relationship Id="rId189" Type="http://schemas.openxmlformats.org/officeDocument/2006/relationships/hyperlink" Target="https://arxiv.org/abs/2602.08342v1" TargetMode="External"/><Relationship Id="rId190" Type="http://schemas.openxmlformats.org/officeDocument/2006/relationships/hyperlink" Target="https://arxiv.org/abs/2602.08346v1" TargetMode="External"/><Relationship Id="rId191" Type="http://schemas.openxmlformats.org/officeDocument/2006/relationships/hyperlink" Target="https://arxiv.org/abs/2602.08355v1" TargetMode="External"/><Relationship Id="rId192" Type="http://schemas.openxmlformats.org/officeDocument/2006/relationships/hyperlink" Target="https://arxiv.org/abs/2602.08388v1" TargetMode="External"/><Relationship Id="rId193" Type="http://schemas.openxmlformats.org/officeDocument/2006/relationships/hyperlink" Target="https://arxiv.org/abs/2602.08395v1" TargetMode="External"/><Relationship Id="rId194" Type="http://schemas.openxmlformats.org/officeDocument/2006/relationships/hyperlink" Target="https://arxiv.org/abs/2602.08397v1" TargetMode="External"/><Relationship Id="rId195" Type="http://schemas.openxmlformats.org/officeDocument/2006/relationships/hyperlink" Target="https://arxiv.org/abs/2602.08430v1" TargetMode="External"/><Relationship Id="rId196" Type="http://schemas.openxmlformats.org/officeDocument/2006/relationships/hyperlink" Target="https://arxiv.org/abs/2602.08466v1" TargetMode="External"/><Relationship Id="rId197" Type="http://schemas.openxmlformats.org/officeDocument/2006/relationships/hyperlink" Target="https://arxiv.org/abs/2602.08505v1" TargetMode="External"/><Relationship Id="rId198" Type="http://schemas.openxmlformats.org/officeDocument/2006/relationships/hyperlink" Target="https://arxiv.org/abs/2602.08528v1" TargetMode="External"/><Relationship Id="rId199" Type="http://schemas.openxmlformats.org/officeDocument/2006/relationships/hyperlink" Target="https://arxiv.org/abs/2602.08531v1" TargetMode="External"/><Relationship Id="rId200" Type="http://schemas.openxmlformats.org/officeDocument/2006/relationships/hyperlink" Target="https://arxiv.org/abs/2602.08558v1" TargetMode="External"/><Relationship Id="rId201" Type="http://schemas.openxmlformats.org/officeDocument/2006/relationships/hyperlink" Target="https://arxiv.org/abs/2602.08580v1" TargetMode="External"/><Relationship Id="rId202" Type="http://schemas.openxmlformats.org/officeDocument/2006/relationships/hyperlink" Target="https://arxiv.org/abs/2602.08582v1" TargetMode="External"/><Relationship Id="rId203" Type="http://schemas.openxmlformats.org/officeDocument/2006/relationships/hyperlink" Target="https://arxiv.org/abs/2602.08613v1" TargetMode="External"/><Relationship Id="rId204" Type="http://schemas.openxmlformats.org/officeDocument/2006/relationships/hyperlink" Target="https://arxiv.org/abs/2602.08615v1" TargetMode="External"/><Relationship Id="rId205" Type="http://schemas.openxmlformats.org/officeDocument/2006/relationships/hyperlink" Target="https://arxiv.org/abs/2602.08620v1" TargetMode="External"/><Relationship Id="rId206" Type="http://schemas.openxmlformats.org/officeDocument/2006/relationships/hyperlink" Target="https://arxiv.org/abs/2602.08652v1" TargetMode="External"/><Relationship Id="rId207" Type="http://schemas.openxmlformats.org/officeDocument/2006/relationships/hyperlink" Target="https://arxiv.org/abs/2602.08661v1" TargetMode="External"/><Relationship Id="rId208" Type="http://schemas.openxmlformats.org/officeDocument/2006/relationships/hyperlink" Target="https://arxiv.org/abs/2602.08670v1" TargetMode="External"/><Relationship Id="rId209" Type="http://schemas.openxmlformats.org/officeDocument/2006/relationships/hyperlink" Target="https://arxiv.org/abs/2602.08683v1" TargetMode="External"/><Relationship Id="rId210" Type="http://schemas.openxmlformats.org/officeDocument/2006/relationships/hyperlink" Target="https://arxiv.org/abs/2602.08717v1" TargetMode="External"/><Relationship Id="rId211" Type="http://schemas.openxmlformats.org/officeDocument/2006/relationships/hyperlink" Target="https://arxiv.org/abs/2602.08725v1" TargetMode="External"/><Relationship Id="rId212" Type="http://schemas.openxmlformats.org/officeDocument/2006/relationships/hyperlink" Target="https://arxiv.org/abs/2602.08726v1" TargetMode="External"/><Relationship Id="rId213" Type="http://schemas.openxmlformats.org/officeDocument/2006/relationships/hyperlink" Target="https://arxiv.org/abs/2602.08727v1" TargetMode="External"/><Relationship Id="rId214" Type="http://schemas.openxmlformats.org/officeDocument/2006/relationships/hyperlink" Target="https://arxiv.org/abs/2602.08735v1" TargetMode="External"/><Relationship Id="rId215" Type="http://schemas.openxmlformats.org/officeDocument/2006/relationships/hyperlink" Target="https://arxiv.org/abs/2602.08749v1" TargetMode="External"/><Relationship Id="rId216" Type="http://schemas.openxmlformats.org/officeDocument/2006/relationships/hyperlink" Target="https://arxiv.org/abs/2602.08792v1" TargetMode="External"/><Relationship Id="rId217" Type="http://schemas.openxmlformats.org/officeDocument/2006/relationships/hyperlink" Target="https://arxiv.org/abs/2602.08794v1" TargetMode="External"/><Relationship Id="rId218" Type="http://schemas.openxmlformats.org/officeDocument/2006/relationships/hyperlink" Target="https://arxiv.org/abs/2602.08797v1" TargetMode="External"/><Relationship Id="rId219" Type="http://schemas.openxmlformats.org/officeDocument/2006/relationships/hyperlink" Target="https://arxiv.org/abs/2602.08822v1" TargetMode="External"/><Relationship Id="rId220" Type="http://schemas.openxmlformats.org/officeDocument/2006/relationships/hyperlink" Target="https://arxiv.org/abs/2602.08958v1" TargetMode="External"/><Relationship Id="rId221" Type="http://schemas.openxmlformats.org/officeDocument/2006/relationships/hyperlink" Target="https://arxiv.org/abs/2602.09007v1" TargetMode="External"/><Relationship Id="rId222" Type="http://schemas.openxmlformats.org/officeDocument/2006/relationships/hyperlink" Target="https://arxiv.org/abs/2602.09014v1" TargetMode="External"/><Relationship Id="rId223" Type="http://schemas.openxmlformats.org/officeDocument/2006/relationships/hyperlink" Target="https://arxiv.org/abs/2602.09016v1" TargetMode="External"/><Relationship Id="rId224" Type="http://schemas.openxmlformats.org/officeDocument/2006/relationships/hyperlink" Target="https://arxiv.org/abs/2602.07603v1" TargetMode="External"/><Relationship Id="rId225" Type="http://schemas.openxmlformats.org/officeDocument/2006/relationships/hyperlink" Target="https://arxiv.org/abs/2602.07986v1" TargetMode="External"/><Relationship Id="rId226" Type="http://schemas.openxmlformats.org/officeDocument/2006/relationships/hyperlink" Target="https://arxiv.org/abs/2602.08724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