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2"/>
        </w:rPr>
        <w:t>目 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/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2"/>
        </w:rPr>
        <w:t>Displays</w:t>
      </w:r>
    </w:p>
    <w:p>
      <w:pPr>
        <w:jc w:val="center"/>
      </w:pPr>
      <w:r>
        <w:t>--- 更新: 00:27 ---</w:t>
      </w:r>
    </w:p>
    <w:p>
      <w:pPr>
        <w:pStyle w:val="Heading2"/>
      </w:pPr>
      <w:r/>
      <w:r>
        <w:rPr>
          <w:rFonts w:ascii="Times New Roman" w:hAnsi="Times New Roman" w:eastAsia="宋体"/>
          <w:b/>
          <w:color w:val="000000"/>
          <w:sz w:val="24"/>
        </w:rPr>
        <w:t>基于自注意力的专家混合框架，利用多模态 MRI 无创预测胶质母细胞瘤 MGMT 启动子甲基化</w:t>
      </w:r>
    </w:p>
    <w:p>
      <w:r>
        <w:rPr>
          <w:rFonts w:ascii="Times New Roman" w:hAnsi="Times New Roman" w:eastAsia="宋体"/>
          <w:b/>
          <w:color w:val="003264"/>
          <w:sz w:val="24"/>
        </w:rPr>
        <w:t>Self-attention-based mixture-of-experts framework for non-invasive prediction of MGMT promoter methylation in glioblastoma using multi-modal MRI</w:t>
      </w:r>
    </w:p>
    <w:p>
      <w:r>
        <w:rPr>
          <w:rFonts w:ascii="Times New Roman" w:hAnsi="Times New Roman" w:eastAsia="宋体"/>
          <w:sz w:val="21"/>
        </w:rPr>
        <w:t>作者: Unknown</w:t>
        <w:br/>
      </w:r>
      <w:r>
        <w:rPr>
          <w:rFonts w:ascii="Times New Roman" w:hAnsi="Times New Roman" w:eastAsia="宋体"/>
          <w:sz w:val="21"/>
        </w:rPr>
        <w:t xml:space="preserve">时间:  | </w:t>
      </w:r>
      <w:r>
        <w:t xml:space="preserve">链接: </w:t>
      </w:r>
      <w:hyperlink r:id="rId10">
        <w:r>
          <w:rPr>
            <w:rFonts w:ascii="Times New Roman" w:hAnsi="Times New Roman" w:eastAsia="宋体"/>
            <w:color w:val="0000FF"/>
            <w:sz w:val="21"/>
            <w:u w:val="single"/>
          </w:rPr>
          <w:t>https://www.sciencedirect.com/science/article/pii/S0141938226000211</w:t>
        </w:r>
      </w:hyperlink>
    </w:p>
    <w:p>
      <w:pPr>
        <w:spacing w:before="120"/>
      </w:pPr>
      <w:r>
        <w:rPr>
          <w:rFonts w:ascii="Times New Roman" w:hAnsi="Times New Roman" w:eastAsia="宋体"/>
          <w:b/>
          <w:sz w:val="21"/>
        </w:rPr>
        <w:t>中文摘要:</w:t>
      </w:r>
    </w:p>
    <w:p>
      <w:pPr>
        <w:ind w:firstLine="360"/>
      </w:pPr>
      <w:r>
        <w:rPr>
          <w:rFonts w:ascii="Times New Roman" w:hAnsi="Times New Roman" w:eastAsia="宋体"/>
          <w:sz w:val="21"/>
        </w:rPr>
        <w:t>【摘要未收录】新文章暂无数据库记录，请点击链接直达官网。</w:t>
      </w:r>
    </w:p>
    <w:p>
      <w:pPr>
        <w:spacing w:before="120"/>
      </w:pPr>
      <w:r>
        <w:rPr>
          <w:rFonts w:ascii="Times New Roman" w:hAnsi="Times New Roman" w:eastAsia="宋体"/>
          <w:b/>
          <w:sz w:val="21"/>
        </w:rPr>
        <w:t>English Abstract:</w:t>
      </w:r>
    </w:p>
    <w:p>
      <w:r>
        <w:rPr>
          <w:rFonts w:ascii="Times New Roman" w:hAnsi="Times New Roman" w:eastAsia="宋体"/>
          <w:sz w:val="21"/>
        </w:rPr>
        <w:t>[New Paper] Abstract not indexed yet. Please visit the official website.</w:t>
      </w:r>
    </w:p>
    <w:p>
      <w:r>
        <w:rPr>
          <w:rFonts w:ascii="Times New Roman" w:hAnsi="Times New Roman" w:eastAsia="宋体"/>
          <w:sz w:val="21"/>
        </w:rPr>
        <w:t>__________________________________________________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sciencedirect.com/science/article/pii/S01419382260002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