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Nature Communications</w:t>
      </w:r>
    </w:p>
    <w:p>
      <w:pPr>
        <w:jc w:val="center"/>
      </w:pPr>
      <w:r>
        <w:t>--- 更新: 00:27 ---</w:t>
      </w:r>
    </w:p>
    <w:p>
      <w:pPr>
        <w:pStyle w:val="Heading2"/>
      </w:pPr>
      <w:r/>
      <w:r>
        <w:rPr>
          <w:rFonts w:ascii="Times New Roman" w:hAnsi="Times New Roman" w:eastAsia="宋体"/>
          <w:b/>
          <w:color w:val="000000"/>
          <w:sz w:val="24"/>
        </w:rPr>
        <w:t>构巢曲霉的光裂合酶/隐色素感知氧化应激并从细胞核到线粒体穿梭</w:t>
      </w:r>
    </w:p>
    <w:p>
      <w:r>
        <w:rPr>
          <w:rFonts w:ascii="Times New Roman" w:hAnsi="Times New Roman" w:eastAsia="宋体"/>
          <w:b/>
          <w:color w:val="003264"/>
          <w:sz w:val="24"/>
        </w:rPr>
        <w:t>The photolyase/cryptochrome of Aspergillus nidulans senses oxidative stress and shuttles from nuclei to mitochondria</w:t>
      </w:r>
    </w:p>
    <w:p>
      <w:r>
        <w:rPr>
          <w:rFonts w:ascii="Times New Roman" w:hAnsi="Times New Roman" w:eastAsia="宋体"/>
          <w:sz w:val="21"/>
        </w:rPr>
        <w:t>作者: Alexander Landmark, Tim Rudolf, Kevin Hundshammer, Jasmin Böhm, Kai Leister, Sylvia Erhardt, Reinhard Fischer</w:t>
        <w:br/>
      </w:r>
      <w:r>
        <w:rPr>
          <w:rFonts w:ascii="Times New Roman" w:hAnsi="Times New Roman" w:eastAsia="宋体"/>
          <w:sz w:val="21"/>
        </w:rPr>
        <w:t xml:space="preserve">时间: 2026-02-07 | </w:t>
      </w:r>
      <w:r>
        <w:t xml:space="preserve">链接: </w:t>
      </w:r>
      <w:hyperlink r:id="rId10">
        <w:r>
          <w:rPr>
            <w:rFonts w:ascii="Times New Roman" w:hAnsi="Times New Roman" w:eastAsia="宋体"/>
            <w:color w:val="0000FF"/>
            <w:sz w:val="21"/>
            <w:u w:val="single"/>
          </w:rPr>
          <w:t>https://doi.org/10.1038/s41467-026-69403-2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隐花色素是一种光感受器，具有调节生物钟的功能，或者作为鸟类的磁感受器，或者作为植物中与光无关的应激反应调节剂。在这里，我们证明来自构巢曲霉的真菌隐花色素样光裂合酶 CryA 是由光和氧化应激诱导的，并为光和应激激活基因建立负反馈环。负反馈环依赖于 CryA 与细胞核中光敏色素和 HOG（高渗透甘油）途径转录因子 AtfA 的相互作用。在过氧化氢存在的情况下，CryA 在不到一分钟的时间内从细胞核转移到线粒体，表明线粒体功能和可能的线粒体-核通讯。向线粒体的穿梭依赖于 N 末端延伸和其中的半胱氨酸，这可能在氧化时诱导 CryA 的构象变化。因此，我们建议 CryA 作为氧化应激的传感器。这种 N 末端延伸也存在于其他光裂合酶和一些隐花色素中，表明该机制的进化保守性。</w:t>
      </w:r>
    </w:p>
    <w:p>
      <w:pPr>
        <w:spacing w:before="120"/>
      </w:pPr>
      <w:r>
        <w:rPr>
          <w:rFonts w:ascii="Times New Roman" w:hAnsi="Times New Roman" w:eastAsia="宋体"/>
          <w:b/>
          <w:sz w:val="21"/>
        </w:rPr>
        <w:t>English Abstract:</w:t>
      </w:r>
    </w:p>
    <w:p>
      <w:r>
        <w:rPr>
          <w:rFonts w:ascii="Times New Roman" w:hAnsi="Times New Roman" w:eastAsia="宋体"/>
          <w:sz w:val="21"/>
        </w:rPr>
        <w:t>Abstract Cryptochromes are photoreceptors with functions in the entrainment of circadian clocks or as proposed magnetoreceptors in birds or as light-independent regulators of stress responses in plants. Here, we show that the fungal cryptochrome-like photolyase CryA from Aspergillus nidulans is induced by light and oxidative stress and establishes negative-feedback loops for light- and stress-activated genes. The negative-feedback loops depend on CryA interaction with phytochrome and the HOG (high osmolarity glycerol) pathway transcription factor AtfA in nuclei. CryA translocated in less than one minute from nuclei to mitochondria in the presence of hydrogen peroxide suggesting mitochondrial functions and possibly mitochondrial-nuclear communication. The shuttle to mitochondria depended on the N-terminal extension and a cysteine therein, which probably induces conformational changes of CryA upon oxidation. Therefore, we propose CryA as a sensor for oxidative stress. Such an N-terminal extension is also present in other photolyases and some cryptochromes, suggesting evolutionary conservation of the mechanism.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Myoferlin 是包膜 RNA 病毒晚期 vRNP 运输囊泡的组成部分</w:t>
      </w:r>
    </w:p>
    <w:p>
      <w:r>
        <w:rPr>
          <w:rFonts w:ascii="Times New Roman" w:hAnsi="Times New Roman" w:eastAsia="宋体"/>
          <w:b/>
          <w:color w:val="003264"/>
          <w:sz w:val="24"/>
        </w:rPr>
        <w:t>Myoferlin is a component of late-stage vRNP trafficking vesicles for enveloped RNA viruses</w:t>
      </w:r>
    </w:p>
    <w:p>
      <w:r>
        <w:rPr>
          <w:rFonts w:ascii="Times New Roman" w:hAnsi="Times New Roman" w:eastAsia="宋体"/>
          <w:sz w:val="21"/>
        </w:rPr>
        <w:t>作者: Stefano Bonazza, Hannah L. Turkington, Swathi Sukumar, Emily Peate, Hannah L. Coutts, Joshua J. Montgomery, Courtney Hawthorn, Erin M. P. E. Getty, Olivier Touzelet, Judit Barabas, Ultan F. Power, David G. Courtney</w:t>
        <w:br/>
      </w:r>
      <w:r>
        <w:rPr>
          <w:rFonts w:ascii="Times New Roman" w:hAnsi="Times New Roman" w:eastAsia="宋体"/>
          <w:sz w:val="21"/>
        </w:rPr>
        <w:t xml:space="preserve">时间: 2026-02-07 | </w:t>
      </w:r>
      <w:r>
        <w:t xml:space="preserve">链接: </w:t>
      </w:r>
      <w:hyperlink r:id="rId11">
        <w:r>
          <w:rPr>
            <w:rFonts w:ascii="Times New Roman" w:hAnsi="Times New Roman" w:eastAsia="宋体"/>
            <w:color w:val="0000FF"/>
            <w:sz w:val="21"/>
            <w:u w:val="single"/>
          </w:rPr>
          <w:t>https://doi.org/10.1038/s41467-026-69386-0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Rab11 内体循环途径被 IAV 和 RSV 等重要的呼吸道 RNA 病毒利用，帮助病毒从极化上皮细胞的顶端表面流出。在感染后期，含有 Rab11 的囊泡在包装和出芽之前特异性地将病毒核糖核蛋白 (vRNP) 复合物运输到细胞表面。正如 IAV 感染期间所观察到的，病毒感染的细胞并没有采用传统的 Rab11 阳性回收内体，而是产生了重构的含有 Rab11 的囊泡。除了 Rab11 之外，在这些不同的 vRNP 运输囊泡中没有发现其他保守的宿主辅助因子。在这里，我们发现并确认了肌铁蛋白与细胞质中 IAV vRNP 的关联，以及在感染后期与 Rab11 的共定位。我们还发现，这一作用在其他病毒（包括 RSV 和 SeV）的后期 vRNP 运输中是保守的。 Myoferlin 可能将参与内体生物发生的 EHD 蛋白家族招募到这些独特的 vRNP 运输内体中，这凸显了 Myoferlin 在病毒复制中的关键作用。</w:t>
      </w:r>
    </w:p>
    <w:p>
      <w:pPr>
        <w:spacing w:before="120"/>
      </w:pPr>
      <w:r>
        <w:rPr>
          <w:rFonts w:ascii="Times New Roman" w:hAnsi="Times New Roman" w:eastAsia="宋体"/>
          <w:b/>
          <w:sz w:val="21"/>
        </w:rPr>
        <w:t>English Abstract:</w:t>
      </w:r>
    </w:p>
    <w:p>
      <w:r>
        <w:rPr>
          <w:rFonts w:ascii="Times New Roman" w:hAnsi="Times New Roman" w:eastAsia="宋体"/>
          <w:sz w:val="21"/>
        </w:rPr>
        <w:t>Abstract The Rab11 endosomal recycling pathway is exploited by important respiratory RNA viruses such as IAV and RSV, aiding viral egress from the apical surface of polarized epithelial cells. Late in infection, Rab11-containing vesicles specifically transport viral ribonucleoprotein (vRNP) complexes towards the cell surface before packaging and budding. Rather than employing traditional Rab11-positive recycling endosomes, virus-infected cells generate remodelled Rab11-containing vesicles, as observed during IAV infection. Besides Rab11, no other conserved host co-factors have been identified among these various vRNP trafficking vesicles. Here we discover and confirm myoferlin’s association with IAV vRNPs in the cytoplasm and colocalisation with Rab11 during late stages of infection. We also find that this role is conserved in late-stage vRNP trafficking of other viruses, including RSV and SeV. Myoferlin likely recruits the EHD family of proteins, which are involved in endosomal biogenesis, to these unique vRNP trafficking endosomes, highlighting myoferlin’s pivotal role in viral replication.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Csu 菌毛的反平行堆积驱动鲍曼不动杆菌 3D 生物膜组装</w:t>
      </w:r>
    </w:p>
    <w:p>
      <w:r>
        <w:rPr>
          <w:rFonts w:ascii="Times New Roman" w:hAnsi="Times New Roman" w:eastAsia="宋体"/>
          <w:b/>
          <w:color w:val="003264"/>
          <w:sz w:val="24"/>
        </w:rPr>
        <w:t>Antiparallel stacking of Csu pili drives Acinetobacter baumannii 3D biofilm assembly</w:t>
      </w:r>
    </w:p>
    <w:p>
      <w:r>
        <w:rPr>
          <w:rFonts w:ascii="Times New Roman" w:hAnsi="Times New Roman" w:eastAsia="宋体"/>
          <w:sz w:val="21"/>
        </w:rPr>
        <w:t>作者: Henri Malmi, Natalia Pakharukova, Bindusmita Paul, Minna Tuittila, Irfan Ahmad, Stefan David Knight, Bernt Eric Uhlin, Debnath Ghosal, Anton V. Zavialov</w:t>
        <w:br/>
      </w:r>
      <w:r>
        <w:rPr>
          <w:rFonts w:ascii="Times New Roman" w:hAnsi="Times New Roman" w:eastAsia="宋体"/>
          <w:sz w:val="21"/>
        </w:rPr>
        <w:t xml:space="preserve">时间: 2026-02-07 | </w:t>
      </w:r>
      <w:r>
        <w:t xml:space="preserve">链接: </w:t>
      </w:r>
      <w:hyperlink r:id="rId12">
        <w:r>
          <w:rPr>
            <w:rFonts w:ascii="Times New Roman" w:hAnsi="Times New Roman" w:eastAsia="宋体"/>
            <w:color w:val="0000FF"/>
            <w:sz w:val="21"/>
            <w:u w:val="single"/>
          </w:rPr>
          <w:t>https://doi.org/10.1038/s41467-026-68860-z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摘要：许多革兰氏阴性医院病原体依靠粘附丝（称为古老伴侣引导菌毛）来建立抗应激和抗药性的多层生物膜。在这里，我们揭示了这些菌毛构建三维（3D）生物膜结构的机制。使用电子显微镜 (EM) 对鲍曼不动杆菌生物膜进行原位分析，揭示了在 3D 空间中互连细菌细胞的古老 Csu 菌毛的超薄、扁平堆叠的广泛网络。单个原生菌毛、菌毛对和两种类型的多菌毛堆叠的冷冻电镜结构表明，菌毛堆积成反平行片，其杆通过锯齿形角处的连接点横向连接。这种反平行排列确保接触主要在相互作用细胞的菌毛之间形成，而不是在同一细胞的菌毛之间形成。古老的伴侣引导菌毛具有非常短的螺旋重复，自发地建立高密度的连接，从而决定了生物膜的 3D 结构。我们的研究结果可能有助于通过针对菌毛-菌毛相互作用来开发针对多重耐药细菌感染的新疗法。</w:t>
      </w:r>
    </w:p>
    <w:p>
      <w:pPr>
        <w:spacing w:before="120"/>
      </w:pPr>
      <w:r>
        <w:rPr>
          <w:rFonts w:ascii="Times New Roman" w:hAnsi="Times New Roman" w:eastAsia="宋体"/>
          <w:b/>
          <w:sz w:val="21"/>
        </w:rPr>
        <w:t>English Abstract:</w:t>
      </w:r>
    </w:p>
    <w:p>
      <w:r>
        <w:rPr>
          <w:rFonts w:ascii="Times New Roman" w:hAnsi="Times New Roman" w:eastAsia="宋体"/>
          <w:sz w:val="21"/>
        </w:rPr>
        <w:t>Abstract Many Gram-negative nosocomial pathogens rely on adhesive filaments, known as archaic chaperone-usher pili, to establish stress- and drug-resistant, multi-layered biofilms. Here, we uncover the mechanism by which these pili build three-dimensional (3D) biofilm architectures. In situ analyses of Acinetobacter baumannii biofilms using electron microscopy (EM) reveal an extensive network of ultrathin, flat stacks of archaic Csu pili interconnecting bacterial cells in 3D space. Cryo-EM structures of a single native pilus, pilus pairs, and two types of multi-pilus stacks show that the pili pack into antiparallel sheets, with their rods connected laterally by junctions at their zigzag corners. This antiparallel arrangement ensures that contacts form primarily between pili from interacting cells rather than pili from the same cell. With a remarkably short helical repeat, archaic chaperone-usher pili spontaneously establish a high density of junctions that determines the biofilm’s 3D architecture. Our findings may help develop new therapies against multidrug-resistant bacterial infections by targeting pilus-pilus interactions.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Scientific Reports</w:t>
      </w:r>
    </w:p>
    <w:p>
      <w:pPr>
        <w:jc w:val="center"/>
      </w:pPr>
      <w:r>
        <w:t>--- 更新: 00:28 ---</w:t>
      </w:r>
    </w:p>
    <w:p>
      <w:pPr>
        <w:pStyle w:val="Heading2"/>
      </w:pPr>
      <w:r/>
      <w:r>
        <w:rPr>
          <w:rFonts w:ascii="Times New Roman" w:hAnsi="Times New Roman" w:eastAsia="宋体"/>
          <w:b/>
          <w:color w:val="000000"/>
          <w:sz w:val="24"/>
        </w:rPr>
        <w:t>使用支持向量机 (SVM) 评估 TATA 结合蛋白 (TBP) 与蛋白质结构域的各种折叠模式的进化关系</w:t>
      </w:r>
    </w:p>
    <w:p>
      <w:r>
        <w:rPr>
          <w:rFonts w:ascii="Times New Roman" w:hAnsi="Times New Roman" w:eastAsia="宋体"/>
          <w:b/>
          <w:color w:val="003264"/>
          <w:sz w:val="24"/>
        </w:rPr>
        <w:t>Evaluating the evolutionary relationship of TATA binding protein (TBP) with various folding patterns of protein domains using support vector machine (SVM)</w:t>
      </w:r>
    </w:p>
    <w:p>
      <w:r>
        <w:rPr>
          <w:rFonts w:ascii="Times New Roman" w:hAnsi="Times New Roman" w:eastAsia="宋体"/>
          <w:sz w:val="21"/>
        </w:rPr>
        <w:t>作者: Muthu Krishnan Selvaraj, Jasmeet Kaur</w:t>
        <w:br/>
      </w:r>
      <w:r>
        <w:rPr>
          <w:rFonts w:ascii="Times New Roman" w:hAnsi="Times New Roman" w:eastAsia="宋体"/>
          <w:sz w:val="21"/>
        </w:rPr>
        <w:t xml:space="preserve">时间: 2026-02-07 | </w:t>
      </w:r>
      <w:r>
        <w:t xml:space="preserve">链接: </w:t>
      </w:r>
      <w:hyperlink r:id="rId13">
        <w:r>
          <w:rPr>
            <w:rFonts w:ascii="Times New Roman" w:hAnsi="Times New Roman" w:eastAsia="宋体"/>
            <w:color w:val="0000FF"/>
            <w:sz w:val="21"/>
            <w:u w:val="single"/>
          </w:rPr>
          <w:t>https://doi.org/10.1038/s41598-026-38883-z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本研究重点关注 TATA-box 结合转录起始因子 TFIID 蛋白 (1tba)，并采用结合结构、序列和基于机器学习的分析的综合方法来研究其进化关系。通过检查 TATA-box 结合蛋白，该研究旨在识别与其他已知蛋白质折叠的相似性，揭示其进化关系和功能联系。为了验证这些关系，开发了基于支持向量机 (SVM) 的算法，并辅以另一种机器学习技术随机森林，以确保结果稳健可靠。结构、序列和机器学习分析的综合结果揭示了几个与 TATA-box 结合蛋白样进化相关的结构域折叠 (1tba, B)。本研究中开发的基于 SVM 的方法可作为识别新型或功能相似的 TATA-box 结合蛋白的宝贵工具，从而更深入地了解其进化和结构关系。这项工作不仅增进了我们对 TATA-box 结合蛋白家族的理解，而且展示了在蛋白质进化研究中整合计算和机器学习方法的力量。</w:t>
      </w:r>
    </w:p>
    <w:p>
      <w:pPr>
        <w:spacing w:before="120"/>
      </w:pPr>
      <w:r>
        <w:rPr>
          <w:rFonts w:ascii="Times New Roman" w:hAnsi="Times New Roman" w:eastAsia="宋体"/>
          <w:b/>
          <w:sz w:val="21"/>
        </w:rPr>
        <w:t>English Abstract:</w:t>
      </w:r>
    </w:p>
    <w:p>
      <w:r>
        <w:rPr>
          <w:rFonts w:ascii="Times New Roman" w:hAnsi="Times New Roman" w:eastAsia="宋体"/>
          <w:sz w:val="21"/>
        </w:rPr>
        <w:t>This study focuses on the TATA-box binding, transcription initiation factor TFIID protein, (1tba) and employs a comprehensive approach combining structural, sequence and machine learning-based analysis to investigate its evolutionary relationships. By examining the TATA-box binding like protein, the study aims to identify similarities with other known protein folds, shedding light on its evolutionary relationship, and functional connections. To validate these relationships, a support vector machine (SVM) based algorithm was developed, which was complemented by another machine learning technique random forest, to ensure robust and reliable results. The integrated findings from structural, sequence, and machine learning analysis revealed several domain folds evolutionary related to TATA-box binding protein-like (1tba, B). The SVM-based method developed in this study serves as a valuable tool for identifying novel or functionally similar TATA-box binding proteins, providing deeper insights into their evolutionary and structural relationships. This work not only advances our understanding of the TATA-box binding protein family but also demonstrates the power of integrating computational and machine learning approaches in protein evolution research.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通过扩散区掺杂对单层 h-B2O 中的电子热导率进行轨道分辨调节</w:t>
      </w:r>
    </w:p>
    <w:p>
      <w:r>
        <w:rPr>
          <w:rFonts w:ascii="Times New Roman" w:hAnsi="Times New Roman" w:eastAsia="宋体"/>
          <w:b/>
          <w:color w:val="003264"/>
          <w:sz w:val="24"/>
        </w:rPr>
        <w:t>Orbital-resolved tuning of electronic thermal conductivity in monolayer h-B2O via doping in the diffusive regime</w:t>
      </w:r>
    </w:p>
    <w:p>
      <w:r>
        <w:rPr>
          <w:rFonts w:ascii="Times New Roman" w:hAnsi="Times New Roman" w:eastAsia="宋体"/>
          <w:sz w:val="21"/>
        </w:rPr>
        <w:t>作者: Farid Mohammadi, Kavoos Mirabbaszadeh, Houshyar Noshad</w:t>
        <w:br/>
      </w:r>
      <w:r>
        <w:rPr>
          <w:rFonts w:ascii="Times New Roman" w:hAnsi="Times New Roman" w:eastAsia="宋体"/>
          <w:sz w:val="21"/>
        </w:rPr>
        <w:t xml:space="preserve">时间: 2026-02-07 | </w:t>
      </w:r>
      <w:r>
        <w:t xml:space="preserve">链接: </w:t>
      </w:r>
      <w:hyperlink r:id="rId14">
        <w:r>
          <w:rPr>
            <w:rFonts w:ascii="Times New Roman" w:hAnsi="Times New Roman" w:eastAsia="宋体"/>
            <w:color w:val="0000FF"/>
            <w:sz w:val="21"/>
            <w:u w:val="single"/>
          </w:rPr>
          <w:t>https://doi.org/10.1038/s41598-026-38967-w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高度稳定的二维单层蜂窝状硼吩氧化物（h-B2O）由于其独特的拓扑特征和潜在的超导行为而引起了人们的极大兴趣。在这项研究中，通过结合硼的 Py 和 Pz 轨道构建了紧束缚哈密顿量，有效地捕获了控制材料低能电子行为的基本物理原理。此外，首次使用扩散传输范围内的 Kubo-Greenwood 形式计算单层 h-B2O 的电子热导率 (ETC)。结果显示出很强的各向异性 ($$\:{\kappa\:}_{yy}\gg\:{\kappa\:}_{xx}$$)，室温 ETC 值为 $$\:5.9\times\:{10}^{-2}$$ mW m$$\:{}^{-1}$$ K$$\:{}^{-1}$$, 1 mW m$$\:{}^{-1}$$ K$$\:{}^{-1}$$ 和 0.17 mW m$$\:{}^{-1}$$ K$$\:{}^{-1}$$ 沿扶手椅 $$\:({\kappa\:}_{xx}$$)、之字形 $$\:({\kappa\:}_{yy}$$) 和分别为异常 Righi-Leduc 效应 $$\:({\kappa\:}_{xy}$$) 方向。此外，我们采用 T 矩阵近似系统地研究了 n 型和 p 型掺杂下杂质引起的紊乱对 h-B2O 中 ETC 的影响。在 n 型区域中，增加杂质浓度 $$\:{n}_{i}$$ = 2%、4%、6% 会导致与面外 Pz 轨道相关的 ETC 显着增强，这归因于其有利的空间取向和更高的载流子占有率。相反，由于局域化的增加和电子-电子散射的增强，面内 Py 轨道表现出 ETC 的减少。尽管存在这种轨道对比，总 ETC 沿所有晶体学方向上升，受 Pz 轨道的主导贡献控制，从而揭示了强烈的轨道分辨行为和明显的方向各向异性。相比之下，p 型掺杂仅引起适度的变化：Py 轨道的 ETC 贡献略有增加，而 Pz 轨道的 ETC 贡献略有减少，导致总 ETC 的整体响应较弱。这些发现强调了轨道对称性、空间取向和掺杂剂类型在塑造 h-B2O 的各向异性和可调热传输特性中的关键作用。 p 型掺杂下的热弹性以及 n 型掺杂下的方向依赖性增强，使 h-B2O 成为纳米级热电和热管理技术的有前途的候选者。</w:t>
      </w:r>
    </w:p>
    <w:p>
      <w:pPr>
        <w:spacing w:before="120"/>
      </w:pPr>
      <w:r>
        <w:rPr>
          <w:rFonts w:ascii="Times New Roman" w:hAnsi="Times New Roman" w:eastAsia="宋体"/>
          <w:b/>
          <w:sz w:val="21"/>
        </w:rPr>
        <w:t>English Abstract:</w:t>
      </w:r>
    </w:p>
    <w:p>
      <w:r>
        <w:rPr>
          <w:rFonts w:ascii="Times New Roman" w:hAnsi="Times New Roman" w:eastAsia="宋体"/>
          <w:sz w:val="21"/>
        </w:rPr>
        <w:t>The highly stable two-dimensional monolayer honeycomb borophene oxide (h-B2O) has attracted considerable interest due to its unique topological features and potential superconducting behavior. In this study, a tight-binding Hamiltonian is constructed by incorporating the Py and Pz orbitals of boron, effectively capturing the essential physics governing the material’s low-energy electronic behavior. Additionally, for the first time, the electronic thermal conductivity (ETC) of monolayer h-B2O is calculated using the Kubo-Greenwood formalism within the diffusive transport regime. The results reveal strong anisotropy ($$\:{\kappa\:}_{yy}\gg\:{\kappa\:}_{xx}$$), with room-temperature ETC values of $$\:5.9\times\:{10}^{-2}$$ mW m$$\:{}^{-1}$$ K$$\:{}^{-1}$$, 1 mW m$$\:{}^{-1}$$ K$$\:{}^{-1}$$, and 0.17 mW m$$\:{}^{-1}$$ K$$\:{}^{-1}$$along the armchair $$\:({\kappa\:}_{xx}$$), zigzag $$\:({\kappa\:}_{yy}$$), and anomalous Righi-Leduc effect $$\:({\kappa\:}_{xy}$$) directions, respectively. Furthermore, we systematically investigate the impact of impurity-induced disorder on ETC in h-B2O under both n-type and p-type doping, employing the T-matrix approximation. In the n-type regime, increasing impurity concentration $$\:{n}_{i}$$ = 2%, 4%, 6% leads to a significant enhancement of the ETC associated with the out-of-plane Pz orbital, attributed to its favorable spatial orientation and higher carrier occupancy. Conversely, the in-plane Py orbital exhibits a reduction in ETC due to increased localization and enhanced electron-electron scattering. Despite this orbital contrast, the total ETC rises along all crystallographic directions, governed by the dominant contribution of the Pz orbital, thereby revealing strong orbital-resolved behavior and pronounced directional anisotropy. In contrast, p-type doping induces only modest changes: the ETC contribution from the Py orbital slightly increases, while that of the Pz orbital is marginally reduced, resulting in an overall weak response of the total ETC. These findings highlight the crucial role of orbital symmetry, spatial orientation, and dopant type in shaping the anisotropic and tunable thermal transport properties of h-B2O. The thermal resilience under p-type doping, alongside the direction-dependent enhancement under n-type doping, positions h-B2O as a promising candidate for nanoscale thermoelectric and thermal management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扩张姿势和鼻呼吸对青少年心理和生理自我调节的协同和独特影响</w:t>
      </w:r>
    </w:p>
    <w:p>
      <w:r>
        <w:rPr>
          <w:rFonts w:ascii="Times New Roman" w:hAnsi="Times New Roman" w:eastAsia="宋体"/>
          <w:b/>
          <w:color w:val="003264"/>
          <w:sz w:val="24"/>
        </w:rPr>
        <w:t>Synergistic and distinct effects of expansive posture and nasal breathing on psychological and physiological self-regulation in adolescents</w:t>
      </w:r>
    </w:p>
    <w:p>
      <w:r>
        <w:rPr>
          <w:rFonts w:ascii="Times New Roman" w:hAnsi="Times New Roman" w:eastAsia="宋体"/>
          <w:sz w:val="21"/>
        </w:rPr>
        <w:t>作者: Xiaoying Yang, Zixi Liu, Zhenting Li, Haosheng Ye, Feiyan Luo, Yang Wu</w:t>
        <w:br/>
      </w:r>
      <w:r>
        <w:rPr>
          <w:rFonts w:ascii="Times New Roman" w:hAnsi="Times New Roman" w:eastAsia="宋体"/>
          <w:sz w:val="21"/>
        </w:rPr>
        <w:t xml:space="preserve">时间: 2026-02-07 | </w:t>
      </w:r>
      <w:r>
        <w:t xml:space="preserve">链接: </w:t>
      </w:r>
      <w:hyperlink r:id="rId15">
        <w:r>
          <w:rPr>
            <w:rFonts w:ascii="Times New Roman" w:hAnsi="Times New Roman" w:eastAsia="宋体"/>
            <w:color w:val="0000FF"/>
            <w:sz w:val="21"/>
            <w:u w:val="single"/>
          </w:rPr>
          <w:t>https://doi.org/10.1038/s41598-026-38917-6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情绪反应加剧和监管系统不成熟，青少年容易焦虑和自我效能感低。姿势调整和控制呼吸等具体干预措施已显示出增强心理自我调节的希望，但它们对青少年的协同作用仍不清楚。本研究考察了扩张姿势、鼻呼吸及其组合对 15-18 岁青少年自我效能、焦虑和自主神经系统 (ANS) 活动的直接和持续影响。参与者完成了特里尔社会压力测试，接受四种干预措施之一，并通过自我报告问卷（一般自我效能量表；状态-特质焦虑量表-6；n = 138）和干预期间记录的持续皮电活动（EDA；n = 62）和随后的斯特鲁普任务进行评估。结果显示，与对照组相比，扩张姿势（单独或与鼻呼吸相结合）显着提高了自我效能，而所有三种主动干预措施都减少了焦虑。生理学分析揭示了 ANS 调节的不同模式：单独鼻呼吸产生更稳定的 EDA 曲线，且变异性更低——与 HRV 研究中增强的自主神经灵活性一致——而联合干预产生更大的自主波动，表明补偿反应。这些发现强调了姿势和呼吸策略的互补优势，并支持分阶段“激活-然后稳定”的青少年自我调节方法。</w:t>
      </w:r>
    </w:p>
    <w:p>
      <w:pPr>
        <w:spacing w:before="120"/>
      </w:pPr>
      <w:r>
        <w:rPr>
          <w:rFonts w:ascii="Times New Roman" w:hAnsi="Times New Roman" w:eastAsia="宋体"/>
          <w:b/>
          <w:sz w:val="21"/>
        </w:rPr>
        <w:t>English Abstract:</w:t>
      </w:r>
    </w:p>
    <w:p>
      <w:r>
        <w:rPr>
          <w:rFonts w:ascii="Times New Roman" w:hAnsi="Times New Roman" w:eastAsia="宋体"/>
          <w:sz w:val="21"/>
        </w:rPr>
        <w:t>Adolescents are vulnerable to anxiety and low self-efficacy due to heightened emotional reactivity and immature regulatory systems. Embodied interventions, such as posture adjustment and controlled breathing, have shown promise for enhancing psychological self-regulation, but their synergistic effects in adolescents remain unclear. This study examined the immediate and sustained effects of expansive posture, nasal breathing, and their combination on self-efficacy, anxiety, and autonomic nervous system (ANS) activity in adolescents aged 15–18 years. Participants completed the Trier Social Stress Test, received one of four interventions, and were assessed with self-report questionnaires (General Self-Efficacy Scale; State–Trait Anxiety Inventory-6; n = 138) and continuous electrodermal activity (EDA; n = 62) recorded during the intervention and a subsequent Stroop task. Results showed that expansive posture—alone or combined with nasal breathing—significantly increased self-efficacy, while all three active interventions reduced anxiety compared with controls. Physiological analyses revealed distinct patterns of ANS modulation: nasal breathing alone yielded more stable EDA profiles with lower variability—consistent with enhanced autonomic flexibility in HRV studies—while the combined intervention produced larger autonomic fluctuations, suggesting compensatory responses. These findings highlight the complementary benefits of posture and breathing strategies and support a phased “activate–then–stabilize” approach to adolescent self-regulation.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感染和未感染心脏移植患者手术前后的肠道微生物群和代谢途径概况</w:t>
      </w:r>
    </w:p>
    <w:p>
      <w:r>
        <w:rPr>
          <w:rFonts w:ascii="Times New Roman" w:hAnsi="Times New Roman" w:eastAsia="宋体"/>
          <w:b/>
          <w:color w:val="003264"/>
          <w:sz w:val="24"/>
        </w:rPr>
        <w:t>Gut microbiota and metabolic pathway profiles in infected and non-infected heart transplant patients before and after surgery</w:t>
      </w:r>
    </w:p>
    <w:p>
      <w:r>
        <w:rPr>
          <w:rFonts w:ascii="Times New Roman" w:hAnsi="Times New Roman" w:eastAsia="宋体"/>
          <w:sz w:val="21"/>
        </w:rPr>
        <w:t>作者: Jingxian Han, Lei Hua, Bin Yang, Siqi Zhang, Hui Qiao, Zibo Zhao, Long Chen, Xiangguang Meng, Zhiying Li</w:t>
        <w:br/>
      </w:r>
      <w:r>
        <w:rPr>
          <w:rFonts w:ascii="Times New Roman" w:hAnsi="Times New Roman" w:eastAsia="宋体"/>
          <w:sz w:val="21"/>
        </w:rPr>
        <w:t xml:space="preserve">时间: 2026-02-07 | </w:t>
      </w:r>
      <w:r>
        <w:t xml:space="preserve">链接: </w:t>
      </w:r>
      <w:hyperlink r:id="rId16">
        <w:r>
          <w:rPr>
            <w:rFonts w:ascii="Times New Roman" w:hAnsi="Times New Roman" w:eastAsia="宋体"/>
            <w:color w:val="0000FF"/>
            <w:sz w:val="21"/>
            <w:u w:val="single"/>
          </w:rPr>
          <w:t>https://doi.org/10.1038/s41598-026-38911-y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研究了术前和术后感染和未感染的心脏移植患者肠道微生物群的组成和代谢特征，以阐明抗生素和免疫抑制剂的影响。纳入了 20 名接受同种异体心脏移植的患者。在术前 5-9 天和术后 30 天通过 16 S rRNA 基因测序和代谢途径预测 (PICRUSt2) 分析肠道微生物群概况。将患者分为术前非感染组（Pre-NI）、术前感染组（Pre-I）、术后非感染组（Post-NI）和术后感染组（Post-I）进行比较分析。进行了α/β多样性、Maaslin和功能分析。术前各组微生物群具有相似的α多样性指数和群落结构。 Pre-NI 微生物群以拟杆菌为主，Pre-I 样品富含肠球菌 cassseliflavus、Limosilactobacillus 和 Weissella cibaria。 NI 后患者表现出更高的微生物多样性（香农/辛普森指数）和 Blautia（丁酸盐生产者），而 I 后患者形成了一个以屎肠球菌为主的独特簇。代谢分析强调了 Blautia 相关途径，例如 L-1,2-丙二醇降解。在心脏移植患者中发现了拟杆菌-肠球菌-柠檬酸乳杆菌轴的术前动态转变和术后向布劳氏菌-肠球菌占优势的转变，并且与感染状态和抗生素暴露相关。建议采用双目标干预，重点是恢复产生丁酸的微生物群和监测肠球菌动态，以优化移植患者的个性化感染控制系统。</w:t>
      </w:r>
    </w:p>
    <w:p>
      <w:pPr>
        <w:spacing w:before="120"/>
      </w:pPr>
      <w:r>
        <w:rPr>
          <w:rFonts w:ascii="Times New Roman" w:hAnsi="Times New Roman" w:eastAsia="宋体"/>
          <w:b/>
          <w:sz w:val="21"/>
        </w:rPr>
        <w:t>English Abstract:</w:t>
      </w:r>
    </w:p>
    <w:p>
      <w:r>
        <w:rPr>
          <w:rFonts w:ascii="Times New Roman" w:hAnsi="Times New Roman" w:eastAsia="宋体"/>
          <w:sz w:val="21"/>
        </w:rPr>
        <w:t>The composition and metabolic characteristics of gut microbiota in heart transplant patients with and without preoperative and postoperative infection were investigated to elucidate the impact of antibiotics and immunosuppressants. Twenty patients undergoing allogeneic heart transplantation were enrolled. Gut microbiota profiles were analyzed via 16 S rRNA gene sequencing and metabolic pathway prediction (PICRUSt2) at 5–9 days preoperatively and 30 days postoperatively. Patients were categorized into preoperative non-infected (Pre-NI), preoperative infected (Pre-I), postoperative non-infected (Post-NI) and postoperative infected (Post-I) groups for comparative analysis. Alpha/beta diversity, Maaslin and functional analyses were performed. Preoperative microbiota had similar α-diversity indices and community structures among groups. Pre-NI microbiota were dominated by Bacteroides and Pre-I samples were enriched with Enterococcus casseliflavus、Limosilactobacillus and Weissella cibaria. Post-NI patients showed higher microbial diversity (Shannon/Simpson indices) and Blautia (butyrate-producer) whereas Post-I patients formed a distinct cluster with Enterococcus faecium dominance. Metabolic analysis highlighted Blautia-associated pathways, e.g., L-1,2-propanediol degradation. Dynamic preoperative shifts in the Bacteroides-Enterococcus-Limosilactobacillus axis and postoperative shifts toward Blautia-Enterococcus dominance were found in heart transplant patients and were associated with infection status and antibiotic exposure. Dual-target intervention with an emphasis on restoring butyrate-producing microbiota and monitoring Enterococcus dynamics is recommended to optimize personalized infection control systems in transplant patients.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基于高斯数学模型和改进残差网络的LED光源光谱功率分布预测</w:t>
      </w:r>
    </w:p>
    <w:p>
      <w:r>
        <w:rPr>
          <w:rFonts w:ascii="Times New Roman" w:hAnsi="Times New Roman" w:eastAsia="宋体"/>
          <w:b/>
          <w:color w:val="003264"/>
          <w:sz w:val="24"/>
        </w:rPr>
        <w:t>The spectral power distribution prediction of LED light source based on Gaussian mathematical model and improved residual network</w:t>
      </w:r>
    </w:p>
    <w:p>
      <w:r>
        <w:rPr>
          <w:rFonts w:ascii="Times New Roman" w:hAnsi="Times New Roman" w:eastAsia="宋体"/>
          <w:sz w:val="21"/>
        </w:rPr>
        <w:t>作者: Lihui Wu, Yang Li, Hongbin Chen, Jia Wang, Xuewei Wang, Yulu Xue</w:t>
        <w:br/>
      </w:r>
      <w:r>
        <w:rPr>
          <w:rFonts w:ascii="Times New Roman" w:hAnsi="Times New Roman" w:eastAsia="宋体"/>
          <w:sz w:val="21"/>
        </w:rPr>
        <w:t xml:space="preserve">时间: 2026-02-07 | </w:t>
      </w:r>
      <w:r>
        <w:t xml:space="preserve">链接: </w:t>
      </w:r>
      <w:hyperlink r:id="rId17">
        <w:r>
          <w:rPr>
            <w:rFonts w:ascii="Times New Roman" w:hAnsi="Times New Roman" w:eastAsia="宋体"/>
            <w:color w:val="0000FF"/>
            <w:sz w:val="21"/>
            <w:u w:val="single"/>
          </w:rPr>
          <w:t>https://doi.org/10.1038/s41598-026-39015-3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材料成分和工作条件的影响，准确预测多荧光体系统中发光二极管的光谱功率分布具有挑战性。本文提出了一种将高斯数学模型与改进的残差神经网络相结合的光谱预测框架。首先，使用红色和绿色荧光粉制造发光二极管样品，并测量它们的光谱功率分布。然后采用高斯模型从连续光谱功率分布中提取特征参数，并使用这些参数构建相应的数据集。基于该数据集，建立了神经网络框架，将荧光粉混合比、荧光粉与硅树脂比和驱动电流映射到高斯参数。通过系统的对比和扩展验证实验，证明高斯数学模型重构的光谱功率分布的决定系数超过0.99。所提出的改进残差网络显着优于基线残差网络和最近最先进的方法，实现了卓越的预测准确性和稳定性。此外，消融研究验证了注意力机制的有效性，而敏感性分析和独立数据集评估进一步证实了所提出框架的鲁棒性和泛化能力。所提出的模型显着提高了多荧光粉系统中的光谱预测精度，并实现了从材料成分和电参数到最终光谱的快速映射。该研究为定制化发光二极管光谱设计提供了新的建模框架，为健康照明和高显色性光源的智能优化提供理论支持。</w:t>
      </w:r>
    </w:p>
    <w:p>
      <w:pPr>
        <w:spacing w:before="120"/>
      </w:pPr>
      <w:r>
        <w:rPr>
          <w:rFonts w:ascii="Times New Roman" w:hAnsi="Times New Roman" w:eastAsia="宋体"/>
          <w:b/>
          <w:sz w:val="21"/>
        </w:rPr>
        <w:t>English Abstract:</w:t>
      </w:r>
    </w:p>
    <w:p>
      <w:r>
        <w:rPr>
          <w:rFonts w:ascii="Times New Roman" w:hAnsi="Times New Roman" w:eastAsia="宋体"/>
          <w:sz w:val="21"/>
        </w:rPr>
        <w:t>Accurate prediction of the spectral power distribution of light-emitting diodes in multi-phosphor systems is challenging because of the influence of material composition and operating conditions. This paper proposes a spectral prediction framework that combines a Gaussian mathematical model with an improved residual neural network. First, light-emitting diode samples were fabricated using red and green phosphors, and their spectral power distributions were measured. The Gaussian model was then employed to extract the characteristic parameters from the continuous spectral power distributions, and these parameters were used to construct the corresponding dataset. Based on this dataset, a neural network framework was established to map the phosphor mixing ratio, phosphor-to-silicone ratio, and drive current to the Gaussian parameters. Through systematic comparative and extended validation experiments, it is demonstrated that the coefficient of determination for spectral power distribution reconstructed by the Gaussian mathematical model exceeds 0.99. The proposed improved residual network significantly outperforms baseline residual network and recent state-of-the-art methods, achieving superior predictive accuracy and stability. Furthermore, ablation studies validate the effectiveness of the attention mechanism, while sensitivity analyses and independent dataset evaluations further confirm the robustness and generalization capability of the proposed framework. The proposed model significantly enhances spectral prediction accuracy in multi-phosphor systems and achieves rapid mapping from material composition and electrical parameters to the resulting spectrum. A new modeling framework for customized light-emitting diode spectral design is provided in this study, and theoretical support is offered for the intelligent optimization of healthy-lighting and high-color-rendering light sources.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用于航空航天结构的可变纤维取向镁碳纤维夹层复合材料的机械和热性能</w:t>
      </w:r>
    </w:p>
    <w:p>
      <w:r>
        <w:rPr>
          <w:rFonts w:ascii="Times New Roman" w:hAnsi="Times New Roman" w:eastAsia="宋体"/>
          <w:b/>
          <w:color w:val="003264"/>
          <w:sz w:val="24"/>
        </w:rPr>
        <w:t>Mechanical and thermal performance of magnesium carbon fiber sandwich composites with variable fiber orientations for aerospace structures</w:t>
      </w:r>
    </w:p>
    <w:p>
      <w:r>
        <w:rPr>
          <w:rFonts w:ascii="Times New Roman" w:hAnsi="Times New Roman" w:eastAsia="宋体"/>
          <w:sz w:val="21"/>
        </w:rPr>
        <w:t>作者: M. E. Annadorai, M. Ramakrishna</w:t>
        <w:br/>
      </w:r>
      <w:r>
        <w:rPr>
          <w:rFonts w:ascii="Times New Roman" w:hAnsi="Times New Roman" w:eastAsia="宋体"/>
          <w:sz w:val="21"/>
        </w:rPr>
        <w:t xml:space="preserve">时间: 2026-02-07 | </w:t>
      </w:r>
      <w:r>
        <w:t xml:space="preserve">链接: </w:t>
      </w:r>
      <w:hyperlink r:id="rId18">
        <w:r>
          <w:rPr>
            <w:rFonts w:ascii="Times New Roman" w:hAnsi="Times New Roman" w:eastAsia="宋体"/>
            <w:color w:val="0000FF"/>
            <w:sz w:val="21"/>
            <w:u w:val="single"/>
          </w:rPr>
          <w:t>https://doi.org/10.1038/s41598-026-38567-8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夹层复合材料因其出色的刚度、强度和耐用性而受到广泛认可，同时又最大限度地减轻了重量。本研究研究了用于飞机应用的镁碳纤维夹层复合材料的制造、机械测试、热分析和微观结构表征。复合材料板采用传统方法制造，例如纤维滚筒缠绕，然后采用六种堆叠顺序进行手工铺层和压缩成型，包括单向（[0°]、[45°]、[90°]）、双向（[0°/90°]、[45°/-45°]）和多向（[0°/90°/45°/-45°]）纤维方向。 X 射线衍射 (XRD) 研究了相组成和晶体结构。热重分析 (TGA) 显示两阶段降解，[0°/90°]4 保留最高残留物 (73–75%)，其次是准各向同性层压板 (69–71%)，而 [90°]8 显示最低稳定性 (51–53%)。差示扫描量热法 (DSC) 证实分解在 250 °C 至 380 °C 之间开始，平衡层压板表现出吸热峰减少。机械测试显示出强烈的取向依赖性，[0°]8层压板表现出最高的拉伸强度（223.8 MPa）和弯曲强度（700.9 MPa），而[90°]8配置显示出最低值。冲击行为与拉伸和弯曲结果形成对比，其中 [45°/-45°]4 层压板吸收了最高的冲击能量（0.42 kg·m；101.43 kJ/m2）。准各向同性堆叠序列 Mg/CF[0°/90°/45°/-45°]2/Mg 表现出均衡的多功能响应，在所评估的层压板中获得第三高的拉伸强度、第二高的弯曲强度和第二高的冲击能量吸收，同时还表现出增强的热稳定性，如更高的 TGA 残余质量和更稳定的 DSC 转变行为所证明。微观结构分析 (SEM/EDS) 揭示了元素组成和微观结构特征，包括纤维基体粘合、分层和断裂形态。结果显示，不同纤维方向的机械和热性能存在显着差异，有助于设计用于轻质、高性能航空航天应用的镁碳纤维夹层复合材料。</w:t>
      </w:r>
    </w:p>
    <w:p>
      <w:pPr>
        <w:spacing w:before="120"/>
      </w:pPr>
      <w:r>
        <w:rPr>
          <w:rFonts w:ascii="Times New Roman" w:hAnsi="Times New Roman" w:eastAsia="宋体"/>
          <w:b/>
          <w:sz w:val="21"/>
        </w:rPr>
        <w:t>English Abstract:</w:t>
      </w:r>
    </w:p>
    <w:p>
      <w:r>
        <w:rPr>
          <w:rFonts w:ascii="Times New Roman" w:hAnsi="Times New Roman" w:eastAsia="宋体"/>
          <w:sz w:val="21"/>
        </w:rPr>
        <w:t>Sandwich composites are broadly recognised for their excellent stiffness, strength, and durability while minimising their weight. This study investigates the fabrication, mechanical testing, thermal analysis, and microstructural characterisation of magnesium-carbon fiber sandwich composites for aircraft applications. The composite panels were fabricated using traditional methods such as filament drum winding, followed by hand layup and compression moulding with six stacking sequences, including unidirectional ([0°], [45°], [90°]), bidirectional ([0°/90°], [45°/-45°]), and multidirectional ([0°/90°/45°/-45°]) fiber orientations. X-ray diffraction (XRD) investigated phase composition and crystalline structure. Thermogravimetric analysis (TGA) revealed two-stage degradation, with [0°/90°]4 retaining the highest residue (73–75%), followed by the quasi-isotropic laminate (69–71%), while [90°]8 showed the lowest stability (51–53%). Differential Scanning Calorimetry (DSC) confirmed decomposition onset between 250 °C and 380 °C, with balanced laminates exhibiting reduced endothermic peaks. Mechanical testing revealed strong orientation dependence, with the [0°]8 laminate exhibiting the highest tensile (223.8 MPa) and flexural strength (700.9 MPa), while the [90°]8 configuration showed the lowest values. Impact behaviour contrasted with tensile and flexural results, where the [45°/-45°]4 laminate absorbed the highest impact energy (0.42 kg·m; 101.43 kJ/m2). The quasi-isotropic stacking sequence Mg/CF[0°/90°/45°/-45°]2/Mg exhibited a well-balanced multifunctional response, attaining the third-highest tensile strength, second-highest flexural strength, and second-highest impact energy absorption among the evaluated laminates, while also demonstrating enhanced thermal stability as evidenced by higher TGA residual mass and more stable DSC transition behaviour. Microstructural analysis (SEM/EDS) revealed elemental composition and microstructural features, including fiber-matrix bonding, delamination, and fracture morphology. Results showed substantial differences in mechanical and thermal performance across fiber orientations, aiding in the design of magnesium-carbon fiber sandwich composites for lightweight, high-performance aerospace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使用掺硫富酚生物油光催化降解沥青中挥发性有机化合物的实验和计算研究</w:t>
      </w:r>
    </w:p>
    <w:p>
      <w:r>
        <w:rPr>
          <w:rFonts w:ascii="Times New Roman" w:hAnsi="Times New Roman" w:eastAsia="宋体"/>
          <w:b/>
          <w:color w:val="003264"/>
          <w:sz w:val="24"/>
        </w:rPr>
        <w:t>Experimental and computational study of photocatalytic degradation of volatile organic compounds in bitumen using sulfur-doped phenol-rich bio-oils</w:t>
      </w:r>
    </w:p>
    <w:p>
      <w:r>
        <w:rPr>
          <w:rFonts w:ascii="Times New Roman" w:hAnsi="Times New Roman" w:eastAsia="宋体"/>
          <w:sz w:val="21"/>
        </w:rPr>
        <w:t>作者: Mohammad Almasi, Razieh Sadat Neyband</w:t>
        <w:br/>
      </w:r>
      <w:r>
        <w:rPr>
          <w:rFonts w:ascii="Times New Roman" w:hAnsi="Times New Roman" w:eastAsia="宋体"/>
          <w:sz w:val="21"/>
        </w:rPr>
        <w:t xml:space="preserve">时间: 2026-02-08 | </w:t>
      </w:r>
      <w:r>
        <w:t xml:space="preserve">链接: </w:t>
      </w:r>
      <w:hyperlink r:id="rId26">
        <w:r>
          <w:rPr>
            <w:rFonts w:ascii="Times New Roman" w:hAnsi="Times New Roman" w:eastAsia="宋体"/>
            <w:color w:val="0000FF"/>
            <w:sz w:val="21"/>
            <w:u w:val="single"/>
          </w:rPr>
          <w:t>https://doi.org/10.1038/s41598-026-38337-6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沥青路面是太阳辐射、加速沥青老化和城市空气污染下挥发性有机化合物 (VOC) 排放的重要来源。有效的机制对于减少道路基础设施对环境和健康的影响至关重要。在这项研究中，提出了一种可持续的生物基改性策略，使用源自木颗粒（WPn）的掺硫富含酚的生物油来抑制沥青中挥发性有机化合物的释放。在此过程中，四聚自由基硫($$\:{S}_{4}^{\cdot\:}$$)与WPn反应生成$$\:{S}_{4}^{\cdot\:}$$-WPn中间体，通过C-S交叉偶联途径捕获VOCs分子，形成稳定的VOCs-$$\:{S}_{4}^{\cdot\:}$$-WPn加合物。该机制通过 GC-MS、FT-IR 和 UV-Vis 光谱进行实验验证，并得到 TD-DFT 计算分析的支持。 $$\:\:\text{V}\text{O}\text{C}\text{s}-{S}_{4}^{\cdot\:}-\text{W}\text{P}\text{n}$$ 的紫外-可见吸收光谱已红移至近 400 nm，这可能增强了这些 VOC 化合物吸收波长高于 200 nm 的光的能力，从而有利于直接光降解VOC 化合物。此外，计算得出的 $$\:{S}_{4}^{\cdot\:}-\text{W}\text{P}\text{n}$$ 和 VOC 反应路径的活化能垒范围在 − 5.62 至 − 25.86 kcal/mol 之间，证实了 VOC 排放的热力学可行性和抑制潜力。这项工作强调了一种实用且环保的方法，用于开发更清洁、更具弹性的城市基础设施。</w:t>
      </w:r>
    </w:p>
    <w:p>
      <w:pPr>
        <w:spacing w:before="120"/>
      </w:pPr>
      <w:r>
        <w:rPr>
          <w:rFonts w:ascii="Times New Roman" w:hAnsi="Times New Roman" w:eastAsia="宋体"/>
          <w:b/>
          <w:sz w:val="21"/>
        </w:rPr>
        <w:t>English Abstract:</w:t>
      </w:r>
    </w:p>
    <w:p>
      <w:r>
        <w:rPr>
          <w:rFonts w:ascii="Times New Roman" w:hAnsi="Times New Roman" w:eastAsia="宋体"/>
          <w:sz w:val="21"/>
        </w:rPr>
        <w:t>Asphalt pavements are a significant source of volatile organic compounds (VOCs) emissions under solar radiation, accelerated asphalt aging and urban air pollution. Effective mechanisms are essential to reduce the environmental and health impacts of road infrastructure. In this study, a sustainable bio-based modification strategy is presented using sulfur-doped phenol-rich bio-oils derived from wood pellets (WPn) to suppress VOCs release from asphalt. In this process, tetrameric radical sulfur ($$\:{S}_{4}^{\cdot\:}$$) reacts with the WPn to generate $$\:{S}_{4}^{\cdot\:}$$-WPn intermediates that capture VOCs molecules through a C–S cross-coupling pathway, forming stable VOCs-$$\:{S}_{4}^{\cdot\:}$$-WPn adducts. The mechanism was validated experimentally using GC–MS, FT–IR, and UV–Vis spectroscopy, and supported by TD–DFT computational analysis. The UV–Vis absorption spectral of $$\:\:\text{V}\text{O}\text{C}\text{s}-{S}_{4}^{\cdot\:}-\text{W}\text{P}\text{n}$$ has been red-shifted to nearly 400 nm which potentially enhanced the ability of these VOCs compounds to absorb light at wavelength higher than 200 nm, thereby favoring the direct photodegradation of VOCs compounds. Also, the calculated activation energy barriers for the $$\:{S}_{4}^{\cdot\:}-\text{W}\text{P}\text{n}$$ and VOCs reaction pathways were found to range between − 5.62 and − 25.86 kcal/mol, confirming the thermodynamic feasibility and suppression potential of VOCs emissions. This work highlights a practical and environmentally friendly approach for the development of cleaner and more resilient urban infrastructure.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超声波手腕测绘开发用于动态正电子发射断层扫描的无创辐射探测器</w:t>
      </w:r>
    </w:p>
    <w:p>
      <w:r>
        <w:rPr>
          <w:rFonts w:ascii="Times New Roman" w:hAnsi="Times New Roman" w:eastAsia="宋体"/>
          <w:b/>
          <w:color w:val="003264"/>
          <w:sz w:val="24"/>
        </w:rPr>
        <w:t>Ultrasound wrist mapping to develop a noninvasive radiation detector for dynamic positron emission tomography</w:t>
      </w:r>
    </w:p>
    <w:p>
      <w:r>
        <w:rPr>
          <w:rFonts w:ascii="Times New Roman" w:hAnsi="Times New Roman" w:eastAsia="宋体"/>
          <w:sz w:val="21"/>
        </w:rPr>
        <w:t>作者: Marc-Antoine Leclerc, Mihai Mesko, Youstina Daoud, Shirin A. Enger</w:t>
        <w:br/>
      </w:r>
      <w:r>
        <w:rPr>
          <w:rFonts w:ascii="Times New Roman" w:hAnsi="Times New Roman" w:eastAsia="宋体"/>
          <w:sz w:val="21"/>
        </w:rPr>
        <w:t xml:space="preserve">时间: 2026-02-08 | </w:t>
      </w:r>
      <w:r>
        <w:t xml:space="preserve">链接: </w:t>
      </w:r>
      <w:hyperlink r:id="rId28">
        <w:r>
          <w:rPr>
            <w:rFonts w:ascii="Times New Roman" w:hAnsi="Times New Roman" w:eastAsia="宋体"/>
            <w:color w:val="0000FF"/>
            <w:sz w:val="21"/>
            <w:u w:val="single"/>
          </w:rPr>
          <w:t>https://doi.org/10.1038/s41598-026-39073-7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定量 PET 研究需要测量动脉输入函数 (AIF)，即动脉血浆中随时间变化的放射性示踪剂浓度。几个小组正在开发非侵入性探测器来测量桡动脉的 AIF。这项研究使用超声波量化了不同手腕位置的桡动脉和伴行静脉的深度和横截面积。这些解剖数据将指导用于 AIF 采集的非侵入式腕戴式探测器的设计，这是一种实用的、对患者友好的侵入式血液采样替代方案。对 154 名健康个体在距远端腕部折痕指定距离（2 厘米、4 厘米和 6 厘米）处进行了腕部超声成像。距远端腕部折痕 2 cm、4 cm 和 6 cm 处的桡动脉深度分别为 3.36 (1.25) mm、4.08 (1.81) mm 和 4.66 (2.23) mm（平均值（SD））。同样，这些距离处的桡动脉横截面积分别为 4.23 (1.75) mm $$^{2}$$ 、3.92 (1.71) mm $$^{2}$$ 和 3.90 (1.88) mm $$^{2}$$ 。桡动脉在手腕附近变得更大且更浅，建议将辐射探测器放置在距左臂远端腕部折痕 2 厘米处，这里通常比右臂更浅。</w:t>
      </w:r>
    </w:p>
    <w:p>
      <w:pPr>
        <w:spacing w:before="120"/>
      </w:pPr>
      <w:r>
        <w:rPr>
          <w:rFonts w:ascii="Times New Roman" w:hAnsi="Times New Roman" w:eastAsia="宋体"/>
          <w:b/>
          <w:sz w:val="21"/>
        </w:rPr>
        <w:t>English Abstract:</w:t>
      </w:r>
    </w:p>
    <w:p>
      <w:r>
        <w:rPr>
          <w:rFonts w:ascii="Times New Roman" w:hAnsi="Times New Roman" w:eastAsia="宋体"/>
          <w:sz w:val="21"/>
        </w:rPr>
        <w:t>Abstract Quantitative PET studies require a measurement of the arterial input function (AIF), the time-dependent radiotracer concentration in arterial blood plasma. Several groups are developing non-invasive detectors to measure the AIF from the radial artery. This study quantifies the depth and cross-sectional area of the radial artery and accompanying veins at different wrist positions using ultrasound. These anatomical data will guide the design of a non-invasive, wrist-worn detector for AIF acquisition—a practical, patient-friendly alternative to invasive blood sampling. Ultrasound imaging of the wrist was performed on 154 healthy individuals at specified distances from the distal wrist crease (2 cm , 4 cm , and 6 cm ). The depths of the radial artery at distances of 2 cm , 4 cm , and 6 cm from the distal wrist crease are 3.36 (1.25) mm , 4.08 (1.81) mm , and 4.66 (2.23) mm , respectively (mean (SD)). Similarly, the cross-sectional areas of the radial artery at these distances are 4.23 (1.75) mm $$^{2}$$ , 3.92 (1.71) mm $$^{2}$$ , and 3.90 (1.88) mm $$^{2}$$ , respectively. The radial artery becomes larger and more superficial near the wrist, suggesting a radiation detector be placed 2 cm from the distal wrist crease on the left arm, where it is generally more superficial than on the right.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使用酸处理甘蔗皮修复纺织废水的等温线、动力学和热力学见解</w:t>
      </w:r>
    </w:p>
    <w:p>
      <w:r>
        <w:rPr>
          <w:rFonts w:ascii="Times New Roman" w:hAnsi="Times New Roman" w:eastAsia="宋体"/>
          <w:b/>
          <w:color w:val="003264"/>
          <w:sz w:val="24"/>
        </w:rPr>
        <w:t>Isotherm, kinetic, and thermodynamic insights into textile effluent remediation using acid-treated sugarcane peel</w:t>
      </w:r>
    </w:p>
    <w:p>
      <w:r>
        <w:rPr>
          <w:rFonts w:ascii="Times New Roman" w:hAnsi="Times New Roman" w:eastAsia="宋体"/>
          <w:sz w:val="21"/>
        </w:rPr>
        <w:t>作者: Amr S. Abouzied, Oladejo Emmanuel Kola, Khairia Mohammed Al-Ahmary, Hamad AlMohamadi, Saedah R. Al-Mhyawi, Zahrah Alqahtani, Aliyah Alsharif, Jamelah S. Al-Otaibi</w:t>
        <w:br/>
      </w:r>
      <w:r>
        <w:rPr>
          <w:rFonts w:ascii="Times New Roman" w:hAnsi="Times New Roman" w:eastAsia="宋体"/>
          <w:sz w:val="21"/>
        </w:rPr>
        <w:t xml:space="preserve">时间: 2026-02-08 | </w:t>
      </w:r>
      <w:r>
        <w:t xml:space="preserve">链接: </w:t>
      </w:r>
      <w:hyperlink r:id="rId96">
        <w:r>
          <w:rPr>
            <w:rFonts w:ascii="Times New Roman" w:hAnsi="Times New Roman" w:eastAsia="宋体"/>
            <w:color w:val="0000FF"/>
            <w:sz w:val="21"/>
            <w:u w:val="single"/>
          </w:rPr>
          <w:t>https://doi.org/10.1038/s41598-026-39059-5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纺织工业废水含有持久性污染物，需要低成本、高效且环保的处理解决方案。这项工作评估了酸处理甘蔗皮（ATSP）作为纺织废水处理的可持续吸附剂与未经处理的甘蔗皮（UTSP）相比的性能。吸附实验在优化条件下进行（120 分钟接触时间，pH 5-6，20 mg 吸附剂在 25 mL 流出物中）。 ATSP 的污染物去除率达到 85%，而 UTSP 的污染物去除率为 68%。 Langmuir 等温线和准二级动力学最好地描述了吸附过程，证实了单层化学吸附的最大容量为 50.04 mg/g。热力学分析证实了吸热和自发过程，而扫描电子显微镜（SEM）和傅里叶变换红外光谱（FT-IR）分析表明吸附剂上的孔隙率和活性官能团增强。经过五个循环使用后，吸附剂保持了 60% 的效率。与之前专注于单溶质染料系统的研究不同，这项工作对磷酸处理的甘蔗皮用于实际纺织废水修复进行了全面的机理和技术经济评估。因此，经过酸处理的甘蔗皮作为一种有效、可持续和可重复使用的材料具有巨大的潜力，可用于处理纺织废水。</w:t>
      </w:r>
    </w:p>
    <w:p>
      <w:pPr>
        <w:spacing w:before="120"/>
      </w:pPr>
      <w:r>
        <w:rPr>
          <w:rFonts w:ascii="Times New Roman" w:hAnsi="Times New Roman" w:eastAsia="宋体"/>
          <w:b/>
          <w:sz w:val="21"/>
        </w:rPr>
        <w:t>English Abstract:</w:t>
      </w:r>
    </w:p>
    <w:p>
      <w:r>
        <w:rPr>
          <w:rFonts w:ascii="Times New Roman" w:hAnsi="Times New Roman" w:eastAsia="宋体"/>
          <w:sz w:val="21"/>
        </w:rPr>
        <w:t>Wastewater from textile industries contains persistent contaminants that require low-cost, efficient, and eco-friendly treatment solutions. This work evaluates the performance of acid-treated sugarcane peel (ATSP) as a sustainable adsorbent for textile effluent treatment, compared with untreated sugarcane peel (UTSP). Sorption experiments were performed under optimized conditions (120 min contact time, pH 5–6, 20 mg adsorbent in 25 mL effluent). ATSP achieved 85% pollutant removal against 68% for UTSP. The Langmuir isotherm and pseudo-second-order kinetics best described the adsorption process, confirming monolayer chemisorption with a maximum capacity of 50.04 mg/g. Thermodynamic analysis confirmed an endothermic and spontaneous process, while scanning electron microscopy (SEM) and Fourier transform infrared spectroscopy (FT-IR) analyses revealed enhanced porosity and active functional groups on adsorbent. After five reuse cycles, the adsorbent retained 60% efficiency. Unlike previous studies focused on single-solute dye systems, this work provides comprehensive mechanistic and techno-economic evaluation of phosphoric-acid-treated sugarcane peel for real textile effluent remediation. Thus acid-treated sugarcane peel gave strong potential as an effective, sustainable, and reusable material for the treatment of textile wastewater.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FLASH 剂量率条件下质子微束治疗的实验特征</w:t>
      </w:r>
    </w:p>
    <w:p>
      <w:r>
        <w:rPr>
          <w:rFonts w:ascii="Times New Roman" w:hAnsi="Times New Roman" w:eastAsia="宋体"/>
          <w:b/>
          <w:color w:val="003264"/>
          <w:sz w:val="24"/>
        </w:rPr>
        <w:t>Experimental characterization of proton minibeam therapy delivery under FLASH dose-rate conditions</w:t>
      </w:r>
    </w:p>
    <w:p>
      <w:r>
        <w:rPr>
          <w:rFonts w:ascii="Times New Roman" w:hAnsi="Times New Roman" w:eastAsia="宋体"/>
          <w:sz w:val="21"/>
        </w:rPr>
        <w:t>作者: Yuting Lin, Wei Wu, Jufri Setianegara, Aoxiang Wang, Nicolas Gerard, Jarrick Nys, Gregory N. Gan, Hao Gao</w:t>
        <w:br/>
      </w:r>
      <w:r>
        <w:rPr>
          <w:rFonts w:ascii="Times New Roman" w:hAnsi="Times New Roman" w:eastAsia="宋体"/>
          <w:sz w:val="21"/>
        </w:rPr>
        <w:t xml:space="preserve">时间: 2026-02-08 | </w:t>
      </w:r>
      <w:r>
        <w:t xml:space="preserve">链接: </w:t>
      </w:r>
      <w:hyperlink r:id="rId97">
        <w:r>
          <w:rPr>
            <w:rFonts w:ascii="Times New Roman" w:hAnsi="Times New Roman" w:eastAsia="宋体"/>
            <w:color w:val="0000FF"/>
            <w:sz w:val="21"/>
            <w:u w:val="single"/>
          </w:rPr>
          <w:t>https://doi.org/10.1038/s41598-026-36739-0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质子微束放射治疗（pMBRT）引入了亚毫米分辨率的剂量分布空间分割，为降低正常组织毒性同时保持有效的肿瘤控制提供了一种有前途的方法。然而，多缝准直器 (MSC) 的高监控单元 (MU) 要求导致交付时间延长，带来了重大挑战。本研究探讨了将 pMBRT 与超高剂量率 (UHDR) 相结合以克服这一局限性的可行性，同时利用潜在的生物协同作用来提高治疗指数并推进临床应用。该研究采用配备两个 MSC 的 IBA ProteusONE 紧凑型质子治疗系统，每个 MSC 的中心距为 2.8 毫米，狭缝宽度为 1.0 毫米，厚度分别为 6.5 厘米和 10 厘米。 UHDR 传输是通过 228 MeV 质子在 125 nA 的电流下实现的，而临床光束在 226 MeV 和 1-5 nA 的电流下运行。使用固体水体模中的 Gafchromic 薄膜进行的剂量测量与蒙特卡罗模拟进行了比较。比较了 FLASH 和临床光束的交付时间。 PBS 剂量率是根据现场输送日志文件计算的。该研究成功证明了 UHDR 下的 pMBRT 剂量分布，与临床光束的 3 分钟治疗时间相比，显着将治疗时间缩短至 2.5 秒。 10 厘米准直器在 2 厘米深度 (4.36) 实现了比 6.5 厘米准直器 (2.57) 更高的峰谷剂量比 (PVDR)，从而优化了 UHDR 传输条件。结果凸显了在保持空间分辨率和剂量调制的同时提高剂量输送效率的潜力，支持未来的临床进展。这项研究证明了使用临床质子治疗系统将 pMBRT 与 UHDR 相结合的可行性。通过解决与交付时间相关的挑战并利用空间分割和超高剂量率的综合优势，这项工作为 pMBRT 与 UHDR 的临床转化铺平了道路，为通过高剂量精准治疗治疗具有挑战性的恶性肿瘤提供了创新的可能性。</w:t>
      </w:r>
    </w:p>
    <w:p>
      <w:pPr>
        <w:spacing w:before="120"/>
      </w:pPr>
      <w:r>
        <w:rPr>
          <w:rFonts w:ascii="Times New Roman" w:hAnsi="Times New Roman" w:eastAsia="宋体"/>
          <w:b/>
          <w:sz w:val="21"/>
        </w:rPr>
        <w:t>English Abstract:</w:t>
      </w:r>
    </w:p>
    <w:p>
      <w:r>
        <w:rPr>
          <w:rFonts w:ascii="Times New Roman" w:hAnsi="Times New Roman" w:eastAsia="宋体"/>
          <w:sz w:val="21"/>
        </w:rPr>
        <w:t>Abstract Proton minibeam radiation therapy (pMBRT) introduces spatial fractionation of dose distributions at submillimeter resolution, offering a promising approach to reducing normal tissue toxicity while maintaining effective tumor control. However, the high monitor unit (MU) requirements of multi-slit collimators (MSC) result in extended delivery times, posing a significant challenge. This study explores the feasibility of integrating pMBRT with ultra-high-dose-rates (UHDR) to overcome this limitation while leveraging potential biological synergies to enhance the therapeutic index and advance clinical applications. The study utilized the IBA ProteusONE compact proton therapy system equipped with two MSCs, each with center-to-center distances of 2.8 mm, slit widths of 1.0 mm, and thicknesses of 6.5 cm and 10 cm. UHDR delivery was achieved with 228 MeV protons at a current of 125 nA, while clinical beams operated at 226 MeV with 1–5 nA. Dose measurements using Gafchromic films in solid water phantoms were compared with Monte Carlo simulations. Delivery times were compared for FLASH and clinical beams. PBS dose rate was calculated based on the spot delivery log file. The study successfully demonstrated pMBRT dose distributions under UHDR, significantly reducing treatment times to 2.5 s compared to 3 min for clinical beams. The 10 cm collimator achieved higher peak-to-valley dose ratios (PVDRs) at 2 cm depth (4.36) than the 6.5 cm collimator (2.57), optimizing UHDR delivery conditions. Results highlight the potential to improve dose delivery efficiency while maintaining spatial resolution and dose modulation, supporting future clinical advancements. This study demonstrates the feasibility of integrating pMBRT with UHDR using a clinical proton therapy system. By addressing challenges associated with delivery times and leveraging the combined advantages of spatial fractionation and ultra-high-dose-rates, this work paves the way for the clinical translation of pMBRT with UHDR, offering innovative possibilities for treating challenging malignancies with high-dose precision therapy.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00:28 ---</w:t>
      </w:r>
    </w:p>
    <w:p>
      <w:pPr>
        <w:pStyle w:val="Heading2"/>
      </w:pPr>
      <w:r/>
      <w:r>
        <w:rPr>
          <w:rFonts w:ascii="Times New Roman" w:hAnsi="Times New Roman" w:eastAsia="宋体"/>
          <w:b/>
          <w:color w:val="000000"/>
          <w:sz w:val="24"/>
        </w:rPr>
        <w:t>利用高斯泼溅重建进行精确的单次物体姿态估计</w:t>
      </w:r>
    </w:p>
    <w:p>
      <w:r>
        <w:rPr>
          <w:rFonts w:ascii="Times New Roman" w:hAnsi="Times New Roman" w:eastAsia="宋体"/>
          <w:b/>
          <w:color w:val="003264"/>
          <w:sz w:val="24"/>
        </w:rPr>
        <w:t>Accurate one-shot object pose estimation with Gaussian Splatting reconstruction</w:t>
      </w:r>
    </w:p>
    <w:p>
      <w:r>
        <w:rPr>
          <w:rFonts w:ascii="Times New Roman" w:hAnsi="Times New Roman" w:eastAsia="宋体"/>
          <w:sz w:val="21"/>
        </w:rPr>
        <w:t>作者: Xiao Wang, Fei Zhao, Changjun Li, Guobiao Zhang, Zhihong Qin, Xuesong Mei</w:t>
        <w:br/>
      </w:r>
      <w:r>
        <w:rPr>
          <w:rFonts w:ascii="Times New Roman" w:hAnsi="Times New Roman" w:eastAsia="宋体"/>
          <w:sz w:val="21"/>
        </w:rPr>
        <w:t xml:space="preserve">时间: 2026-02-01 | </w:t>
      </w:r>
      <w:r>
        <w:t xml:space="preserve">链接: </w:t>
      </w:r>
      <w:hyperlink r:id="rId19">
        <w:r>
          <w:rPr>
            <w:rFonts w:ascii="Times New Roman" w:hAnsi="Times New Roman" w:eastAsia="宋体"/>
            <w:color w:val="0000FF"/>
            <w:sz w:val="21"/>
            <w:u w:val="single"/>
          </w:rPr>
          <w:t>https://doi.org/10.1016/j.displa.2026.103387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00:28 ---</w:t>
      </w:r>
    </w:p>
    <w:p>
      <w:pPr>
        <w:pStyle w:val="Heading2"/>
      </w:pPr>
      <w:r/>
      <w:r>
        <w:rPr>
          <w:rFonts w:ascii="Times New Roman" w:hAnsi="Times New Roman" w:eastAsia="宋体"/>
          <w:b/>
          <w:color w:val="000000"/>
          <w:sz w:val="24"/>
        </w:rPr>
        <w:t>非衍射矢量 Tricomi 光束</w:t>
      </w:r>
    </w:p>
    <w:p>
      <w:r>
        <w:rPr>
          <w:rFonts w:ascii="Times New Roman" w:hAnsi="Times New Roman" w:eastAsia="宋体"/>
          <w:b/>
          <w:color w:val="003264"/>
          <w:sz w:val="24"/>
        </w:rPr>
        <w:t>Non-diffracting Vector Tricomi beams</w:t>
      </w:r>
    </w:p>
    <w:p>
      <w:r>
        <w:rPr>
          <w:rFonts w:ascii="Times New Roman" w:hAnsi="Times New Roman" w:eastAsia="宋体"/>
          <w:sz w:val="21"/>
        </w:rPr>
        <w:t>作者: Sumit Kumar Singh, Kenji Kinashi, Naoto Tsutsumi, Yasuhiro Awatsuji, Boaz Jessie Jackin</w:t>
        <w:br/>
      </w:r>
      <w:r>
        <w:rPr>
          <w:rFonts w:ascii="Times New Roman" w:hAnsi="Times New Roman" w:eastAsia="宋体"/>
          <w:sz w:val="21"/>
        </w:rPr>
        <w:t xml:space="preserve">时间: 2026-02-01 | </w:t>
      </w:r>
      <w:r>
        <w:t xml:space="preserve">链接: </w:t>
      </w:r>
      <w:hyperlink r:id="rId20">
        <w:r>
          <w:rPr>
            <w:rFonts w:ascii="Times New Roman" w:hAnsi="Times New Roman" w:eastAsia="宋体"/>
            <w:color w:val="0000FF"/>
            <w:sz w:val="21"/>
            <w:u w:val="single"/>
          </w:rPr>
          <w:t>https://doi.org/10.1016/j.optcom.2026.133004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泵浦种子光对三阶拉曼放大器的影响及PINN在三阶拉曼放大系统中的应用</w:t>
      </w:r>
    </w:p>
    <w:p>
      <w:r>
        <w:rPr>
          <w:rFonts w:ascii="Times New Roman" w:hAnsi="Times New Roman" w:eastAsia="宋体"/>
          <w:b/>
          <w:color w:val="003264"/>
          <w:sz w:val="24"/>
        </w:rPr>
        <w:t>Influence of pump seed light on 3rd-order Raman amplifiers and applications of PINN in 3rd-order Raman amplification systems</w:t>
      </w:r>
    </w:p>
    <w:p>
      <w:r>
        <w:rPr>
          <w:rFonts w:ascii="Times New Roman" w:hAnsi="Times New Roman" w:eastAsia="宋体"/>
          <w:sz w:val="21"/>
        </w:rPr>
        <w:t>作者: Kaijing Hu, Wei Li, Xingrui Su, Yujia Hu, Xinyu Chu, Liyan Huang, Qianggao Hu</w:t>
        <w:br/>
      </w:r>
      <w:r>
        <w:rPr>
          <w:rFonts w:ascii="Times New Roman" w:hAnsi="Times New Roman" w:eastAsia="宋体"/>
          <w:sz w:val="21"/>
        </w:rPr>
        <w:t xml:space="preserve">时间: 2026-02-01 | </w:t>
      </w:r>
      <w:r>
        <w:t xml:space="preserve">链接: </w:t>
      </w:r>
      <w:hyperlink r:id="rId21">
        <w:r>
          <w:rPr>
            <w:rFonts w:ascii="Times New Roman" w:hAnsi="Times New Roman" w:eastAsia="宋体"/>
            <w:color w:val="0000FF"/>
            <w:sz w:val="21"/>
            <w:u w:val="single"/>
          </w:rPr>
          <w:t>https://doi.org/10.1016/j.optcom.2026.133005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通过干涉成像对不规则颗粒进行 3D 形状测量的稀疏性和投影一致性框架</w:t>
      </w:r>
    </w:p>
    <w:p>
      <w:r>
        <w:rPr>
          <w:rFonts w:ascii="Times New Roman" w:hAnsi="Times New Roman" w:eastAsia="宋体"/>
          <w:b/>
          <w:color w:val="003264"/>
          <w:sz w:val="24"/>
        </w:rPr>
        <w:t>A sparsity and projection-consistency framework for 3D Shape measurement of irregular particles via interferometric imaging</w:t>
      </w:r>
    </w:p>
    <w:p>
      <w:r>
        <w:rPr>
          <w:rFonts w:ascii="Times New Roman" w:hAnsi="Times New Roman" w:eastAsia="宋体"/>
          <w:sz w:val="21"/>
        </w:rPr>
        <w:t>作者: Yiqun Wang, Hongxia Zhang, Xiaolei Guo, Dagong Jia, Tiegen Liu</w:t>
        <w:br/>
      </w:r>
      <w:r>
        <w:rPr>
          <w:rFonts w:ascii="Times New Roman" w:hAnsi="Times New Roman" w:eastAsia="宋体"/>
          <w:sz w:val="21"/>
        </w:rPr>
        <w:t xml:space="preserve">时间: 2026-02-01 | </w:t>
      </w:r>
      <w:r>
        <w:t xml:space="preserve">链接: </w:t>
      </w:r>
      <w:hyperlink r:id="rId27">
        <w:r>
          <w:rPr>
            <w:rFonts w:ascii="Times New Roman" w:hAnsi="Times New Roman" w:eastAsia="宋体"/>
            <w:color w:val="0000FF"/>
            <w:sz w:val="21"/>
            <w:u w:val="single"/>
          </w:rPr>
          <w:t>https://doi.org/10.1016/j.optcom.2026.132996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00:28 ---</w:t>
      </w:r>
    </w:p>
    <w:p>
      <w:pPr>
        <w:pStyle w:val="Heading2"/>
      </w:pPr>
      <w:r/>
      <w:r>
        <w:rPr>
          <w:rFonts w:ascii="Times New Roman" w:hAnsi="Times New Roman" w:eastAsia="宋体"/>
          <w:b/>
          <w:color w:val="000000"/>
          <w:sz w:val="24"/>
        </w:rPr>
        <w:t>电信波长的高速、高响应度片上单层 MoS 2 光电探测器</w:t>
      </w:r>
    </w:p>
    <w:p>
      <w:r>
        <w:rPr>
          <w:rFonts w:ascii="Times New Roman" w:hAnsi="Times New Roman" w:eastAsia="宋体"/>
          <w:b/>
          <w:color w:val="003264"/>
          <w:sz w:val="24"/>
        </w:rPr>
        <w:t>High-Speed, High-Responsivity on-Chip Monolayer MoS 2 Photodetector at Telecom Wavelengths</w:t>
      </w:r>
    </w:p>
    <w:p>
      <w:r>
        <w:rPr>
          <w:rFonts w:ascii="Times New Roman" w:hAnsi="Times New Roman" w:eastAsia="宋体"/>
          <w:sz w:val="21"/>
        </w:rPr>
        <w:t>作者: Qiao Zhang, Bijun Zhao, Jipeng Chen, Yingke Ji, Ruijuan Tian, Liang Liu, Jianguo Wang, Feng Guo, Jie Wang, Chenyang Zhao, Xiangye Liu, Jianlin Zhao, Xuetao Gan</w:t>
        <w:br/>
      </w:r>
      <w:r>
        <w:rPr>
          <w:rFonts w:ascii="Times New Roman" w:hAnsi="Times New Roman" w:eastAsia="宋体"/>
          <w:sz w:val="21"/>
        </w:rPr>
        <w:t xml:space="preserve">时间: 2026-02-07 | </w:t>
      </w:r>
      <w:r>
        <w:t xml:space="preserve">链接: </w:t>
      </w:r>
      <w:hyperlink r:id="rId22">
        <w:r>
          <w:rPr>
            <w:rFonts w:ascii="Times New Roman" w:hAnsi="Times New Roman" w:eastAsia="宋体"/>
            <w:color w:val="0000FF"/>
            <w:sz w:val="21"/>
            <w:u w:val="single"/>
          </w:rPr>
          <w:t>https://doi.org/10.1021/acsphotonics.5c01558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通过少周期双色激光场驱动的近阈值谐波增强真空紫外激光产生</w:t>
      </w:r>
    </w:p>
    <w:p>
      <w:r>
        <w:rPr>
          <w:rFonts w:ascii="Times New Roman" w:hAnsi="Times New Roman" w:eastAsia="宋体"/>
          <w:b/>
          <w:color w:val="003264"/>
          <w:sz w:val="24"/>
        </w:rPr>
        <w:t>Enhancement of Vacuum-Ultraviolet Laser Generation through Near-Threshold Harmonics Driven by a Few-Cycle Two-Color Laser Field</w:t>
      </w:r>
    </w:p>
    <w:p>
      <w:r>
        <w:rPr>
          <w:rFonts w:ascii="Times New Roman" w:hAnsi="Times New Roman" w:eastAsia="宋体"/>
          <w:sz w:val="21"/>
        </w:rPr>
        <w:t>作者: Bincheng Wang, Bin Lu, Yong Fu, Xiangyu Tang, Baochang Li, Cheng Jin</w:t>
        <w:br/>
      </w:r>
      <w:r>
        <w:rPr>
          <w:rFonts w:ascii="Times New Roman" w:hAnsi="Times New Roman" w:eastAsia="宋体"/>
          <w:sz w:val="21"/>
        </w:rPr>
        <w:t xml:space="preserve">时间: 2026-02-07 | </w:t>
      </w:r>
      <w:r>
        <w:t xml:space="preserve">链接: </w:t>
      </w:r>
      <w:hyperlink r:id="rId23">
        <w:r>
          <w:rPr>
            <w:rFonts w:ascii="Times New Roman" w:hAnsi="Times New Roman" w:eastAsia="宋体"/>
            <w:color w:val="0000FF"/>
            <w:sz w:val="21"/>
            <w:u w:val="single"/>
          </w:rPr>
          <w:t>https://doi.org/10.1021/acsphotonics.5c02138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用于六方氮化硼缺陷发射控制的无序工程混合等离子体腔</w:t>
      </w:r>
    </w:p>
    <w:p>
      <w:r>
        <w:rPr>
          <w:rFonts w:ascii="Times New Roman" w:hAnsi="Times New Roman" w:eastAsia="宋体"/>
          <w:b/>
          <w:color w:val="003264"/>
          <w:sz w:val="24"/>
        </w:rPr>
        <w:t>Disorder-Engineered Hybrid Plasmonic Cavities for Emission Control of Defects in hBN</w:t>
      </w:r>
    </w:p>
    <w:p>
      <w:r>
        <w:rPr>
          <w:rFonts w:ascii="Times New Roman" w:hAnsi="Times New Roman" w:eastAsia="宋体"/>
          <w:sz w:val="21"/>
        </w:rPr>
        <w:t>作者: Sinan Genc, Oǧuzhan Yücel, Furkan Aǧlarcı, Carlos Rodriguez-Fernandez, Alpay Yilmaz, Humeyra Caglayan, Serkan Ateş, Alpan Bek</w:t>
        <w:br/>
      </w:r>
      <w:r>
        <w:rPr>
          <w:rFonts w:ascii="Times New Roman" w:hAnsi="Times New Roman" w:eastAsia="宋体"/>
          <w:sz w:val="21"/>
        </w:rPr>
        <w:t xml:space="preserve">时间: 2026-02-07 | </w:t>
      </w:r>
      <w:r>
        <w:t xml:space="preserve">链接: </w:t>
      </w:r>
      <w:hyperlink r:id="rId24">
        <w:r>
          <w:rPr>
            <w:rFonts w:ascii="Times New Roman" w:hAnsi="Times New Roman" w:eastAsia="宋体"/>
            <w:color w:val="0000FF"/>
            <w:sz w:val="21"/>
            <w:u w:val="single"/>
          </w:rPr>
          <w:t>https://doi.org/10.1021/acsphotonics.5c02063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太赫兹发射光谱诊断铁磁体/狄拉克半金属异质结构中的超快光电效应</w:t>
      </w:r>
    </w:p>
    <w:p>
      <w:r>
        <w:rPr>
          <w:rFonts w:ascii="Times New Roman" w:hAnsi="Times New Roman" w:eastAsia="宋体"/>
          <w:b/>
          <w:color w:val="003264"/>
          <w:sz w:val="24"/>
        </w:rPr>
        <w:t>Ultrafast Photogalvanic Effect in Ferromagnet/Dirac Semimetal Heterostructures Diagnosed by Terahertz Emission Spectroscopy</w:t>
      </w:r>
    </w:p>
    <w:p>
      <w:r>
        <w:rPr>
          <w:rFonts w:ascii="Times New Roman" w:hAnsi="Times New Roman" w:eastAsia="宋体"/>
          <w:sz w:val="21"/>
        </w:rPr>
        <w:t>作者: Yingyu Guo, Zhongqiang Chen, Miao Cai, Zuanming Jin, Xuefeng Wang, Chao Zhang, Alexei V. Balakin, Alexander P. Shkurinov, Yan Peng, Yiming Zhu, Songlin Zhuang</w:t>
        <w:br/>
      </w:r>
      <w:r>
        <w:rPr>
          <w:rFonts w:ascii="Times New Roman" w:hAnsi="Times New Roman" w:eastAsia="宋体"/>
          <w:sz w:val="21"/>
        </w:rPr>
        <w:t xml:space="preserve">时间: 2026-02-07 | </w:t>
      </w:r>
      <w:r>
        <w:t xml:space="preserve">链接: </w:t>
      </w:r>
      <w:hyperlink r:id="rId25">
        <w:r>
          <w:rPr>
            <w:rFonts w:ascii="Times New Roman" w:hAnsi="Times New Roman" w:eastAsia="宋体"/>
            <w:color w:val="0000FF"/>
            <w:sz w:val="21"/>
            <w:u w:val="single"/>
          </w:rPr>
          <w:t>https://doi.org/10.1021/acsphotonics.5c02407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11:28 ---</w:t>
      </w:r>
    </w:p>
    <w:p>
      <w:pPr>
        <w:pStyle w:val="Heading2"/>
      </w:pPr>
      <w:r/>
      <w:r>
        <w:rPr>
          <w:rFonts w:ascii="Times New Roman" w:hAnsi="Times New Roman" w:eastAsia="宋体"/>
          <w:b/>
          <w:color w:val="000000"/>
          <w:sz w:val="24"/>
        </w:rPr>
        <w:t>用于单次宽场干涉纳米计量学的不确定性贝叶斯计算成像</w:t>
      </w:r>
    </w:p>
    <w:p>
      <w:r>
        <w:rPr>
          <w:rFonts w:ascii="Times New Roman" w:hAnsi="Times New Roman" w:eastAsia="宋体"/>
          <w:b/>
          <w:color w:val="003264"/>
          <w:sz w:val="24"/>
        </w:rPr>
        <w:t>Uncertainty‐Aware Bayesian Computational Imaging for Single‐Shot Widefield Interferometric Nanometrology</w:t>
      </w:r>
    </w:p>
    <w:p>
      <w:r>
        <w:rPr>
          <w:rFonts w:ascii="Times New Roman" w:hAnsi="Times New Roman" w:eastAsia="宋体"/>
          <w:sz w:val="21"/>
        </w:rPr>
        <w:t>作者: Damian M. Suski, Maria Cywińska, Julianna Winnik, Michał Józwik, Piotr Zdańkowski, Azeem Ahmad, Balpreet S. Ahluwalia, Maciej Trusiak</w:t>
        <w:br/>
      </w:r>
      <w:r>
        <w:rPr>
          <w:rFonts w:ascii="Times New Roman" w:hAnsi="Times New Roman" w:eastAsia="宋体"/>
          <w:sz w:val="21"/>
        </w:rPr>
        <w:t xml:space="preserve">时间: 2026-02-08 | </w:t>
      </w:r>
      <w:r>
        <w:t xml:space="preserve">链接: </w:t>
      </w:r>
      <w:hyperlink r:id="rId29">
        <w:r>
          <w:rPr>
            <w:rFonts w:ascii="Times New Roman" w:hAnsi="Times New Roman" w:eastAsia="宋体"/>
            <w:color w:val="0000FF"/>
            <w:sz w:val="21"/>
            <w:u w:val="single"/>
          </w:rPr>
          <w:t>https://doi.org/10.1002/lpor.202503158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宽场干涉测量为半导体光子学提供了非破坏性、可扩展的纳米计量学，但主流的流程需要多帧扫描（或相移）和重建噪声限制相位的后处理，并且不提供单次、几何级的不确定性。我们引入了一种不确定性感知贝叶斯计算成像框架，该框架直接从单个宽场干涉图估计半导体波导几何形状（例如高度和宽度），将端到端强度前向模型与动态嵌套采样耦合以返回完整的后验分布和模型证据。在强度域中操作可以避免噪声传输到重建的地形，并且在低信号和亚像素条纹偏移条件下保持可靠。在宽场模式下工作是我们的贝叶斯方法的一个重要优势，因为对大视场中的许多像素进行了充分的统计，从而显着降低了估计的不确定性。我们成功地在显示亚纳米高度精度和纳米宽度精度的模拟中以及在经计量认证的 15 nm 校准步骤和肋形波导（设计高度 8 nm）的实验中验证了性能。该框架与模型无关，并且在给定适当的正向模型和先验的情况下，原则上可以扩展到其他纳米结构。通过将单次采集与概率推理相结合，我们将贝叶斯计算纳米计量学建立为半导体纳米光子学和过程级监控的宽场、不确定性量化测量的潜在途径。</w:t>
      </w:r>
    </w:p>
    <w:p>
      <w:pPr>
        <w:spacing w:before="120"/>
      </w:pPr>
      <w:r>
        <w:rPr>
          <w:rFonts w:ascii="Times New Roman" w:hAnsi="Times New Roman" w:eastAsia="宋体"/>
          <w:b/>
          <w:sz w:val="21"/>
        </w:rPr>
        <w:t>English Abstract:</w:t>
      </w:r>
    </w:p>
    <w:p>
      <w:r>
        <w:rPr>
          <w:rFonts w:ascii="Times New Roman" w:hAnsi="Times New Roman" w:eastAsia="宋体"/>
          <w:sz w:val="21"/>
        </w:rPr>
        <w:t>ABSTRACT Widefield interferometry offers non‐destructive, scalable nanometrology for semiconductor photonics, but prevailing pipelines require multi‐frame scanning (or phase‐shifting) and postprocessing of reconstructed noise‐limited phase, and do not provide single‐shot, geometry‐level uncertainties. We introduce an uncertainty‐aware Bayesian computational imaging framework that estimates semiconductor waveguide geometry (e.g., height and width) directly from a single widefield interferogram, coupling an end‐to‐end intensity forward model with Dynamic Nested Sampling to return full posterior distributions and model evidence. Operating in the intensity domain avoids noise transfer to reconstructed topography and remains reliable under low‐signal and sub‐pixel fringe‐shift conditions. Working in a widefield mode is a vital advantage of our Bayesian method, due to fully developed statistics over many pixels in a large field of view, significantly reducing the estimation uncertainties. We successfully validate performance in simulations showing sub‐nanometer height precision and nanometric width accuracy, and in experiments on a metrologically certified 15 nm calibration step and a rib waveguide (design height 8 nm). The framework is model‐agnostic and, given an appropriate forward model and priors, is in principle extendable to other nanostructures. By unifying single‐shot acquisition with probabilistic inference, we establish Bayesian computational nanometrology as a potential route to widefield, uncertainty‐quantified measurements for semiconductor nanophotonics and process‐level monitoring.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Wave &amp; Ray Optics</w:t>
      </w:r>
    </w:p>
    <w:p>
      <w:pPr>
        <w:jc w:val="center"/>
      </w:pPr>
      <w:r>
        <w:t>--- 更新: 11:28 ---</w:t>
      </w:r>
    </w:p>
    <w:p>
      <w:pPr>
        <w:pStyle w:val="Heading2"/>
      </w:pPr>
      <w:r/>
      <w:r>
        <w:rPr>
          <w:rFonts w:ascii="Times New Roman" w:hAnsi="Times New Roman" w:eastAsia="宋体"/>
          <w:b/>
          <w:color w:val="000000"/>
          <w:sz w:val="24"/>
        </w:rPr>
        <w:t>600 点腔阵列显微镜的稳定性、简并性和可扩展性</w:t>
      </w:r>
    </w:p>
    <w:p>
      <w:r>
        <w:rPr>
          <w:rFonts w:ascii="Times New Roman" w:hAnsi="Times New Roman" w:eastAsia="宋体"/>
          <w:b/>
          <w:color w:val="003264"/>
          <w:sz w:val="24"/>
        </w:rPr>
        <w:t>Stability, degeneracy, and scalability of a 600-site cavity array microscope</w:t>
      </w:r>
    </w:p>
    <w:p>
      <w:r>
        <w:rPr>
          <w:rFonts w:ascii="Times New Roman" w:hAnsi="Times New Roman" w:eastAsia="宋体"/>
          <w:sz w:val="21"/>
        </w:rPr>
        <w:t>作者: Jonathan Simon</w:t>
        <w:br/>
      </w:r>
      <w:r>
        <w:rPr>
          <w:rFonts w:ascii="Times New Roman" w:hAnsi="Times New Roman" w:eastAsia="宋体"/>
          <w:sz w:val="21"/>
        </w:rPr>
        <w:t xml:space="preserve">时间: 2026-02-06T10:28:06Z | </w:t>
      </w:r>
      <w:r>
        <w:t xml:space="preserve">链接: </w:t>
      </w:r>
      <w:hyperlink r:id="rId30">
        <w:r>
          <w:rPr>
            <w:rFonts w:ascii="Times New Roman" w:hAnsi="Times New Roman" w:eastAsia="宋体"/>
            <w:color w:val="0000FF"/>
            <w:sz w:val="21"/>
            <w:u w:val="single"/>
          </w:rPr>
          <w:t>https://arxiv.org/abs/2602.06587v1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光腔是控制光与物质相互作用的基础技术。虽然将单腔与原子或系综连接已成为一种标准工​​具，但大型原子阵列中单原子控制的出现激发了人们对“多腔 QED”新领域的兴趣，该领域具有许多能够单独寻址单个量子发射器的独立谐振器。在这个快速发展的领域，最近推出了腔阵列显微镜——采用自由空间腔内光学器件来设计具有波长尺度腰部的紧密间隔腔 TEM$_{00}$ 模式的二维阵列，非常适合与原子阵列连接。在这里，我们实现了该架构的下一代，以改进的、均匀的技巧实现了数百种简并腔模式，并探索了系统的技术特征，以实现进一步的可扩展性。我们特别研究缺陷，包括光学像差、视场限制、阵列非简并性和光学元件的损耗。我们确定了对这些不同向量的敏感性，并阐述了以稳定的方式调整和操作系统所需的控制旋钮和技术。最终，我们开辟了一条使用数万个独立腔进行操作的途径，同时保持与现有原子阵列的兼容性，为无数应用铺平了道路，包括高度并行化的远程纠缠生成、快速且无损的中电路读出以及混合原子光子哈密顿量的实现。</w:t>
      </w:r>
    </w:p>
    <w:p>
      <w:pPr>
        <w:spacing w:before="120"/>
      </w:pPr>
      <w:r>
        <w:rPr>
          <w:rFonts w:ascii="Times New Roman" w:hAnsi="Times New Roman" w:eastAsia="宋体"/>
          <w:b/>
          <w:sz w:val="21"/>
        </w:rPr>
        <w:t>English Abstract:</w:t>
      </w:r>
    </w:p>
    <w:p>
      <w:r>
        <w:rPr>
          <w:rFonts w:ascii="Times New Roman" w:hAnsi="Times New Roman" w:eastAsia="宋体"/>
          <w:sz w:val="21"/>
        </w:rPr>
        <w:t>Optical cavities are a foundational technology for controlling light-matter interactions. While interfacing a single cavity to either an atom or ensemble has become a standard tool, the advent of single atom control in large atomic arrays has spurred interest in a new frontier of ``many-cavity QED,'' featuring many independent resonators capable of separately addressing individual quantum emitters. In this fast-evolving landscape, the cavity array microscope was recently introduced -- employing free space intra-cavity optics to engineer a two-dimensional array of tightly spaced cavity TEM$_{00}$ modes with wavelength-scale waists, ideally suited for interfacing with atom arrays. Here we realize the next-generation of this architecture, achieving hundreds of degenerate cavity modes with improved, uniform finesse, and explore the technical features of the system which will enable further scalability. In particular, we study imperfections, including optical aberrations, field of view constraints, array non-degeneracies, and losses from optical elements. We identify the sensitivity to these various vectors and exposit the control knobs and techniques necessary to align and operate the system in a stable manner. Ultimately, we lay out a pathway towards operation with tens of thousands of independent cavities while maintaining compatibility with existing atom arrays, paving the way to myriad applications including highly parallelized remote entanglement generation, fast and non-destructive mid-circuit readout, and the implementation of hybrid atom-photon Hamiltonians.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Physics - Optics</w:t>
      </w:r>
    </w:p>
    <w:p>
      <w:pPr>
        <w:jc w:val="center"/>
      </w:pPr>
      <w:r>
        <w:t>--- 更新: 11:28 ---</w:t>
      </w:r>
    </w:p>
    <w:p>
      <w:pPr>
        <w:pStyle w:val="Heading2"/>
      </w:pPr>
      <w:r/>
      <w:r>
        <w:rPr>
          <w:rFonts w:ascii="Times New Roman" w:hAnsi="Times New Roman" w:eastAsia="宋体"/>
          <w:b/>
          <w:color w:val="000000"/>
          <w:sz w:val="24"/>
        </w:rPr>
        <w:t>通过特征函数直接测量量子伪分布的理论</w:t>
      </w:r>
    </w:p>
    <w:p>
      <w:r>
        <w:rPr>
          <w:rFonts w:ascii="Times New Roman" w:hAnsi="Times New Roman" w:eastAsia="宋体"/>
          <w:b/>
          <w:color w:val="003264"/>
          <w:sz w:val="24"/>
        </w:rPr>
        <w:t>Theory of direct measurement of the quantum pseudo-distribution via its characteristic function</w:t>
      </w:r>
    </w:p>
    <w:p>
      <w:r>
        <w:rPr>
          <w:rFonts w:ascii="Times New Roman" w:hAnsi="Times New Roman" w:eastAsia="宋体"/>
          <w:sz w:val="21"/>
        </w:rPr>
        <w:t>作者: Aephraim M. Steinberg</w:t>
        <w:br/>
      </w:r>
      <w:r>
        <w:rPr>
          <w:rFonts w:ascii="Times New Roman" w:hAnsi="Times New Roman" w:eastAsia="宋体"/>
          <w:sz w:val="21"/>
        </w:rPr>
        <w:t xml:space="preserve">时间: 2026-02-05T19:32:00Z | </w:t>
      </w:r>
      <w:r>
        <w:t xml:space="preserve">链接: </w:t>
      </w:r>
      <w:hyperlink r:id="rId31">
        <w:r>
          <w:rPr>
            <w:rFonts w:ascii="Times New Roman" w:hAnsi="Times New Roman" w:eastAsia="宋体"/>
            <w:color w:val="0000FF"/>
            <w:sz w:val="21"/>
            <w:u w:val="single"/>
          </w:rPr>
          <w:t>https://arxiv.org/abs/2602.06145v1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通过其特征函数直接测量可观测属性的量子力学伪分布的方法。特征值的范德蒙德矩阵在该理论中发挥着核心作用。该提案使用位置矩生成器（动量平移）的弱测量直接找到伪分布。虽然可以以与理论无关的方式从数据中提取赝分布，但结果表明，在量子力学形式主义下，预测的赝分布与柯克伍德-狄拉克赝分布相同。我们讨论了与弱值物理密切相关的联合伪分布和条件伪分布的构造。通过排列位置和动量测量，我们给出了直接探测规范交换关系并验证任何量子态的方法。这项工作建立了伪分布特征函数方法的理论，并提供了直接测量它们的建设性方法。</w:t>
      </w:r>
    </w:p>
    <w:p>
      <w:pPr>
        <w:spacing w:before="120"/>
      </w:pPr>
      <w:r>
        <w:rPr>
          <w:rFonts w:ascii="Times New Roman" w:hAnsi="Times New Roman" w:eastAsia="宋体"/>
          <w:b/>
          <w:sz w:val="21"/>
        </w:rPr>
        <w:t>English Abstract:</w:t>
      </w:r>
    </w:p>
    <w:p>
      <w:r>
        <w:rPr>
          <w:rFonts w:ascii="Times New Roman" w:hAnsi="Times New Roman" w:eastAsia="宋体"/>
          <w:sz w:val="21"/>
        </w:rPr>
        <w:t>We propose a method for directly measuring the quantum mechanical pseudo-distribution of observable properties via its characteristic function. Vandermonde matrices of the eigenvalues play a central role in the theory. This proposal directly finds the pseudo-distribution using weak measurements of the generator of position moments (momentum translations). While the pseudo-distribution can be extracted from the data in a theory-agnostic way, it is shown that under quantum-mechanical formalism, the predicted pseudo-distribution is identified with the Kirkwood-Dirac pseudo-distribution. We discuss the construction of both the joint pseudo-distribution and a conditional pseudo-distribution, which is closely connected to weak-value physics. By permuting position and momentum measurements, we give a prescription to directly probe the canonical commutation relation and verify it for any quantum state. This work establishes the theory of a characteristic function approach to pseudo-distributions, as well as providing a constructive approach to measuring them directly.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用于纳米流体的高纵横比纳米通道的直接激光写入</w:t>
      </w:r>
    </w:p>
    <w:p>
      <w:r>
        <w:rPr>
          <w:rFonts w:ascii="Times New Roman" w:hAnsi="Times New Roman" w:eastAsia="宋体"/>
          <w:b/>
          <w:color w:val="003264"/>
          <w:sz w:val="24"/>
        </w:rPr>
        <w:t>Direct laser writing of high aspect ratio nanochannels for nanofluidics</w:t>
      </w:r>
    </w:p>
    <w:p>
      <w:r>
        <w:rPr>
          <w:rFonts w:ascii="Times New Roman" w:hAnsi="Times New Roman" w:eastAsia="宋体"/>
          <w:sz w:val="21"/>
        </w:rPr>
        <w:t>作者: Eliot Fried</w:t>
        <w:br/>
      </w:r>
      <w:r>
        <w:rPr>
          <w:rFonts w:ascii="Times New Roman" w:hAnsi="Times New Roman" w:eastAsia="宋体"/>
          <w:sz w:val="21"/>
        </w:rPr>
        <w:t xml:space="preserve">时间: 2026-02-06T02:23:26Z | </w:t>
      </w:r>
      <w:r>
        <w:t xml:space="preserve">链接: </w:t>
      </w:r>
      <w:hyperlink r:id="rId32">
        <w:r>
          <w:rPr>
            <w:rFonts w:ascii="Times New Roman" w:hAnsi="Times New Roman" w:eastAsia="宋体"/>
            <w:color w:val="0000FF"/>
            <w:sz w:val="21"/>
            <w:u w:val="single"/>
          </w:rPr>
          <w:t>https://arxiv.org/abs/2602.06316v1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具有高宽高比的纳米通道对于许多应用来说都是理想的，特别是那些需要光学接入的应用，但制造起来仍然具有挑战性。在这项工作中，介绍了在金刚石薄膜和玻璃基板之间直接激光写入此类通道。正如之前报道的，激光可以将金刚石薄膜的一部分转变为纳米带。该条带引起周围薄膜的分层，导致形成两个具有三角形横截面的纳米通道。在这里，证明了具有矩形横截面和宽度与高度的纵横比超过五十的纳米通道可以在成对的纳米带之间形成。利用原子力显微镜，研究了产生这些纳米通道的最大条带间距，并证明可以通过显微分光光度法测量通道的反射率。纳米通道（包括纳米带）的微观结构以及激光写入过程中发生的过程是通过透射电子显微镜和电子能量损失光谱推断出来的。通过制造纳米流体装置并使用显微分光光度法，发现纳米通道通过毛细管作用充满水，具有抗堵塞性，并且对水填充具有机械稳定性。提出了一种用于生产高纵横比纳米通道的多功能平台，该纳米通道具有光学可访问性和流体功能，从而扩大了先进应用的机会。</w:t>
      </w:r>
    </w:p>
    <w:p>
      <w:pPr>
        <w:spacing w:before="120"/>
      </w:pPr>
      <w:r>
        <w:rPr>
          <w:rFonts w:ascii="Times New Roman" w:hAnsi="Times New Roman" w:eastAsia="宋体"/>
          <w:b/>
          <w:sz w:val="21"/>
        </w:rPr>
        <w:t>English Abstract:</w:t>
      </w:r>
    </w:p>
    <w:p>
      <w:r>
        <w:rPr>
          <w:rFonts w:ascii="Times New Roman" w:hAnsi="Times New Roman" w:eastAsia="宋体"/>
          <w:sz w:val="21"/>
        </w:rPr>
        <w:t>Nanochannels with high width-to-height aspect ratios are desirable for many applications, particularly those requiring optical access, but remain challenging to fabricate. In this work, the direct laser writing of such channels between diamond films and glass substrates is introduced. As previously reported, laser light can transform a portion of diamond film into a nanostrip. The strip induces delamination of the surrounding film, causing the formation of two nanochannels with triangular cross-sections. Here, it is demonstrated that nanochannels with rectangular cross-sections and width-to-height aspect ratios exceeding fifty can form between pairs of nanostrips. With atomic force microscopy, the maximum strip spacing that produces these nanochannels is investigated, and it is demonstrated that the reflectance of the channels can be measured by microspectrophotometry. The microstructure of the nanochannels, including nanostrips, and processes that occur during laser writing are inferred from transmission electron microscopy and electron energy loss spectroscopy. By fabricating a nanofluidic device and using microspectrophotometry, it is found that the nanochannels fill with water through capillary action, are resistant to clogging, and are mechanically stable against water filling. A versatile platform for producing high-aspect-ratio nanochannels that are optically accessible and fluidically functional is presented, thereby expanding opportunities for advanced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月球硅腔</w:t>
      </w:r>
    </w:p>
    <w:p>
      <w:r>
        <w:rPr>
          <w:rFonts w:ascii="Times New Roman" w:hAnsi="Times New Roman" w:eastAsia="宋体"/>
          <w:b/>
          <w:color w:val="003264"/>
          <w:sz w:val="24"/>
        </w:rPr>
        <w:t>Lunar Silicon Cavity</w:t>
      </w:r>
    </w:p>
    <w:p>
      <w:r>
        <w:rPr>
          <w:rFonts w:ascii="Times New Roman" w:hAnsi="Times New Roman" w:eastAsia="宋体"/>
          <w:sz w:val="21"/>
        </w:rPr>
        <w:t>作者: Julian Struck</w:t>
        <w:br/>
      </w:r>
      <w:r>
        <w:rPr>
          <w:rFonts w:ascii="Times New Roman" w:hAnsi="Times New Roman" w:eastAsia="宋体"/>
          <w:sz w:val="21"/>
        </w:rPr>
        <w:t xml:space="preserve">时间: 2026-02-06T03:27:59Z | </w:t>
      </w:r>
      <w:r>
        <w:t xml:space="preserve">链接: </w:t>
      </w:r>
      <w:hyperlink r:id="rId33">
        <w:r>
          <w:rPr>
            <w:rFonts w:ascii="Times New Roman" w:hAnsi="Times New Roman" w:eastAsia="宋体"/>
            <w:color w:val="0000FF"/>
            <w:sz w:val="21"/>
            <w:u w:val="single"/>
          </w:rPr>
          <w:t>https://arxiv.org/abs/2602.06352v1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月球的永久阴影区域（PSR）是太阳系中最冷的地方之一，预计将成为即将到来的国际航天局任务的关键着陆点。它们靠近永久太阳能峰值和潜在资源丰富，使它们成为月球探索和未来月球基地的主要候选者。在这里，我们建议在这些区域部署无源超稳定光学谐振器，这将使激光系统具有前所未有的相位相干性。月球PSR独特的物理环境极大地有利于低温单片硅腔的构建，该腔表现出低$10^{-18}$热噪声限制稳定性和超过1分钟的相干时间，比当前最好的地面系统好十多年。这种稳定的激光器将形成太空中的基本量子技术基础设施，服务于许多应用，包括建立月球时间标准、建立长基线光学干涉测量、在卫星网络上分配稳定的光信号、测试广义相对论和引力物理，以及形成天基量子网络的骨干。</w:t>
      </w:r>
    </w:p>
    <w:p>
      <w:pPr>
        <w:spacing w:before="120"/>
      </w:pPr>
      <w:r>
        <w:rPr>
          <w:rFonts w:ascii="Times New Roman" w:hAnsi="Times New Roman" w:eastAsia="宋体"/>
          <w:b/>
          <w:sz w:val="21"/>
        </w:rPr>
        <w:t>English Abstract:</w:t>
      </w:r>
    </w:p>
    <w:p>
      <w:r>
        <w:rPr>
          <w:rFonts w:ascii="Times New Roman" w:hAnsi="Times New Roman" w:eastAsia="宋体"/>
          <w:sz w:val="21"/>
        </w:rPr>
        <w:t>The Moon's permanently shadowed regions (PSRs) are among the coldest places in the Solar System and are expected to become key landing sites for upcoming international space agency missions. Their proximity to peaks of perpetual solar power and potential resource richness makes them prime candidates for lunar exploration and future Moon bases. Here we propose to deploy a passive, ultrastable optical resonator in these regions that will enable laser systems with unprecedented phase-coherence. The unique physical environment of lunar PSRs greatly benefits the construction of a cryogenic monolithic silicon cavity that exhibits low $10^{-18}$ thermal noise-limited stability and coherence time exceeding 1 minute, more than a decade better than the current best terrestrial system. Such a stable laser will form a basic quantum technology infrastructure in space to serve many applications, including establishing a lunar time standard, building long-baseline optical interferometry, distribution of stable optical signals across networks of satellites, testing general relativity and gravitational physics, and forming the backbone for space-based quantum networks.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通过模式切换边界拓扑实现非厄米激光阵列中的宽带连续频率调谐</w:t>
      </w:r>
    </w:p>
    <w:p>
      <w:r>
        <w:rPr>
          <w:rFonts w:ascii="Times New Roman" w:hAnsi="Times New Roman" w:eastAsia="宋体"/>
          <w:b/>
          <w:color w:val="003264"/>
          <w:sz w:val="24"/>
        </w:rPr>
        <w:t>Broadband Continuous Frequency Tuning in Non-Hermitian Laser Arrays Enabled by Mode-Switching Boundary Topology</w:t>
      </w:r>
    </w:p>
    <w:p>
      <w:r>
        <w:rPr>
          <w:rFonts w:ascii="Times New Roman" w:hAnsi="Times New Roman" w:eastAsia="宋体"/>
          <w:sz w:val="21"/>
        </w:rPr>
        <w:t>作者: Gangyi Xu</w:t>
        <w:br/>
      </w:r>
      <w:r>
        <w:rPr>
          <w:rFonts w:ascii="Times New Roman" w:hAnsi="Times New Roman" w:eastAsia="宋体"/>
          <w:sz w:val="21"/>
        </w:rPr>
        <w:t xml:space="preserve">时间: 2026-02-06T07:09:51Z | </w:t>
      </w:r>
      <w:r>
        <w:t xml:space="preserve">链接: </w:t>
      </w:r>
      <w:hyperlink r:id="rId34">
        <w:r>
          <w:rPr>
            <w:rFonts w:ascii="Times New Roman" w:hAnsi="Times New Roman" w:eastAsia="宋体"/>
            <w:color w:val="0000FF"/>
            <w:sz w:val="21"/>
            <w:u w:val="single"/>
          </w:rPr>
          <w:t>https://arxiv.org/abs/2602.06438v1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宽带和连续频率调谐是半导体激光器多功能性的核心，但现有方法通常依赖于外部移动组件，限制了可扩展性和集成度。在这里，我们演示了仅通过控制泵浦电流即可实现的非厄米激光阵列中的宽带连续频率调谐。我们表明，在两个具有频率失谐 ($Δω$) 和相对损耗 ($Δα$) 的耦合子激光器中，在 ($Δω$, $Δα$) 参数空间中出现模式切换边界，从而塑造了低损耗超模的频率景观。该边界的拓扑包括在异常点（EP）连接的伪对称（PS）和伪对称破缺（PSB）分支。当调谐轨迹穿过PS分支时，频率调谐是不连续的，而穿过PSB分支的轨迹则可以连续调谐；通过 EP 的轨迹产生最大连续调谐范围。使用两个耦合太赫兹量子级联激光器的实验证明了通过泵浦电流的任意多种组合实现了超过 10 GHz 的连续调谐。将此方法扩展到多元件阵列，进一步将连续调谐范围扩展至 163 GHz。这些结果建立了无运动部件半导体激光器中宽带连续调谐的一般途径，并突出了动态特征值工程在非厄米光子学及其他领域的潜力。</w:t>
      </w:r>
    </w:p>
    <w:p>
      <w:pPr>
        <w:spacing w:before="120"/>
      </w:pPr>
      <w:r>
        <w:rPr>
          <w:rFonts w:ascii="Times New Roman" w:hAnsi="Times New Roman" w:eastAsia="宋体"/>
          <w:b/>
          <w:sz w:val="21"/>
        </w:rPr>
        <w:t>English Abstract:</w:t>
      </w:r>
    </w:p>
    <w:p>
      <w:r>
        <w:rPr>
          <w:rFonts w:ascii="Times New Roman" w:hAnsi="Times New Roman" w:eastAsia="宋体"/>
          <w:sz w:val="21"/>
        </w:rPr>
        <w:t>Broadband and continuous frequency tuning is central to the versatility of semiconductor lasers, yet existing approaches typically rely on external moving components, limiting scalability and integration. Here we demonstrate broadband continuous frequency tuning in a non-Hermitian laser array achieved solely by controlling the pump currents. We show that in two coupled sub-lasers with frequency detuning ($Δω$) and relative loss ($Δα$), a mode-switching boundary emerges in the ($Δω$, $Δα$) parameter space, shaping the frequency landscape of the lower-loss supermode. The topology of this boundary comprises pseudo-symmetric (PS) and pseudo-symmetry-broken (PSB) branches connected at an exceptional point (EP). When tuning trajectories cross the PS branch, frequency tuning is discontinuous, whereas trajectories crossing the PSB branch enable continuous tuning; trajectories through the EP yield the maximum continuous tuning range. Experiments using two coupled terahertz quantum cascade lasers demonstrate continuous tuning over 10 GHz, enabled by arbitrarily many combinations of pump currents. Extending this approach to a multi-element array further expands the continuous tuning range to 163 GHz. These results establish a general route to broadband continuous tuning in moving-part-free semiconductor lasers and highlight the potential for dynamic eigenvalue engineering in non-Hermitian photonics and beyond.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 Ta 薄膜全层氧化的突发模式飞秒激光直写</w:t>
      </w:r>
    </w:p>
    <w:p>
      <w:r>
        <w:rPr>
          <w:rFonts w:ascii="Times New Roman" w:hAnsi="Times New Roman" w:eastAsia="宋体"/>
          <w:b/>
          <w:color w:val="003264"/>
          <w:sz w:val="24"/>
        </w:rPr>
        <w:t>Burst-mode fs-laser direct writing for full-thickness oxidation of Ta thin films</w:t>
      </w:r>
    </w:p>
    <w:p>
      <w:r>
        <w:rPr>
          <w:rFonts w:ascii="Times New Roman" w:hAnsi="Times New Roman" w:eastAsia="宋体"/>
          <w:sz w:val="21"/>
        </w:rPr>
        <w:t>作者: Saulius Juodkazis</w:t>
        <w:br/>
      </w:r>
      <w:r>
        <w:rPr>
          <w:rFonts w:ascii="Times New Roman" w:hAnsi="Times New Roman" w:eastAsia="宋体"/>
          <w:sz w:val="21"/>
        </w:rPr>
        <w:t xml:space="preserve">时间: 2026-02-06T07:13:58Z | </w:t>
      </w:r>
      <w:r>
        <w:t xml:space="preserve">链接: </w:t>
      </w:r>
      <w:hyperlink r:id="rId35">
        <w:r>
          <w:rPr>
            <w:rFonts w:ascii="Times New Roman" w:hAnsi="Times New Roman" w:eastAsia="宋体"/>
            <w:color w:val="0000FF"/>
            <w:sz w:val="21"/>
            <w:u w:val="single"/>
          </w:rPr>
          <w:t>https://arxiv.org/abs/2602.06444v1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使用飞秒脉冲曝光的组合 ps 和 ns 突发模式（突发中突发或 BiB）以 0.6~MHz 高重复率实现在 200~nm Ta 薄膜上直接飞秒激光 (1030~nm/200~fs) 写入整个氧化物 Ta$_{2}$O$_{5}$。通过控制氧化而不烧蚀，在12~$μ$m焦斑中心形成几微米宽的线。氧化区域平坦且光学透明。通过对$1\times 1$~mm$^2$区域进行光栅记录，氧化Ta$_{2}$O$_{5}$ sub-1~$μ$m光栅的波长尺度自组织波纹。具有周期性图案$\sim波长$的氧化波纹与写入光束的偏振对齐。通过比较 200~fs 和 20~ps BiB 模式写入模式，讨论了突发模式氧化中的能量沉积。所提出的 BiB 飞秒激光热沉积自引导氧化策略为亚波长范围内的无碎片和无退火氧化提供了机会。</w:t>
      </w:r>
    </w:p>
    <w:p>
      <w:pPr>
        <w:spacing w:before="120"/>
      </w:pPr>
      <w:r>
        <w:rPr>
          <w:rFonts w:ascii="Times New Roman" w:hAnsi="Times New Roman" w:eastAsia="宋体"/>
          <w:b/>
          <w:sz w:val="21"/>
        </w:rPr>
        <w:t>English Abstract:</w:t>
      </w:r>
    </w:p>
    <w:p>
      <w:r>
        <w:rPr>
          <w:rFonts w:ascii="Times New Roman" w:hAnsi="Times New Roman" w:eastAsia="宋体"/>
          <w:sz w:val="21"/>
        </w:rPr>
        <w:t>Direct fs-laser (1030~nm/200~fs) write of a throughout oxide Ta$_{2}$O$_{5}$ on a 200~nm Ta film was achieved using a combined ps- and ns- burst mode (Burst-in-Burst or BiB) of fs-pulse exposure at a high 0.6~MHz repetition rate. Few micrometers-wide lines were formed at the center of 12~$μ$m focal spot by controlled oxidation without ablation. The oxidized regions were flat and optically transparent. Wavelength-scale self-organized ripples of oxidized Ta$_{2}$O$_{5}$ sub-1~$μ$m gratings were recorded by rastering a $1\times 1$~mm$^2$ area. The oxidized ripples with periodic pattern $\sim wavelength$ were aligned with the polarization of the writing beam. Energy deposition in the burst-mode oxidation is discussed by comparing 200~fs and 20~ps BiB-mode writing modes. The presented strategy of self-guided oxidation with heat deposition by BiB fs-laser opens an opportunity for debris-free and annealing-free oxidation on a sub-wavelength scale.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自适应光学系统的联合光学数字设计策略：应用于卫星成像波长选择</w:t>
      </w:r>
    </w:p>
    <w:p>
      <w:r>
        <w:rPr>
          <w:rFonts w:ascii="Times New Roman" w:hAnsi="Times New Roman" w:eastAsia="宋体"/>
          <w:b/>
          <w:color w:val="003264"/>
          <w:sz w:val="24"/>
        </w:rPr>
        <w:t>Joint optical-digital design strategy for adaptive optics systems: application to wavelength selection for satellite imaging</w:t>
      </w:r>
    </w:p>
    <w:p>
      <w:r>
        <w:rPr>
          <w:rFonts w:ascii="Times New Roman" w:hAnsi="Times New Roman" w:eastAsia="宋体"/>
          <w:sz w:val="21"/>
        </w:rPr>
        <w:t>作者: Cyril Petit</w:t>
        <w:br/>
      </w:r>
      <w:r>
        <w:rPr>
          <w:rFonts w:ascii="Times New Roman" w:hAnsi="Times New Roman" w:eastAsia="宋体"/>
          <w:sz w:val="21"/>
        </w:rPr>
        <w:t xml:space="preserve">时间: 2026-02-06T09:41:16Z | </w:t>
      </w:r>
      <w:r>
        <w:t xml:space="preserve">链接: </w:t>
      </w:r>
      <w:hyperlink r:id="rId36">
        <w:r>
          <w:rPr>
            <w:rFonts w:ascii="Times New Roman" w:hAnsi="Times New Roman" w:eastAsia="宋体"/>
            <w:color w:val="0000FF"/>
            <w:sz w:val="21"/>
            <w:u w:val="single"/>
          </w:rPr>
          <w:t>https://arxiv.org/abs/2602.06537v1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适应光学可用于减轻大气湍流对成像系统的影响，但校正只是部分的，并且通常需要反卷积来提高分辨率。这导致整个光学/数字系统传统上是按顺序设计的，即首先优化自适应光学系统，然后再设计恢复算法。对光学/数字系统的研究表明，联合优化整个系统是更好的选择。我们建议将这些协同设计策略扩展到自适应光学辅助成像系统的设计。我们得出了一个简单的标准，该标准考虑了光源特性和整个光学/数字系统的性能。为了说明它的重要性，我们用它来优化波前传感器和成像相机之间的波长分布。此外，我们还探索了使用在不同波长下工作的多个成像通道的潜力，作为使成像系统对湍流强度和源强度变化具有鲁棒性的一种手段。后来，光学/数字系统的任何参数（如果不是整个系统本身）都可以通过这种方式进行优化。</w:t>
      </w:r>
    </w:p>
    <w:p>
      <w:pPr>
        <w:spacing w:before="120"/>
      </w:pPr>
      <w:r>
        <w:rPr>
          <w:rFonts w:ascii="Times New Roman" w:hAnsi="Times New Roman" w:eastAsia="宋体"/>
          <w:b/>
          <w:sz w:val="21"/>
        </w:rPr>
        <w:t>English Abstract:</w:t>
      </w:r>
    </w:p>
    <w:p>
      <w:r>
        <w:rPr>
          <w:rFonts w:ascii="Times New Roman" w:hAnsi="Times New Roman" w:eastAsia="宋体"/>
          <w:sz w:val="21"/>
        </w:rPr>
        <w:t>Adaptive optics can be used to mitigate the effects of atmospheric turbulence on imaging systems, but the correction is only partial, and deconvolution is often required to improve the resolution. This results in entire optical/digital systems, which are traditionally designed sequentially, i.e. , the adaptive optics system is optimised first, and the restoration algorithms are designed a second time. Studies on optical/digital systems have shown that jointly optimizing the whole system is a better alternative. We propose to extend these co-design strategies to the design of an adaptive optics-assisted imaging system. We derive a simple criterion that takes into account the source properties and the entire optical/ digital system performance. To illustrate its interest, we use it to optimize the wavelength distribution between the wavefront sensor and the imaging camera. In addition, we explore the potential of using multiple imaging channels operating at different wavelengths as a means of making an imaging system robust to turbulence strength and source magnitude variations. Later, any parameter of the optical/digital system, if not the entire system itself, could be optimized this way.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光机械谐振器中的光学可调谐非线性机械阻尼</w:t>
      </w:r>
    </w:p>
    <w:p>
      <w:r>
        <w:rPr>
          <w:rFonts w:ascii="Times New Roman" w:hAnsi="Times New Roman" w:eastAsia="宋体"/>
          <w:b/>
          <w:color w:val="003264"/>
          <w:sz w:val="24"/>
        </w:rPr>
        <w:t>Optically tunable nonlinear mechanical damping in an optomechanical resonator</w:t>
      </w:r>
    </w:p>
    <w:p>
      <w:r>
        <w:rPr>
          <w:rFonts w:ascii="Times New Roman" w:hAnsi="Times New Roman" w:eastAsia="宋体"/>
          <w:sz w:val="21"/>
        </w:rPr>
        <w:t>作者: Hajime Okamoto</w:t>
        <w:br/>
      </w:r>
      <w:r>
        <w:rPr>
          <w:rFonts w:ascii="Times New Roman" w:hAnsi="Times New Roman" w:eastAsia="宋体"/>
          <w:sz w:val="21"/>
        </w:rPr>
        <w:t xml:space="preserve">时间: 2026-02-06T10:02:01Z | </w:t>
      </w:r>
      <w:r>
        <w:t xml:space="preserve">链接: </w:t>
      </w:r>
      <w:hyperlink r:id="rId37">
        <w:r>
          <w:rPr>
            <w:rFonts w:ascii="Times New Roman" w:hAnsi="Times New Roman" w:eastAsia="宋体"/>
            <w:color w:val="0000FF"/>
            <w:sz w:val="21"/>
            <w:u w:val="single"/>
          </w:rPr>
          <w:t>https://arxiv.org/abs/2602.06559v1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从理论上提出并通过实验证明了利用部分解析边带机制的腔光机械系统中的光学可调谐非线性机械阻尼。光机耦合为机械模式提供延迟的非线性反作用，从而产生非线性机械阻尼。这种光致非线性阻尼是在频域和时域中观察到的，我们通过理论和实验证明它可以通过激光失谐来调节。我们还观察到两种机械模式之间的光学介导的交叉非线性阻尼：一种模式的振幅调制另一种模式的阻尼。所提出的结果显示了一种完全可调的非线性机械阻尼方案，该方案将适用于受非线性、非平衡和非厄米现象控制的各种非平凡系统。</w:t>
      </w:r>
    </w:p>
    <w:p>
      <w:pPr>
        <w:spacing w:before="120"/>
      </w:pPr>
      <w:r>
        <w:rPr>
          <w:rFonts w:ascii="Times New Roman" w:hAnsi="Times New Roman" w:eastAsia="宋体"/>
          <w:b/>
          <w:sz w:val="21"/>
        </w:rPr>
        <w:t>English Abstract:</w:t>
      </w:r>
    </w:p>
    <w:p>
      <w:r>
        <w:rPr>
          <w:rFonts w:ascii="Times New Roman" w:hAnsi="Times New Roman" w:eastAsia="宋体"/>
          <w:sz w:val="21"/>
        </w:rPr>
        <w:t>We theoretically propose and experimentally demonstrate optically tunable nonlinear mechanical damping in a cavity optomechanical system utilizing a partly resolved sideband regime. Optomechanical coupling provides a delayed nonlinear backaction to the mechanical modes, resulting in nonlinear mechanical damping. This optically induced nonlinear damping is observed in the frequency and time domains, and we show using both theory and experiment that it can be tuned via laser detuning. We also observe optically mediated cross-nonlinear damping between two mechanical modes: the amplitude of one mode modulates the damping of the other. The presented results show a fully tunable scheme of nonlinear mechanical damping that will be applicable to various non-trivial systems, governed by nonlinear, nonequilibrium, and non-Hermitian phenomena.</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具有增强后采样功能的扩散薛定谔桥，用于超表面逆设计</w:t>
      </w:r>
    </w:p>
    <w:p>
      <w:r>
        <w:rPr>
          <w:rFonts w:ascii="Times New Roman" w:hAnsi="Times New Roman" w:eastAsia="宋体"/>
          <w:b/>
          <w:color w:val="003264"/>
          <w:sz w:val="24"/>
        </w:rPr>
        <w:t>Diffusion Schrödinger Bridges with enhanced posterior sampling for metasurface inverse design</w:t>
      </w:r>
    </w:p>
    <w:p>
      <w:r>
        <w:rPr>
          <w:rFonts w:ascii="Times New Roman" w:hAnsi="Times New Roman" w:eastAsia="宋体"/>
          <w:sz w:val="21"/>
        </w:rPr>
        <w:t>作者: Régis Orobtchouk</w:t>
        <w:br/>
      </w:r>
      <w:r>
        <w:rPr>
          <w:rFonts w:ascii="Times New Roman" w:hAnsi="Times New Roman" w:eastAsia="宋体"/>
          <w:sz w:val="21"/>
        </w:rPr>
        <w:t xml:space="preserve">时间: 2026-02-06T11:07:30Z | </w:t>
      </w:r>
      <w:r>
        <w:t xml:space="preserve">链接: </w:t>
      </w:r>
      <w:hyperlink r:id="rId38">
        <w:r>
          <w:rPr>
            <w:rFonts w:ascii="Times New Roman" w:hAnsi="Times New Roman" w:eastAsia="宋体"/>
            <w:color w:val="0000FF"/>
            <w:sz w:val="21"/>
            <w:u w:val="single"/>
          </w:rPr>
          <w:t>https://arxiv.org/abs/2602.06605v1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超表面逆设计面临着结构参数与电磁响应之间复杂关系以及优化空间的高维性的挑战。局部模型虽然被广泛使用，但对于复杂和局部耦合的结构很快就变得不可行。另一方面，传统的迭代优化技术计算量大、耗时且容易收敛于局部极小值。本研究探索了一种基于薛定谔桥框架内增强后验采样的通用生成方法。通过将后验采样分解为幅度和方向贡献，我们有效地集成了不同类型的后验采样。这种方法得到了精细训练策略的进一步支持，以提高性能并降低超参数优化的复杂性。所提出的框架表现出卓越的准确性和鲁棒性，代表了超表面设计的重大进步。值得注意的是，它可以对高达 350 美元×350 美元柱子阵列的大规模配置进行高精度逆向设计，尽管它是在 23 美元×23 美元柱子的小得多的阵列上进行训练的。</w:t>
      </w:r>
    </w:p>
    <w:p>
      <w:pPr>
        <w:spacing w:before="120"/>
      </w:pPr>
      <w:r>
        <w:rPr>
          <w:rFonts w:ascii="Times New Roman" w:hAnsi="Times New Roman" w:eastAsia="宋体"/>
          <w:b/>
          <w:sz w:val="21"/>
        </w:rPr>
        <w:t>English Abstract:</w:t>
      </w:r>
    </w:p>
    <w:p>
      <w:r>
        <w:rPr>
          <w:rFonts w:ascii="Times New Roman" w:hAnsi="Times New Roman" w:eastAsia="宋体"/>
          <w:sz w:val="21"/>
        </w:rPr>
        <w:t>Metasurface inverse design is challenged by the intricate relationship between structural parameters and electromagnetic responses, as well as the high dimensionality of the optimization space. Local models, while commonly employed, quickly become infeasible for complex and locally coupled structures. Conventional iterative optimization techniques, on the other hand, are computationally intensive, time-consuming, and susceptible to convergence in local minima. This study explores a versatile generative methodology based on enhanced posterior sampling within the Schrödinger Bridge framework. By decomposing posterior sampling into amplitude and directional contributions, we effectively integrated different kind of posterior sampling. This approach is further supported by refined training strategies to enhance performance and reduce the complexity of hyperparameter optimization. The proposed framework demonstrates exceptional accuracy and robustness, representing a significant advancement in metasurface design. Notably, it enables high-precision inverse design for large-scale configurations of up to $350 \times 350$ pillar arrays, despite being trained on significantly smaller arrays of $23 \times 23$ pillars.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通过参数化结合实现通用明亮-明亮集成孤子分子</w:t>
      </w:r>
    </w:p>
    <w:p>
      <w:r>
        <w:rPr>
          <w:rFonts w:ascii="Times New Roman" w:hAnsi="Times New Roman" w:eastAsia="宋体"/>
          <w:b/>
          <w:color w:val="003264"/>
          <w:sz w:val="24"/>
        </w:rPr>
        <w:t>Universal Bright-Bright Integrated Soliton Molecule via Parametric Binding</w:t>
      </w:r>
    </w:p>
    <w:p>
      <w:r>
        <w:rPr>
          <w:rFonts w:ascii="Times New Roman" w:hAnsi="Times New Roman" w:eastAsia="宋体"/>
          <w:sz w:val="21"/>
        </w:rPr>
        <w:t>作者: Grégory Moille</w:t>
        <w:br/>
      </w:r>
      <w:r>
        <w:rPr>
          <w:rFonts w:ascii="Times New Roman" w:hAnsi="Times New Roman" w:eastAsia="宋体"/>
          <w:sz w:val="21"/>
        </w:rPr>
        <w:t xml:space="preserve">时间: 2026-02-06T14:00:46Z | </w:t>
      </w:r>
      <w:r>
        <w:t xml:space="preserve">链接: </w:t>
      </w:r>
      <w:hyperlink r:id="rId39">
        <w:r>
          <w:rPr>
            <w:rFonts w:ascii="Times New Roman" w:hAnsi="Times New Roman" w:eastAsia="宋体"/>
            <w:color w:val="0000FF"/>
            <w:sz w:val="21"/>
            <w:u w:val="single"/>
          </w:rPr>
          <w:t>https://arxiv.org/abs/2602.06711v1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耗散克尔孤子 (DKS) 已成为计量学中片上集成光学频率梳 (OFC) 生成的首选解决方案。多泵浦 DKS 可以实现 Kerr 诱导同步机制中的全光捕获，或者在多色 DKS 机制中实现具有 \greg{锁定重复率但组件之间具有恒定频率偏移}的多分量 OFC。多色 DKS 机制特别令人感兴趣，因为 DKS 和次级泵浦分量之间的非线性混合会产生不同频率的闲频波，这对于 DKS 梳的光谱扩展很有用。在这里，我们探索了谐振器自由光谱范围与 DKS 匹配的频率下的多色闲频信号的生成。我们从理论上和实验上证明，在没有相位匹配的情况下，惰轮会通过参量相互作用形成基本上与明亮的 DKS 结合的明亮脉冲，尽管发生在正常色散中。我们的工作可以在可见波长量子系统的计量和光谱学中实现新的应用，因为我们的亮-亮状态的参数性质消除了对色散状态或可见波长泵浦的依赖。</w:t>
      </w:r>
    </w:p>
    <w:p>
      <w:pPr>
        <w:spacing w:before="120"/>
      </w:pPr>
      <w:r>
        <w:rPr>
          <w:rFonts w:ascii="Times New Roman" w:hAnsi="Times New Roman" w:eastAsia="宋体"/>
          <w:b/>
          <w:sz w:val="21"/>
        </w:rPr>
        <w:t>English Abstract:</w:t>
      </w:r>
    </w:p>
    <w:p>
      <w:r>
        <w:rPr>
          <w:rFonts w:ascii="Times New Roman" w:hAnsi="Times New Roman" w:eastAsia="宋体"/>
          <w:sz w:val="21"/>
        </w:rPr>
        <w:t>Dissipative Kerr solitons (DKSs) have emerged as the preferred solution for on-chip integrated optical frequency comb (OFC) generation in metrology. A multi-pumped DKS enables either all-optical trapping in the Kerr-induced synchronization regime, or a multi-component OFC with \greg{a locked repetition rate yet with constant frequency offsets between the components} in the multi-color DKS regime. The multi-color DKS regime is of particular interest since nonlinear mixing between the DKS and the secondary pumped component generates idler waves at different frequencies that are useful for spectral extension of the DKS comb. Here, we explore multi-color idler generation at frequencies in which the resonator free spectral range matches that at the DKS. We demonstrate theoretically and experimentally that without phase matching, the idler forms a bright pulse fundamentally bound to the bright DKS through parametric interaction, despite occurring in normal dispersion. Our work can enable new applications in metrology and spectroscopy of quantum systems toward visible wavelengths, as the parametric nature of our bright-bright state eliminates dependence on dispersion regime or visible wavelength pumping.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低损耗氮化硅集成电路中的热弹性表面声波</w:t>
      </w:r>
    </w:p>
    <w:p>
      <w:r>
        <w:rPr>
          <w:rFonts w:ascii="Times New Roman" w:hAnsi="Times New Roman" w:eastAsia="宋体"/>
          <w:b/>
          <w:color w:val="003264"/>
          <w:sz w:val="24"/>
        </w:rPr>
        <w:t>Thermoelastic surface acoustic waves in low-loss silicon nitride integrated circuits</w:t>
      </w:r>
    </w:p>
    <w:p>
      <w:r>
        <w:rPr>
          <w:rFonts w:ascii="Times New Roman" w:hAnsi="Times New Roman" w:eastAsia="宋体"/>
          <w:sz w:val="21"/>
        </w:rPr>
        <w:t>作者: David Marpaung</w:t>
        <w:br/>
      </w:r>
      <w:r>
        <w:rPr>
          <w:rFonts w:ascii="Times New Roman" w:hAnsi="Times New Roman" w:eastAsia="宋体"/>
          <w:sz w:val="21"/>
        </w:rPr>
        <w:t xml:space="preserve">时间: 2026-02-06T14:26:47Z | </w:t>
      </w:r>
      <w:r>
        <w:t xml:space="preserve">链接: </w:t>
      </w:r>
      <w:hyperlink r:id="rId40">
        <w:r>
          <w:rPr>
            <w:rFonts w:ascii="Times New Roman" w:hAnsi="Times New Roman" w:eastAsia="宋体"/>
            <w:color w:val="0000FF"/>
            <w:sz w:val="21"/>
            <w:u w:val="single"/>
          </w:rPr>
          <w:t>https://arxiv.org/abs/2602.06732v1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子集成电路中的声光调制可利用信号处理、量子光子学和微波光子学等应用。然而，氮化硅（$\rm{Si_3N_4}$）作为主流的低损耗可扩展光子平台，缺乏压电效应，因此声光调制始终需要与其他材料的混合共集成。在这里，我们在传播损耗为 8 dB/m 的 $\rm{Si_3N_4}$ 集成电路中采用了热弹性表面声波 (SAW)，而无需添加额外的材料。通过多通道配置，相位调制效率提高了 13.6 dB。此外，测量了抑制比为 8 dB 的单边带模间散射，并通过将相位调制合并到环形谐振器频谱中观察到强度调制。这种热弹性SAW技术作为低损耗$\rm{Si_3N_4}$平台中声光调制的第一步，在集成微波光子学和可编程光子学应用中具有广阔的前景。</w:t>
      </w:r>
    </w:p>
    <w:p>
      <w:pPr>
        <w:spacing w:before="120"/>
      </w:pPr>
      <w:r>
        <w:rPr>
          <w:rFonts w:ascii="Times New Roman" w:hAnsi="Times New Roman" w:eastAsia="宋体"/>
          <w:b/>
          <w:sz w:val="21"/>
        </w:rPr>
        <w:t>English Abstract:</w:t>
      </w:r>
    </w:p>
    <w:p>
      <w:r>
        <w:rPr>
          <w:rFonts w:ascii="Times New Roman" w:hAnsi="Times New Roman" w:eastAsia="宋体"/>
          <w:sz w:val="21"/>
        </w:rPr>
        <w:t>Acousto-optic modulation in photonic integrated circuits harness the applications that include signal processing, quantum photonics and microwave photonics. However, silicon nitride ($\rm{Si_3N_4}$), as a main-stream low-loss scalable photonic platform, suffers from the lack of piezoelectric effect and therefore the hybrid co-integration with other materials is always required for acousto-optic modulation. Here, we employed thermoelastic surface acoustic waves (SAW) in a 8 dB/m propagation loss $\rm{Si_3N_4}$ integrated circuits without adding extra materials. A phase modulation efficiency enhancement of 13.6 dB is realized with a multi-pass configuration. Furthermore, a single-sideband intermodal scattering with a suppression ratio of 8 dB is measured and an intensity modulation is observed by incorporating the phase modulation into a ring resonator spectral. This thermoelastic SAW technique, as an initial step of acousto-optic modulation in low-loss $\rm{Si_3N_4}$ platform, is promising for integrated microwave photonics and programmable photonics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通过光谱干涉测量法对量子频率转换器进行相敏表征</w:t>
      </w:r>
    </w:p>
    <w:p>
      <w:r>
        <w:rPr>
          <w:rFonts w:ascii="Times New Roman" w:hAnsi="Times New Roman" w:eastAsia="宋体"/>
          <w:b/>
          <w:color w:val="003264"/>
          <w:sz w:val="24"/>
        </w:rPr>
        <w:t>Phase-sensitive characterization of a quantum frequency converter by spectral interferometry</w:t>
      </w:r>
    </w:p>
    <w:p>
      <w:r>
        <w:rPr>
          <w:rFonts w:ascii="Times New Roman" w:hAnsi="Times New Roman" w:eastAsia="宋体"/>
          <w:sz w:val="21"/>
        </w:rPr>
        <w:t>作者: Alex O C Davis</w:t>
        <w:br/>
      </w:r>
      <w:r>
        <w:rPr>
          <w:rFonts w:ascii="Times New Roman" w:hAnsi="Times New Roman" w:eastAsia="宋体"/>
          <w:sz w:val="21"/>
        </w:rPr>
        <w:t xml:space="preserve">时间: 2026-02-06T15:52:19Z | </w:t>
      </w:r>
      <w:r>
        <w:t xml:space="preserve">链接: </w:t>
      </w:r>
      <w:hyperlink r:id="rId41">
        <w:r>
          <w:rPr>
            <w:rFonts w:ascii="Times New Roman" w:hAnsi="Times New Roman" w:eastAsia="宋体"/>
            <w:color w:val="0000FF"/>
            <w:sz w:val="21"/>
            <w:u w:val="single"/>
          </w:rPr>
          <w:t>https://arxiv.org/abs/2602.06796v1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引入了一种实验技术，用于光学模式的任意单一光谱时间变换的完整相敏表征。我们的方法通过分析可调双色探头响应中的光谱干扰来恢复变频器的复杂光谱传递函数或格林函数。我们对基于光子晶体光纤中布拉格散射四波混频的频率转换模块进行了概念验证实验。我们的结果通过恢复格林函数相位中的有用信息来验证我们的技术，揭示模块内主动频率转换和被动色散传播区域的相对位置。我们的工作引入了一种新方法来表征新兴量子技术中具有不同应用的各种有源器件的性能。</w:t>
      </w:r>
    </w:p>
    <w:p>
      <w:pPr>
        <w:spacing w:before="120"/>
      </w:pPr>
      <w:r>
        <w:rPr>
          <w:rFonts w:ascii="Times New Roman" w:hAnsi="Times New Roman" w:eastAsia="宋体"/>
          <w:b/>
          <w:sz w:val="21"/>
        </w:rPr>
        <w:t>English Abstract:</w:t>
      </w:r>
    </w:p>
    <w:p>
      <w:r>
        <w:rPr>
          <w:rFonts w:ascii="Times New Roman" w:hAnsi="Times New Roman" w:eastAsia="宋体"/>
          <w:sz w:val="21"/>
        </w:rPr>
        <w:t>We introduce an experimental technique for complete phase-sensitive characterization of arbitrary unitary spectral-temporal transformations of optical modes. Our method recovers the complex spectral transfer function, or Green's function, of a frequency converter by analyzing spectral interference in the response to a tunable bichromatic probe. We perform a proof-of-concept experiment on a frequency conversion module based on Bragg-scattering four-wave mixing in photonic crystal fiber. Our results validate our technique by recovering useful information in the phase of the Green's function, revealing the relative positions of regions of active frequency conversion and passive dispersive propagation within the module. Our work introduces a new approach to characterizing the performance of a variety of active devices with diverse applications in emerging quantum technologies.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非线性四极拓扑绝缘体</w:t>
      </w:r>
    </w:p>
    <w:p>
      <w:r>
        <w:rPr>
          <w:rFonts w:ascii="Times New Roman" w:hAnsi="Times New Roman" w:eastAsia="宋体"/>
          <w:b/>
          <w:color w:val="003264"/>
          <w:sz w:val="24"/>
        </w:rPr>
        <w:t>Nonlinear quadrupole topological insulators</w:t>
      </w:r>
    </w:p>
    <w:p>
      <w:r>
        <w:rPr>
          <w:rFonts w:ascii="Times New Roman" w:hAnsi="Times New Roman" w:eastAsia="宋体"/>
          <w:sz w:val="21"/>
        </w:rPr>
        <w:t>作者: Boris A. Malomed</w:t>
        <w:br/>
      </w:r>
      <w:r>
        <w:rPr>
          <w:rFonts w:ascii="Times New Roman" w:hAnsi="Times New Roman" w:eastAsia="宋体"/>
          <w:sz w:val="21"/>
        </w:rPr>
        <w:t xml:space="preserve">时间: 2026-02-06T16:39:46Z | </w:t>
      </w:r>
      <w:r>
        <w:t xml:space="preserve">链接: </w:t>
      </w:r>
      <w:hyperlink r:id="rId42">
        <w:r>
          <w:rPr>
            <w:rFonts w:ascii="Times New Roman" w:hAnsi="Times New Roman" w:eastAsia="宋体"/>
            <w:color w:val="0000FF"/>
            <w:sz w:val="21"/>
            <w:u w:val="single"/>
          </w:rPr>
          <w:t>https://arxiv.org/abs/2602.06851v1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高阶拓扑绝缘体（HOTI）代表了一系列超越传统体边界对应的拓扑相。 d 维 n 阶 HOTI 保持 (d - n) 维无间隙边界态（特别是 d = n = 2 情况下的零维角态）。 Wannier 型 HOTI 可以扩展到非线性区域。由于同时实现负跳频和强非线性的挑战，另一类突出的 HOTI 类型为多极绝缘体，仅在线性状态下进行研究。在这里，我们提出了非线性四极拓扑绝缘体（NLQTI）的概念，并报告了它们在电路晶格中的实验实现。淬灭引发的动力学分别在弱非线性和强非线性状态下产生非线性拓扑角态和拓扑平凡角孤子。此外，我们揭示了两种不同类型的体孤子的形成，一种存在于弱非线性作用下的中间有限带隙中，另一种存在于强非线性作用下的半无限带隙中。这项工作实现了非线性 HOTI 家族的另一个成员，为在广泛的拓扑绝缘体中探索新型孤子提供了方向。</w:t>
      </w:r>
    </w:p>
    <w:p>
      <w:pPr>
        <w:spacing w:before="120"/>
      </w:pPr>
      <w:r>
        <w:rPr>
          <w:rFonts w:ascii="Times New Roman" w:hAnsi="Times New Roman" w:eastAsia="宋体"/>
          <w:b/>
          <w:sz w:val="21"/>
        </w:rPr>
        <w:t>English Abstract:</w:t>
      </w:r>
    </w:p>
    <w:p>
      <w:r>
        <w:rPr>
          <w:rFonts w:ascii="Times New Roman" w:hAnsi="Times New Roman" w:eastAsia="宋体"/>
          <w:sz w:val="21"/>
        </w:rPr>
        <w:t>Higher-order topological insulators (HOTIs) represent a family of topological phases that go beyond the conventional bulkboundary correspondence. d-dimensional n-th order HOTIs maintain (d - n)-dimensional gapless boundary states (in particular, zero-dimensional corner states in the case of d = n = 2). HOTIs of the Wannier type cam be extended into the nonlinear regime. Another prominent class of HOTIs, in the form of multipole insulators, was investigated only in the linear regime, due to the challenge of simultaneously achieving both negative hopping and strong nonlinearity. Here we propose the concept of nonlinear quadrupole topological insulators (NLQTIs) and report their experimental realization in an electric circuit lattice. Quench-initiated dynamics gives rise to nonlinear topological corner states and topologically trivial corner solitons, in weakly and strongly nonlinear regimes, respectively. Furthermore, we reveal the formation of two distinct types of bulk solitons, one existing in the middle finite gap under the action of weak nonlinearity, and another one found in the semi-infinite gap under strong nonlinearity. This work realizes another member of the nonlinear HOTI family, suggesting directions for exploring novel solitons across a broad range of topological insulators.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克尔诱导同步的耗散克尔孤子自平衡</w:t>
      </w:r>
    </w:p>
    <w:p>
      <w:r>
        <w:rPr>
          <w:rFonts w:ascii="Times New Roman" w:hAnsi="Times New Roman" w:eastAsia="宋体"/>
          <w:b/>
          <w:color w:val="003264"/>
          <w:sz w:val="24"/>
        </w:rPr>
        <w:t>Dissipative Kerr Soliton Self-Balancing from Kerr-Induced Synchronization</w:t>
      </w:r>
    </w:p>
    <w:p>
      <w:r>
        <w:rPr>
          <w:rFonts w:ascii="Times New Roman" w:hAnsi="Times New Roman" w:eastAsia="宋体"/>
          <w:sz w:val="21"/>
        </w:rPr>
        <w:t>作者: Grégory Moille</w:t>
        <w:br/>
      </w:r>
      <w:r>
        <w:rPr>
          <w:rFonts w:ascii="Times New Roman" w:hAnsi="Times New Roman" w:eastAsia="宋体"/>
          <w:sz w:val="21"/>
        </w:rPr>
        <w:t xml:space="preserve">时间: 2026-02-06T17:32:07Z | </w:t>
      </w:r>
      <w:r>
        <w:t xml:space="preserve">链接: </w:t>
      </w:r>
      <w:hyperlink r:id="rId43">
        <w:r>
          <w:rPr>
            <w:rFonts w:ascii="Times New Roman" w:hAnsi="Times New Roman" w:eastAsia="宋体"/>
            <w:color w:val="0000FF"/>
            <w:sz w:val="21"/>
            <w:u w:val="single"/>
          </w:rPr>
          <w:t>https://arxiv.org/abs/2602.06896v1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集成频率梳源是频率计量应用的关键支持技术。它们的片上集成有望将计量能力带出实验室，特别是因为它们可以在耗散克尔孤子 (DKS) 体系中以低连续波泵浦激光功率运行。然而，如此小的占地面积和低功耗是有代价的：更高的噪声和整体更低的梳功率。特别是，这意味着载波包络偏移的检测和锁定非常具有挑战性，这是光梳完全稳定所必需的。最近，DKS 与参考激光器的克尔诱导同步 (KIS) 已被证明是 DKS 微梳被动全光稳定的工具，对 DKS 和微梳特性进行了根本性修改。在这里，我们证明了参考激光器（现在是 DKS 的一部分）的附加功率与将重复率固定在一起的 KIS 锁相相结合，从根本上改变了 DKS，迫使能量重新分配以维持其质心。我们从理论上证明了这种自平衡效应，在纯二次色散谐振器中会导致依赖于参考的反冲。通过 DKS 产生相位匹配色散波 (DW) 的高阶色散，我们证明自平衡会增加 DW 辐射，实验显示倍频程微梳中的梳齿在 780 nm 处增加了 22 dB，以实现高效的可部署载波包络偏移检测。</w:t>
      </w:r>
    </w:p>
    <w:p>
      <w:pPr>
        <w:spacing w:before="120"/>
      </w:pPr>
      <w:r>
        <w:rPr>
          <w:rFonts w:ascii="Times New Roman" w:hAnsi="Times New Roman" w:eastAsia="宋体"/>
          <w:b/>
          <w:sz w:val="21"/>
        </w:rPr>
        <w:t>English Abstract:</w:t>
      </w:r>
    </w:p>
    <w:p>
      <w:r>
        <w:rPr>
          <w:rFonts w:ascii="Times New Roman" w:hAnsi="Times New Roman" w:eastAsia="宋体"/>
          <w:sz w:val="21"/>
        </w:rPr>
        <w:t>Integrated frequency comb sources are a key enabling technology for frequency metrology applications. Their on-chip integration promises to bring metrology capacity outside of the lab, particularly since they can operate at low continuous-wave pump laser power in the dissipative Kerr soliton (DKS) regime. Yet, such small foot-print and low power comes at a cost: higher noise and overall lower comb power. In particular, this translates to highly challenging detection and locking of the carrier-envelope offset, necessary for complete stabilization of the comb. Recently, Kerr-induced synchronization (KIS) of a DKS to a reference laser has been demonstrated as a tool for passive all-optical stabilization of DKS microcombs, with fundamental modification to the DKS and microcomb properties. Here, we demonstrate that the combination of additional power from the reference laser (now part of the DKS) and the KIS phase locking that pins the repetition rate together fundamentally alter the DKS, forcing an energy redistribution to maintain its center of mass. We demonstrate this self-balancing effect theoretically, which in a pure quadratic dispersion resonator leads to reference-dependent recoil. With higher-order dispersion through which the DKS yields phase-matched dispersive waves (DWs), we demonstrate that self-balancing increases the DW radiation, experimentally showing a 22 dB increase of comb teeth at 780 nm in an octave-spanning microcomb for efficient deployable carrier-envelope offset detection.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Computational Imaging</w:t>
      </w:r>
    </w:p>
    <w:p>
      <w:pPr>
        <w:jc w:val="center"/>
      </w:pPr>
      <w:r>
        <w:t>--- 更新: 11:28 ---</w:t>
      </w:r>
    </w:p>
    <w:p>
      <w:pPr>
        <w:pStyle w:val="Heading2"/>
      </w:pPr>
      <w:r/>
      <w:r>
        <w:rPr>
          <w:rFonts w:ascii="Times New Roman" w:hAnsi="Times New Roman" w:eastAsia="宋体"/>
          <w:b/>
          <w:color w:val="000000"/>
          <w:sz w:val="24"/>
        </w:rPr>
        <w:t>用于多功能视频编码中速率控制的内容驱动帧级比特预测</w:t>
      </w:r>
    </w:p>
    <w:p>
      <w:r>
        <w:rPr>
          <w:rFonts w:ascii="Times New Roman" w:hAnsi="Times New Roman" w:eastAsia="宋体"/>
          <w:b/>
          <w:color w:val="003264"/>
          <w:sz w:val="24"/>
        </w:rPr>
        <w:t>Content-Driven Frame-Level Bit Prediction for Rate Control in Versatile Video Coding</w:t>
      </w:r>
    </w:p>
    <w:p>
      <w:r>
        <w:rPr>
          <w:rFonts w:ascii="Times New Roman" w:hAnsi="Times New Roman" w:eastAsia="宋体"/>
          <w:sz w:val="21"/>
        </w:rPr>
        <w:t>作者: Christian Herglotz</w:t>
        <w:br/>
      </w:r>
      <w:r>
        <w:rPr>
          <w:rFonts w:ascii="Times New Roman" w:hAnsi="Times New Roman" w:eastAsia="宋体"/>
          <w:sz w:val="21"/>
        </w:rPr>
        <w:t xml:space="preserve">时间: 2026-02-05T22:41:33Z | </w:t>
      </w:r>
      <w:r>
        <w:t xml:space="preserve">链接: </w:t>
      </w:r>
      <w:hyperlink r:id="rId44">
        <w:r>
          <w:rPr>
            <w:rFonts w:ascii="Times New Roman" w:hAnsi="Times New Roman" w:eastAsia="宋体"/>
            <w:color w:val="0000FF"/>
            <w:sz w:val="21"/>
            <w:u w:val="single"/>
          </w:rPr>
          <w:t>https://arxiv.org/abs/2602.06242v1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速率控制可跨帧有效地分配比特，以满足目标比特率，同时保持质量。通用视频编码 (VVC) 中的传统二次速率控制 (2pRC) 依赖于解析速率 QP 模型，该模型通常无法捕获非线性时空变化，导致质量不稳定，并且由于多次尝试编码而导致复杂性较高。本文提出了一种内容自适应框架，该框架使用视频复杂度分析器 (VCA) 的轻量级特征和随机森林回归中的量化参数来预测帧级比特消耗。在使用 VVenC 编码的超高清序列上，该模型与地面实况实现了强相关性，I、P 和 B 帧的 R2 值分别为 0.93、0.88 和 0.77。它集成到速率控制环路中，实现了与 2pRC 相当的编码效率，同时将总编码时间减少了 33.3%。结果表明，VCA 驱动的比特预测为传统的速率 QP 模型提供了计算高效且准确的替代方案。</w:t>
      </w:r>
    </w:p>
    <w:p>
      <w:pPr>
        <w:spacing w:before="120"/>
      </w:pPr>
      <w:r>
        <w:rPr>
          <w:rFonts w:ascii="Times New Roman" w:hAnsi="Times New Roman" w:eastAsia="宋体"/>
          <w:b/>
          <w:sz w:val="21"/>
        </w:rPr>
        <w:t>English Abstract:</w:t>
      </w:r>
    </w:p>
    <w:p>
      <w:r>
        <w:rPr>
          <w:rFonts w:ascii="Times New Roman" w:hAnsi="Times New Roman" w:eastAsia="宋体"/>
          <w:sz w:val="21"/>
        </w:rPr>
        <w:t>Rate control allocates bits efficiently across frames to meet a target bitrate while maintaining quality. Conventional two-pass rate control (2pRC) in Versatile Video Coding (VVC) relies on analytical rate-QP models, which often fail to capture nonlinear spatial-temporal variations, causing quality instability and high complexity due to multiple trial encodes. This paper proposes a content-adaptive framework that predicts frame-level bit consumption using lightweight features from the Video Complexity Analyzer (VCA) and quantization parameters within a Random Forest regression. On ultra-high-definition sequences encoded with VVenC, the model achieves strong correlation with ground truth, yielding R2 values of 0.93, 0.88, and 0.77 for I-, P-, and B-frames, respectively. Integrated into a rate-control loop, it achieves comparable coding efficiency to 2pRC while reducing total encoding time by 33.3%. The results show that VCA-driven bit prediction provides a computationally efficient and accurate alternative to conventional rate-QP models.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通过强度随机 T1 加权 MRI 进行零样本多对比脑 MRI 配准 (LUMIR25)</w:t>
      </w:r>
    </w:p>
    <w:p>
      <w:r>
        <w:rPr>
          <w:rFonts w:ascii="Times New Roman" w:hAnsi="Times New Roman" w:eastAsia="宋体"/>
          <w:b/>
          <w:color w:val="003264"/>
          <w:sz w:val="24"/>
        </w:rPr>
        <w:t>Zero-shot Multi-Contrast Brain MRI Registration by Intensity Randomizing T1-weighted MRI (LUMIR25)</w:t>
      </w:r>
    </w:p>
    <w:p>
      <w:r>
        <w:rPr>
          <w:rFonts w:ascii="Times New Roman" w:hAnsi="Times New Roman" w:eastAsia="宋体"/>
          <w:sz w:val="21"/>
        </w:rPr>
        <w:t>作者: Ke Sheng</w:t>
        <w:br/>
      </w:r>
      <w:r>
        <w:rPr>
          <w:rFonts w:ascii="Times New Roman" w:hAnsi="Times New Roman" w:eastAsia="宋体"/>
          <w:sz w:val="21"/>
        </w:rPr>
        <w:t xml:space="preserve">时间: 2026-02-06T01:17:49Z | </w:t>
      </w:r>
      <w:r>
        <w:t xml:space="preserve">链接: </w:t>
      </w:r>
      <w:hyperlink r:id="rId45">
        <w:r>
          <w:rPr>
            <w:rFonts w:ascii="Times New Roman" w:hAnsi="Times New Roman" w:eastAsia="宋体"/>
            <w:color w:val="0000FF"/>
            <w:sz w:val="21"/>
            <w:u w:val="single"/>
          </w:rPr>
          <w:t>https://arxiv.org/abs/2602.06292v1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在本文中，我们总结了在 Learn2Reg 2025 中提交 LUMIR25 挑战赛的方法和结果，该挑战赛在测试集上获得了总体第一名。延伸自 LUMIR24，今年的任务重点是域转移（高场 MRI、病理性大脑和各种 MRI 对比）下的零样本配准，而训练数据仅包含域内 T1 加权脑 MRI。我们首先对 LUMIR24 获奖者进行细致分析，以确定良好单峰配准性能的主要贡献者。为了在仅使用 T1 加权 MRI 训练的模型中实现具有不同对比度的良好泛化，我们采用了三种简单但有效的策略：（i）基于模态无关邻域描述符（MIND）的多模态损失，（ii）用于外观增强的强度随机化，以及（iii）在推理时对特征编码器进行轻量级实例特定优化（ISO）。在验证集上，我们的方法实现了合理的 T1-T2 配准精度，同时保持良好的变形规律性。</w:t>
      </w:r>
    </w:p>
    <w:p>
      <w:pPr>
        <w:spacing w:before="120"/>
      </w:pPr>
      <w:r>
        <w:rPr>
          <w:rFonts w:ascii="Times New Roman" w:hAnsi="Times New Roman" w:eastAsia="宋体"/>
          <w:b/>
          <w:sz w:val="21"/>
        </w:rPr>
        <w:t>English Abstract:</w:t>
      </w:r>
    </w:p>
    <w:p>
      <w:r>
        <w:rPr>
          <w:rFonts w:ascii="Times New Roman" w:hAnsi="Times New Roman" w:eastAsia="宋体"/>
          <w:sz w:val="21"/>
        </w:rPr>
        <w:t>In this paper, we summarize the methods and results of our submission to the LUMIR25 challenge in Learn2Reg 2025, which achieved 1st place overall on the test set. Extended from LUMIR24, this year's task focuses on zero-shot registration under domain shifts (high-field MRI, pathological brains, and various MRI contrasts), while the training data comprise only in-domain T1-weighted brain MRI. We start with a meticulous analysis of LUMIR24 winners to identify the main contributors to good monomodal registration performance. To achieve good generalization with diverse contrasts from a model trained with T1-weighted MRI only, we employ three simple but effective strategies: (i) a multimodal loss based on the modality-independent neighborhood descriptor (MIND), (ii) intensity randomization for appearance augmentation, and (iii) lightweight instance-specific optimization (ISO) on feature encoders at inference time. On the validation set, our approach achieves reasonable T1-T2 registration accuracy while maintaining good deformation regularity.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AS-Mamba：用于减少金属伪影的非对称自引导 Mamba 解耦迭代网络</w:t>
      </w:r>
    </w:p>
    <w:p>
      <w:r>
        <w:rPr>
          <w:rFonts w:ascii="Times New Roman" w:hAnsi="Times New Roman" w:eastAsia="宋体"/>
          <w:b/>
          <w:color w:val="003264"/>
          <w:sz w:val="24"/>
        </w:rPr>
        <w:t>AS-Mamba: Asymmetric Self-Guided Mamba Decoupled Iterative Network for Metal Artifact Reduction</w:t>
      </w:r>
    </w:p>
    <w:p>
      <w:r>
        <w:rPr>
          <w:rFonts w:ascii="Times New Roman" w:hAnsi="Times New Roman" w:eastAsia="宋体"/>
          <w:sz w:val="21"/>
        </w:rPr>
        <w:t>作者: Qiegen Liu</w:t>
        <w:br/>
      </w:r>
      <w:r>
        <w:rPr>
          <w:rFonts w:ascii="Times New Roman" w:hAnsi="Times New Roman" w:eastAsia="宋体"/>
          <w:sz w:val="21"/>
        </w:rPr>
        <w:t xml:space="preserve">时间: 2026-02-06T03:27:28Z | </w:t>
      </w:r>
      <w:r>
        <w:t xml:space="preserve">链接: </w:t>
      </w:r>
      <w:hyperlink r:id="rId46">
        <w:r>
          <w:rPr>
            <w:rFonts w:ascii="Times New Roman" w:hAnsi="Times New Roman" w:eastAsia="宋体"/>
            <w:color w:val="0000FF"/>
            <w:sz w:val="21"/>
            <w:u w:val="single"/>
          </w:rPr>
          <w:t>https://arxiv.org/abs/2602.06350v1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金属伪影会显着降低计算机断层扫描 (CT) 图像质量，妨碍准确的临床诊断。然而，现有的深度学习方法，例如 CNN 和 Transformer，通常无法明确捕获文物的方向几何特征，导致结构恢复受损。为了解决这些限制，我们提出了用于减少金属伪影的非对称自引导曼巴（AS-Mamba）。具体来说，金属引起的条纹伪影的线性传播与状态空间模型 (SSM) 的顺序建模功能非常吻合。因此，Mamba 架构被用来明确捕获和抑制这些方向性伪影。同时，采用频域校正机制来校正全局幅度谱，从而减轻光束硬化引起的强度不均匀性。此外，为了弥合不同临床场景之间的分布差距，我们引入了一种自我引导的对比正则化策略。对公共和临床牙科 CBCT 数据集的大量实验表明，AS-Mamba 在抑制方向条纹和保留结构细节方面取得了优异的性能，验证了将物理几何先验集成到深度网络设计中的有效性。</w:t>
      </w:r>
    </w:p>
    <w:p>
      <w:pPr>
        <w:spacing w:before="120"/>
      </w:pPr>
      <w:r>
        <w:rPr>
          <w:rFonts w:ascii="Times New Roman" w:hAnsi="Times New Roman" w:eastAsia="宋体"/>
          <w:b/>
          <w:sz w:val="21"/>
        </w:rPr>
        <w:t>English Abstract:</w:t>
      </w:r>
    </w:p>
    <w:p>
      <w:r>
        <w:rPr>
          <w:rFonts w:ascii="Times New Roman" w:hAnsi="Times New Roman" w:eastAsia="宋体"/>
          <w:sz w:val="21"/>
        </w:rPr>
        <w:t>Metal artifact significantly degrades Computed Tomography (CT) image quality, impeding accurate clinical diagnosis. However, existing deep learning approaches, such as CNN and Transformer, often fail to explicitly capture the directional geometric features of artifacts, leading to compromised structural restoration. To address these limitations, we propose the Asymmetric Self-Guided Mamba (AS-Mamba) for metal artifact reduction. Specifically, the linear propagation of metal-induced streak artifacts aligns well with the sequential modeling capability of State Space Models (SSMs). Consequently, the Mamba architecture is leveraged to explicitly capture and suppress these directional artifacts. Simultaneously, a frequency domain correction mechanism is incorporated to rectify the global amplitude spectrum, thereby mitigating intensity inhomogeneity caused by beam hardening. Furthermore, to bridge the distribution gap across diverse clinical scenarios, we introduce a self-guided contrastive regularization strategy. Extensive experiments on public andclinical dental CBCT datasets demonstrate that AS-Mamba achieves superior performance in suppressing directional streaks and preserving structural details, validating the effectiveness of integrating physical geometric priors into deep network design.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用于胎儿超声心动图无注释心脏相位检测的定向鲁棒潜在运动轨迹学习</w:t>
      </w:r>
    </w:p>
    <w:p>
      <w:r>
        <w:rPr>
          <w:rFonts w:ascii="Times New Roman" w:hAnsi="Times New Roman" w:eastAsia="宋体"/>
          <w:b/>
          <w:color w:val="003264"/>
          <w:sz w:val="24"/>
        </w:rPr>
        <w:t>Orientation-Robust Latent Motion Trajectory Learning for Annotation-free Cardiac Phase Detection in Fetal Echocardiography</w:t>
      </w:r>
    </w:p>
    <w:p>
      <w:r>
        <w:rPr>
          <w:rFonts w:ascii="Times New Roman" w:hAnsi="Times New Roman" w:eastAsia="宋体"/>
          <w:sz w:val="21"/>
        </w:rPr>
        <w:t>作者: J. Alison Noble</w:t>
        <w:br/>
      </w:r>
      <w:r>
        <w:rPr>
          <w:rFonts w:ascii="Times New Roman" w:hAnsi="Times New Roman" w:eastAsia="宋体"/>
          <w:sz w:val="21"/>
        </w:rPr>
        <w:t xml:space="preserve">时间: 2026-02-06T15:13:53Z | </w:t>
      </w:r>
      <w:r>
        <w:t xml:space="preserve">链接: </w:t>
      </w:r>
      <w:hyperlink r:id="rId47">
        <w:r>
          <w:rPr>
            <w:rFonts w:ascii="Times New Roman" w:hAnsi="Times New Roman" w:eastAsia="宋体"/>
            <w:color w:val="0000FF"/>
            <w:sz w:val="21"/>
            <w:u w:val="single"/>
          </w:rPr>
          <w:t>https://arxiv.org/abs/2602.06761v1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胎儿超声心动图对于检测先天性心脏病 (CHD)、促进妊娠管理、优化分娩计划和及时产后干预至关重要。在标准成像平面中，四腔 (4CH) 视图为 CHD 诊断提供了全面的信息，临床医生可以仔细检查舒张末期 (ED) 和收缩末期 (ES) 阶段以评估心脏结构和运动。因此，这些心动时相的自动检测是全自动 CHD 分析的关键组成部分。然而，在缺乏胎儿心电图 (ECG) 的情况下，手动识别 ED 和 ES 帧仍然是一个劳动密集型瓶颈。我们提出了 ORBIT（来自轨迹的方向稳健心跳推断），这是一种自我监督框架，可以在各种胎心方向下识别心脏阶段，无需手动注释。 ORBIT 采用配准作为自我监督任务，并学习心脏变形的潜在运动轨迹，其转折点捕获心脏舒张和收缩之间的转变，从而能够在不同的胎儿位置上准确且方向稳健地定位 ED 和 ES 帧。 ORBIT 仅在正常胎儿超声心动图视频上进行训练，在正常（ED 的 MAE = 1.9 帧，ES 的 1.6 帧）和 CHD 病例（ED 的 MAE = 2.4 帧，ES 的 2.1 帧）上实现了一致的性能，优于受固定方向假设限制的现有无注释方法。这些结果凸显了 ORBIT 促进直接从 4CH 胎儿超声心动图进行稳健心时相检测的潜力。</w:t>
      </w:r>
    </w:p>
    <w:p>
      <w:pPr>
        <w:spacing w:before="120"/>
      </w:pPr>
      <w:r>
        <w:rPr>
          <w:rFonts w:ascii="Times New Roman" w:hAnsi="Times New Roman" w:eastAsia="宋体"/>
          <w:b/>
          <w:sz w:val="21"/>
        </w:rPr>
        <w:t>English Abstract:</w:t>
      </w:r>
    </w:p>
    <w:p>
      <w:r>
        <w:rPr>
          <w:rFonts w:ascii="Times New Roman" w:hAnsi="Times New Roman" w:eastAsia="宋体"/>
          <w:sz w:val="21"/>
        </w:rPr>
        <w:t>Fetal echocardiography is essential for detecting congenital heart disease (CHD), facilitating pregnancy management, optimized delivery planning, and timely postnatal interventions. Among standard imaging planes, the four-chamber (4CH) view provides comprehensive information for CHD diagnosis, where clinicians carefully inspect the end-diastolic (ED) and end-systolic (ES) phases to evaluate cardiac structure and motion. Automated detection of these cardiac phases is thus a critical component toward fully automated CHD analysis. Yet, in the absence of fetal electrocardiography (ECG), manual identification of ED and ES frames remains a labor-intensive bottleneck. We present ORBIT (Orientation-Robust Beat Inference from Trajectories), a self-supervised framework that identifies cardiac phases without manual annotations under various fetal heart orientation. ORBIT employs registration as self-supervision task and learns a latent motion trajectory of cardiac deformation, whose turning points capture transitions between cardiac relaxation and contraction, enabling accurate and orientation-robust localization of ED and ES frames across diverse fetal positions. Trained exclusively on normal fetal echocardiography videos, ORBIT achieves consistent performance on both normal (MAE = 1.9 frames for ED and 1.6 for ES) and CHD cases (MAE = 2.4 frames for ED and 2.1 for ES), outperforming existing annotation-free approaches constrained by fixed orientation assumptions. These results highlight the potential of ORBIT to facilitate robust cardiac phase detection directly from 4CH fetal echocardiography.</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AI &amp; Vision (Optics)</w:t>
      </w:r>
    </w:p>
    <w:p>
      <w:pPr>
        <w:jc w:val="center"/>
      </w:pPr>
      <w:r>
        <w:t>--- 更新: 11:29 ---</w:t>
      </w:r>
    </w:p>
    <w:p>
      <w:pPr>
        <w:pStyle w:val="Heading2"/>
      </w:pPr>
      <w:r/>
      <w:r>
        <w:rPr>
          <w:rFonts w:ascii="Times New Roman" w:hAnsi="Times New Roman" w:eastAsia="宋体"/>
          <w:b/>
          <w:color w:val="000000"/>
          <w:sz w:val="24"/>
        </w:rPr>
        <w:t>从模糊到可信：利用 3D 生成先验增强低质量的头像</w:t>
      </w:r>
    </w:p>
    <w:p>
      <w:r>
        <w:rPr>
          <w:rFonts w:ascii="Times New Roman" w:hAnsi="Times New Roman" w:eastAsia="宋体"/>
          <w:b/>
          <w:color w:val="003264"/>
          <w:sz w:val="24"/>
        </w:rPr>
        <w:t>From Blurry to Believable: Enhancing Low-quality Talking Heads with 3D Generative Priors</w:t>
      </w:r>
    </w:p>
    <w:p>
      <w:r>
        <w:rPr>
          <w:rFonts w:ascii="Times New Roman" w:hAnsi="Times New Roman" w:eastAsia="宋体"/>
          <w:sz w:val="21"/>
        </w:rPr>
        <w:t>作者: Fernando De la Torre</w:t>
        <w:br/>
      </w:r>
      <w:r>
        <w:rPr>
          <w:rFonts w:ascii="Times New Roman" w:hAnsi="Times New Roman" w:eastAsia="宋体"/>
          <w:sz w:val="21"/>
        </w:rPr>
        <w:t xml:space="preserve">时间: 2026-02-05T19:00:50Z | </w:t>
      </w:r>
      <w:r>
        <w:t xml:space="preserve">链接: </w:t>
      </w:r>
      <w:hyperlink r:id="rId48">
        <w:r>
          <w:rPr>
            <w:rFonts w:ascii="Times New Roman" w:hAnsi="Times New Roman" w:eastAsia="宋体"/>
            <w:color w:val="0000FF"/>
            <w:sz w:val="21"/>
            <w:u w:val="single"/>
          </w:rPr>
          <w:t>https://arxiv.org/abs/2602.06122v1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创建高保真、可动画的 3D 头部对沉浸式应用至关重要，但常常受到低质量图像或视频源的阻碍，从而产生较差的 3D 重建效果。在本文中，我们介绍了 SuperHead，这是一种用于增强低分辨率、可动画 3D 头部头像的新颖框架。核心挑战在于合成高质量的几何体和纹理，同时确保动画过程中的 3D 和时间一致性并保留主体身份。尽管最近在图像、视频和基于 3D 的超分辨率 (SR) 方面取得了进展，但现有的 SR 技术不足以处理动态 3D 输入。为了解决这个问题，SuperHead 通过新颖的动态感知 3D 反演方案，利用预先训练的 3D 生成模型的丰富先验。该过程优化了生成模型的潜在表示，以生成超分辨率的 3D 高斯溅射 (3DGS) 头部模型，随后将其装配到底层参数化头部模型（例如 FLAME）以进行动画处理。使用从不同的面部表情和相机视点捕获的稀疏的放大的 2D 面部渲染和相应的深度图集合来联合监督反演，以确保动态面部运动下的真实感。实验表明，SuperHead 在动态运动下生成具有细粒度面部细节的化身，在视觉质量方面显着优于基线方法。</w:t>
      </w:r>
    </w:p>
    <w:p>
      <w:pPr>
        <w:spacing w:before="120"/>
      </w:pPr>
      <w:r>
        <w:rPr>
          <w:rFonts w:ascii="Times New Roman" w:hAnsi="Times New Roman" w:eastAsia="宋体"/>
          <w:b/>
          <w:sz w:val="21"/>
        </w:rPr>
        <w:t>English Abstract:</w:t>
      </w:r>
    </w:p>
    <w:p>
      <w:r>
        <w:rPr>
          <w:rFonts w:ascii="Times New Roman" w:hAnsi="Times New Roman" w:eastAsia="宋体"/>
          <w:sz w:val="21"/>
        </w:rPr>
        <w:t>Creating high-fidelity, animatable 3D talking heads is crucial for immersive applications, yet often hindered by the prevalence of low-quality image or video sources, which yield poor 3D reconstructions. In this paper, we introduce SuperHead, a novel framework for enhancing low-resolution, animatable 3D head avatars. The core challenge lies in synthesizing high-quality geometry and textures, while ensuring both 3D and temporal consistency during animation and preserving subject identity. Despite recent progress in image, video and 3D-based super-resolution (SR), existing SR techniques are ill-equipped to handle dynamic 3D inputs. To address this, SuperHead leverages the rich priors from pre-trained 3D generative models via a novel dynamics-aware 3D inversion scheme. This process optimizes the latent representation of the generative model to produce a super-resolved 3D Gaussian Splatting (3DGS) head model, which is subsequently rigged to an underlying parametric head model (e.g., FLAME) for animation. The inversion is jointly supervised using a sparse collection of upscaled 2D face renderings and corresponding depth maps, captured from diverse facial expressions and camera viewpoints, to ensure realism under dynamic facial motions. Experiments demonstrate that SuperHead generates avatars with fine-grained facial details under dynamic motions, significantly outperforming baseline methods in visual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与 DINO 一起驾驶：Vision Foundation 作为自动驾驶模拟到真实生成的统一桥梁</w:t>
      </w:r>
    </w:p>
    <w:p>
      <w:r>
        <w:rPr>
          <w:rFonts w:ascii="Times New Roman" w:hAnsi="Times New Roman" w:eastAsia="宋体"/>
          <w:b/>
          <w:color w:val="003264"/>
          <w:sz w:val="24"/>
        </w:rPr>
        <w:t>Driving with DINO: Vision Foundation Features as a Unified Bridge for Sim-to-Real Generation in Autonomous Driving</w:t>
      </w:r>
    </w:p>
    <w:p>
      <w:r>
        <w:rPr>
          <w:rFonts w:ascii="Times New Roman" w:hAnsi="Times New Roman" w:eastAsia="宋体"/>
          <w:sz w:val="21"/>
        </w:rPr>
        <w:t>作者: Liqiu Meng</w:t>
        <w:br/>
      </w:r>
      <w:r>
        <w:rPr>
          <w:rFonts w:ascii="Times New Roman" w:hAnsi="Times New Roman" w:eastAsia="宋体"/>
          <w:sz w:val="21"/>
        </w:rPr>
        <w:t xml:space="preserve">时间: 2026-02-05T19:55:22Z | </w:t>
      </w:r>
      <w:r>
        <w:t xml:space="preserve">链接: </w:t>
      </w:r>
      <w:hyperlink r:id="rId49">
        <w:r>
          <w:rPr>
            <w:rFonts w:ascii="Times New Roman" w:hAnsi="Times New Roman" w:eastAsia="宋体"/>
            <w:color w:val="0000FF"/>
            <w:sz w:val="21"/>
            <w:u w:val="single"/>
          </w:rPr>
          <w:t>https://arxiv.org/abs/2602.06159v1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在可控视频扩散出现的推动下，现有的自动驾驶视频生成 Sim2Real 方法通常依赖于显式中间表示来弥合域差距。然而，这些模式面临着根本的一致性-现实主义困境。低级信号（例如边缘、模糊图像）可确保精确控制，但会通过“烘焙”合成伪影而损害真实感，而高级先验信号（例如深度、语义、高清地图）有利于照片级真实感，但缺乏一致指导所需的结构细节。在这项工作中，我们提出了 Driving with DINO (DwD)，这是一种新颖的框架，利用视觉基础模块 (VFM) 功能作为模拟和现实世界之间的统一桥梁。我们首先确定这些特征编码一系列信息，从高级语义到细粒度结构。为了有效地利用这一点，我们采用主子空间投影来丢弃负责“纹理烘焙”的高频元素，同时引入随机通道尾部下降来减轻刚性降维中固有的结构损失，从而协调现实性与控制一致性。此外，为了充分利用 DINOv3 的高分辨率功能来提高控制精度，我们引入了一个可学习的空间对齐模块，该模块可将这些高分辨率特征适应扩散主干。最后，我们提出了一种因果时间聚合器，在集成逐帧 DINO 特征时，采用因果卷积来显式保留历史运动上下文，从而有效减轻运动模糊并保证时间稳定性。项目页面：https://albertchen98.github.io/DwD-project/</w:t>
      </w:r>
    </w:p>
    <w:p>
      <w:pPr>
        <w:spacing w:before="120"/>
      </w:pPr>
      <w:r>
        <w:rPr>
          <w:rFonts w:ascii="Times New Roman" w:hAnsi="Times New Roman" w:eastAsia="宋体"/>
          <w:b/>
          <w:sz w:val="21"/>
        </w:rPr>
        <w:t>English Abstract:</w:t>
      </w:r>
    </w:p>
    <w:p>
      <w:r>
        <w:rPr>
          <w:rFonts w:ascii="Times New Roman" w:hAnsi="Times New Roman" w:eastAsia="宋体"/>
          <w:sz w:val="21"/>
        </w:rPr>
        <w:t>Driven by the emergence of Controllable Video Diffusion, existing Sim2Real methods for autonomous driving video generation typically rely on explicit intermediate representations to bridge the domain gap. However, these modalities face a fundamental Consistency-Realism Dilemma. Low-level signals (e.g., edges, blurred images) ensure precise control but compromise realism by "baking in" synthetic artifacts, whereas high-level priors (e.g., depth, semantics, HDMaps) facilitate photorealism but lack the structural detail required for consistent guidance. In this work, we present Driving with DINO (DwD), a novel framework that leverages Vision Foundation Module (VFM) features as a unified bridge between the simulation and real-world domains. We first identify that these features encode a spectrum of information, from high-level semantics to fine-grained structure. To effectively utilize this, we employ Principal Subspace Projection to discard the high-frequency elements responsible for "texture baking," while concurrently introducing Random Channel Tail Drop to mitigate the structural loss inherent in rigid dimensionality reduction, thereby reconciling realism with control consistency. Furthermore, to fully leverage DINOv3's high-resolution capabilities for enhancing control precision, we introduce a learnable Spatial Alignment Module that adapts these high-resolution features to the diffusion backbone. Finally, we propose a Causal Temporal Aggregator employing causal convolutions to explicitly preserve historical motion context when integrating frame-wise DINO features, which effectively mitigates motion blur and guarantees temporal stability. Project page: https://albertchen98.github.io/DwD-project/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MetaSSP：通过元自适应 EMA 和 SDF 感知伪标签评估增强半监督隐式 3D 重建</w:t>
      </w:r>
    </w:p>
    <w:p>
      <w:r>
        <w:rPr>
          <w:rFonts w:ascii="Times New Roman" w:hAnsi="Times New Roman" w:eastAsia="宋体"/>
          <w:b/>
          <w:color w:val="003264"/>
          <w:sz w:val="24"/>
        </w:rPr>
        <w:t>MetaSSP: Enhancing Semi-supervised Implicit 3D Reconstruction through Meta-adaptive EMA and SDF-aware Pseudo-label Evaluation</w:t>
      </w:r>
    </w:p>
    <w:p>
      <w:r>
        <w:rPr>
          <w:rFonts w:ascii="Times New Roman" w:hAnsi="Times New Roman" w:eastAsia="宋体"/>
          <w:sz w:val="21"/>
        </w:rPr>
        <w:t>作者: Itaru Kitahara</w:t>
        <w:br/>
      </w:r>
      <w:r>
        <w:rPr>
          <w:rFonts w:ascii="Times New Roman" w:hAnsi="Times New Roman" w:eastAsia="宋体"/>
          <w:sz w:val="21"/>
        </w:rPr>
        <w:t xml:space="preserve">时间: 2026-02-05T20:07:46Z | </w:t>
      </w:r>
      <w:r>
        <w:t xml:space="preserve">链接: </w:t>
      </w:r>
      <w:hyperlink r:id="rId50">
        <w:r>
          <w:rPr>
            <w:rFonts w:ascii="Times New Roman" w:hAnsi="Times New Roman" w:eastAsia="宋体"/>
            <w:color w:val="0000FF"/>
            <w:sz w:val="21"/>
            <w:u w:val="single"/>
          </w:rPr>
          <w:t>https://arxiv.org/abs/2602.06163v1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用于单视图 3D 重建的基于隐式 SDF 的方法可实现高质量表面，但需要大量标记数据集，从而限制了其可扩展性。我们提出了 MetaSSP，一种新颖的半监督框架，它利用了大量的未标记图像。我们的方法引入了基于梯度的参数重要性估计来规范自适应 EMA 更新，以及将增强一致性与 SDF 方差相结合的 SDF 感知伪标签加权机制。从 10% 的监督预热开始，统一管道联合细化标记和未标记数据。在 Pix3D 基准上，与现有的半监督基线相比，我们的方法将 Chamfer Distance 减少了约 20.61%，IoU 增加了约 24.09%，创下了新的最先进水平。</w:t>
      </w:r>
    </w:p>
    <w:p>
      <w:pPr>
        <w:spacing w:before="120"/>
      </w:pPr>
      <w:r>
        <w:rPr>
          <w:rFonts w:ascii="Times New Roman" w:hAnsi="Times New Roman" w:eastAsia="宋体"/>
          <w:b/>
          <w:sz w:val="21"/>
        </w:rPr>
        <w:t>English Abstract:</w:t>
      </w:r>
    </w:p>
    <w:p>
      <w:r>
        <w:rPr>
          <w:rFonts w:ascii="Times New Roman" w:hAnsi="Times New Roman" w:eastAsia="宋体"/>
          <w:sz w:val="21"/>
        </w:rPr>
        <w:t>Implicit SDF-based methods for single-view 3D reconstruction achieve high-quality surfaces but require large labeled datasets, limiting their scalability. We propose MetaSSP, a novel semi-supervised framework that exploits abundant unlabeled images. Our approach introduces gradient-based parameter importance estimation to regularize adaptive EMA updates and an SDF-aware pseudo-label weighting mechanism combining augmentation consistency with SDF variance. Beginning with a 10% supervised warm-up, the unified pipeline jointly refines labeled and unlabeled data. On the Pix3D benchmark, our method reduces Chamfer Distance by approximately 20.61% and increases IoU by around 24.09% compared to existing semi-supervised baselines, setting a new state of the art.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M3：通过多模态、多智能体和多轮视觉推理实现高保真文本到图像生成</w:t>
      </w:r>
    </w:p>
    <w:p>
      <w:r>
        <w:rPr>
          <w:rFonts w:ascii="Times New Roman" w:hAnsi="Times New Roman" w:eastAsia="宋体"/>
          <w:b/>
          <w:color w:val="003264"/>
          <w:sz w:val="24"/>
        </w:rPr>
        <w:t>M3: High-fidelity Text-to-Image Generation via Multi-Modal, Multi-Agent and Multi-Round Visual Reasoning</w:t>
      </w:r>
    </w:p>
    <w:p>
      <w:r>
        <w:rPr>
          <w:rFonts w:ascii="Times New Roman" w:hAnsi="Times New Roman" w:eastAsia="宋体"/>
          <w:sz w:val="21"/>
        </w:rPr>
        <w:t>作者: Ge Liu</w:t>
        <w:br/>
      </w:r>
      <w:r>
        <w:rPr>
          <w:rFonts w:ascii="Times New Roman" w:hAnsi="Times New Roman" w:eastAsia="宋体"/>
          <w:sz w:val="21"/>
        </w:rPr>
        <w:t xml:space="preserve">时间: 2026-02-05T20:10:27Z | </w:t>
      </w:r>
      <w:r>
        <w:t xml:space="preserve">链接: </w:t>
      </w:r>
      <w:hyperlink r:id="rId51">
        <w:r>
          <w:rPr>
            <w:rFonts w:ascii="Times New Roman" w:hAnsi="Times New Roman" w:eastAsia="宋体"/>
            <w:color w:val="0000FF"/>
            <w:sz w:val="21"/>
            <w:u w:val="single"/>
          </w:rPr>
          <w:t>https://arxiv.org/abs/2602.06166v1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生成模型在文本到图像的合成中取得了令人印象深刻的保真度，但仍难以应对涉及多种约束的复杂合成提示。我们引入了 \textbf{M3（多模式、多代理、多轮）}，这是一种免训练框架，可以通过迭代推理时间细化系统地解决这些故障。 M3 在强大的多代理循环中编排现成的基础模型：规划器将提示分解为可验证的清单，而专门的检查器、精炼器和编辑器代理一次一次精确地纠正一个约束，而验证器则确保单调改进。应用于开源模型，M3在具有挑战性的OneIG-EN基准测试中取得了显着的成绩，我们的Qwen-Image+M3超越了包括Imagen4（0.515）和Seedream 3.0（0.530）在内的商业旗舰系统，达到了最先进的性能（总体为0.532）。这表明智能多代理推理可以使开源模型超越专有替代方案。 M3 还大幅改进了 GenEval 组合指标，有效地将强化测试集上的空间推理性能提高了一倍。作为与任何预先训练的 T2I 模型兼容的即插即用模块，M3 为组合生成建立了新的范例，而无需进行昂贵的重新训练。</w:t>
      </w:r>
    </w:p>
    <w:p>
      <w:pPr>
        <w:spacing w:before="120"/>
      </w:pPr>
      <w:r>
        <w:rPr>
          <w:rFonts w:ascii="Times New Roman" w:hAnsi="Times New Roman" w:eastAsia="宋体"/>
          <w:b/>
          <w:sz w:val="21"/>
        </w:rPr>
        <w:t>English Abstract:</w:t>
      </w:r>
    </w:p>
    <w:p>
      <w:r>
        <w:rPr>
          <w:rFonts w:ascii="Times New Roman" w:hAnsi="Times New Roman" w:eastAsia="宋体"/>
          <w:sz w:val="21"/>
        </w:rPr>
        <w:t>Generative models have achieved impressive fidelity in text-to-image synthesis, yet struggle with complex compositional prompts involving multiple constraints. We introduce \textbf{M3 (Multi-Modal, Multi-Agent, Multi-Round)}, a training-free framework that systematically resolves these failures through iterative inference-time refinement. M3 orchestrates off-the-shelf foundation models in a robust multi-agent loop: a Planner decomposes prompts into verifiable checklists, while specialized Checker, Refiner, and Editor agents surgically correct constraints one at a time, with a Verifier ensuring monotonic improvement. Applied to open-source models, M3 achieves remarkable results on the challenging OneIG-EN benchmark, with our Qwen-Image+M3 surpassing commercial flagship systems including Imagen4 (0.515) and Seedream 3.0 (0.530), reaching state-of-the-art performance (0.532 overall). This demonstrates that intelligent multi-agent reasoning can elevate open-source models beyond proprietary alternatives. M3 also substantially improves GenEval compositional metrics, effectively doubling spatial reasoning performance on hardened test sets. As a plug-and-play module compatible with any pre-trained T2I model, M3 establishes a new paradigm for compositional generation without costly retraining.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用于实时 MR 成像的女性骨盆疾病的无监督异常检测</w:t>
      </w:r>
    </w:p>
    <w:p>
      <w:r>
        <w:rPr>
          <w:rFonts w:ascii="Times New Roman" w:hAnsi="Times New Roman" w:eastAsia="宋体"/>
          <w:b/>
          <w:color w:val="003264"/>
          <w:sz w:val="24"/>
        </w:rPr>
        <w:t>Unsupervised Anomaly Detection of Diseases in the Female Pelvis for Real-Time MR Imaging</w:t>
      </w:r>
    </w:p>
    <w:p>
      <w:r>
        <w:rPr>
          <w:rFonts w:ascii="Times New Roman" w:hAnsi="Times New Roman" w:eastAsia="宋体"/>
          <w:sz w:val="21"/>
        </w:rPr>
        <w:t>作者: Jana Hutter</w:t>
        <w:br/>
      </w:r>
      <w:r>
        <w:rPr>
          <w:rFonts w:ascii="Times New Roman" w:hAnsi="Times New Roman" w:eastAsia="宋体"/>
          <w:sz w:val="21"/>
        </w:rPr>
        <w:t xml:space="preserve">时间: 2026-02-05T20:33:27Z | </w:t>
      </w:r>
      <w:r>
        <w:t xml:space="preserve">链接: </w:t>
      </w:r>
      <w:hyperlink r:id="rId52">
        <w:r>
          <w:rPr>
            <w:rFonts w:ascii="Times New Roman" w:hAnsi="Times New Roman" w:eastAsia="宋体"/>
            <w:color w:val="0000FF"/>
            <w:sz w:val="21"/>
            <w:u w:val="single"/>
          </w:rPr>
          <w:t>https://arxiv.org/abs/2602.06179v1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育龄妇女的盆腔疾病是全球主要的健康负担，由于解剖结构变异性大，诊断经常被延迟，使 MRI 解释变得复杂。现有的人工智能方法主要针对特定​​疾病，缺乏实时兼容性，限制了普遍性和临床整合。为了应对这些挑战，我们建立了一个基准框架，用于盆腔 MRI 中与疾病和参数无关、实时兼容的无监督异常检测。该方法使用专门针对通过不同成像协议获取的健康矢状 T2 加权扫描进行训练的残差变分自动编码器来模拟正常骨盆解剖结构。在推理过程中，重建误差热图表明与学习的健康结构的偏差，从而能够在没有标记异常数据的情况下检测病理区域。该模型经过 294 次健康扫描的训练，并使用扩散生成的合成数据进行增强，以提高稳健性。对公开的子宫肌瘤 MRI 数据集进行定量评估，平均曲线下面积 (AUC) 值为 0.736，敏感性为 0.828，特异性为 0.692。额外的观察者间临床评估将分析扩展到子宫内膜癌、子宫内膜异位症和子宫腺肌症，揭示了解剖异质性和观察者间变异对性能解释的影响。该框架的重建时间约为每秒 92.6 帧，为女性骨盆的无监督异常检测建立了基线，并支持未来集成到实时 MRI 中。代码可根据要求提供（https://github.com/AniKnu/UADPelvis），前瞻性数据集可用于学术合作。</w:t>
      </w:r>
    </w:p>
    <w:p>
      <w:pPr>
        <w:spacing w:before="120"/>
      </w:pPr>
      <w:r>
        <w:rPr>
          <w:rFonts w:ascii="Times New Roman" w:hAnsi="Times New Roman" w:eastAsia="宋体"/>
          <w:b/>
          <w:sz w:val="21"/>
        </w:rPr>
        <w:t>English Abstract:</w:t>
      </w:r>
    </w:p>
    <w:p>
      <w:r>
        <w:rPr>
          <w:rFonts w:ascii="Times New Roman" w:hAnsi="Times New Roman" w:eastAsia="宋体"/>
          <w:sz w:val="21"/>
        </w:rPr>
        <w:t>Pelvic diseases in women of reproductive age represent a major global health burden, with diagnosis frequently delayed due to high anatomical variability, complicating MRI interpretation. Existing AI approaches are largely disease-specific and lack real-time compatibility, limiting generalizability and clinical integration. To address these challenges, we establish a benchmark framework for disease- and parameter-agnostic, real-time-compatible unsupervised anomaly detection in pelvic MRI. The method uses a residual variational autoencoder trained exclusively on healthy sagittal T2-weighted scans acquired across diverse imaging protocols to model normal pelvic anatomy. During inference, reconstruction error heatmaps indicate deviations from learned healthy structure, enabling detection of pathological regions without labeled abnormal data. The model is trained on 294 healthy scans and augmented with diffusion-generated synthetic data to improve robustness. Quantitative evaluation on the publicly available Uterine Myoma MRI Dataset yields an average area-under-the-curve (AUC) value of 0.736, with 0.828 sensitivity and 0.692 specificity. Additional inter-observer clinical evaluation extends analysis to endometrial cancer, endometriosis, and adenomyosis, revealing the influence of anatomical heterogeneity and inter-observer variability on performance interpretation. With a reconstruction time of approximately 92.6 frames per second, the proposed framework establishes a baseline for unsupervised anomaly detection in the female pelvis and supports future integration into real-time MRI. Code is available upon request (https://github.com/AniKnu/UADPelvis), prospective data sets are available for academic collaboration.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PhenoLIP：将表型本体知识整合到医学视觉语言预训练中</w:t>
      </w:r>
    </w:p>
    <w:p>
      <w:r>
        <w:rPr>
          <w:rFonts w:ascii="Times New Roman" w:hAnsi="Times New Roman" w:eastAsia="宋体"/>
          <w:b/>
          <w:color w:val="003264"/>
          <w:sz w:val="24"/>
        </w:rPr>
        <w:t>PhenoLIP: Integrating Phenotype Ontology Knowledge into Medical Vision-Language Pretraining</w:t>
      </w:r>
    </w:p>
    <w:p>
      <w:r>
        <w:rPr>
          <w:rFonts w:ascii="Times New Roman" w:hAnsi="Times New Roman" w:eastAsia="宋体"/>
          <w:sz w:val="21"/>
        </w:rPr>
        <w:t>作者: Weidi Xie</w:t>
        <w:br/>
      </w:r>
      <w:r>
        <w:rPr>
          <w:rFonts w:ascii="Times New Roman" w:hAnsi="Times New Roman" w:eastAsia="宋体"/>
          <w:sz w:val="21"/>
        </w:rPr>
        <w:t xml:space="preserve">时间: 2026-02-05T20:44:07Z | </w:t>
      </w:r>
      <w:r>
        <w:t xml:space="preserve">链接: </w:t>
      </w:r>
      <w:hyperlink r:id="rId53">
        <w:r>
          <w:rPr>
            <w:rFonts w:ascii="Times New Roman" w:hAnsi="Times New Roman" w:eastAsia="宋体"/>
            <w:color w:val="0000FF"/>
            <w:sz w:val="21"/>
            <w:u w:val="single"/>
          </w:rPr>
          <w:t>https://arxiv.org/abs/2602.06184v1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大规模类 CLIP 视觉语言模型 (VLM) 的最新进展极大地推进了医学图像分析。然而，大多数现有的医学 VLM 仍然依赖于粗略的图像文本对比目标，无法捕获在明确定义的医学表型本体中编码的系统视觉知识。为了解决这一差距，我们构建了 PhenoKG，这是第一个大规模、以表型为中心的多模态知识图，其中包含与 3,000 多个表型相关的超过 52 万个高质量图像文本对。在 PhenoKG 的基础上，我们提出了 PhenoLIP，这是一种新颖的预训练框架，它通过两个阶段的过程将结构化表型知识明确地纳入医学 VLM 中。我们首先从文本本体数据中学习知识增强的表型嵌入空间，然后通过教师指导的知识蒸馏目标将这种结构化知识提炼成多模态预训练。为了支持评估，我们进一步引入了 PhenoBench，这是一种经过专家验证的基准，专为表型识别而设计，包含 7,800 多个图像-标题对，涵盖 1,000 多种表型。大量实验表明，PhenoLIP 优于之前最先进的基线，在表型分类准确率方面比 BiomedCLIP 提高了 8.85%，在跨模态检索方面比 BIOMEDICA 提高了 15.03%，强调了将以表型为中心的先验集成到医学 VLM 中以实现结构化和可解释的医学图像理解的价值。</w:t>
      </w:r>
    </w:p>
    <w:p>
      <w:pPr>
        <w:spacing w:before="120"/>
      </w:pPr>
      <w:r>
        <w:rPr>
          <w:rFonts w:ascii="Times New Roman" w:hAnsi="Times New Roman" w:eastAsia="宋体"/>
          <w:b/>
          <w:sz w:val="21"/>
        </w:rPr>
        <w:t>English Abstract:</w:t>
      </w:r>
    </w:p>
    <w:p>
      <w:r>
        <w:rPr>
          <w:rFonts w:ascii="Times New Roman" w:hAnsi="Times New Roman" w:eastAsia="宋体"/>
          <w:sz w:val="21"/>
        </w:rPr>
        <w:t>Recent progress in large-scale CLIP-like vision-language models(VLMs) has greatly advanced medical image analysis. However, most existing medical VLMs still rely on coarse image-text contrastive objectives and fail to capture the systematic visual knowledge encoded in well-defined medical phenotype ontologies. To address this gap, we construct PhenoKG, the first large-scale, phenotype-centric multimodal knowledge graph that encompasses over 520K high-quality image-text pairs linked to more than 3,000 phenotypes. Building upon PhenoKG, we propose PhenoLIP, a novel pretraining framework that explicitly incorporates structured phenotype knowledge into medical VLMs through a two-stage process. We first learn a knowledge-enhanced phenotype embedding space from textual ontology data and then distill this structured knowledge into multimodal pretraining via a teacher-guided knowledge distillation objective. To support evaluation, we further introduce PhenoBench, an expert-verified benchmark designed for phenotype recognition, comprising over 7,800 image--caption pairs covering more than 1,000 phenotypes. Extensive experiments demonstrate that PhenoLIP outperforms previous state-of-the-art baselines, improving upon BiomedCLIP in phenotype classification accuracy by 8.85\% and BIOMEDICA in cross-modal retrieval by 15.03%, underscoring the value of integrating phenotype-centric priors into medical VLMs for structured and interpretable medical image understanding.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AnyThermal：学习热感知的通用表示</w:t>
      </w:r>
    </w:p>
    <w:p>
      <w:r>
        <w:rPr>
          <w:rFonts w:ascii="Times New Roman" w:hAnsi="Times New Roman" w:eastAsia="宋体"/>
          <w:b/>
          <w:color w:val="003264"/>
          <w:sz w:val="24"/>
        </w:rPr>
        <w:t>AnyThermal: Towards Learning Universal Representations for Thermal Perception</w:t>
      </w:r>
    </w:p>
    <w:p>
      <w:r>
        <w:rPr>
          <w:rFonts w:ascii="Times New Roman" w:hAnsi="Times New Roman" w:eastAsia="宋体"/>
          <w:sz w:val="21"/>
        </w:rPr>
        <w:t>作者: Wenshan Wang</w:t>
        <w:br/>
      </w:r>
      <w:r>
        <w:rPr>
          <w:rFonts w:ascii="Times New Roman" w:hAnsi="Times New Roman" w:eastAsia="宋体"/>
          <w:sz w:val="21"/>
        </w:rPr>
        <w:t xml:space="preserve">时间: 2026-02-05T21:27:26Z | </w:t>
      </w:r>
      <w:r>
        <w:t xml:space="preserve">链接: </w:t>
      </w:r>
      <w:hyperlink r:id="rId54">
        <w:r>
          <w:rPr>
            <w:rFonts w:ascii="Times New Roman" w:hAnsi="Times New Roman" w:eastAsia="宋体"/>
            <w:color w:val="0000FF"/>
            <w:sz w:val="21"/>
            <w:u w:val="single"/>
          </w:rPr>
          <w:t>https://arxiv.org/abs/2602.06203v1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我们推出了 AnyThermal，这是一种热主干，可捕获鲁棒的与任务无关的热特征，适用于各种任务，例如跨模式位置识别、热分割和使用热图像的单目深度估计。现有的热骨干遵循小规模数据的特定任务训练，导致实用性仅限于特定环境和任务。与之前的方法不同，AnyThermal 可用于各种环境（室内、空中、越野、城市）和任务，所有这些都无需针对特定任务的培训。我们的主要见解是使用来自这些多个环境的热数据将 DINOv2 等视觉基础模型的特征表示提取到热编码器中。为了弥补现有 RGB-Thermal 数据集的多样性差距，我们引入了 TartanRGBT 平台，这是第一个具有同步 RGB-Thermal 图像采集功能的开源数据收集平台。我们使用此有效负载来收集 TartanRGBT 数据集 - 在 4 个环境中收集的多样化且平衡的数据集。我们展示了 AnyThermal 和 TartanRGBT 的功效，在现有数据集的不同环境和下游任务中实现了最先进的结果，性能提升高达 36%。</w:t>
      </w:r>
    </w:p>
    <w:p>
      <w:pPr>
        <w:spacing w:before="120"/>
      </w:pPr>
      <w:r>
        <w:rPr>
          <w:rFonts w:ascii="Times New Roman" w:hAnsi="Times New Roman" w:eastAsia="宋体"/>
          <w:b/>
          <w:sz w:val="21"/>
        </w:rPr>
        <w:t>English Abstract:</w:t>
      </w:r>
    </w:p>
    <w:p>
      <w:r>
        <w:rPr>
          <w:rFonts w:ascii="Times New Roman" w:hAnsi="Times New Roman" w:eastAsia="宋体"/>
          <w:sz w:val="21"/>
        </w:rPr>
        <w:t>We present AnyThermal, a thermal backbone that captures robust task-agnostic thermal features suitable for a variety of tasks such as cross-modal place recognition, thermal segmentation, and monocular depth estimation using thermal images. Existing thermal backbones that follow task-specific training from small-scale data result in utility limited to a specific environment and task. Unlike prior methods, AnyThermal can be used for a wide range of environments (indoor, aerial, off-road, urban) and tasks, all without task-specific training. Our key insight is to distill the feature representations from visual foundation models such as DINOv2 into a thermal encoder using thermal data from these multiple environments. To bridge the diversity gap of the existing RGB-Thermal datasets, we introduce the TartanRGBT platform, the first open-source data collection platform with synced RGB-Thermal image acquisition. We use this payload to collect the TartanRGBT dataset - a diverse and balanced dataset collected in 4 environments. We demonstrate the efficacy of AnyThermal and TartanRGBT, achieving state-of-the-art results with improvements of up to 36% across diverse environments and downstream tasks on existing datasets.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DroneKey++：无尺寸先验方法和基于序列图像的无人机 3D 姿态估计的新基准</w:t>
      </w:r>
    </w:p>
    <w:p>
      <w:r>
        <w:rPr>
          <w:rFonts w:ascii="Times New Roman" w:hAnsi="Times New Roman" w:eastAsia="宋体"/>
          <w:b/>
          <w:color w:val="003264"/>
          <w:sz w:val="24"/>
        </w:rPr>
        <w:t>DroneKey++: A Size Prior-free Method and New Benchmark for Drone 3D Pose Estimation from Sequential Images</w:t>
      </w:r>
    </w:p>
    <w:p>
      <w:r>
        <w:rPr>
          <w:rFonts w:ascii="Times New Roman" w:hAnsi="Times New Roman" w:eastAsia="宋体"/>
          <w:sz w:val="21"/>
        </w:rPr>
        <w:t>作者: Yeong-Jun Cho</w:t>
        <w:br/>
      </w:r>
      <w:r>
        <w:rPr>
          <w:rFonts w:ascii="Times New Roman" w:hAnsi="Times New Roman" w:eastAsia="宋体"/>
          <w:sz w:val="21"/>
        </w:rPr>
        <w:t xml:space="preserve">时间: 2026-02-05T21:41:20Z | </w:t>
      </w:r>
      <w:r>
        <w:t xml:space="preserve">链接: </w:t>
      </w:r>
      <w:hyperlink r:id="rId55">
        <w:r>
          <w:rPr>
            <w:rFonts w:ascii="Times New Roman" w:hAnsi="Times New Roman" w:eastAsia="宋体"/>
            <w:color w:val="0000FF"/>
            <w:sz w:val="21"/>
            <w:u w:val="single"/>
          </w:rPr>
          <w:t>https://arxiv.org/abs/2602.06211v1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无人机的准确 3D 姿态估计对于安全和监控系统至关重要。然而，现有方法通常依赖于先前的无人机信息，例如物理尺寸或 3D 网格。同时，当前的数据集规模较小，仅限于单一模型，并且是在受限环境下收集的，这使得可靠的泛化验证变得困难。我们提出了 DroneKey++，这是一个无先验框架，可联合执行关键点检测、无人机分类和 3D 姿态估计。该框架采用关键点编码器进行同步关键点检测和分类，并采用姿势解码器使用基于射线的几何推理和类嵌入来估计 3D 姿势。为了解决数据集限制，我们构建了 6DroneSyn，这是一个大规模合成基准，包含超过 50K 图像，涵盖 7 个无人机模型和 88 个室外背景，使用 360 度全景合成生成。实验表明，DroneKey++ 旋转的 MAE 17.34 deg 和 MedAE 17.1 deg，平移的 MAE 0.135 m 和 MedAE 0.242 m，推理速度为 19.25 FPS（CPU）和 414.07 FPS（GPU），展示了跨无人机模型的强大泛化性和对实时应用的适用性。该数据集是公开的。</w:t>
      </w:r>
    </w:p>
    <w:p>
      <w:pPr>
        <w:spacing w:before="120"/>
      </w:pPr>
      <w:r>
        <w:rPr>
          <w:rFonts w:ascii="Times New Roman" w:hAnsi="Times New Roman" w:eastAsia="宋体"/>
          <w:b/>
          <w:sz w:val="21"/>
        </w:rPr>
        <w:t>English Abstract:</w:t>
      </w:r>
    </w:p>
    <w:p>
      <w:r>
        <w:rPr>
          <w:rFonts w:ascii="Times New Roman" w:hAnsi="Times New Roman" w:eastAsia="宋体"/>
          <w:sz w:val="21"/>
        </w:rPr>
        <w:t>Accurate 3D pose estimation of drones is essential for security and surveillance systems. However, existing methods often rely on prior drone information such as physical sizes or 3D meshes. At the same time, current datasets are small-scale, limited to single models, and collected under constrained environments, which makes reliable validation of generalization difficult. We present DroneKey++, a prior-free framework that jointly performs keypoint detection, drone classification, and 3D pose estimation. The framework employs a keypoint encoder for simultaneous keypoint detection and classification, and a pose decoder that estimates 3D pose using ray-based geometric reasoning and class embeddings. To address dataset limitations, we construct 6DroneSyn, a large-scale synthetic benchmark with over 50K images covering 7 drone models and 88 outdoor backgrounds, generated using 360-degree panoramic synthesis. Experiments show that DroneKey++ achieves MAE 17.34 deg and MedAE 17.1 deg for rotation, MAE 0.135 m and MedAE 0.242 m for translation, with inference speeds of 19.25 FPS (CPU) and 414.07 FPS (GPU), demonstrating both strong generalization across drone models and suitability for real-time applications. The dataset is publicly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跨模态冗余和视觉语言嵌入的几何结构</w:t>
      </w:r>
    </w:p>
    <w:p>
      <w:r>
        <w:rPr>
          <w:rFonts w:ascii="Times New Roman" w:hAnsi="Times New Roman" w:eastAsia="宋体"/>
          <w:b/>
          <w:color w:val="003264"/>
          <w:sz w:val="24"/>
        </w:rPr>
        <w:t>Cross-Modal Redundancy and the Geometry of Vision-Language Embeddings</w:t>
      </w:r>
    </w:p>
    <w:p>
      <w:r>
        <w:rPr>
          <w:rFonts w:ascii="Times New Roman" w:hAnsi="Times New Roman" w:eastAsia="宋体"/>
          <w:sz w:val="21"/>
        </w:rPr>
        <w:t>作者: Agustin Picard</w:t>
        <w:br/>
      </w:r>
      <w:r>
        <w:rPr>
          <w:rFonts w:ascii="Times New Roman" w:hAnsi="Times New Roman" w:eastAsia="宋体"/>
          <w:sz w:val="21"/>
        </w:rPr>
        <w:t xml:space="preserve">时间: 2026-02-05T21:56:26Z | </w:t>
      </w:r>
      <w:r>
        <w:t xml:space="preserve">链接: </w:t>
      </w:r>
      <w:hyperlink r:id="rId56">
        <w:r>
          <w:rPr>
            <w:rFonts w:ascii="Times New Roman" w:hAnsi="Times New Roman" w:eastAsia="宋体"/>
            <w:color w:val="0000FF"/>
            <w:sz w:val="21"/>
            <w:u w:val="single"/>
          </w:rPr>
          <w:t>https://arxiv.org/abs/2602.06218v1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VLM）在对齐图像和文本方面取得了显着的成功，但它们共享的嵌入空间的几何形状仍然知之甚少。为了探讨这个几何形状，我们从等能量假设开始，它利用了跨模态冗余：一个真正共享的概念应该在不同模态中表现出相同的平均能量。我们使用对齐稀疏自动编码器（SAE）来实现这一假设，它鼓励训练期间的能量一致性，同时保留重建。我们发现这种归纳偏差改变了 SAE 解决方案而不损害重建，为我们提供了一种可用作几何分析工具的表示形式。对具有已知地面事实的受控数据进行健全性检查证实，当等能量保持中立时，对准会改善；而当不保持中立时，对准会保持中立。应用于基础 VLM 时，我们的框架揭示了具有实际意义的清晰结构：（i）稀疏双峰原子携带整个跨模态对准信号； (ii) 单峰原子充当特定于模态的偏差并充分解释模态差距； (iii) 去除单峰原子可以缩小间隙而不损害性能； (iv) 将向量算术限制在双峰子空间会产生分布内编辑和改进的检索。这些发现表明，正确的归纳偏差既可以保持模型保真度，又可以使潜在几何结构可解释和可操作。</w:t>
      </w:r>
    </w:p>
    <w:p>
      <w:pPr>
        <w:spacing w:before="120"/>
      </w:pPr>
      <w:r>
        <w:rPr>
          <w:rFonts w:ascii="Times New Roman" w:hAnsi="Times New Roman" w:eastAsia="宋体"/>
          <w:b/>
          <w:sz w:val="21"/>
        </w:rPr>
        <w:t>English Abstract:</w:t>
      </w:r>
    </w:p>
    <w:p>
      <w:r>
        <w:rPr>
          <w:rFonts w:ascii="Times New Roman" w:hAnsi="Times New Roman" w:eastAsia="宋体"/>
          <w:sz w:val="21"/>
        </w:rPr>
        <w:t>Vision-language models (VLMs) align images and text with remarkable success, yet the geometry of their shared embedding space remains poorly understood. To probe this geometry, we begin from the Iso-Energy Assumption, which exploits cross-modal redundancy: a concept that is truly shared should exhibit the same average energy across modalities. We operationalize this assumption with an Aligned Sparse Autoencoder (SAE) that encourages energy consistency during training while preserving reconstruction. We find that this inductive bias changes the SAE solution without harming reconstruction, giving us a representation that serves as a tool for geometric analysis. Sanity checks on controlled data with known ground truth confirm that alignment improves when Iso-Energy holds and remains neutral when it does not. Applied to foundational VLMs, our framework reveals a clear structure with practical consequences: (i) sparse bimodal atoms carry the entire cross-modal alignment signal; (ii) unimodal atoms act as modality-specific biases and fully explain the modality gap; (iii) removing unimodal atoms collapses the gap without harming performance; (iv) restricting vector arithmetic to the bimodal subspace yields in-distribution edits and improved retrieval. These findings suggest that the right inductive bias can both preserve model fidelity and render the latent geometry interpretable and actionable.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ForeHOI：根据日常手部物体交互视频进行前馈 3D 物体重建</w:t>
      </w:r>
    </w:p>
    <w:p>
      <w:r>
        <w:rPr>
          <w:rFonts w:ascii="Times New Roman" w:hAnsi="Times New Roman" w:eastAsia="宋体"/>
          <w:b/>
          <w:color w:val="003264"/>
          <w:sz w:val="24"/>
        </w:rPr>
        <w:t>ForeHOI: Feed-forward 3D Object Reconstruction from Daily Hand-Object Interaction Videos</w:t>
      </w:r>
    </w:p>
    <w:p>
      <w:r>
        <w:rPr>
          <w:rFonts w:ascii="Times New Roman" w:hAnsi="Times New Roman" w:eastAsia="宋体"/>
          <w:sz w:val="21"/>
        </w:rPr>
        <w:t>作者: Xiaoguang Han</w:t>
        <w:br/>
      </w:r>
      <w:r>
        <w:rPr>
          <w:rFonts w:ascii="Times New Roman" w:hAnsi="Times New Roman" w:eastAsia="宋体"/>
          <w:sz w:val="21"/>
        </w:rPr>
        <w:t xml:space="preserve">时间: 2026-02-05T22:05:57Z | </w:t>
      </w:r>
      <w:r>
        <w:t xml:space="preserve">链接: </w:t>
      </w:r>
      <w:hyperlink r:id="rId57">
        <w:r>
          <w:rPr>
            <w:rFonts w:ascii="Times New Roman" w:hAnsi="Times New Roman" w:eastAsia="宋体"/>
            <w:color w:val="0000FF"/>
            <w:sz w:val="21"/>
            <w:u w:val="single"/>
          </w:rPr>
          <w:t>https://arxiv.org/abs/2602.06226v1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捕捉日常手部物体交互的单眼视频无处不在，为体现智能提供了宝贵的资源。虽然根据野外视频进行 3D 手重建已经取得了重大进展，但由于严重的遮挡以及相机、手和物体的复杂耦合运动，重建所涉及的物体仍然具有挑战性。在本文中，我们介绍了 ForeHOI，这是一种新颖的前馈模型，可在推理时间的一分钟内根据单眼手部物体交互视频直接重建 3D 物体几何形状，从而无需任何预处理步骤。我们的主要见解是，前馈框架中 2D 掩模修复和 3D 形状完成的联合预测可以有效解决单目手持物体视频中的严重遮挡问题，从而获得优于基于优化的方法性能的结果。 2D 和 3D 形状完成之间的信息交换提高了整体重建质量，使该框架能够有效处理严重的手部物体遮挡。此外，为了支持模型的训练，我们贡献了第一个大规模、高保真的手部物体交互综合数据集，并带有全面的注释。大量实验表明，ForeHOI 在对象重建方面实现了最先进的性能，显着优于以前的方法，加速速度提高了约 100 倍。代码和数据可访问：https://github.com/Tao-11-chen/ForeHOI。</w:t>
      </w:r>
    </w:p>
    <w:p>
      <w:pPr>
        <w:spacing w:before="120"/>
      </w:pPr>
      <w:r>
        <w:rPr>
          <w:rFonts w:ascii="Times New Roman" w:hAnsi="Times New Roman" w:eastAsia="宋体"/>
          <w:b/>
          <w:sz w:val="21"/>
        </w:rPr>
        <w:t>English Abstract:</w:t>
      </w:r>
    </w:p>
    <w:p>
      <w:r>
        <w:rPr>
          <w:rFonts w:ascii="Times New Roman" w:hAnsi="Times New Roman" w:eastAsia="宋体"/>
          <w:sz w:val="21"/>
        </w:rPr>
        <w:t>The ubiquity of monocular videos capturing daily hand-object interactions presents a valuable resource for embodied intelligence. While 3D hand reconstruction from in-the-wild videos has seen significant progress, reconstructing the involved objects remains challenging due to severe occlusions and the complex, coupled motion of the camera, hands, and object. In this paper, we introduce ForeHOI, a novel feed-forward model that directly reconstructs 3D object geometry from monocular hand-object interaction videos within one minute of inference time, eliminating the need for any pre-processing steps. Our key insight is that, the joint prediction of 2D mask inpainting and 3D shape completion in a feed-forward framework can effectively address the problem of severe occlusion in monocular hand-held object videos, thereby achieving results that outperform the performance of optimization-based methods. The information exchanges between the 2D and 3D shape completion boosts the overall reconstruction quality, enabling the framework to effectively handle severe hand-object occlusion. Furthermore, to support the training of our model, we contribute the first large-scale, high-fidelity synthetic dataset of hand-object interactions with comprehensive annotations. Extensive experiments demonstrate that ForeHOI achieves state-of-the-art performance in object reconstruction, significantly outperforming previous methods with around a 100x speedup. Code and data are available at: https://github.com/Tao-11-chen/ForeHOI.</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可解释的视觉转换器作为基于指纹的歌舞伎和维德曼-施泰纳综合症的诊断辅助工具</w:t>
      </w:r>
    </w:p>
    <w:p>
      <w:r>
        <w:rPr>
          <w:rFonts w:ascii="Times New Roman" w:hAnsi="Times New Roman" w:eastAsia="宋体"/>
          <w:b/>
          <w:color w:val="003264"/>
          <w:sz w:val="24"/>
        </w:rPr>
        <w:t>An Interpretable Vision Transformer as a Fingerprint-Based Diagnostic Aid for Kabuki and Wiedemann-Steiner Syndromes</w:t>
      </w:r>
    </w:p>
    <w:p>
      <w:r>
        <w:rPr>
          <w:rFonts w:ascii="Times New Roman" w:hAnsi="Times New Roman" w:eastAsia="宋体"/>
          <w:sz w:val="21"/>
        </w:rPr>
        <w:t>作者: Lotta M. Ellingsen</w:t>
        <w:br/>
      </w:r>
      <w:r>
        <w:rPr>
          <w:rFonts w:ascii="Times New Roman" w:hAnsi="Times New Roman" w:eastAsia="宋体"/>
          <w:sz w:val="21"/>
        </w:rPr>
        <w:t xml:space="preserve">时间: 2026-02-06T00:41:15Z | </w:t>
      </w:r>
      <w:r>
        <w:t xml:space="preserve">链接: </w:t>
      </w:r>
      <w:hyperlink r:id="rId58">
        <w:r>
          <w:rPr>
            <w:rFonts w:ascii="Times New Roman" w:hAnsi="Times New Roman" w:eastAsia="宋体"/>
            <w:color w:val="0000FF"/>
            <w:sz w:val="21"/>
            <w:u w:val="single"/>
          </w:rPr>
          <w:t>https://arxiv.org/abs/2602.06282v1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歌舞伎综合征 (KS) 和维德曼-施泰纳综合征 (WSS) 是罕见但截然不同的发育障碍，具有重叠的临床特征，包括神经发育迟缓、生长受限和持续性胎儿指尖垫。虽然基因检测仍然是诊断的黄金标准，但由于获得基因检测和专业知识的障碍，许多 KS 或 WSS 患者仍未得到诊断。尽管皮纹异常已被确定为几种遗传综合征的标志，但在分子检测时代仍然是一个未被充分利用的诊断信号。这项研究提出了一种基于视觉转换器的深度学习模型，该模型利用指纹图像来区分患有 KS 和 WSS 的个体与未受影响的对照组以及彼此之间的差异。我们评估三个二元分类任务的模型性能。在这三个分类任务中，该模型的 AUC 分数为 0.80（对照与 KS）、0.73（对照与 WSS）和 0.85（KS 与 WSS），相应的 F1 分数分别为 0.71、0.72 和 0.83。除了分类之外，我们还应用基于注意力的可视化来识别对模型预测最重要的指纹区域，从而增强可解释性。总之，这些发现表明存在特定于综合征的指纹特征，证明了基于指纹的人工智能 (AI) 工具作为一种非侵入性、可解释且易于使用的未来诊断辅助工具的可行性，用于早期诊断未确诊的遗传综合征。</w:t>
      </w:r>
    </w:p>
    <w:p>
      <w:pPr>
        <w:spacing w:before="120"/>
      </w:pPr>
      <w:r>
        <w:rPr>
          <w:rFonts w:ascii="Times New Roman" w:hAnsi="Times New Roman" w:eastAsia="宋体"/>
          <w:b/>
          <w:sz w:val="21"/>
        </w:rPr>
        <w:t>English Abstract:</w:t>
      </w:r>
    </w:p>
    <w:p>
      <w:r>
        <w:rPr>
          <w:rFonts w:ascii="Times New Roman" w:hAnsi="Times New Roman" w:eastAsia="宋体"/>
          <w:sz w:val="21"/>
        </w:rPr>
        <w:t>Kabuki syndrome (KS) and Wiedemann-Steiner syndrome (WSS) are rare but distinct developmental disorders that share overlapping clinical features, including neurodevelopmental delay, growth restriction, and persistent fetal fingertip pads. While genetic testing remains the diagnostic gold standard, many individuals with KS or WSS remain undiagnosed due to barriers in access to both genetic testing and expertise. Dermatoglyphic anomalies, despite being established hallmarks of several genetic syndromes, remain an underutilized diagnostic signal in the era of molecular testing. This study presents a vision transformer-based deep learning model that leverages fingerprint images to distinguish individuals with KS and WSS from unaffected controls and from one another. We evaluate model performance across three binary classification tasks. Across the three classification tasks, the model achieved AUC scores of 0.80 (control vs. KS), 0.73 (control vs. WSS), and 0.85 (KS vs. WSS), with corresponding F1 scores of 0.71, 0.72, and 0.83, respectively. Beyond classification, we apply attention-based visualizations to identify fingerprint regions most salient to model predictions, enhancing interpretability. Together, these findings suggest the presence of syndrome-specific fingerprint features, demonstrating the feasibility of a fingerprint-based artificial intelligence (AI) tool as a noninvasive, interpretable, and accessible future diagnostic aid for the early diagnosis of underdiagnosed genetic syndromes.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具有多级相关金字塔优化的无监督 MRI-US 多模态图像配准</w:t>
      </w:r>
    </w:p>
    <w:p>
      <w:r>
        <w:rPr>
          <w:rFonts w:ascii="Times New Roman" w:hAnsi="Times New Roman" w:eastAsia="宋体"/>
          <w:b/>
          <w:color w:val="003264"/>
          <w:sz w:val="24"/>
        </w:rPr>
        <w:t>Unsupervised MRI-US Multimodal Image Registration with Multilevel Correlation Pyramidal Optimization</w:t>
      </w:r>
    </w:p>
    <w:p>
      <w:r>
        <w:rPr>
          <w:rFonts w:ascii="Times New Roman" w:hAnsi="Times New Roman" w:eastAsia="宋体"/>
          <w:sz w:val="21"/>
        </w:rPr>
        <w:t>作者: Hang Zhang</w:t>
        <w:br/>
      </w:r>
      <w:r>
        <w:rPr>
          <w:rFonts w:ascii="Times New Roman" w:hAnsi="Times New Roman" w:eastAsia="宋体"/>
          <w:sz w:val="21"/>
        </w:rPr>
        <w:t xml:space="preserve">时间: 2026-02-06T01:03:57Z | </w:t>
      </w:r>
      <w:r>
        <w:t xml:space="preserve">链接: </w:t>
      </w:r>
      <w:hyperlink r:id="rId59">
        <w:r>
          <w:rPr>
            <w:rFonts w:ascii="Times New Roman" w:hAnsi="Times New Roman" w:eastAsia="宋体"/>
            <w:color w:val="0000FF"/>
            <w:sz w:val="21"/>
            <w:u w:val="single"/>
          </w:rPr>
          <w:t>https://arxiv.org/abs/2602.06288v1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多模态图像配准的手术导航通过在手术过程中显示目标区域与关键解剖结构的相对位置，在为外科医生提供术中指导方面发挥了重要作用。然而，由于手术过程中组织移位和切除引起的多模态图像与术中图像变形之间的差异，术前和术中多模态图像的有效配准面临着重大挑战。为了解决 Learn2Reg 2025 中的多模态图像配准挑战，设计了一种基于多级相关金字塔优化（MCPO）的无监督多模态医学图像配准方法来解决这些问题。首先，基于模态无关邻域描述符提取每种模态的特征，并将多模态图像映射到特征空间。其次，设计了多级金字塔融合优化机制，通过对不同尺度输入特征的密集相关分析和权重平衡耦合凸优化，实现位移场的全局优化和局部细节互补。我们的方法专注于 Learn2Reg 2025 中的 ReMIND2Reg 任务。基于结果，我们的方法在 ReMIND2Reg 的验证阶段和测试阶段取得了第一名。 MCPO 还在 Resect 数据集上进行了验证，实现了 1.798 mm 的平均 TRE。这证明了我们的方法在术前至术中图像配准中的广泛适用性。代码可在 https://github.com/wjiazheng/MCPO 获取。</w:t>
      </w:r>
    </w:p>
    <w:p>
      <w:pPr>
        <w:spacing w:before="120"/>
      </w:pPr>
      <w:r>
        <w:rPr>
          <w:rFonts w:ascii="Times New Roman" w:hAnsi="Times New Roman" w:eastAsia="宋体"/>
          <w:b/>
          <w:sz w:val="21"/>
        </w:rPr>
        <w:t>English Abstract:</w:t>
      </w:r>
    </w:p>
    <w:p>
      <w:r>
        <w:rPr>
          <w:rFonts w:ascii="Times New Roman" w:hAnsi="Times New Roman" w:eastAsia="宋体"/>
          <w:sz w:val="21"/>
        </w:rPr>
        <w:t>Surgical navigation based on multimodal image registration has played a significant role in providing intraoperative guidance to surgeons by showing the relative position of the target area to critical anatomical structures during surgery. However, due to the differences between multimodal images and intraoperative image deformation caused by tissue displacement and removal during the surgery, effective registration of preoperative and intraoperative multimodal images faces significant challenges. To address the multimodal image registration challenges in Learn2Reg 2025, an unsupervised multimodal medical image registration method based on multilevel correlation pyramidal optimization (MCPO) is designed to solve these problems. First, the features of each modality are extracted based on the modality independent neighborhood descriptor, and the multimodal images is mapped to the feature space. Second, a multilevel pyramidal fusion optimization mechanism is designed to achieve global optimization and local detail complementation of the displacement field through dense correlation analysis and weight-balanced coupled convex optimization for input features at different scales. Our method focuses on the ReMIND2Reg task in Learn2Reg 2025. Based on the results, our method achieved the first place in the validation phase and test phase of ReMIND2Reg. The MCPO is also validated on the Resect dataset, achieving an average TRE of 1.798 mm. This demonstrates the broad applicability of our method in preoperative-to-intraoperative image registration. The code is avaliable at https://github.com/wjiazheng/MCPO.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加速大脑处理单元上的视觉转换器</w:t>
      </w:r>
    </w:p>
    <w:p>
      <w:r>
        <w:rPr>
          <w:rFonts w:ascii="Times New Roman" w:hAnsi="Times New Roman" w:eastAsia="宋体"/>
          <w:b/>
          <w:color w:val="003264"/>
          <w:sz w:val="24"/>
        </w:rPr>
        <w:t>Accelerating Vision Transformers on Brain Processing Unit</w:t>
      </w:r>
    </w:p>
    <w:p>
      <w:r>
        <w:rPr>
          <w:rFonts w:ascii="Times New Roman" w:hAnsi="Times New Roman" w:eastAsia="宋体"/>
          <w:sz w:val="21"/>
        </w:rPr>
        <w:t>作者: Yan Guo</w:t>
        <w:br/>
      </w:r>
      <w:r>
        <w:rPr>
          <w:rFonts w:ascii="Times New Roman" w:hAnsi="Times New Roman" w:eastAsia="宋体"/>
          <w:sz w:val="21"/>
        </w:rPr>
        <w:t xml:space="preserve">时间: 2026-02-06T01:48:54Z | </w:t>
      </w:r>
      <w:r>
        <w:t xml:space="preserve">链接: </w:t>
      </w:r>
      <w:hyperlink r:id="rId60">
        <w:r>
          <w:rPr>
            <w:rFonts w:ascii="Times New Roman" w:hAnsi="Times New Roman" w:eastAsia="宋体"/>
            <w:color w:val="0000FF"/>
            <w:sz w:val="21"/>
            <w:u w:val="single"/>
          </w:rPr>
          <w:t>https://arxiv.org/abs/2602.06300v1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随着深度学习技术的进步，大脑处理单元 (BPU) 等专用神经处理硬件已成为 CNN 加速的专用平台，为卷积运算提供优化的 INT8 计算能力。与此同时，视觉变换器（ViT）模型，例如数据高效图像变换器（DeiT），已经表现出卓越的性能，并在计算机视觉任务中发挥着越来越重要的作用。然而，由于CNN优化的硬件与Vision Transformer计算特性之间的架构不匹配，即Transformers中的线性层对三维数据进行操作，而BPU加速是针对四维卷积操作而设计的，因此在部署Vision Transformer时很难甚至不可能利用BPU的优势。为了应对这一挑战，我们提出了一种新颖的方法，通过用精心设计的卷积运算符替换线性层和层归一化操作来重构视觉变换器。这使得 DeiT 能够充分利用 BPU 的加速能力，同时允许重构的模型继承原始权重参数，而无需重新训练或微调。据我们所知，这是充分利用 BPU 分类数据集的 Vision Transformers 的首次成功部署，证明了我们方法的有效性。具体来说，量化的 DeiT-Base 模型在 ImageNet 上实现了 80.4% 的准确率，而原始准确率为 81.8%，同时获得了高达 3.8 倍的推理加速。我们在花卉分类数据集上微调的 DeiT 模型也取得了优异的性能，DeiT-Base 模型的准确率仅下降了 0.5%，进一步证明了我们方法的有效性。</w:t>
      </w:r>
    </w:p>
    <w:p>
      <w:pPr>
        <w:spacing w:before="120"/>
      </w:pPr>
      <w:r>
        <w:rPr>
          <w:rFonts w:ascii="Times New Roman" w:hAnsi="Times New Roman" w:eastAsia="宋体"/>
          <w:b/>
          <w:sz w:val="21"/>
        </w:rPr>
        <w:t>English Abstract:</w:t>
      </w:r>
    </w:p>
    <w:p>
      <w:r>
        <w:rPr>
          <w:rFonts w:ascii="Times New Roman" w:hAnsi="Times New Roman" w:eastAsia="宋体"/>
          <w:sz w:val="21"/>
        </w:rPr>
        <w:t>With the advancement of deep learning technologies, specialized neural processing hardware such as Brain Processing Units (BPUs) have emerged as dedicated platforms for CNN acceleration, offering optimized INT8 computation capabilities for convolutional operations. Meanwhile, Vision Transformer (ViT) models, such as the Data-efficient Image Transformer (DeiT), have demonstrated superior performance and play increasingly crucial roles in computer vision tasks. However, due to the architectural mismatch between CNN-optimized hardware and Vision Transformer computation characteristics--namely, that linear layers in Transformers operate on three-dimensional data while BPU acceleration is designed for four-dimensional convolution operations-it is difficult or even impossible to leverage BPU's advantages when deploying Vision Transformers. To address this challenge, we propose a novel approach that restructures the Vision Transformer by replacing linear layers and layer normalization operations with carefully designed convolutional operators. This enables DeiT to fully utilize the acceleration capabilities of BPUs, while allowing the original weight parameters to be inherited by the restructured models without retraining or fine-tuning. To the best of our knowledge, this is the first successful deployment of Vision Transformers that fully leverages BPU classification datasets demonstrate the effectiveness of our approach. Specifically, the quantized DeiT-Base model achieves 80.4% accuracy on ImageNet, compared to the original 81.8%, while obtaining up to a 3.8* inference speedup. Our finetuned DeiT model on the flower classification dataset also achieves excellent performance, with only a 0.5% accuracy drop for the DeiT-Base model, further demonstrating the effectiveness of our method.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SPDA-SAM：用于实例分割的自提示深度感知分割任何模型</w:t>
      </w:r>
    </w:p>
    <w:p>
      <w:r>
        <w:rPr>
          <w:rFonts w:ascii="Times New Roman" w:hAnsi="Times New Roman" w:eastAsia="宋体"/>
          <w:b/>
          <w:color w:val="003264"/>
          <w:sz w:val="24"/>
        </w:rPr>
        <w:t>SPDA-SAM: A Self-prompted Depth-Aware Segment Anything Model for Instance Segmentation</w:t>
      </w:r>
    </w:p>
    <w:p>
      <w:r>
        <w:rPr>
          <w:rFonts w:ascii="Times New Roman" w:hAnsi="Times New Roman" w:eastAsia="宋体"/>
          <w:sz w:val="21"/>
        </w:rPr>
        <w:t>作者: Xinghui Dong</w:t>
        <w:br/>
      </w:r>
      <w:r>
        <w:rPr>
          <w:rFonts w:ascii="Times New Roman" w:hAnsi="Times New Roman" w:eastAsia="宋体"/>
          <w:sz w:val="21"/>
        </w:rPr>
        <w:t xml:space="preserve">时间: 2026-02-06T03:01:41Z | </w:t>
      </w:r>
      <w:r>
        <w:t xml:space="preserve">链接: </w:t>
      </w:r>
      <w:hyperlink r:id="rId61">
        <w:r>
          <w:rPr>
            <w:rFonts w:ascii="Times New Roman" w:hAnsi="Times New Roman" w:eastAsia="宋体"/>
            <w:color w:val="0000FF"/>
            <w:sz w:val="21"/>
            <w:u w:val="single"/>
          </w:rPr>
          <w:t>https://arxiv.org/abs/2602.06335v1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最近，Segment Anything Model（SAM）在各种实例分割任务中表现出了很强的通用性。然而，其性能严重依赖于手动提示的质量。此外，实例分割方法通常使用的 RGB 图像本质上缺乏深度信息。结果，这些方法感知空间结构和描绘物体边界的能力受到阻碍。为了应对这些挑战，我们提出了一种用于实例分割的自我提示深度感知 SAM (SPDA-SAM)。具体来说，我们设计了一个语义空间自提示模块（SSSPM），它分别从 SAM 的图像编码器和掩模解码器中提取语义和空间提示。此外，我们引入了从粗到细的 RGB-D 融合模块（C2FFM），其中融合了从单目 RGB 图像中提取的特征和从中估计的深度图。特别是，深度图中的结构信息用于为特征融合提供粗粒度的指导，而深度的局部变化被编码以融合细粒度的特征表示。据我们所知，SAM 尚未以如此自我提示和深度感知的方式进行探索。实验结果表明，我们的 SPDA-SAM 在 12 个不同的数据集上优于最先进的同类产品。这些有希望的结果应该归功于自我提示的引导以及由粗到细的 RGB-D 融合操作对空间信息损失的补偿。</w:t>
      </w:r>
    </w:p>
    <w:p>
      <w:pPr>
        <w:spacing w:before="120"/>
      </w:pPr>
      <w:r>
        <w:rPr>
          <w:rFonts w:ascii="Times New Roman" w:hAnsi="Times New Roman" w:eastAsia="宋体"/>
          <w:b/>
          <w:sz w:val="21"/>
        </w:rPr>
        <w:t>English Abstract:</w:t>
      </w:r>
    </w:p>
    <w:p>
      <w:r>
        <w:rPr>
          <w:rFonts w:ascii="Times New Roman" w:hAnsi="Times New Roman" w:eastAsia="宋体"/>
          <w:sz w:val="21"/>
        </w:rPr>
        <w:t>Recently, Segment Anything Model (SAM) has demonstrated strong generalizability in various instance segmentation tasks. However, its performance is severely dependent on the quality of manual prompts. In addition, the RGB images that instance segmentation methods normally use inherently lack depth information. As a result, the ability of these methods to perceive spatial structures and delineate object boundaries is hindered. To address these challenges, we propose a Self-prompted Depth-Aware SAM (SPDA-SAM) for instance segmentation. Specifically, we design a Semantic-Spatial Self-prompt Module (SSSPM) which extracts the semantic and spatial prompts from the image encoder and the mask decoder of SAM, respectively. Furthermore, we introduce a Coarse-to-Fine RGB-D Fusion Module (C2FFM), in which the features extracted from a monocular RGB image and the depth map estimated from it are fused. In particular, the structural information in the depth map is used to provide coarse-grained guidance to feature fusion, while local variations in depth are encoded in order to fuse fine-grained feature representations. To our knowledge, SAM has not been explored in such self-prompted and depth-aware manners. Experimental results demonstrate that our SPDA-SAM outperforms its state-of-the-art counterparts across twelve different data sets. These promising results should be due to the guidance of the self-prompts and the compensation for the spatial information loss by the coarse-to-fine RGB-D fusion operation.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Trifuse：通过多模态融合增强基于注意力的 GUI 基础</w:t>
      </w:r>
    </w:p>
    <w:p>
      <w:r>
        <w:rPr>
          <w:rFonts w:ascii="Times New Roman" w:hAnsi="Times New Roman" w:eastAsia="宋体"/>
          <w:b/>
          <w:color w:val="003264"/>
          <w:sz w:val="24"/>
        </w:rPr>
        <w:t>Trifuse: Enhancing Attention-Based GUI Grounding via Multimodal Fusion</w:t>
      </w:r>
    </w:p>
    <w:p>
      <w:r>
        <w:rPr>
          <w:rFonts w:ascii="Times New Roman" w:hAnsi="Times New Roman" w:eastAsia="宋体"/>
          <w:sz w:val="21"/>
        </w:rPr>
        <w:t>作者: Miao Wang</w:t>
        <w:br/>
      </w:r>
      <w:r>
        <w:rPr>
          <w:rFonts w:ascii="Times New Roman" w:hAnsi="Times New Roman" w:eastAsia="宋体"/>
          <w:sz w:val="21"/>
        </w:rPr>
        <w:t xml:space="preserve">时间: 2026-02-06T03:27:55Z | </w:t>
      </w:r>
      <w:r>
        <w:t xml:space="preserve">链接: </w:t>
      </w:r>
      <w:hyperlink r:id="rId62">
        <w:r>
          <w:rPr>
            <w:rFonts w:ascii="Times New Roman" w:hAnsi="Times New Roman" w:eastAsia="宋体"/>
            <w:color w:val="0000FF"/>
            <w:sz w:val="21"/>
            <w:u w:val="single"/>
          </w:rPr>
          <w:t>https://arxiv.org/abs/2602.06351v1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GUI 基础将自然语言指令映射到正确的界面元素，作为 GUI 代理的感知基础。现有方法主要依赖于使用大规模 GUI 数据集来预测目标元素坐标的微调多模态大型语言模型 (MLLM)，这是数据密集型的，并且很难推广到看不见的界面。最近基于注意力的替代方案利用了 MLLM 注意力机制中的定位信号，无需针对特定任务进行微调，但由于 GUI 图像中缺乏显式且互补的空间锚点，因此可靠性较低。为了解决这个限制，我们提出了 Trifuse，一种基于注意力的基础框架，它明确地集成了互补的空间锚点。 Trifuse 通过 Consensus-SinglePeak (CS) 融合策略集成了注意力、OCR 衍生的文本提示和图标级标题语义，该策略强制执行跨模式一致性，同时保留尖锐的本地化峰值。对四个基础基准的广泛评估表明，Trifuse 无需针对特定任务进行微调即可实现强大的性能，从而大大减少了对昂贵的注释数据的依赖。此外，消融研究表明，结合 OCR 和字幕提示可以持续改善不同骨干网中基于注意力的基础性能，突出其作为 GUI 基础通用框架的有效性。</w:t>
      </w:r>
    </w:p>
    <w:p>
      <w:pPr>
        <w:spacing w:before="120"/>
      </w:pPr>
      <w:r>
        <w:rPr>
          <w:rFonts w:ascii="Times New Roman" w:hAnsi="Times New Roman" w:eastAsia="宋体"/>
          <w:b/>
          <w:sz w:val="21"/>
        </w:rPr>
        <w:t>English Abstract:</w:t>
      </w:r>
    </w:p>
    <w:p>
      <w:r>
        <w:rPr>
          <w:rFonts w:ascii="Times New Roman" w:hAnsi="Times New Roman" w:eastAsia="宋体"/>
          <w:sz w:val="21"/>
        </w:rPr>
        <w:t>GUI grounding maps natural language instructions to the correct interface elements, serving as the perception foundation for GUI agents. Existing approaches predominantly rely on fine-tuning multimodal large language models (MLLMs) using large-scale GUI datasets to predict target element coordinates, which is data-intensive and generalizes poorly to unseen interfaces. Recent attention-based alternatives exploit localization signals in MLLMs attention mechanisms without task-specific fine-tuning, but suffer from low reliability due to the lack of explicit and complementary spatial anchors in GUI images. To address this limitation, we propose Trifuse, an attention-based grounding framework that explicitly integrates complementary spatial anchors. Trifuse integrates attention, OCR-derived textual cues, and icon-level caption semantics via a Consensus-SinglePeak (CS) fusion strategy that enforces cross-modal agreement while retaining sharp localization peaks. Extensive evaluations on four grounding benchmarks demonstrate that Trifuse achieves strong performance without task-specific fine-tuning, substantially reducing the reliance on expensive annotated data. Moreover, ablation studies reveal that incorporating OCR and caption cues consistently improves attention-based grounding performance across different backbones, highlighting its effectiveness as a general framework for GUI grounding.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Di3PO——双连画扩散 DPO，用于图像的有针对性的改进</w:t>
      </w:r>
    </w:p>
    <w:p>
      <w:r>
        <w:rPr>
          <w:rFonts w:ascii="Times New Roman" w:hAnsi="Times New Roman" w:eastAsia="宋体"/>
          <w:b/>
          <w:color w:val="003264"/>
          <w:sz w:val="24"/>
        </w:rPr>
        <w:t>Di3PO -- Diptych Diffusion DPO for Targeted Improvements in Image</w:t>
      </w:r>
    </w:p>
    <w:p>
      <w:r>
        <w:rPr>
          <w:rFonts w:ascii="Times New Roman" w:hAnsi="Times New Roman" w:eastAsia="宋体"/>
          <w:sz w:val="21"/>
        </w:rPr>
        <w:t>作者: Praneet Dutta</w:t>
        <w:br/>
      </w:r>
      <w:r>
        <w:rPr>
          <w:rFonts w:ascii="Times New Roman" w:hAnsi="Times New Roman" w:eastAsia="宋体"/>
          <w:sz w:val="21"/>
        </w:rPr>
        <w:t xml:space="preserve">时间: 2026-02-06T03:33:17Z | </w:t>
      </w:r>
      <w:r>
        <w:t xml:space="preserve">链接: </w:t>
      </w:r>
      <w:hyperlink r:id="rId63">
        <w:r>
          <w:rPr>
            <w:rFonts w:ascii="Times New Roman" w:hAnsi="Times New Roman" w:eastAsia="宋体"/>
            <w:color w:val="0000FF"/>
            <w:sz w:val="21"/>
            <w:u w:val="single"/>
          </w:rPr>
          <w:t>https://arxiv.org/abs/2602.06355v1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现有的文本到图像 (T2I) 扩散模型偏好调整方法通常依赖于计算成本高昂的生成步骤来创建正负图像对。这些方法经常产生的训练对要么缺乏有意义的差异，采样和过滤成本昂贵，要么在不相关的像素区域中表现出显着的差异，从而降低了训练效率。为了解决这些限制，我们引入了“Di3PO”，这是一种构建正负对的新方法，可以在偏好调整期间隔离需要改进的特定区域，同时保持图像中周围环境的稳定。我们通过将我们的方法应用于扩散模型中文本渲染的挑战性任务来证明该方法的有效性，展示了相对于 SFT 和 DPO 基线方法的改进。</w:t>
      </w:r>
    </w:p>
    <w:p>
      <w:pPr>
        <w:spacing w:before="120"/>
      </w:pPr>
      <w:r>
        <w:rPr>
          <w:rFonts w:ascii="Times New Roman" w:hAnsi="Times New Roman" w:eastAsia="宋体"/>
          <w:b/>
          <w:sz w:val="21"/>
        </w:rPr>
        <w:t>English Abstract:</w:t>
      </w:r>
    </w:p>
    <w:p>
      <w:r>
        <w:rPr>
          <w:rFonts w:ascii="Times New Roman" w:hAnsi="Times New Roman" w:eastAsia="宋体"/>
          <w:sz w:val="21"/>
        </w:rPr>
        <w:t>Existing methods for preference tuning of text-to-image (T2I) diffusion models often rely on computationally expensive generation steps to create positive and negative pairs of images. These approaches frequently yield training pairs that either lack meaningful differences, are expensive to sample and filter, or exhibit significant variance in irrelevant pixel regions, thereby degrading training efficiency. To address these limitations, we introduce "Di3PO", a novel method for constructing positive and negative pairs that isolates specific regions targeted for improvement during preference tuning, while keeping the surrounding context in the image stable. We demonstrate the efficacy of our approach by applying it to the challenging task of text rendering in diffusion models, showcasing improvements over baseline methods of SFT and DPO.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具有不确定模态的稳健行人检测</w:t>
      </w:r>
    </w:p>
    <w:p>
      <w:r>
        <w:rPr>
          <w:rFonts w:ascii="Times New Roman" w:hAnsi="Times New Roman" w:eastAsia="宋体"/>
          <w:b/>
          <w:color w:val="003264"/>
          <w:sz w:val="24"/>
        </w:rPr>
        <w:t>Robust Pedestrian Detection with Uncertain Modality</w:t>
      </w:r>
    </w:p>
    <w:p>
      <w:r>
        <w:rPr>
          <w:rFonts w:ascii="Times New Roman" w:hAnsi="Times New Roman" w:eastAsia="宋体"/>
          <w:sz w:val="21"/>
        </w:rPr>
        <w:t>作者: Xin Xu</w:t>
        <w:br/>
      </w:r>
      <w:r>
        <w:rPr>
          <w:rFonts w:ascii="Times New Roman" w:hAnsi="Times New Roman" w:eastAsia="宋体"/>
          <w:sz w:val="21"/>
        </w:rPr>
        <w:t xml:space="preserve">时间: 2026-02-06T03:48:21Z | </w:t>
      </w:r>
      <w:r>
        <w:t xml:space="preserve">链接: </w:t>
      </w:r>
      <w:hyperlink r:id="rId64">
        <w:r>
          <w:rPr>
            <w:rFonts w:ascii="Times New Roman" w:hAnsi="Times New Roman" w:eastAsia="宋体"/>
            <w:color w:val="0000FF"/>
            <w:sz w:val="21"/>
            <w:u w:val="single"/>
          </w:rPr>
          <w:t>https://arxiv.org/abs/2602.06363v1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现有的跨模式行人检测 (CMPD) 采用 RGB 和热红外 (TIR) 模式的互补信息来检测 24 小时监控系统中的行人。RGB 在日光下捕捉丰富的行人细节，而 TIR 在夜间表现出色。然而，TIR 主要关注人的轮廓，忽略了检测所必需的关键纹理细节。而近红外（NIR）在弱光条件下捕获纹理，有效缓解了TIR中RGB的性能问题和细节损失，从而减少了漏检。为此，我们构建了一个新的三元组 RGB-NIR-TIR (TRNT) 数据集，包含 8,281 个像素对齐的图像三元组，为算法研究奠定了全面的基础。然而，由于现实世界场景的多变性，成像设备可能并不总是同时捕获所有三种模式。这导致输入数据具有不可预测的模态类型组合，这对现有的 CMPD 方法提出了挑战，这些方法无法在任意输入组合下提取可靠的行人信息，从而导致性能显着下降。为了应对这些挑战，我们提出了自适应不确定性感知网络（AUNet），用于准确区分模态可用性并充分利用不确定输入下的可用信息。具体来说，我们引入了统一模态验证细化（UMVR），其中包括用于验证模态可用性的不确定性感知路由器和用于确保模态内信息可靠性的语义细化。此外，我们设计了一个模态感知交互（MAI）模块，根据 UMVR 输出自适应地激活或停用其内部交互机制，从而实现来自可用模态的有效补充信息融合。</w:t>
      </w:r>
    </w:p>
    <w:p>
      <w:pPr>
        <w:spacing w:before="120"/>
      </w:pPr>
      <w:r>
        <w:rPr>
          <w:rFonts w:ascii="Times New Roman" w:hAnsi="Times New Roman" w:eastAsia="宋体"/>
          <w:b/>
          <w:sz w:val="21"/>
        </w:rPr>
        <w:t>English Abstract:</w:t>
      </w:r>
    </w:p>
    <w:p>
      <w:r>
        <w:rPr>
          <w:rFonts w:ascii="Times New Roman" w:hAnsi="Times New Roman" w:eastAsia="宋体"/>
          <w:sz w:val="21"/>
        </w:rPr>
        <w:t>Existing cross-modal pedestrian detection (CMPD) employs complementary information from RGB and thermal-infrared (TIR) modalities to detect pedestrians in 24h-surveillance systems.RGB captures rich pedestrian details under daylight, while TIR excels at night. However, TIR focuses primarily on the person's silhouette, neglecting critical texture details essential for detection. While the near-infrared (NIR) captures texture under low-light conditions, which effectively alleviates performance issues of RGB and detail loss in TIR, thereby reducing missed detections. To this end, we construct a new Triplet RGB-NIR-TIR (TRNT) dataset, comprising 8,281 pixel-aligned image triplets, establishing a comprehensive foundation for algorithmic research. However, due to the variable nature of real-world scenarios, imaging devices may not always capture all three modalities simultaneously. This results in input data with unpredictable combinations of modal types, which challenge existing CMPD methods that fail to extract robust pedestrian information under arbitrary input combinations, leading to significant performance degradation. To address these challenges, we propose the Adaptive Uncertainty-aware Network (AUNet) for accurately discriminating modal availability and fully utilizing the available information under uncertain inputs. Specifically, we introduce Unified Modality Validation Refinement (UMVR), which includes an uncertainty-aware router to validate modal availability and a semantic refinement to ensure the reliability of information within the modality. Furthermore, we design a Modality-Aware Interaction (MAI) module to adaptively activate or deactivate its internal interaction mechanisms per UMVR output, enabling effective complementary information fusion from available modalities.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从以观察者为中心的角度重新审视显着目标检测</w:t>
      </w:r>
    </w:p>
    <w:p>
      <w:r>
        <w:rPr>
          <w:rFonts w:ascii="Times New Roman" w:hAnsi="Times New Roman" w:eastAsia="宋体"/>
          <w:b/>
          <w:color w:val="003264"/>
          <w:sz w:val="24"/>
        </w:rPr>
        <w:t>Revisiting Salient Object Detection from an Observer-Centric Perspective</w:t>
      </w:r>
    </w:p>
    <w:p>
      <w:r>
        <w:rPr>
          <w:rFonts w:ascii="Times New Roman" w:hAnsi="Times New Roman" w:eastAsia="宋体"/>
          <w:sz w:val="21"/>
        </w:rPr>
        <w:t>作者: Long Teng</w:t>
        <w:br/>
      </w:r>
      <w:r>
        <w:rPr>
          <w:rFonts w:ascii="Times New Roman" w:hAnsi="Times New Roman" w:eastAsia="宋体"/>
          <w:sz w:val="21"/>
        </w:rPr>
        <w:t xml:space="preserve">时间: 2026-02-06T03:53:01Z | </w:t>
      </w:r>
      <w:r>
        <w:t xml:space="preserve">链接: </w:t>
      </w:r>
      <w:hyperlink r:id="rId65">
        <w:r>
          <w:rPr>
            <w:rFonts w:ascii="Times New Roman" w:hAnsi="Times New Roman" w:eastAsia="宋体"/>
            <w:color w:val="0000FF"/>
            <w:sz w:val="21"/>
            <w:u w:val="single"/>
          </w:rPr>
          <w:t>https://arxiv.org/abs/2602.06369v1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显着对象检测本质上是一个主观问题，因为具有不同先验的观察者可能会将不同的对象视为显着对象。然而，现有的方法主要将其表述为一个客观预测任务，每个图像都有一个单独的真实分割图，这使得问题不确定并且从根本上不适定。为了解决这个问题，我们提出了以观察者为中心的显着目标检测（OC-SOD），其中不仅考虑视觉线索，还考虑观察者的特定因素（例如他们的偏好或意图）来预测显着区域。因此，该公式捕捉了人类感知的内在模糊性和多样性，从而实现个性化和上下文感知的显着性预测。通过利用多模态大语言模型，我们开发了高效的数据注释管道，并构建了第一个名为 OC-SODBench 的 OC-SOD 数据集，其中包含 33k 个训练、验证和测试图像以及 152k 个文本提示和对象对。基于这个新数据集，我们进一步设计了 OC-SODAgent，这是一个代理基线，它通过类人的“感知-反射-调整”过程执行 OC-SOD。对我们提出的 OC-SODBench 进行的大量实验证明了我们贡献的有效性。通过这种以观察者为中心的视角，我们的目标是弥合人类感知和计算建模之间的差距，提供对物体真正“显着性”的更现实和灵活的理解。代码和数据集可公开获取：https://github.com/Dustzx/OC_SOD</w:t>
      </w:r>
    </w:p>
    <w:p>
      <w:pPr>
        <w:spacing w:before="120"/>
      </w:pPr>
      <w:r>
        <w:rPr>
          <w:rFonts w:ascii="Times New Roman" w:hAnsi="Times New Roman" w:eastAsia="宋体"/>
          <w:b/>
          <w:sz w:val="21"/>
        </w:rPr>
        <w:t>English Abstract:</w:t>
      </w:r>
    </w:p>
    <w:p>
      <w:r>
        <w:rPr>
          <w:rFonts w:ascii="Times New Roman" w:hAnsi="Times New Roman" w:eastAsia="宋体"/>
          <w:sz w:val="21"/>
        </w:rPr>
        <w:t>Salient object detection is inherently a subjective problem, as observers with different priors may perceive different objects as salient. However, existing methods predominantly formulate it as an objective prediction task with a single groundtruth segmentation map for each image, which renders the problem under-determined and fundamentally ill-posed. To address this issue, we propose Observer-Centric Salient Object Detection (OC-SOD), where salient regions are predicted by considering not only the visual cues but also the observer-specific factors such as their preferences or intents. As a result, this formulation captures the intrinsic ambiguity and diversity of human perception, enabling personalized and context-aware saliency prediction. By leveraging multi-modal large language models, we develop an efficient data annotation pipeline and construct the first OC-SOD dataset named OC-SODBench, comprising 33k training, validation and test images with 152k textual prompts and object pairs. Built upon this new dataset, we further design OC-SODAgent, an agentic baseline which performs OC-SOD via a human-like "Perceive-Reflect-Adjust" process. Extensive experiments on our proposed OC-SODBench have justified the effectiveness of our contribution. Through this observer-centric perspective, we aim to bridge the gap between human perception and computational modeling, offering a more realistic and flexible understanding of what makes an object truly "salient." Code and dataset are publicly available at: https://github.com/Dustzx/OC_SOD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POINTS-GUI-G：GUI 基础之旅</w:t>
      </w:r>
    </w:p>
    <w:p>
      <w:r>
        <w:rPr>
          <w:rFonts w:ascii="Times New Roman" w:hAnsi="Times New Roman" w:eastAsia="宋体"/>
          <w:b/>
          <w:color w:val="003264"/>
          <w:sz w:val="24"/>
        </w:rPr>
        <w:t>POINTS-GUI-G: GUI-Grounding Journey</w:t>
      </w:r>
    </w:p>
    <w:p>
      <w:r>
        <w:rPr>
          <w:rFonts w:ascii="Times New Roman" w:hAnsi="Times New Roman" w:eastAsia="宋体"/>
          <w:sz w:val="21"/>
        </w:rPr>
        <w:t>作者: Jie Zhou</w:t>
        <w:br/>
      </w:r>
      <w:r>
        <w:rPr>
          <w:rFonts w:ascii="Times New Roman" w:hAnsi="Times New Roman" w:eastAsia="宋体"/>
          <w:sz w:val="21"/>
        </w:rPr>
        <w:t xml:space="preserve">时间: 2026-02-06T05:14:11Z | </w:t>
      </w:r>
      <w:r>
        <w:t xml:space="preserve">链接: </w:t>
      </w:r>
      <w:hyperlink r:id="rId66">
        <w:r>
          <w:rPr>
            <w:rFonts w:ascii="Times New Roman" w:hAnsi="Times New Roman" w:eastAsia="宋体"/>
            <w:color w:val="0000FF"/>
            <w:sz w:val="21"/>
            <w:u w:val="single"/>
          </w:rPr>
          <w:t>https://arxiv.org/abs/2602.06391v1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视觉语言模型的快速发展促进了 GUI 代理的出现，它在自动化复杂任务（从在线购物到航班预订）方面具有巨大的潜力，从而减轻重复数字工作流程的负担。作为一项基础功能，GUI 基础通常被视为端到端任务执行的先决条件。它使模型能够精确定位界面元素（例如文本和图标），以执行单击和打字等准确操作。与之前对已经具有强大空间意识的模型进行微调的工作（例如 Qwen3-VL）不同，我们的目标是从具有最小基础能力的基础模型（例如 POINTS-1.5）开始掌握完整的技术流程。我们推出了 POINTS-GUI-G-8B，它实现了最先进的性能，在 ScreenSpot-Pro 上得分为 59.9，在 OSWorld-G 上得分为 66.0，在 ScreenSpot-v2 上得分为 95.7，在 UI-Vision 上得分为 49.9。我们模型的成功由三个关键因素驱动：（1）精细数据工程，涉及多种开源数据集格式的统一以及复杂的增强、过滤和难度分级策略； （2）改进训练策略，包括不断微调视觉编码器以提高感知准确性并保持训练和推理之间的分辨率一致性； (3) 具有可验证奖励的强化学习 (RL)。虽然强化学习传统上用于增强推理，但我们证明它可以显着提高感知密集型 GUI 基础任务的精度。此外，GUI 基础为 RL 提供了天然优势，因为奖励易于验证且高度准确。</w:t>
      </w:r>
    </w:p>
    <w:p>
      <w:pPr>
        <w:spacing w:before="120"/>
      </w:pPr>
      <w:r>
        <w:rPr>
          <w:rFonts w:ascii="Times New Roman" w:hAnsi="Times New Roman" w:eastAsia="宋体"/>
          <w:b/>
          <w:sz w:val="21"/>
        </w:rPr>
        <w:t>English Abstract:</w:t>
      </w:r>
    </w:p>
    <w:p>
      <w:r>
        <w:rPr>
          <w:rFonts w:ascii="Times New Roman" w:hAnsi="Times New Roman" w:eastAsia="宋体"/>
          <w:sz w:val="21"/>
        </w:rPr>
        <w:t>The rapid advancement of vision-language models has catalyzed the emergence of GUI agents, which hold immense potential for automating complex tasks, from online shopping to flight booking, thereby alleviating the burden of repetitive digital workflows. As a foundational capability, GUI grounding is typically established as a prerequisite for end-to-end task execution. It enables models to precisely locate interface elements, such as text and icons, to perform accurate operations like clicking and typing. Unlike prior works that fine-tune models already possessing strong spatial awareness (e.g., Qwen3-VL), we aim to master the full technical pipeline by starting from a base model with minimal grounding ability, such as POINTS-1.5. We introduce POINTS-GUI-G-8B, which achieves state-of-the-art performance with scores of 59.9 on ScreenSpot-Pro, 66.0 on OSWorld-G, 95.7 on ScreenSpot-v2, and 49.9 on UI-Vision. Our model's success is driven by three key factors: (1) Refined Data Engineering, involving the unification of diverse open-source datasets format alongside sophisticated strategies for augmentation, filtering, and difficulty grading; (2) Improved Training Strategies, including continuous fine-tuning of the vision encoder to enhance perceptual accuracy and maintaining resolution consistency between training and inference; and (3) Reinforcement Learning (RL) with Verifiable Rewards. While RL is traditionally used to bolster reasoning, we demonstrate that it significantly improves precision in the perception-intensive GUI grounding task. Furthermore, GUI grounding provides a natural advantage for RL, as rewards are easily verifiable and highly accurate.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TFusionOcc：学生基于 t 分布的以对象为中心的多传感器融合框架，用于 3D 占用预测</w:t>
      </w:r>
    </w:p>
    <w:p>
      <w:r>
        <w:rPr>
          <w:rFonts w:ascii="Times New Roman" w:hAnsi="Times New Roman" w:eastAsia="宋体"/>
          <w:b/>
          <w:color w:val="003264"/>
          <w:sz w:val="24"/>
        </w:rPr>
        <w:t>TFusionOcc: Student's t-Distribution Based Object-Centric Multi-Sensor Fusion Framework for 3D Occupancy Prediction</w:t>
      </w:r>
    </w:p>
    <w:p>
      <w:r>
        <w:rPr>
          <w:rFonts w:ascii="Times New Roman" w:hAnsi="Times New Roman" w:eastAsia="宋体"/>
          <w:sz w:val="21"/>
        </w:rPr>
        <w:t>作者: Stewart Worrall</w:t>
        <w:br/>
      </w:r>
      <w:r>
        <w:rPr>
          <w:rFonts w:ascii="Times New Roman" w:hAnsi="Times New Roman" w:eastAsia="宋体"/>
          <w:sz w:val="21"/>
        </w:rPr>
        <w:t xml:space="preserve">时间: 2026-02-06T05:43:42Z | </w:t>
      </w:r>
      <w:r>
        <w:t xml:space="preserve">链接: </w:t>
      </w:r>
      <w:hyperlink r:id="rId67">
        <w:r>
          <w:rPr>
            <w:rFonts w:ascii="Times New Roman" w:hAnsi="Times New Roman" w:eastAsia="宋体"/>
            <w:color w:val="0000FF"/>
            <w:sz w:val="21"/>
            <w:u w:val="single"/>
          </w:rPr>
          <w:t>https://arxiv.org/abs/2602.06400v1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3D 语义占用预测使自动驾驶车辆 (AV) 能够通过车载传感器感知周围环境的细粒度几何和语义结构，这对于安全决策和导航至关重要。最近的 3D 语义占用预测模型已成功解决了描述具有不同形状和类别的现实世界对象的挑战。然而，现有的 3D 语义占用预测方法所使用的中间表示严重依赖于 3D 体素体积或一组 3D 高斯函数，阻碍了模型在 3D 驾驶环境中高效捕捉细粒度几何细节的能力。本文介绍了 TFusionOcc，一种用于预测 3D 语义占用的新型以对象为中心的多传感器融合框架。通过利用多级多传感器融合、Student's t 分布和 T-Mixture 模型 (TMM)，以及几何上更灵活的基元，例如可变形超二次曲面（具有反向扭曲的超二次曲面），所提出的方法在 nuScenes 基准上实现了最先进的 (SOTA) 性能。此外，我们还在 nuScenes-C 数据集上进行了广泛的实验，以证明所提出的方法在不同相机和激光雷达损坏场景中的鲁棒性。该代码位于：https://github.com/DanielMing123/TFusionOcc</w:t>
      </w:r>
    </w:p>
    <w:p>
      <w:pPr>
        <w:spacing w:before="120"/>
      </w:pPr>
      <w:r>
        <w:rPr>
          <w:rFonts w:ascii="Times New Roman" w:hAnsi="Times New Roman" w:eastAsia="宋体"/>
          <w:b/>
          <w:sz w:val="21"/>
        </w:rPr>
        <w:t>English Abstract:</w:t>
      </w:r>
    </w:p>
    <w:p>
      <w:r>
        <w:rPr>
          <w:rFonts w:ascii="Times New Roman" w:hAnsi="Times New Roman" w:eastAsia="宋体"/>
          <w:sz w:val="21"/>
        </w:rPr>
        <w:t>3D semantic occupancy prediction enables autonomous vehicles (AVs) to perceive fine-grained geometric and semantic structure of their surroundings from onboard sensors, which is essential for safe decision-making and navigation. Recent models for 3D semantic occupancy prediction have successfully addressed the challenge of describing real-world objects with varied shapes and classes. However, the intermediate representations used by existing methods for 3D semantic occupancy prediction rely heavily on 3D voxel volumes or a set of 3D Gaussians, hindering the model's ability to efficiently and effectively capture fine-grained geometric details in the 3D driving environment. This paper introduces TFusionOcc, a novel object-centric multi-sensor fusion framework for predicting 3D semantic occupancy. By leveraging multi-stage multi-sensor fusion, Student's t-distribution, and the T-Mixture model (TMM), together with more geometrically flexible primitives, such as the deformable superquadric (superquadric with inverse warp), the proposed method achieved state-of-the-art (SOTA) performance on the nuScenes benchmark. In addition, extensive experiments were conducted on the nuScenes-C dataset to demonstrate the robustness of the proposed method in different camera and lidar corruption scenarios. The code will be available at: https://github.com/DanielMing123/TFusionOcc</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用于自然图像处理的昆虫视觉系统的神经形态模型</w:t>
      </w:r>
    </w:p>
    <w:p>
      <w:r>
        <w:rPr>
          <w:rFonts w:ascii="Times New Roman" w:hAnsi="Times New Roman" w:eastAsia="宋体"/>
          <w:b/>
          <w:color w:val="003264"/>
          <w:sz w:val="24"/>
        </w:rPr>
        <w:t>A neuromorphic model of the insect visual system for natural image processing</w:t>
      </w:r>
    </w:p>
    <w:p>
      <w:r>
        <w:rPr>
          <w:rFonts w:ascii="Times New Roman" w:hAnsi="Times New Roman" w:eastAsia="宋体"/>
          <w:sz w:val="21"/>
        </w:rPr>
        <w:t>作者: Andrew B. Barron</w:t>
        <w:br/>
      </w:r>
      <w:r>
        <w:rPr>
          <w:rFonts w:ascii="Times New Roman" w:hAnsi="Times New Roman" w:eastAsia="宋体"/>
          <w:sz w:val="21"/>
        </w:rPr>
        <w:t xml:space="preserve">时间: 2026-02-06T05:54:28Z | </w:t>
      </w:r>
      <w:r>
        <w:t xml:space="preserve">链接: </w:t>
      </w:r>
      <w:hyperlink r:id="rId68">
        <w:r>
          <w:rPr>
            <w:rFonts w:ascii="Times New Roman" w:hAnsi="Times New Roman" w:eastAsia="宋体"/>
            <w:color w:val="0000FF"/>
            <w:sz w:val="21"/>
            <w:u w:val="single"/>
          </w:rPr>
          <w:t>https://arxiv.org/abs/2602.06405v1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昆虫视觉支持复杂的行为，包括联想学习、导航和物体检测，并且长期以来一直激发着理解生物视觉处理的计算模型。然而，许多当代模型优先考虑任务表现，而忽略了基于生物学的处理途径。在这里，我们引入了一种仿生视觉模型，该模型捕捉昆虫视觉系统的原理，将密集的视觉输入转换为稀疏的、有区别的代码。该模型使用完全自我监督的对比目标进行训练，无需标记数据即可进行表示学习，并支持跨任务重用，而无需依赖特定领域的分类器。我们评估了花卉识别任务和自然图像基准的结果表示。该模型始终生成可靠的稀疏代码，可以区分视觉上相似的输入。为了支持不同的建模和部署用途，我们将该模型实现为人工神经网络和尖峰神经网络。在模拟定位设置中，我们的方法优于简单的图像下采样比较基线，突出了合并神经形态视觉处理路径的功能优势。总的来说，这些结果通过提供能够跨不同任务进行稀疏计算的通用生物启发视觉模型，推进了昆虫计算建模。</w:t>
      </w:r>
    </w:p>
    <w:p>
      <w:pPr>
        <w:spacing w:before="120"/>
      </w:pPr>
      <w:r>
        <w:rPr>
          <w:rFonts w:ascii="Times New Roman" w:hAnsi="Times New Roman" w:eastAsia="宋体"/>
          <w:b/>
          <w:sz w:val="21"/>
        </w:rPr>
        <w:t>English Abstract:</w:t>
      </w:r>
    </w:p>
    <w:p>
      <w:r>
        <w:rPr>
          <w:rFonts w:ascii="Times New Roman" w:hAnsi="Times New Roman" w:eastAsia="宋体"/>
          <w:sz w:val="21"/>
        </w:rPr>
        <w:t>Insect vision supports complex behaviors including associative learning, navigation, and object detection, and has long motivated computational models for understanding biological visual processing. However, many contemporary models prioritize task performance while neglecting biologically grounded processing pathways. Here, we introduce a bio-inspired vision model that captures principles of the insect visual system to transform dense visual input into sparse, discriminative codes. The model is trained using a fully self-supervised contrastive objective, enabling representation learning without labeled data and supporting reuse across tasks without reliance on domain-specific classifiers. We evaluated the resulting representations on flower recognition tasks and natural image benchmarks. The model consistently produced reliable sparse codes that distinguish visually similar inputs. To support different modelling and deployment uses, we have implemented the model as both an artificial neural network and a spiking neural network. In a simulated localization setting, our approach outperformed a simple image downsampling comparison baseline, highlighting the functional benefit of incorporating neuromorphic visual processing pathways. Collectively, these results advance insect computational modelling by providing a generalizable bio-inspired vision model capable of sparse computation across diverse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通过对基于流的 GRPO 中的逐步和长期采样效应进行建模来缓解稀疏奖励</w:t>
      </w:r>
    </w:p>
    <w:p>
      <w:r>
        <w:rPr>
          <w:rFonts w:ascii="Times New Roman" w:hAnsi="Times New Roman" w:eastAsia="宋体"/>
          <w:b/>
          <w:color w:val="003264"/>
          <w:sz w:val="24"/>
        </w:rPr>
        <w:t>Alleviating Sparse Rewards by Modeling Step-Wise and Long-Term Sampling Effects in Flow-Based GRPO</w:t>
      </w:r>
    </w:p>
    <w:p>
      <w:r>
        <w:rPr>
          <w:rFonts w:ascii="Times New Roman" w:hAnsi="Times New Roman" w:eastAsia="宋体"/>
          <w:sz w:val="21"/>
        </w:rPr>
        <w:t>作者: Pipei Huang</w:t>
        <w:br/>
      </w:r>
      <w:r>
        <w:rPr>
          <w:rFonts w:ascii="Times New Roman" w:hAnsi="Times New Roman" w:eastAsia="宋体"/>
          <w:sz w:val="21"/>
        </w:rPr>
        <w:t xml:space="preserve">时间: 2026-02-06T06:37:10Z | </w:t>
      </w:r>
      <w:r>
        <w:t xml:space="preserve">链接: </w:t>
      </w:r>
      <w:hyperlink r:id="rId69">
        <w:r>
          <w:rPr>
            <w:rFonts w:ascii="Times New Roman" w:hAnsi="Times New Roman" w:eastAsia="宋体"/>
            <w:color w:val="0000FF"/>
            <w:sz w:val="21"/>
            <w:u w:val="single"/>
          </w:rPr>
          <w:t>https://arxiv.org/abs/2602.06422v1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事实证明，在流匹配模型上部署 GRPO 对于文本到图像的生成非常有效。然而，现有的范例通常将基于结果的奖励传播到所有先前的去噪步骤，而不区分每个步骤的局部效果。此外，当前的分组排序主要比较匹配时间步长的轨迹，并忽略轨迹内依赖性，其中某些早期去噪动作可以通过延迟的隐式交互影响后来的状态。我们提出了 TurningPoint-GRPO (TP-GRPO)，这是一种 GRPO 框架，可以缓解逐步奖励稀疏性并明确模拟去噪轨迹内的长期影响。 TP-GRPO 做出了两项关键创新：（i）它用步骤级增量奖励取代了基于结果的奖励，提供了密集的、步骤感知的学习信号，可以更好地隔离每个去噪操作的“纯粹”效果；（ii）它识别转折点 - 翻转局部奖励趋势并使后续奖励演变与整体轨迹趋势一致的步骤 - 并为这些操作分配一个聚合的长期奖励以捕获其延迟影响。仅通过增量奖励的符号变化即可检测转折点，从而使 TP-GRPO 高效且无超参数。大量实验还表明，TP-GRPO 更有效地利用奖励信号并持续提高发电量。演示代码可在 https://github.com/YunzeTong/TurningPoint-GRPO 获取。</w:t>
      </w:r>
    </w:p>
    <w:p>
      <w:pPr>
        <w:spacing w:before="120"/>
      </w:pPr>
      <w:r>
        <w:rPr>
          <w:rFonts w:ascii="Times New Roman" w:hAnsi="Times New Roman" w:eastAsia="宋体"/>
          <w:b/>
          <w:sz w:val="21"/>
        </w:rPr>
        <w:t>English Abstract:</w:t>
      </w:r>
    </w:p>
    <w:p>
      <w:r>
        <w:rPr>
          <w:rFonts w:ascii="Times New Roman" w:hAnsi="Times New Roman" w:eastAsia="宋体"/>
          <w:sz w:val="21"/>
        </w:rPr>
        <w:t>Deploying GRPO on Flow Matching models has proven effective for text-to-image generation. However, existing paradigms typically propagate an outcome-based reward to all preceding denoising steps without distinguishing the local effect of each step. Moreover, current group-wise ranking mainly compares trajectories at matched timesteps and ignores within-trajectory dependencies, where certain early denoising actions can affect later states via delayed, implicit interactions. We propose TurningPoint-GRPO (TP-GRPO), a GRPO framework that alleviates step-wise reward sparsity and explicitly models long-term effects within the denoising trajectory. TP-GRPO makes two key innovations: (i) it replaces outcome-based rewards with step-level incremental rewards, providing a dense, step-aware learning signal that better isolates each denoising action's "pure" effect, and (ii) it identifies turning points-steps that flip the local reward trend and make subsequent reward evolution consistent with the overall trajectory trend-and assigns these actions an aggregated long-term reward to capture their delayed impact. Turning points are detected solely via sign changes in incremental rewards, making TP-GRPO efficient and hyperparameter-free. Extensive experiments also demonstrate that TP-GRPO exploits reward signals more effectively and consistently improves generation. Demo code is available at https://github.com/YunzeTong/TurningPoint-GRPO.</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POPL-KF：用于基于点线的视觉惯性里程计的仅基于几何表示的卡尔曼滤波器</w:t>
      </w:r>
    </w:p>
    <w:p>
      <w:r>
        <w:rPr>
          <w:rFonts w:ascii="Times New Roman" w:hAnsi="Times New Roman" w:eastAsia="宋体"/>
          <w:b/>
          <w:color w:val="003264"/>
          <w:sz w:val="24"/>
        </w:rPr>
        <w:t>POPL-KF: A Pose-Only Geometric Representation-Based Kalman Filter for Point-Line-Based Visual-Inertial Odometry</w:t>
      </w:r>
    </w:p>
    <w:p>
      <w:r>
        <w:rPr>
          <w:rFonts w:ascii="Times New Roman" w:hAnsi="Times New Roman" w:eastAsia="宋体"/>
          <w:sz w:val="21"/>
        </w:rPr>
        <w:t>作者: Hai Zhang</w:t>
        <w:br/>
      </w:r>
      <w:r>
        <w:rPr>
          <w:rFonts w:ascii="Times New Roman" w:hAnsi="Times New Roman" w:eastAsia="宋体"/>
          <w:sz w:val="21"/>
        </w:rPr>
        <w:t xml:space="preserve">时间: 2026-02-06T06:45:39Z | </w:t>
      </w:r>
      <w:r>
        <w:t xml:space="preserve">链接: </w:t>
      </w:r>
      <w:hyperlink r:id="rId70">
        <w:r>
          <w:rPr>
            <w:rFonts w:ascii="Times New Roman" w:hAnsi="Times New Roman" w:eastAsia="宋体"/>
            <w:color w:val="0000FF"/>
            <w:sz w:val="21"/>
            <w:u w:val="single"/>
          </w:rPr>
          <w:t>https://arxiv.org/abs/2602.06425v1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主流视觉惯性里程计 (VIO) 系统依靠点特征进行运动估计和定位。然而，它们的性能在具有挑战性的场景中会下降。此外，基于多状态约束卡尔曼滤波器 (MSCKF) 的 VIO 系统的定位精度会受到与特征 3D 坐标和延迟测量更新相关的线性化误差的影响。为了提高 VIO 在具有挑战性的场景中的性能，我们首先提出了一种用于线特征的仅姿态几何表示。在此基础上，我们开发了 POPL-KF，这是一种基于卡尔曼滤波器的 VIO 系统，它对点和线特征采用仅位姿几何表示。 POPL-KF 通过从测量方程中明确消除点和线特征坐标来减轻线性化误差，同时实现视觉测量的立即更新。我们还为点和线特征设计了统一的基架选择算法，以确保仅姿态测量模型中对相机姿态的最佳约束。为了进一步提高线条特征质量，提出了一种基于图像网格分割和双向光流一致性的线条特征滤波器。我们的系统在公共数据集和真实世界实验上进行了评估，证明 POPL-KF 优于最先进的（SOTA）基于过滤器的方法（OpenVINS、PO-KF）和基于优化的方法（PL-VINS、EPLF-VINS），同时保持实时性能。</w:t>
      </w:r>
    </w:p>
    <w:p>
      <w:pPr>
        <w:spacing w:before="120"/>
      </w:pPr>
      <w:r>
        <w:rPr>
          <w:rFonts w:ascii="Times New Roman" w:hAnsi="Times New Roman" w:eastAsia="宋体"/>
          <w:b/>
          <w:sz w:val="21"/>
        </w:rPr>
        <w:t>English Abstract:</w:t>
      </w:r>
    </w:p>
    <w:p>
      <w:r>
        <w:rPr>
          <w:rFonts w:ascii="Times New Roman" w:hAnsi="Times New Roman" w:eastAsia="宋体"/>
          <w:sz w:val="21"/>
        </w:rPr>
        <w:t>Mainstream Visual-inertial odometry (VIO) systems rely on point features for motion estimation and localization. However, their performance degrades in challenging scenarios. Moreover, the localization accuracy of multi-state constraint Kalman filter (MSCKF)-based VIO systems suffers from linearization errors associated with feature 3D coordinates and delayed measurement updates. To improve the performance of VIO in challenging scenes, we first propose a pose-only geometric representation for line features. Building on this, we develop POPL-KF, a Kalman filter-based VIO system that employs a pose-only geometric representation for both point and line features. POPL-KF mitigates linearization errors by explicitly eliminating both point and line feature coordinates from the measurement equations, while enabling immediate update of visual measurements. We also design a unified base-frames selection algorithm for both point and line features to ensure optimal constraints on camera poses within the pose-only measurement model. To further improve line feature quality, a line feature filter based on image grid segmentation and bidirectional optical flow consistency is proposed. Our system is evaluated on public datasets and real-world experiments, demonstrating that POPL-KF outperforms the state-of-the-art (SOTA) filter-based methods (OpenVINS, PO-KF) and optimization-based methods (PL-VINS, EPLF-VINS), while maintaining real-time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弥合室内外差距：以视觉为中心的指令引导的最后一米实体导航</w:t>
      </w:r>
    </w:p>
    <w:p>
      <w:r>
        <w:rPr>
          <w:rFonts w:ascii="Times New Roman" w:hAnsi="Times New Roman" w:eastAsia="宋体"/>
          <w:b/>
          <w:color w:val="003264"/>
          <w:sz w:val="24"/>
        </w:rPr>
        <w:t>Bridging the Indoor-Outdoor Gap: Vision-Centric Instruction-Guided Embodied Navigation for the Last Meters</w:t>
      </w:r>
    </w:p>
    <w:p>
      <w:r>
        <w:rPr>
          <w:rFonts w:ascii="Times New Roman" w:hAnsi="Times New Roman" w:eastAsia="宋体"/>
          <w:sz w:val="21"/>
        </w:rPr>
        <w:t>作者: Mu Xu</w:t>
        <w:br/>
      </w:r>
      <w:r>
        <w:rPr>
          <w:rFonts w:ascii="Times New Roman" w:hAnsi="Times New Roman" w:eastAsia="宋体"/>
          <w:sz w:val="21"/>
        </w:rPr>
        <w:t xml:space="preserve">时间: 2026-02-06T06:52:23Z | </w:t>
      </w:r>
      <w:r>
        <w:t xml:space="preserve">链接: </w:t>
      </w:r>
      <w:hyperlink r:id="rId71">
        <w:r>
          <w:rPr>
            <w:rFonts w:ascii="Times New Roman" w:hAnsi="Times New Roman" w:eastAsia="宋体"/>
            <w:color w:val="0000FF"/>
            <w:sz w:val="21"/>
            <w:u w:val="single"/>
          </w:rPr>
          <w:t>https://arxiv.org/abs/2602.06427v1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嵌入式导航对于最后一英里交付等现实应用具有重大前景。然而，大多数现有方法仅限于室内或室外环境，并且严重依赖于强有力的假设，例如访问精确的坐标系。虽然当前的室外方法可以使用粗粒度定位引导代理到达目标附近，但它们无法通过特定的建筑物入口实现细粒度的进入，这严重限制了它们在需要无缝室外到室内过渡的实际部署场景中的实用性。为了弥补这一差距，我们引入了一项新颖的任务：从外到内的无先验指令驱动的具体导航。这种表述明确消除了对准确的外部先验的依赖，要求智能体仅根据指令指导的以自我为中心的视觉观察进行导航。为了解决这一任务，我们提出了一个以视觉为中心的体现导航框架，利用基于图像的提示来推动决策。此外，我们还为此任务提供了第一个开源数据集，其特点是将轨迹条件视频合成集成到数据生成过程中的管道。通过广泛的实验，我们证明我们提出的方法在包括成功率和路径效率在内的关键指标上始终优于最先进的基线。</w:t>
      </w:r>
    </w:p>
    <w:p>
      <w:pPr>
        <w:spacing w:before="120"/>
      </w:pPr>
      <w:r>
        <w:rPr>
          <w:rFonts w:ascii="Times New Roman" w:hAnsi="Times New Roman" w:eastAsia="宋体"/>
          <w:b/>
          <w:sz w:val="21"/>
        </w:rPr>
        <w:t>English Abstract:</w:t>
      </w:r>
    </w:p>
    <w:p>
      <w:r>
        <w:rPr>
          <w:rFonts w:ascii="Times New Roman" w:hAnsi="Times New Roman" w:eastAsia="宋体"/>
          <w:sz w:val="21"/>
        </w:rPr>
        <w:t>Embodied navigation holds significant promise for real-world applications such as last-mile delivery. However, most existing approaches are confined to either indoor or outdoor environments and rely heavily on strong assumptions, such as access to precise coordinate systems. While current outdoor methods can guide agents to the vicinity of a target using coarse-grained localization, they fail to enable fine-grained entry through specific building entrances, critically limiting their utility in practical deployment scenarios that require seamless outdoor-to-indoor transitions. To bridge this gap, we introduce a novel task: out-to-in prior-free instruction-driven embodied navigation. This formulation explicitly eliminates reliance on accurate external priors, requiring agents to navigate solely based on egocentric visual observations guided by instructions. To tackle this task, we propose a vision-centric embodied navigation framework that leverages image-based prompts to drive decision-making. Additionally, we present the first open-source dataset for this task, featuring a pipeline that integrates trajectory-conditioned video synthesis into the data generation process. Through extensive experiments, we demonstrate that our proposed method consistently outperforms state-of-the-art baselines across key metrics including success rate and path efficiency.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ChatUMM：用于会话交错生成的鲁棒上下文跟踪</w:t>
      </w:r>
    </w:p>
    <w:p>
      <w:r>
        <w:rPr>
          <w:rFonts w:ascii="Times New Roman" w:hAnsi="Times New Roman" w:eastAsia="宋体"/>
          <w:b/>
          <w:color w:val="003264"/>
          <w:sz w:val="24"/>
        </w:rPr>
        <w:t>ChatUMM: Robust Context Tracking for Conversational Interleaved Generation</w:t>
      </w:r>
    </w:p>
    <w:p>
      <w:r>
        <w:rPr>
          <w:rFonts w:ascii="Times New Roman" w:hAnsi="Times New Roman" w:eastAsia="宋体"/>
          <w:sz w:val="21"/>
        </w:rPr>
        <w:t>作者: Chunyu Wang</w:t>
        <w:br/>
      </w:r>
      <w:r>
        <w:rPr>
          <w:rFonts w:ascii="Times New Roman" w:hAnsi="Times New Roman" w:eastAsia="宋体"/>
          <w:sz w:val="21"/>
        </w:rPr>
        <w:t xml:space="preserve">时间: 2026-02-06T07:11:50Z | </w:t>
      </w:r>
      <w:r>
        <w:t xml:space="preserve">链接: </w:t>
      </w:r>
      <w:hyperlink r:id="rId72">
        <w:r>
          <w:rPr>
            <w:rFonts w:ascii="Times New Roman" w:hAnsi="Times New Roman" w:eastAsia="宋体"/>
            <w:color w:val="0000FF"/>
            <w:sz w:val="21"/>
            <w:u w:val="single"/>
          </w:rPr>
          <w:t>https://arxiv.org/abs/2602.06442v1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统一多模态模型（UMM）已经取得了显着的进步，但仍然受到单轮交互范式的限制，有效地充当独立请求的解决者，而不是连续对话的助手。为了弥补这一差距，我们推出了 ChatUMM。作为一个会话统一模型，它擅长强大的上下文跟踪以维持交错的多模态生成。 ChatUMM 的功能源自两项关键创新：将序列化文本图像流建模为连续对话流的交错多轮训练策略，以及系统的对话数据合成管道。该管道通过三个渐进阶段将一组不同的标准单轮数据集转换为流畅的对话：构建基本的有状态对话，通过历史相关查询重写的“干扰器”轮次强制执行远程依赖解析，以及合成自然交错的多模式响应。广泛的评估表明，ChatUMM 在视觉理解和指令引导编辑基准方面实现了开源统一模型中最先进的性能，同时在文本到图像生成方面保持了有竞争力的保真度。值得注意的是，ChatUMM 在复杂的多轮场景中表现出卓越的鲁棒性，确保流畅的上下文感知对话。</w:t>
      </w:r>
    </w:p>
    <w:p>
      <w:pPr>
        <w:spacing w:before="120"/>
      </w:pPr>
      <w:r>
        <w:rPr>
          <w:rFonts w:ascii="Times New Roman" w:hAnsi="Times New Roman" w:eastAsia="宋体"/>
          <w:b/>
          <w:sz w:val="21"/>
        </w:rPr>
        <w:t>English Abstract:</w:t>
      </w:r>
    </w:p>
    <w:p>
      <w:r>
        <w:rPr>
          <w:rFonts w:ascii="Times New Roman" w:hAnsi="Times New Roman" w:eastAsia="宋体"/>
          <w:sz w:val="21"/>
        </w:rPr>
        <w:t>Unified multimodal models (UMMs) have achieved remarkable progress yet remain constrained by a single-turn interaction paradigm, effectively functioning as solvers for independent requests rather than assistants in continuous dialogue. To bridge this gap, we present ChatUMM. As a conversational unified model, it excels at robust context tracking to sustain interleaved multimodal generation. ChatUMM derives its capabilities from two key innovations: an interleaved multi-turn training strategy that models serialized text-image streams as a continuous conversational flow, and a systematic conversational data synthesis pipeline. This pipeline transforms a diverse set of standard single-turn datasets into fluid dialogues through three progressive stages: constructing basic stateful dialogues, enforcing long-range dependency resolution via ``distractor'' turns with history-dependent query rewriting, and synthesizing naturally interleaved multimodal responses. Extensive evaluations demonstrate that ChatUMM achieves state-of-the-art performance among open-source unified models on visual understanding and instruction-guided editing benchmarks, while maintaining competitive fidelity in text-to-image generation. Notably, ChatUMM exhibits superior robustness in complex multi-turn scenarios, ensuring fluid, context-aware dialogues.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探索用于广义人脸伪造检测的镜面反射不一致性</w:t>
      </w:r>
    </w:p>
    <w:p>
      <w:r>
        <w:rPr>
          <w:rFonts w:ascii="Times New Roman" w:hAnsi="Times New Roman" w:eastAsia="宋体"/>
          <w:b/>
          <w:color w:val="003264"/>
          <w:sz w:val="24"/>
        </w:rPr>
        <w:t>Exploring Specular Reflection Inconsistency for Generalizable Face Forgery Detection</w:t>
      </w:r>
    </w:p>
    <w:p>
      <w:r>
        <w:rPr>
          <w:rFonts w:ascii="Times New Roman" w:hAnsi="Times New Roman" w:eastAsia="宋体"/>
          <w:sz w:val="21"/>
        </w:rPr>
        <w:t>作者: Jie Zhou</w:t>
        <w:br/>
      </w:r>
      <w:r>
        <w:rPr>
          <w:rFonts w:ascii="Times New Roman" w:hAnsi="Times New Roman" w:eastAsia="宋体"/>
          <w:sz w:val="21"/>
        </w:rPr>
        <w:t xml:space="preserve">时间: 2026-02-06T07:27:19Z | </w:t>
      </w:r>
      <w:r>
        <w:t xml:space="preserve">链接: </w:t>
      </w:r>
      <w:hyperlink r:id="rId73">
        <w:r>
          <w:rPr>
            <w:rFonts w:ascii="Times New Roman" w:hAnsi="Times New Roman" w:eastAsia="宋体"/>
            <w:color w:val="0000FF"/>
            <w:sz w:val="21"/>
            <w:u w:val="single"/>
          </w:rPr>
          <w:t>https://arxiv.org/abs/2602.06452v1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人工智能生成的方法（特别是扩散模型）合成的伪造面孔达到了前所未有的质量和分辨率，检测深度伪造变得越来越具有挑战性。现有的基于空间和频率特征的伪造品检测方法对于高质量、完全合成的伪造品表现出有限的功效。在本文中，我们提出了一种新颖的检测方法，该方法基于以下观察：受复杂物理定律和多个参数控制的面部属性本质上难以复制。具体来说，我们关注照明，特别是 Phong 照明模型中的镜面反射分量，由于其参数复杂性和非线性公式，它带来了最大的复制挑战。我们引入了一种基于 Retinex 理论的快速准确的人脸纹理估计方法，以实现精确的镜面反射分离。此外，根据镜面反射的数学公式，我们假设伪造证据不仅体现在镜面反射本身，而且体现在它与相应的面部纹理和直射光的关系中。为了解决这个问题，我们设计了镜面反射不一致网络（SRI-Net），采用两阶段交叉注意机制来捕获这些相关性，并将镜面反射相关特征与图像特征相集成，以实现稳健的伪造检测。实验结果表明，我们的方法在传统的 Deepfake 数据集和生成 Deepfake 数据集上都取得了优异的性能，特别是那些包含扩散生成的伪造面孔的数据集。</w:t>
      </w:r>
    </w:p>
    <w:p>
      <w:pPr>
        <w:spacing w:before="120"/>
      </w:pPr>
      <w:r>
        <w:rPr>
          <w:rFonts w:ascii="Times New Roman" w:hAnsi="Times New Roman" w:eastAsia="宋体"/>
          <w:b/>
          <w:sz w:val="21"/>
        </w:rPr>
        <w:t>English Abstract:</w:t>
      </w:r>
    </w:p>
    <w:p>
      <w:r>
        <w:rPr>
          <w:rFonts w:ascii="Times New Roman" w:hAnsi="Times New Roman" w:eastAsia="宋体"/>
          <w:sz w:val="21"/>
        </w:rPr>
        <w:t>Detecting deepfakes has become increasingly challenging as forgery faces synthesized by AI-generated methods, particularly diffusion models, achieve unprecedented quality and resolution. Existing forgery detection approaches relying on spatial and frequency features demonstrate limited efficacy against high-quality, entirely synthesized forgeries. In this paper, we propose a novel detection method grounded in the observation that facial attributes governed by complex physical laws and multiple parameters are inherently difficult to replicate. Specifically, we focus on illumination, particularly the specular reflection component in the Phong illumination model, which poses the greatest replication challenge due to its parametric complexity and nonlinear formulation. We introduce a fast and accurate face texture estimation method based on Retinex theory to enable precise specular reflection separation. Furthermore, drawing from the mathematical formulation of specular reflection, we posit that forgery evidence manifests not only in the specular reflection itself but also in its relationship with corresponding face texture and direct light. To address this issue, we design the Specular-Reflection-Inconsistency-Network (SRI-Net), incorporating a two-stage cross-attention mechanism to capture these correlations and integrate specular reflection related features with image features for robust forgery detection. Experimental results demonstrate that our method achieves superior performance on both traditional deepfake datasets and generative deepfake datasets, particularly those containing diffusion-generated forgery faces.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无监督单目 3D 占用预测重新基准测试</w:t>
      </w:r>
    </w:p>
    <w:p>
      <w:r>
        <w:rPr>
          <w:rFonts w:ascii="Times New Roman" w:hAnsi="Times New Roman" w:eastAsia="宋体"/>
          <w:b/>
          <w:color w:val="003264"/>
          <w:sz w:val="24"/>
        </w:rPr>
        <w:t>Rebenchmarking Unsupervised Monocular 3D Occupancy Prediction</w:t>
      </w:r>
    </w:p>
    <w:p>
      <w:r>
        <w:rPr>
          <w:rFonts w:ascii="Times New Roman" w:hAnsi="Times New Roman" w:eastAsia="宋体"/>
          <w:sz w:val="21"/>
        </w:rPr>
        <w:t>作者: Rui Fan</w:t>
        <w:br/>
      </w:r>
      <w:r>
        <w:rPr>
          <w:rFonts w:ascii="Times New Roman" w:hAnsi="Times New Roman" w:eastAsia="宋体"/>
          <w:sz w:val="21"/>
        </w:rPr>
        <w:t xml:space="preserve">时间: 2026-02-06T08:30:26Z | </w:t>
      </w:r>
      <w:r>
        <w:t xml:space="preserve">链接: </w:t>
      </w:r>
      <w:hyperlink r:id="rId74">
        <w:r>
          <w:rPr>
            <w:rFonts w:ascii="Times New Roman" w:hAnsi="Times New Roman" w:eastAsia="宋体"/>
            <w:color w:val="0000FF"/>
            <w:sz w:val="21"/>
            <w:u w:val="single"/>
          </w:rPr>
          <w:t>https://arxiv.org/abs/2602.06488v1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从单个图像推断 3D 结构，特别是在遮挡区域中，仍然是以视觉为中心的自动驾驶中一个基本但尚未解决的挑战。现有的无监督方法通常训练神经辐射场并在评估过程中将网络输出视为占用概率，而忽略了训练和评估协议之间的不一致。此外，二维地面实况的普遍使用未能揭示由于几何约束不足而导致的遮挡区域固有的模糊性。为了解决这些问题，本文提出了一个重新制定的无监督单目 3D 占用预测基准。我们首先解释体绘制过程中涉及的变量，并确定占用概率的物理上最一致的表示。在这些分析的基础上，我们通过将新识别的表示与体素方面的 3D 占用地面实况对齐来改进现有的评估协议，从而使无监督方法能够以与监督方法一致的方式进行评估。此外，为了在遮挡区域施加明确的约束，我们引入了一种遮挡感知偏振机制，该机制结合了多视图视觉线索，以增强这些区域中占用空间和自由空间之间的区分。大量的实验表明，我们的方法不仅显着优于现有的无监督方法，而且与有监督方法的性能相匹配。我们的源代码和评估协议将在发布后提供。</w:t>
      </w:r>
    </w:p>
    <w:p>
      <w:pPr>
        <w:spacing w:before="120"/>
      </w:pPr>
      <w:r>
        <w:rPr>
          <w:rFonts w:ascii="Times New Roman" w:hAnsi="Times New Roman" w:eastAsia="宋体"/>
          <w:b/>
          <w:sz w:val="21"/>
        </w:rPr>
        <w:t>English Abstract:</w:t>
      </w:r>
    </w:p>
    <w:p>
      <w:r>
        <w:rPr>
          <w:rFonts w:ascii="Times New Roman" w:hAnsi="Times New Roman" w:eastAsia="宋体"/>
          <w:sz w:val="21"/>
        </w:rPr>
        <w:t>Inferring the 3D structure from a single image, particularly in occluded regions, remains a fundamental yet unsolved challenge in vision-centric autonomous driving. Existing unsupervised approaches typically train a neural radiance field and treat the network outputs as occupancy probabilities during evaluation, overlooking the inconsistency between training and evaluation protocols. Moreover, the prevalent use of 2D ground truth fails to reveal the inherent ambiguity in occluded regions caused by insufficient geometric constraints. To address these issues, this paper presents a reformulated benchmark for unsupervised monocular 3D occupancy prediction. We first interpret the variables involved in the volume rendering process and identify the most physically consistent representation of the occupancy probability. Building on these analyses, we improve existing evaluation protocols by aligning the newly identified representation with voxel-wise 3D occupancy ground truth, thereby enabling unsupervised methods to be evaluated in a manner consistent with that of supervised approaches. Additionally, to impose explicit constraints in occluded regions, we introduce an occlusion-aware polarization mechanism that incorporates multi-view visual cues to enhance discrimination between occupied and free spaces in these regions. Extensive experiments demonstrate that our approach not only significantly outperforms existing unsupervised approaches but also matches the performance of supervised ones. Our source code and evaluation protocol will be made available upon publication.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FloorplanVLM：平面矢量化的视觉语言模型</w:t>
      </w:r>
    </w:p>
    <w:p>
      <w:r>
        <w:rPr>
          <w:rFonts w:ascii="Times New Roman" w:hAnsi="Times New Roman" w:eastAsia="宋体"/>
          <w:b/>
          <w:color w:val="003264"/>
          <w:sz w:val="24"/>
        </w:rPr>
        <w:t>FloorplanVLM: A Vision-Language Model for Floorplan Vectorization</w:t>
      </w:r>
    </w:p>
    <w:p>
      <w:r>
        <w:rPr>
          <w:rFonts w:ascii="Times New Roman" w:hAnsi="Times New Roman" w:eastAsia="宋体"/>
          <w:sz w:val="21"/>
        </w:rPr>
        <w:t>作者: Yue Yang</w:t>
        <w:br/>
      </w:r>
      <w:r>
        <w:rPr>
          <w:rFonts w:ascii="Times New Roman" w:hAnsi="Times New Roman" w:eastAsia="宋体"/>
          <w:sz w:val="21"/>
        </w:rPr>
        <w:t xml:space="preserve">时间: 2026-02-06T08:57:52Z | </w:t>
      </w:r>
      <w:r>
        <w:t xml:space="preserve">链接: </w:t>
      </w:r>
      <w:hyperlink r:id="rId75">
        <w:r>
          <w:rPr>
            <w:rFonts w:ascii="Times New Roman" w:hAnsi="Times New Roman" w:eastAsia="宋体"/>
            <w:color w:val="0000FF"/>
            <w:sz w:val="21"/>
            <w:u w:val="single"/>
          </w:rPr>
          <w:t>https://arxiv.org/abs/2602.06507v1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由于复杂的拓扑和严格的几何约束，将光栅平面图转换为工程级矢量图形具有挑战性。为了解决这个问题，我们提出了 FloorplanVLM，这是一个统一的框架，它将平面矢量化重新表述为图像条件序列建模任务。与依赖于脆弱的启发式或基于查询的变压器生成碎片房间的基于像素的方法不同，我们的模型直接输出表示全局拓扑的结构化 JSON 序列。这种“像素到序列”范式能够精确且整体地满足复杂几何形状的约束，例如倾斜的墙壁和弯曲的弧线。为了支持这种需要数据的方法，我们引入了一个可扩展的数据引擎：我们构建了一个大规模数据集（Floorplan-2M）和一个高保真子集（Floorplan-HQ-300K）来平衡几何多样性和像素级精度。然后，我们采用渐进式训练策略，使用监督微调（SFT）进行结构接地和质量退火，然后使用组相对策略优化（GRPO）进行严格的几何对齐。为了标准化复杂布局的评估，我们建立并开源了 FPBench-2K。根据这一严格的基准进行评估，FloorplanVLM 表现出了卓越的结构有效性，实现了 $\textbf{92.52%}$ 外墙 IoU 和跨非曼哈顿架构的强大泛化能力。</w:t>
      </w:r>
    </w:p>
    <w:p>
      <w:pPr>
        <w:spacing w:before="120"/>
      </w:pPr>
      <w:r>
        <w:rPr>
          <w:rFonts w:ascii="Times New Roman" w:hAnsi="Times New Roman" w:eastAsia="宋体"/>
          <w:b/>
          <w:sz w:val="21"/>
        </w:rPr>
        <w:t>English Abstract:</w:t>
      </w:r>
    </w:p>
    <w:p>
      <w:r>
        <w:rPr>
          <w:rFonts w:ascii="Times New Roman" w:hAnsi="Times New Roman" w:eastAsia="宋体"/>
          <w:sz w:val="21"/>
        </w:rPr>
        <w:t>Converting raster floorplans into engineering-grade vector graphics is challenging due to complex topology and strict geometric constraints. To address this, we present FloorplanVLM, a unified framework that reformulates floorplan vectorization as an image-conditioned sequence modeling task. Unlike pixel-based methods that rely on fragile heuristics or query-based transformers that generate fragmented rooms, our model directly outputs structured JSON sequences representing the global topology. This 'pixels-to-sequence' paradigm enables the precise and holistic constraint satisfaction of complex geometries, such as slanted walls and curved arcs. To support this data-hungry approach, we introduce a scalable data engine: we construct a large-scale dataset (Floorplan-2M) and a high-fidelity subset (Floorplan-HQ-300K) to balance geometric diversity and pixel-level precision. We then employ a progressive training strategy, using Supervised Fine-Tuning (SFT) for structural grounding and quality annealing, followed by Group Relative Policy Optimization (GRPO) for strict geometric alignment. To standardize evaluation on complex layouts, we establish and open-source FPBench-2K. Evaluated on this rigorous benchmark, FloorplanVLM demonstrates exceptional structural validity, achieving $\textbf{92.52%}$ external-wall IoU and robust generalization across non-Manhattan architectures.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通过多模态指导针对图像伪造检测进行通用反取证攻击</w:t>
      </w:r>
    </w:p>
    <w:p>
      <w:r>
        <w:rPr>
          <w:rFonts w:ascii="Times New Roman" w:hAnsi="Times New Roman" w:eastAsia="宋体"/>
          <w:b/>
          <w:color w:val="003264"/>
          <w:sz w:val="24"/>
        </w:rPr>
        <w:t>Universal Anti-forensics Attack against Image Forgery Detection via Multi-modal Guidance</w:t>
      </w:r>
    </w:p>
    <w:p>
      <w:r>
        <w:rPr>
          <w:rFonts w:ascii="Times New Roman" w:hAnsi="Times New Roman" w:eastAsia="宋体"/>
          <w:sz w:val="21"/>
        </w:rPr>
        <w:t>作者: Anastasia Antsiferova</w:t>
        <w:br/>
      </w:r>
      <w:r>
        <w:rPr>
          <w:rFonts w:ascii="Times New Roman" w:hAnsi="Times New Roman" w:eastAsia="宋体"/>
          <w:sz w:val="21"/>
        </w:rPr>
        <w:t xml:space="preserve">时间: 2026-02-06T09:32:10Z | </w:t>
      </w:r>
      <w:r>
        <w:t xml:space="preserve">链接: </w:t>
      </w:r>
      <w:hyperlink r:id="rId76">
        <w:r>
          <w:rPr>
            <w:rFonts w:ascii="Times New Roman" w:hAnsi="Times New Roman" w:eastAsia="宋体"/>
            <w:color w:val="0000FF"/>
            <w:sz w:val="21"/>
            <w:u w:val="single"/>
          </w:rPr>
          <w:t>https://arxiv.org/abs/2602.06530v1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人工智能生成内容（AIGC）技术的快速发展给真实性评估带来了重大挑战。然而，现有的评估协议在很大程度上忽视了反取证攻击，无法确保最先进的 AIGC 探测器在实际应用中的综合鲁棒性。为了弥补这一差距，我们提出了 ForgeryEraser，这是一个旨在执行通用反取证攻击而无需访问目标 AIGC 探测器的框架。我们揭示了由于系统依赖视觉语言模型（VLM）作为共享主干（例如 CLIP）而产生的对抗性漏洞，其中下游 AIGC 检测器继承了这些可公开访问的模型的特征空间。我们设计了一种多模态引导损失，而不是传统的基于逻辑的优化，以将 VLM 特征空间内的伪造图像嵌入驱动到文本派生的真实锚点，以消除伪造痕迹，同时将它们从伪造锚点中排斥出来。大量实验表明，ForgeryEraser 会导致高级 AIGC 检测器在全局综合和本地编辑基准测试中的性能大幅下降。此外，ForgeryEraser 引入可解释的取证模型，为伪造图像生成与真实图像一致的解释。我们的代码将公开。</w:t>
      </w:r>
    </w:p>
    <w:p>
      <w:pPr>
        <w:spacing w:before="120"/>
      </w:pPr>
      <w:r>
        <w:rPr>
          <w:rFonts w:ascii="Times New Roman" w:hAnsi="Times New Roman" w:eastAsia="宋体"/>
          <w:b/>
          <w:sz w:val="21"/>
        </w:rPr>
        <w:t>English Abstract:</w:t>
      </w:r>
    </w:p>
    <w:p>
      <w:r>
        <w:rPr>
          <w:rFonts w:ascii="Times New Roman" w:hAnsi="Times New Roman" w:eastAsia="宋体"/>
          <w:sz w:val="21"/>
        </w:rPr>
        <w:t>The rapid advancement of AI-Generated Content (AIGC) technologies poses significant challenges for authenticity assessment. However, existing evaluation protocols largely overlook anti-forensics attack, failing to ensure the comprehensive robustness of state-of-the-art AIGC detectors in real-world applications. To bridge this gap, we propose ForgeryEraser, a framework designed to execute universal anti-forensics attack without access to the target AIGC detectors. We reveal an adversarial vulnerability stemming from the systemic reliance on Vision-Language Models (VLMs) as shared backbones (e.g., CLIP), where downstream AIGC detectors inherit the feature space of these publicly accessible models. Instead of traditional logit-based optimization, we design a multi-modal guidance loss to drive forged image embeddings within the VLM feature space toward text-derived authentic anchors to erase forgery traces, while repelling them from forgery anchors. Extensive experiments demonstrate that ForgeryEraser causes substantial performance degradation to advanced AIGC detectors on both global synthesis and local editing benchmarks. Moreover, ForgeryEraser induces explainable forensic models to generate explanations consistent with authentic images for forged images. Our code will be made publicly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SPARC：分离感知和推理电路以扩展 VLM 的测试时间</w:t>
      </w:r>
    </w:p>
    <w:p>
      <w:r>
        <w:rPr>
          <w:rFonts w:ascii="Times New Roman" w:hAnsi="Times New Roman" w:eastAsia="宋体"/>
          <w:b/>
          <w:color w:val="003264"/>
          <w:sz w:val="24"/>
        </w:rPr>
        <w:t>SPARC: Separating Perception And Reasoning Circuits for Test-time Scaling of VLMs</w:t>
      </w:r>
    </w:p>
    <w:p>
      <w:r>
        <w:rPr>
          <w:rFonts w:ascii="Times New Roman" w:hAnsi="Times New Roman" w:eastAsia="宋体"/>
          <w:sz w:val="21"/>
        </w:rPr>
        <w:t>作者: Mattia Rigotti</w:t>
        <w:br/>
      </w:r>
      <w:r>
        <w:rPr>
          <w:rFonts w:ascii="Times New Roman" w:hAnsi="Times New Roman" w:eastAsia="宋体"/>
          <w:sz w:val="21"/>
        </w:rPr>
        <w:t xml:space="preserve">时间: 2026-02-06T10:05:25Z | </w:t>
      </w:r>
      <w:r>
        <w:t xml:space="preserve">链接: </w:t>
      </w:r>
      <w:hyperlink r:id="rId77">
        <w:r>
          <w:rPr>
            <w:rFonts w:ascii="Times New Roman" w:hAnsi="Times New Roman" w:eastAsia="宋体"/>
            <w:color w:val="0000FF"/>
            <w:sz w:val="21"/>
            <w:u w:val="single"/>
          </w:rPr>
          <w:t>https://arxiv.org/abs/2602.06566v1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最近取得了成功，但测试时间扩展（即根据需要在推理过程中动态扩展令牌预算）对于视觉语言模型（VLM）来说仍然很脆弱：关于图像的非结构化思维链纠缠了感知和推理，导致冗长、无组织的上下文，其中小的感知错误可能会级联成完全错误的答案。此外，为了获得良好的表现，需要昂贵的强化学习和手工奖励。在这里，我们介绍 SPARC（分离感知和推理电路），这是一个模块化框架，可以明确地将视觉感知与推理分离。受大脑中顺序感觉到认知处理的启发，SPARC 实现了一个两阶段管道，其中模型首先执行显式视觉搜索以定位与问题相关的区域，然后根据这些区域进行推理以产生最终答案。这种分离可以通过非对称计算分配实现独立的测试时间扩展（例如，在分布转移下优先考虑感知处理），支持选择性优化（例如，当感知阶段是端到端性能的瓶颈时，单独改进感知阶段），并通过在较低图像分辨率下运行全局搜索并仅将高分辨率处理分配给选定区域来适应压缩上下文，从而减少视觉标记总数和计算量。在具有挑战性的视觉推理基准测试中，SPARC 的性能优于整体基线和强大的视觉基础方法。例如，SPARC 将 Qwen3VL-4B 在 $V^*$ VQA 基准上的准确度提高了 6.7 个百分点，并且在具有挑战性的 OOD 任务上，它比“用图像思考”高出 4.6 个百分点，尽管所需的代币预算降低了 200 美元\倍$。</w:t>
      </w:r>
    </w:p>
    <w:p>
      <w:pPr>
        <w:spacing w:before="120"/>
      </w:pPr>
      <w:r>
        <w:rPr>
          <w:rFonts w:ascii="Times New Roman" w:hAnsi="Times New Roman" w:eastAsia="宋体"/>
          <w:b/>
          <w:sz w:val="21"/>
        </w:rPr>
        <w:t>English Abstract:</w:t>
      </w:r>
    </w:p>
    <w:p>
      <w:r>
        <w:rPr>
          <w:rFonts w:ascii="Times New Roman" w:hAnsi="Times New Roman" w:eastAsia="宋体"/>
          <w:sz w:val="21"/>
        </w:rPr>
        <w:t>Despite recent successes, test-time scaling - i.e., dynamically expanding the token budget during inference as needed - remains brittle for vision-language models (VLMs): unstructured chains-of-thought about images entangle perception and reasoning, leading to long, disorganized contexts where small perceptual mistakes may cascade into completely wrong answers. Moreover, expensive reinforcement learning with hand-crafted rewards is required to achieve good performance. Here, we introduce SPARC (Separating Perception And Reasoning Circuits), a modular framework that explicitly decouples visual perception from reasoning. Inspired by sequential sensory-to-cognitive processing in the brain, SPARC implements a two-stage pipeline where the model first performs explicit visual search to localize question-relevant regions, then conditions its reasoning on those regions to produce the final answer. This separation enables independent test-time scaling with asymmetric compute allocation (e.g., prioritizing perceptual processing under distribution shift), supports selective optimization (e.g., improving the perceptual stage alone when it is the bottleneck for end-to-end performance), and accommodates compressed contexts by running global search at lower image resolutions and allocating high-resolution processing only to selected regions, thereby reducing total visual tokens count and compute. Across challenging visual reasoning benchmarks, SPARC outperforms monolithic baselines and strong visual-grounding approaches. For instance, SPARC improves the accuracy of Qwen3VL-4B on the $V^*$ VQA benchmark by 6.7 percentage points, and it surpasses "thinking with images" by 4.6 points on a challenging OOD task despite requiring a 200$\times$ lower token budget.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相同的答案，不同的表示：VLM 中隐藏的不稳定性</w:t>
      </w:r>
    </w:p>
    <w:p>
      <w:r>
        <w:rPr>
          <w:rFonts w:ascii="Times New Roman" w:hAnsi="Times New Roman" w:eastAsia="宋体"/>
          <w:b/>
          <w:color w:val="003264"/>
          <w:sz w:val="24"/>
        </w:rPr>
        <w:t>Same Answer, Different Representations: Hidden instability in VLMs</w:t>
      </w:r>
    </w:p>
    <w:p>
      <w:r>
        <w:rPr>
          <w:rFonts w:ascii="Times New Roman" w:hAnsi="Times New Roman" w:eastAsia="宋体"/>
          <w:sz w:val="21"/>
        </w:rPr>
        <w:t>作者: Pasquale Minervini</w:t>
        <w:br/>
      </w:r>
      <w:r>
        <w:rPr>
          <w:rFonts w:ascii="Times New Roman" w:hAnsi="Times New Roman" w:eastAsia="宋体"/>
          <w:sz w:val="21"/>
        </w:rPr>
        <w:t xml:space="preserve">时间: 2026-02-06T12:24:26Z | </w:t>
      </w:r>
      <w:r>
        <w:t xml:space="preserve">链接: </w:t>
      </w:r>
      <w:hyperlink r:id="rId78">
        <w:r>
          <w:rPr>
            <w:rFonts w:ascii="Times New Roman" w:hAnsi="Times New Roman" w:eastAsia="宋体"/>
            <w:color w:val="0000FF"/>
            <w:sz w:val="21"/>
            <w:u w:val="single"/>
          </w:rPr>
          <w:t>https://arxiv.org/abs/2602.06652v1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视觉语言模型 (VLM) 的鲁棒性通常通过输出级不变性进行评估，隐含地假设稳定的预测反映了稳定的多模态处理。在这项工作中，我们认为这个假设是不够的。我们引入了一种表示感知和频率感知的评估框架，该框架可测量内部嵌入漂移、光谱灵敏度和结构平滑度（视觉标记的空间一致性）以及基于标准标签的指标。将此框架应用于 SEEDBench、MMMU 和 POPE 数据集的现代 VLM，揭示了三种不同的故障模式。首先，模型经常保留预测答案，同时经历大量的内部表示漂移；对于诸如文本覆盖之类的扰动，这种漂移接近图像间变异性的程度，这表明尽管输出不变，但表示会移动到通常由不相关输入占据的区域。其次，稳健性不会随着规模的扩大而提高；较大的模型可以获得更高的准确度，但表现出相同或更高的灵敏度，与更清晰但更脆弱的决策边界一致。第三，我们发现扰动对任务的影响不同：当扰乱模型如何结合粗略和精细视觉线索时，它们会损害推理，但在幻觉基准上，它们可以通过使模型生成更保守的答案来减少误报。</w:t>
      </w:r>
    </w:p>
    <w:p>
      <w:pPr>
        <w:spacing w:before="120"/>
      </w:pPr>
      <w:r>
        <w:rPr>
          <w:rFonts w:ascii="Times New Roman" w:hAnsi="Times New Roman" w:eastAsia="宋体"/>
          <w:b/>
          <w:sz w:val="21"/>
        </w:rPr>
        <w:t>English Abstract:</w:t>
      </w:r>
    </w:p>
    <w:p>
      <w:r>
        <w:rPr>
          <w:rFonts w:ascii="Times New Roman" w:hAnsi="Times New Roman" w:eastAsia="宋体"/>
          <w:sz w:val="21"/>
        </w:rPr>
        <w:t>The robustness of Vision Language Models (VLMs) is commonly assessed through output-level invariance, implicitly assuming that stable predictions reflect stable multimodal processing. In this work, we argue that this assumption is insufficient. We introduce a representation-aware and frequency-aware evaluation framework that measures internal embedding drift, spectral sensitivity, and structural smoothness (spatial consistency of vision tokens), alongside standard label-based metrics. Applying this framework to modern VLMs across the SEEDBench, MMMU, and POPE datasets reveals three distinct failure modes. First, models frequently preserve predicted answers while undergoing substantial internal representation drift; for perturbations such as text overlays, this drift approaches the magnitude of inter-image variability, indicating that representations move to regions typically occupied by unrelated inputs despite unchanged outputs. Second, robustness does not improve with scale; larger models achieve higher accuracy but exhibit equal or greater sensitivity, consistent with sharper yet more fragile decision boundaries. Third, we find that perturbations affect tasks differently: they harm reasoning when they disrupt how models combine coarse and fine visual cues, but on the hallucination benchmarks, they can reduce false positives by making models generate more conservative answers.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PlanViz：评估计算机使用任务的面向规划的图像生成和编辑</w:t>
      </w:r>
    </w:p>
    <w:p>
      <w:r>
        <w:rPr>
          <w:rFonts w:ascii="Times New Roman" w:hAnsi="Times New Roman" w:eastAsia="宋体"/>
          <w:b/>
          <w:color w:val="003264"/>
          <w:sz w:val="24"/>
        </w:rPr>
        <w:t>PlanViz: Evaluating Planning-Oriented Image Generation and Editing for Computer-Use Tasks</w:t>
      </w:r>
    </w:p>
    <w:p>
      <w:r>
        <w:rPr>
          <w:rFonts w:ascii="Times New Roman" w:hAnsi="Times New Roman" w:eastAsia="宋体"/>
          <w:sz w:val="21"/>
        </w:rPr>
        <w:t>作者: Yulun Zhang</w:t>
        <w:br/>
      </w:r>
      <w:r>
        <w:rPr>
          <w:rFonts w:ascii="Times New Roman" w:hAnsi="Times New Roman" w:eastAsia="宋体"/>
          <w:sz w:val="21"/>
        </w:rPr>
        <w:t xml:space="preserve">时间: 2026-02-06T12:47:16Z | </w:t>
      </w:r>
      <w:r>
        <w:t xml:space="preserve">链接: </w:t>
      </w:r>
      <w:hyperlink r:id="rId79">
        <w:r>
          <w:rPr>
            <w:rFonts w:ascii="Times New Roman" w:hAnsi="Times New Roman" w:eastAsia="宋体"/>
            <w:color w:val="0000FF"/>
            <w:sz w:val="21"/>
            <w:u w:val="single"/>
          </w:rPr>
          <w:t>https://arxiv.org/abs/2602.06663v1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统一多模态模型 (UMM) 在生成自然图像和支持多模态推理方面表现出了令人印象深刻的能力。然而，它们在支持与我们的生活密切相关的计算机使用规划任务方面的潜力仍未得到充分开发。计算机使用任务中的图像生成和编辑需要空间推理和程序理解等能力，而 UMM 是否具备这些能力来完成这些任务仍然未知。因此，我们提出了 PlanViz，这是一个新的基准，旨在评估计算机使用任务的图像生成和编辑。为了实现我们的评估目标，我们重点关注日常生活中经常涉及并需要规划步骤的子任务。具体来说，设计了三个新的子任务：路线规划、工作图绘制以及Web&amp;UI显示。我们通过策划人工注释的问题和参考图像以及质量控制流程来解决数据质量确保方面的挑战。针对全面准确评估的挑战，提出了任务自适应评分 PlanScore。该分数有助于了解生成图像的正确性、视觉质量和效率。通过实验，我们强调了该主题未来研究的主要局限性和机遇。</w:t>
      </w:r>
    </w:p>
    <w:p>
      <w:pPr>
        <w:spacing w:before="120"/>
      </w:pPr>
      <w:r>
        <w:rPr>
          <w:rFonts w:ascii="Times New Roman" w:hAnsi="Times New Roman" w:eastAsia="宋体"/>
          <w:b/>
          <w:sz w:val="21"/>
        </w:rPr>
        <w:t>English Abstract:</w:t>
      </w:r>
    </w:p>
    <w:p>
      <w:r>
        <w:rPr>
          <w:rFonts w:ascii="Times New Roman" w:hAnsi="Times New Roman" w:eastAsia="宋体"/>
          <w:sz w:val="21"/>
        </w:rPr>
        <w:t>Unified multimodal models (UMMs) have shown impressive capabilities in generating natural images and supporting multimodal reasoning. However, their potential in supporting computer-use planning tasks, which are closely related to our lives, remain underexplored. Image generation and editing in computer-use tasks require capabilities like spatial reasoning and procedural understanding, and it is still unknown whether UMMs have these capabilities to finish these tasks or not. Therefore, we propose PlanViz, a new benchmark designed to evaluate image generation and editing for computer-use tasks. To achieve the goal of our evaluation, we focus on sub-tasks which frequently involve in daily life and require planning steps. Specifically, three new sub-tasks are designed: route planning, work diagramming, and web&amp;UI displaying. We address challenges in data quality ensuring by curating human-annotated questions and reference images, and a quality control process. For challenges of comprehensive and exact evaluation, a task-adaptive score, PlanScore, is proposed. The score helps understanding the correctness, visual quality and efficiency of generated images. Through experiments, we highlight key limitations and opportunities for future research on this topic.</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CytoCrowd：用于细胞学图像分析的多注释器基准数据集</w:t>
      </w:r>
    </w:p>
    <w:p>
      <w:r>
        <w:rPr>
          <w:rFonts w:ascii="Times New Roman" w:hAnsi="Times New Roman" w:eastAsia="宋体"/>
          <w:b/>
          <w:color w:val="003264"/>
          <w:sz w:val="24"/>
        </w:rPr>
        <w:t>CytoCrowd: A Multi-Annotator Benchmark Dataset for Cytology Image Analysis</w:t>
      </w:r>
    </w:p>
    <w:p>
      <w:r>
        <w:rPr>
          <w:rFonts w:ascii="Times New Roman" w:hAnsi="Times New Roman" w:eastAsia="宋体"/>
          <w:sz w:val="21"/>
        </w:rPr>
        <w:t>作者: Jian Yin</w:t>
        <w:br/>
      </w:r>
      <w:r>
        <w:rPr>
          <w:rFonts w:ascii="Times New Roman" w:hAnsi="Times New Roman" w:eastAsia="宋体"/>
          <w:sz w:val="21"/>
        </w:rPr>
        <w:t xml:space="preserve">时间: 2026-02-06T13:00:49Z | </w:t>
      </w:r>
      <w:r>
        <w:t xml:space="preserve">链接: </w:t>
      </w:r>
      <w:hyperlink r:id="rId80">
        <w:r>
          <w:rPr>
            <w:rFonts w:ascii="Times New Roman" w:hAnsi="Times New Roman" w:eastAsia="宋体"/>
            <w:color w:val="0000FF"/>
            <w:sz w:val="21"/>
            <w:u w:val="single"/>
          </w:rPr>
          <w:t>https://arxiv.org/abs/2602.06674v1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高质量的带注释数据集对于推进医学图像分析中的机器学习至关重要。然而，存在一个关键差距：大多数数据集要么提供单一、干净的基本事实，隐藏了现实世界专家的分歧，要么提供多个注释，而没有单独的客观评估黄金标准。为了弥补这一差距，我们推出了 CytoCrowd，这是一种新的细胞学分析公共基准。该数据集包含 446 张高分辨率图像，每张图像都有两个关键组成部分：(1) 来自四位独立病理学家的原始、相互冲突的注释，以及 (2) 由资深专家建立的独立的高质量黄金标准地面事实。这种双重结构使 CytoCrowd 成为一种多功能资源。它可以作为标准计算机视觉任务的基准，例如使用地面事实进行物体检测和分类。同时，它为评估必须解决专家分歧的注释聚合算法提供了一个现实的测试平台。我们为这两项任务提供全面的基线结果。我们的实验证明了 CytoCrowd 带来的挑战，并确立了其作为开发下一代医学图像分析模型的资源的价值。</w:t>
      </w:r>
    </w:p>
    <w:p>
      <w:pPr>
        <w:spacing w:before="120"/>
      </w:pPr>
      <w:r>
        <w:rPr>
          <w:rFonts w:ascii="Times New Roman" w:hAnsi="Times New Roman" w:eastAsia="宋体"/>
          <w:b/>
          <w:sz w:val="21"/>
        </w:rPr>
        <w:t>English Abstract:</w:t>
      </w:r>
    </w:p>
    <w:p>
      <w:r>
        <w:rPr>
          <w:rFonts w:ascii="Times New Roman" w:hAnsi="Times New Roman" w:eastAsia="宋体"/>
          <w:sz w:val="21"/>
        </w:rPr>
        <w:t>High-quality annotated datasets are crucial for advancing machine learning in medical image analysis. However, a critical gap exists: most datasets either offer a single, clean ground truth, which hides real-world expert disagreement, or they provide multiple annotations without a separate gold standard for objective evaluation. To bridge this gap, we introduce CytoCrowd, a new public benchmark for cytology analysis. The dataset features 446 high-resolution images, each with two key components: (1) raw, conflicting annotations from four independent pathologists, and (2) a separate, high-quality gold-standard ground truth established by a senior expert. This dual structure makes CytoCrowd a versatile resource. It serves as a benchmark for standard computer vision tasks, such as object detection and classification, using the ground truth. Simultaneously, it provides a realistic testbed for evaluating annotation aggregation algorithms that must resolve expert disagreements. We provide comprehensive baseline results for both tasks. Our experiments demonstrate the challenges presented by CytoCrowd and establish its value as a resource for developing the next generation of models for medical image analysis.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我们可以构建一个用于虚假图像检测的整体模型吗？ SICA：语义诱导的约束适应，用于统一但有区别的伪像特征空间重建</w:t>
      </w:r>
    </w:p>
    <w:p>
      <w:r>
        <w:rPr>
          <w:rFonts w:ascii="Times New Roman" w:hAnsi="Times New Roman" w:eastAsia="宋体"/>
          <w:b/>
          <w:color w:val="003264"/>
          <w:sz w:val="24"/>
        </w:rPr>
        <w:t>Can We Build a Monolithic Model for Fake Image Detection? SICA: Semantic-Induced Constrained Adaptation for Unified-Yet-Discriminative Artifact Feature Space Reconstruction</w:t>
      </w:r>
    </w:p>
    <w:p>
      <w:r>
        <w:rPr>
          <w:rFonts w:ascii="Times New Roman" w:hAnsi="Times New Roman" w:eastAsia="宋体"/>
          <w:sz w:val="21"/>
        </w:rPr>
        <w:t>作者: Ji-Zhe Zhou</w:t>
        <w:br/>
      </w:r>
      <w:r>
        <w:rPr>
          <w:rFonts w:ascii="Times New Roman" w:hAnsi="Times New Roman" w:eastAsia="宋体"/>
          <w:sz w:val="21"/>
        </w:rPr>
        <w:t xml:space="preserve">时间: 2026-02-06T13:03:26Z | </w:t>
      </w:r>
      <w:r>
        <w:t xml:space="preserve">链接: </w:t>
      </w:r>
      <w:hyperlink r:id="rId81">
        <w:r>
          <w:rPr>
            <w:rFonts w:ascii="Times New Roman" w:hAnsi="Times New Roman" w:eastAsia="宋体"/>
            <w:color w:val="0000FF"/>
            <w:sz w:val="21"/>
            <w:u w:val="single"/>
          </w:rPr>
          <w:t>https://arxiv.org/abs/2602.06676v1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虚假图像检测 (FID) 旨在跨四个图像取证子域进行统一检测，在现实世界的取证场景中至关重要。与集成方法相比，整体 FID 模型在理论上更有前景，但迄今为止，在实践中始终表现不佳。在这项工作中，通过发现“异质现象”，即跨子域的工件的内在区别，我们首次诊断了这种表现不佳的原因：由这种现象驱动的工件特征空间的崩溃。因此，开发实用的整体式 FID 模型的核心挑战归结为伪像特征空间的“统一但有区别性”重建。为了解决这一矛盾的挑战，我们假设高级语义可以作为重建的结构先验，并进一步提出语义诱导约束适应（SICA），这是第一个整体式 FID 范式。在我们的 OpenMMSec 数据集上进行的大量实验表明，SICA 的性能优于15种最先进的方法，并以近正交的方式重建目标统一但有区别的伪影特征空间，从而坚定地验证了我们的假设。代码和数据集可在以下网址获得：https://github.com/scu-zjz/SICA_OpenMMSec。</w:t>
      </w:r>
    </w:p>
    <w:p>
      <w:pPr>
        <w:spacing w:before="120"/>
      </w:pPr>
      <w:r>
        <w:rPr>
          <w:rFonts w:ascii="Times New Roman" w:hAnsi="Times New Roman" w:eastAsia="宋体"/>
          <w:b/>
          <w:sz w:val="21"/>
        </w:rPr>
        <w:t>English Abstract:</w:t>
      </w:r>
    </w:p>
    <w:p>
      <w:r>
        <w:rPr>
          <w:rFonts w:ascii="Times New Roman" w:hAnsi="Times New Roman" w:eastAsia="宋体"/>
          <w:sz w:val="21"/>
        </w:rPr>
        <w:t>Fake Image Detection (FID), aiming at unified detection across four image forensic subdomains, is critical in real-world forensic scenarios. Compared with ensemble approaches, monolithic FID models are theoretically more promising, but to date, consistently yield inferior performance in practice. In this work, by discovering the ``heterogeneous phenomenon'', which is the intrinsic distinctness of artifacts across subdomains, we diagnose the cause of this underperformance for the first time: the collapse of the artifact feature space driven by such phenomenon. The core challenge for developing a practical monolithic FID model thus boils down to the ``unified-yet-discriminative" reconstruction of the artifact feature space. To address this paradoxical challenge, we hypothesize that high-level semantics can serve as a structural prior for the reconstruction, and further propose Semantic-Induced Constrained Adaptation (SICA), the first monolithic FID paradigm. Extensive experiments on our OpenMMSec dataset demonstrate that SICA outperforms 15 state-of-the-art methods and reconstructs the target unified-yet-discriminative artifact feature space in a near-orthogonal manner, thus firmly validating our hypothesis. The code and dataset are available at:https: //github.com/scu-zjz/SICA_OpenMMSec.</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微分同胚等变神经网络</w:t>
      </w:r>
    </w:p>
    <w:p>
      <w:r>
        <w:rPr>
          <w:rFonts w:ascii="Times New Roman" w:hAnsi="Times New Roman" w:eastAsia="宋体"/>
          <w:b/>
          <w:color w:val="003264"/>
          <w:sz w:val="24"/>
        </w:rPr>
        <w:t>Diffeomorphism-Equivariant Neural Networks</w:t>
      </w:r>
    </w:p>
    <w:p>
      <w:r>
        <w:rPr>
          <w:rFonts w:ascii="Times New Roman" w:hAnsi="Times New Roman" w:eastAsia="宋体"/>
          <w:sz w:val="21"/>
        </w:rPr>
        <w:t>作者: Carola-Bibiane Schönlieb</w:t>
        <w:br/>
      </w:r>
      <w:r>
        <w:rPr>
          <w:rFonts w:ascii="Times New Roman" w:hAnsi="Times New Roman" w:eastAsia="宋体"/>
          <w:sz w:val="21"/>
        </w:rPr>
        <w:t xml:space="preserve">时间: 2026-02-06T13:31:56Z | </w:t>
      </w:r>
      <w:r>
        <w:t xml:space="preserve">链接: </w:t>
      </w:r>
      <w:hyperlink r:id="rId82">
        <w:r>
          <w:rPr>
            <w:rFonts w:ascii="Times New Roman" w:hAnsi="Times New Roman" w:eastAsia="宋体"/>
            <w:color w:val="0000FF"/>
            <w:sz w:val="21"/>
            <w:u w:val="single"/>
          </w:rPr>
          <w:t>https://arxiv.org/abs/2602.06695v1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通过等方差将群对称性纳入神经网络已成为克服现代深度学习的效率和数据需求的可靠方法。虽然大多数现有方法（例如组卷积和基于平均的方法）专注于具有线性作用的紧凑、有限或低维组，但这项工作探讨了如何将等方差扩展到无限维组。我们提出了一种策略，旨在通过基于能量的规范化在预训练的神经网络中引入微分同态等变。将等方差表述为优化问题使我们能够访问已建立的可微分图像配准方法的丰富工具箱。分割和分类任务的实证结果证实，我们的方法实现了近似等方差，并推广到看不见的变换，而不依赖于广泛的数据增强或再训练。</w:t>
      </w:r>
    </w:p>
    <w:p>
      <w:pPr>
        <w:spacing w:before="120"/>
      </w:pPr>
      <w:r>
        <w:rPr>
          <w:rFonts w:ascii="Times New Roman" w:hAnsi="Times New Roman" w:eastAsia="宋体"/>
          <w:b/>
          <w:sz w:val="21"/>
        </w:rPr>
        <w:t>English Abstract:</w:t>
      </w:r>
    </w:p>
    <w:p>
      <w:r>
        <w:rPr>
          <w:rFonts w:ascii="Times New Roman" w:hAnsi="Times New Roman" w:eastAsia="宋体"/>
          <w:sz w:val="21"/>
        </w:rPr>
        <w:t>Incorporating group symmetries via equivariance into neural networks has emerged as a robust approach for overcoming the efficiency and data demands of modern deep learning. While most existing approaches, such as group convolutions and averaging-based methods, focus on compact, finite, or low-dimensional groups with linear actions, this work explores how equivariance can be extended to infinite-dimensional groups. We propose a strategy designed to induce diffeomorphism equivariance in pre-trained neural networks via energy-based canonicalisation. Formulating equivariance as an optimisation problem allows us to access the rich toolbox of already established differentiable image registration methods. Empirical results on segmentation and classification tasks confirm that our approach achieves approximate equivariance and generalises to unseen transformations without relying on extensive data augmentation or retraining.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使用多光谱自动编码器的表示进行金矿勘探</w:t>
      </w:r>
    </w:p>
    <w:p>
      <w:r>
        <w:rPr>
          <w:rFonts w:ascii="Times New Roman" w:hAnsi="Times New Roman" w:eastAsia="宋体"/>
          <w:b/>
          <w:color w:val="003264"/>
          <w:sz w:val="24"/>
        </w:rPr>
        <w:t>Gold Exploration using Representations from a Multispectral Autoencoder</w:t>
      </w:r>
    </w:p>
    <w:p>
      <w:r>
        <w:rPr>
          <w:rFonts w:ascii="Times New Roman" w:hAnsi="Times New Roman" w:eastAsia="宋体"/>
          <w:sz w:val="21"/>
        </w:rPr>
        <w:t>作者: George Arvanitakis</w:t>
        <w:br/>
      </w:r>
      <w:r>
        <w:rPr>
          <w:rFonts w:ascii="Times New Roman" w:hAnsi="Times New Roman" w:eastAsia="宋体"/>
          <w:sz w:val="21"/>
        </w:rPr>
        <w:t xml:space="preserve">时间: 2026-02-06T14:47:12Z | </w:t>
      </w:r>
      <w:r>
        <w:t xml:space="preserve">链接: </w:t>
      </w:r>
      <w:hyperlink r:id="rId83">
        <w:r>
          <w:rPr>
            <w:rFonts w:ascii="Times New Roman" w:hAnsi="Times New Roman" w:eastAsia="宋体"/>
            <w:color w:val="0000FF"/>
            <w:sz w:val="21"/>
            <w:u w:val="single"/>
          </w:rPr>
          <w:t>https://arxiv.org/abs/2602.06748v1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由于现场矿产勘探数据成本高昂且可用性通常有限，因此采用卫星图像进行大规模勘探测绘。在这项工作中，我们提出了一个概念验证框架，该框架利用从多光谱 Sentinel-2 图像中学习到的生成表示来识别太空中的含金区域。称为 Isometric 的自动编码器基础模型在大规模 FalconSpace-S2 v1.0 数据集上进行了预训练，可生成信息密集的光谱空间表示，作为轻量级 XGBoost 分类器的输入。我们使用来自已知黄金和非黄金位置的 63 张 Sentinel-2 图像的数据集，将这种基于表示的方法与原始光谱输入基线进行比较。所提出的方法将块级精度从 0.51 提高到 0.68，将图像级精度从 0.55 提高到 0.73，证明生成嵌入即使在标记数据有限的情况下也能捕获可转移的矿物学模式。这些结果凸显了基础模型表示在使矿产勘探更加高效、可扩展和全球适用方面的潜力。</w:t>
      </w:r>
    </w:p>
    <w:p>
      <w:pPr>
        <w:spacing w:before="120"/>
      </w:pPr>
      <w:r>
        <w:rPr>
          <w:rFonts w:ascii="Times New Roman" w:hAnsi="Times New Roman" w:eastAsia="宋体"/>
          <w:b/>
          <w:sz w:val="21"/>
        </w:rPr>
        <w:t>English Abstract:</w:t>
      </w:r>
    </w:p>
    <w:p>
      <w:r>
        <w:rPr>
          <w:rFonts w:ascii="Times New Roman" w:hAnsi="Times New Roman" w:eastAsia="宋体"/>
          <w:sz w:val="21"/>
        </w:rPr>
        <w:t>Satellite imagery is employed for large-scale prospectivity mapping due to the high cost and typically limited availability of on-site mineral exploration data. In this work, we present a proof-of-concept framework that leverages generative representations learned from multispectral Sentinel-2 imagery to identify gold-bearing regions from space. An autoencoder foundation model, called Isometric, which is pretrained on the large-scale FalconSpace-S2 v1.0 dataset, produces information-dense spectral-spatial representations that serve as inputs to a lightweight XGBoost classifier. We compare this representation-based approach with a raw spectral input baseline using a dataset of 63 Sentinel-2 images from known gold and non-gold locations. The proposed method improves patch-level accuracy from 0.51 to 0.68 and image-level accuracy from 0.55 to 0.73, demonstrating that generative embeddings capture transferable mineralogical patterns even with limited labeled data. These results highlight the potential of foundation-model representations to make mineral exploration more efficient, scalable, and globally applicable.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重新审视情绪表征以实现野外识别</w:t>
      </w:r>
    </w:p>
    <w:p>
      <w:r>
        <w:rPr>
          <w:rFonts w:ascii="Times New Roman" w:hAnsi="Times New Roman" w:eastAsia="宋体"/>
          <w:b/>
          <w:color w:val="003264"/>
          <w:sz w:val="24"/>
        </w:rPr>
        <w:t>Revisiting Emotions Representation for Recognition in the Wild</w:t>
      </w:r>
    </w:p>
    <w:p>
      <w:r>
        <w:rPr>
          <w:rFonts w:ascii="Times New Roman" w:hAnsi="Times New Roman" w:eastAsia="宋体"/>
          <w:sz w:val="21"/>
        </w:rPr>
        <w:t>作者: Stefano Berretti</w:t>
        <w:br/>
      </w:r>
      <w:r>
        <w:rPr>
          <w:rFonts w:ascii="Times New Roman" w:hAnsi="Times New Roman" w:eastAsia="宋体"/>
          <w:sz w:val="21"/>
        </w:rPr>
        <w:t xml:space="preserve">时间: 2026-02-06T15:32:12Z | </w:t>
      </w:r>
      <w:r>
        <w:t xml:space="preserve">链接: </w:t>
      </w:r>
      <w:hyperlink r:id="rId84">
        <w:r>
          <w:rPr>
            <w:rFonts w:ascii="Times New Roman" w:hAnsi="Times New Roman" w:eastAsia="宋体"/>
            <w:color w:val="0000FF"/>
            <w:sz w:val="21"/>
            <w:u w:val="single"/>
          </w:rPr>
          <w:t>https://arxiv.org/abs/2602.06778v1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面部情绪识别通常被视为六分之一典型情绪中的一种的单标签分类问题。然而，这是一种过度简化，不适合表示自发情绪状态的多方面频谱，这些状态通常是不同强度的多种情绪组合的结果。在此基础上，最近探索的一个有前途的方向是将情感识别作为一个分布式学习问题。尽管如此，此类方法仍存在局限性，因为研究数据集通常用单一情感类别进行注释。在本文中，我们提出了一种新颖的方法，将复杂的情绪状态描述为一组情绪类别的概率分布。为此，我们提出了一种解决方案，通过利用一项研究结果来自动重新标记现有数据集，其中大量基本情绪和复合情绪被映射到效价-唤醒-主导（VAD）空间中的概率分布。通过这种方式，给定一张用 VAD 值注释的人脸图像，我们可以估计它属于每个分布的可能性，这样情绪状态就可以被描述为情绪的混合，丰富了它们的描述，同时也解释了它们感知的模糊性。在一组初步的实验中，我们说明了该解决方案的优点以及新的可能的研究方向。数据注释可在 https://github.com/jbcnrlz/affectnet-b-annotation 获取。</w:t>
      </w:r>
    </w:p>
    <w:p>
      <w:pPr>
        <w:spacing w:before="120"/>
      </w:pPr>
      <w:r>
        <w:rPr>
          <w:rFonts w:ascii="Times New Roman" w:hAnsi="Times New Roman" w:eastAsia="宋体"/>
          <w:b/>
          <w:sz w:val="21"/>
        </w:rPr>
        <w:t>English Abstract:</w:t>
      </w:r>
    </w:p>
    <w:p>
      <w:r>
        <w:rPr>
          <w:rFonts w:ascii="Times New Roman" w:hAnsi="Times New Roman" w:eastAsia="宋体"/>
          <w:sz w:val="21"/>
        </w:rPr>
        <w:t>Facial emotion recognition has been typically cast as a single-label classification problem of one out of six prototypical emotions. However, that is an oversimplification that is unsuitable for representing the multifaceted spectrum of spontaneous emotional states, which are most often the result of a combination of multiple emotions contributing at different intensities. Building on this, a promising direction that was explored recently is to cast emotion recognition as a distribution learning problem. Still, such approaches are limited in that research datasets are typically annotated with a single emotion class. In this paper, we contribute a novel approach to describe complex emotional states as probability distributions over a set of emotion classes. To do so, we propose a solution to automatically re-label existing datasets by exploiting the result of a study in which a large set of both basic and compound emotions is mapped to probability distributions in the Valence-Arousal-Dominance (VAD) space. In this way, given a face image annotated with VAD values, we can estimate the likelihood of it belonging to each of the distributions, so that emotional states can be described as a mixture of emotions, enriching their description, while also accounting for the ambiguous nature of their perception. In a preliminary set of experiments, we illustrate the advantages of this solution and a new possible direction of investigation. Data annotations are available at https://github.com/jbcnrlz/affectnet-b-annotation.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校准相机间仿射变换的统一公式</w:t>
      </w:r>
    </w:p>
    <w:p>
      <w:r>
        <w:rPr>
          <w:rFonts w:ascii="Times New Roman" w:hAnsi="Times New Roman" w:eastAsia="宋体"/>
          <w:b/>
          <w:color w:val="003264"/>
          <w:sz w:val="24"/>
        </w:rPr>
        <w:t>A Unified Formula for Affine Transformations between Calibrated Cameras</w:t>
      </w:r>
    </w:p>
    <w:p>
      <w:r>
        <w:rPr>
          <w:rFonts w:ascii="Times New Roman" w:hAnsi="Times New Roman" w:eastAsia="宋体"/>
          <w:sz w:val="21"/>
        </w:rPr>
        <w:t>作者: Levente Hajder</w:t>
        <w:br/>
      </w:r>
      <w:r>
        <w:rPr>
          <w:rFonts w:ascii="Times New Roman" w:hAnsi="Times New Roman" w:eastAsia="宋体"/>
          <w:sz w:val="21"/>
        </w:rPr>
        <w:t xml:space="preserve">时间: 2026-02-06T15:54:25Z | </w:t>
      </w:r>
      <w:r>
        <w:t xml:space="preserve">链接: </w:t>
      </w:r>
      <w:hyperlink r:id="rId85">
        <w:r>
          <w:rPr>
            <w:rFonts w:ascii="Times New Roman" w:hAnsi="Times New Roman" w:eastAsia="宋体"/>
            <w:color w:val="0000FF"/>
            <w:sz w:val="21"/>
            <w:u w:val="single"/>
          </w:rPr>
          <w:t>https://arxiv.org/abs/2602.06805v1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在本技术说明中，我们推导了在两个校准视图之间映射局部图像块的仿射变换的封闭式表达式。我们证明变换是相对相机位姿、图像坐标和局部表面法线的函数。</w:t>
      </w:r>
    </w:p>
    <w:p>
      <w:pPr>
        <w:spacing w:before="120"/>
      </w:pPr>
      <w:r>
        <w:rPr>
          <w:rFonts w:ascii="Times New Roman" w:hAnsi="Times New Roman" w:eastAsia="宋体"/>
          <w:b/>
          <w:sz w:val="21"/>
        </w:rPr>
        <w:t>English Abstract:</w:t>
      </w:r>
    </w:p>
    <w:p>
      <w:r>
        <w:rPr>
          <w:rFonts w:ascii="Times New Roman" w:hAnsi="Times New Roman" w:eastAsia="宋体"/>
          <w:sz w:val="21"/>
        </w:rPr>
        <w:t>In this technical note, we derive a closed-form expression for the affine transformation mapping local image patches between two calibrated views. We show that the transformation is a function of the relative camera pose, the image coordinates, and the local surface normal.</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RAIGen：文本到图像生成模型中的罕见属性识别</w:t>
      </w:r>
    </w:p>
    <w:p>
      <w:r>
        <w:rPr>
          <w:rFonts w:ascii="Times New Roman" w:hAnsi="Times New Roman" w:eastAsia="宋体"/>
          <w:b/>
          <w:color w:val="003264"/>
          <w:sz w:val="24"/>
        </w:rPr>
        <w:t>RAIGen: Rare Attribute Identification in Text-to-Image Generative Models</w:t>
      </w:r>
    </w:p>
    <w:p>
      <w:r>
        <w:rPr>
          <w:rFonts w:ascii="Times New Roman" w:hAnsi="Times New Roman" w:eastAsia="宋体"/>
          <w:sz w:val="21"/>
        </w:rPr>
        <w:t>作者: Anjan Dutta</w:t>
        <w:br/>
      </w:r>
      <w:r>
        <w:rPr>
          <w:rFonts w:ascii="Times New Roman" w:hAnsi="Times New Roman" w:eastAsia="宋体"/>
          <w:sz w:val="21"/>
        </w:rPr>
        <w:t xml:space="preserve">时间: 2026-02-06T15:54:41Z | </w:t>
      </w:r>
      <w:r>
        <w:t xml:space="preserve">链接: </w:t>
      </w:r>
      <w:hyperlink r:id="rId86">
        <w:r>
          <w:rPr>
            <w:rFonts w:ascii="Times New Roman" w:hAnsi="Times New Roman" w:eastAsia="宋体"/>
            <w:color w:val="0000FF"/>
            <w:sz w:val="21"/>
            <w:u w:val="single"/>
          </w:rPr>
          <w:t>https://arxiv.org/abs/2602.06806v1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文本到图像的扩散模型实现了令人印象深刻的生成质量，但继承并放大了训练数据偏差，扭曲了语义属性的覆盖范围。先前的工作通过两种方式解决了这个问题。假设社会上显着的少数群体属性是先验已知的，封闭集方法可以减轻预定义公平类别（例如性别、种族）中的偏见。开放集方法将任务定义为偏差识别，突出显示主导输出的大多数属性。两者都忽略了一个互补的任务：发现数据分布（社会、文化或风格）中代表性不足但仍编码在模型表示中的罕见或少数特征。我们介绍了 RAIGen，据我们所知，第一个框架，用于扩散模型中无监督的稀有属性发现。 RAIGen 利用 Matryoshka 稀疏自动编码器和一种新颖的少数度量，将神经元激活频率与语义独特性相结合，以识别可解释的神经元，其顶部激活图像揭示了未被充分代表的属性。实验表明，RAIGen 在稳定扩散中发现了超出固定公平类别的属性，可扩展到 SDXL 等更大的模型，支持跨架构的系统审计，并能够在生成过程中有针对性地放大稀有属性。</w:t>
      </w:r>
    </w:p>
    <w:p>
      <w:pPr>
        <w:spacing w:before="120"/>
      </w:pPr>
      <w:r>
        <w:rPr>
          <w:rFonts w:ascii="Times New Roman" w:hAnsi="Times New Roman" w:eastAsia="宋体"/>
          <w:b/>
          <w:sz w:val="21"/>
        </w:rPr>
        <w:t>English Abstract:</w:t>
      </w:r>
    </w:p>
    <w:p>
      <w:r>
        <w:rPr>
          <w:rFonts w:ascii="Times New Roman" w:hAnsi="Times New Roman" w:eastAsia="宋体"/>
          <w:sz w:val="21"/>
        </w:rPr>
        <w:t>Text-to-image diffusion models achieve impressive generation quality but inherit and amplify training-data biases, skewing coverage of semantic attributes. Prior work addresses this in two ways. Closed-set approaches mitigate biases in predefined fairness categories (e.g., gender, race), assuming socially salient minority attributes are known a priori. Open-set approaches frame the task as bias identification, highlighting majority attributes that dominate outputs. Both overlook a complementary task: uncovering rare or minority features underrepresented in the data distribution (social, cultural, or stylistic) yet still encoded in model representations. We introduce RAIGen, the first framework, to our knowledge, for un-supervised rare-attribute discovery in diffusion models. RAIGen leverages Matryoshka Sparse Autoencoders and a novel minority metric combining neuron activation frequency with semantic distinctiveness to identify interpretable neurons whose top-activating images reveal underrepresented attributes. Experiments show RAIGen discovers attributes beyond fixed fairness categories in Stable Diffusion, scales to larger models such as SDXL, supports systematic auditing across architectures, and enables targeted amplification of rare attributes during generation.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AEGPO：扩散模型的自适应熵引导策略优化</w:t>
      </w:r>
    </w:p>
    <w:p>
      <w:r>
        <w:rPr>
          <w:rFonts w:ascii="Times New Roman" w:hAnsi="Times New Roman" w:eastAsia="宋体"/>
          <w:b/>
          <w:color w:val="003264"/>
          <w:sz w:val="24"/>
        </w:rPr>
        <w:t>AEGPO: Adaptive Entropy-Guided Policy Optimization for Diffusion Models</w:t>
      </w:r>
    </w:p>
    <w:p>
      <w:r>
        <w:rPr>
          <w:rFonts w:ascii="Times New Roman" w:hAnsi="Times New Roman" w:eastAsia="宋体"/>
          <w:sz w:val="21"/>
        </w:rPr>
        <w:t>作者: Shanghang Zhang</w:t>
        <w:br/>
      </w:r>
      <w:r>
        <w:rPr>
          <w:rFonts w:ascii="Times New Roman" w:hAnsi="Times New Roman" w:eastAsia="宋体"/>
          <w:sz w:val="21"/>
        </w:rPr>
        <w:t xml:space="preserve">时间: 2026-02-06T16:09:50Z | </w:t>
      </w:r>
      <w:r>
        <w:t xml:space="preserve">链接: </w:t>
      </w:r>
      <w:hyperlink r:id="rId87">
        <w:r>
          <w:rPr>
            <w:rFonts w:ascii="Times New Roman" w:hAnsi="Times New Roman" w:eastAsia="宋体"/>
            <w:color w:val="0000FF"/>
            <w:sz w:val="21"/>
            <w:u w:val="single"/>
          </w:rPr>
          <w:t>https://arxiv.org/abs/2602.06825v1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来自人类反馈的强化学习 (RLHF) 显示出调整扩散和流动模型的希望，但 GRPO 等策略优化方法却受到低效和静态采样策略的困扰。这些方法统一处理所有提示和去噪步骤，忽略样本学习值的实质性变化以及关键探索时刻的动态性质。为了解决这个问题，我们对 GRPO 训练期间的内部注意力动态进行了详细分析，并揭示了一个关键见解：注意力熵可以作为强大的双信号代理。首先，在不同样本中，注意力熵（ΔEntropy）的相对变化反映了当前策略与基础策略之间的差异，可以作为样本学习价值的稳健指标。其次，在去噪过程中，量化注意力分散的绝对注意力熵（Entropy(t)）的峰值可以有效识别发生高价值探索的关键时间步长。基于这一观察，我们提出了自适应熵引导策略优化（AEGPO），这是一种新颖的双信号、双级自适应优化策略。在全球层面，AEGPO 使用 ΔEntropy 动态分配部署预算，优先考虑具有较高学习价值的提示。在局部层面，它利用熵（t）的峰值来有选择地指导关键高离散时间步长的探索，而不是在所有去噪步骤中统一进行探索。通过将计算集中在信息最丰富的样本和最关键的时刻，AEGPO 可以实现更高效、更有效的策略优化。文本到图像生成任务的实验表明，与标准 GRPO 变体相比，AEGPO 显着加速了收敛速度并实现了卓越的对齐性能。</w:t>
      </w:r>
    </w:p>
    <w:p>
      <w:pPr>
        <w:spacing w:before="120"/>
      </w:pPr>
      <w:r>
        <w:rPr>
          <w:rFonts w:ascii="Times New Roman" w:hAnsi="Times New Roman" w:eastAsia="宋体"/>
          <w:b/>
          <w:sz w:val="21"/>
        </w:rPr>
        <w:t>English Abstract:</w:t>
      </w:r>
    </w:p>
    <w:p>
      <w:r>
        <w:rPr>
          <w:rFonts w:ascii="Times New Roman" w:hAnsi="Times New Roman" w:eastAsia="宋体"/>
          <w:sz w:val="21"/>
        </w:rPr>
        <w:t>Reinforcement learning from human feedback (RLHF) shows promise for aligning diffusion and flow models, yet policy optimization methods such as GRPO suffer from inefficient and static sampling strategies. These methods treat all prompts and denoising steps uniformly, ignoring substantial variations in sample learning value as well as the dynamic nature of critical exploration moments. To address this issue, we conduct a detailed analysis of the internal attention dynamics during GRPO training and uncover a key insight: attention entropy can serve as a powerful dual-signal proxy. First, across different samples, the relative change in attention entropy (ΔEntropy), which reflects the divergence between the current policy and the base policy, acts as a robust indicator of sample learning value. Second, during the denoising process, the peaks of absolute attention entropy (Entropy(t)), which quantify attention dispersion, effectively identify critical timesteps where high-value exploration occurs. Building on this observation, we propose Adaptive Entropy-Guided Policy Optimization (AEGPO), a novel dual-signal, dual-level adaptive optimization strategy. At the global level, AEGPO uses ΔEntropy to dynamically allocate rollout budgets, prioritizing prompts with higher learning value. At the local level, it exploits the peaks of Entropy(t) to guide exploration selectively at critical high-dispersion timesteps rather than uniformly across all denoising steps. By focusing computation on the most informative samples and the most critical moments, AEGPO enables more efficient and effective policy optimization. Experiments on text-to-image generation tasks demonstrate that AEGPO significantly accelerates convergence and achieves superior alignment performance compared to standard GRPO variants.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GaussianPOP：通过误差量化实现紧凑 3D 高斯泼溅的原则简化框架</w:t>
      </w:r>
    </w:p>
    <w:p>
      <w:r>
        <w:rPr>
          <w:rFonts w:ascii="Times New Roman" w:hAnsi="Times New Roman" w:eastAsia="宋体"/>
          <w:b/>
          <w:color w:val="003264"/>
          <w:sz w:val="24"/>
        </w:rPr>
        <w:t>GaussianPOP: Principled Simplification Framework for Compact 3D Gaussian Splatting via Error Quantification</w:t>
      </w:r>
    </w:p>
    <w:p>
      <w:r>
        <w:rPr>
          <w:rFonts w:ascii="Times New Roman" w:hAnsi="Times New Roman" w:eastAsia="宋体"/>
          <w:sz w:val="21"/>
        </w:rPr>
        <w:t>作者: Cornelius Hellge</w:t>
        <w:br/>
      </w:r>
      <w:r>
        <w:rPr>
          <w:rFonts w:ascii="Times New Roman" w:hAnsi="Times New Roman" w:eastAsia="宋体"/>
          <w:sz w:val="21"/>
        </w:rPr>
        <w:t xml:space="preserve">时间: 2026-02-06T16:17:41Z | </w:t>
      </w:r>
      <w:r>
        <w:t xml:space="preserve">链接: </w:t>
      </w:r>
      <w:hyperlink r:id="rId88">
        <w:r>
          <w:rPr>
            <w:rFonts w:ascii="Times New Roman" w:hAnsi="Times New Roman" w:eastAsia="宋体"/>
            <w:color w:val="0000FF"/>
            <w:sz w:val="21"/>
            <w:u w:val="single"/>
          </w:rPr>
          <w:t>https://arxiv.org/abs/2602.06830v1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现有的 3D 高斯分布简化方法通常使用重要性分数（例如混合权重或灵敏度）来识别冗余高斯。然而，这些分数并不是由视觉误差指标驱动的，通常会导致紧凑性和渲染保真度之间的权衡不理想。我们提出了 GaussianPOP，一个基于分析高斯误差量化的原则简化框架。我们的主要贡献是一种新颖的误差标准，直接从 3DGS 渲染方程导出，它精确测量每个高斯对渲染图像的贡献。通过引入高效的算法，我们的框架可以在单次前向传递中实现实际的误差计算。该框架既准确又灵活，支持训练中剪枝以及通过迭代误差重新量化来进行训练后简化，以提高稳定性。实验结果表明，我们的方法在这两种应用场景中始终优于现有的最先进的修剪方法，在模型紧凑性和高渲染质量之间实现了卓越的权衡。</w:t>
      </w:r>
    </w:p>
    <w:p>
      <w:pPr>
        <w:spacing w:before="120"/>
      </w:pPr>
      <w:r>
        <w:rPr>
          <w:rFonts w:ascii="Times New Roman" w:hAnsi="Times New Roman" w:eastAsia="宋体"/>
          <w:b/>
          <w:sz w:val="21"/>
        </w:rPr>
        <w:t>English Abstract:</w:t>
      </w:r>
    </w:p>
    <w:p>
      <w:r>
        <w:rPr>
          <w:rFonts w:ascii="Times New Roman" w:hAnsi="Times New Roman" w:eastAsia="宋体"/>
          <w:sz w:val="21"/>
        </w:rPr>
        <w:t>Existing 3D Gaussian Splatting simplification methods commonly use importance scores, such as blending weights or sensitivity, to identify redundant Gaussians. However, these scores are not driven by visual error metrics, often leading to suboptimal trade-offs between compactness and rendering fidelity. We present GaussianPOP, a principled simplification framework based on analytical Gaussian error quantification. Our key contribution is a novel error criterion, derived directly from the 3DGS rendering equation, that precisely measures each Gaussian's contribution to the rendered image. By introducing a highly efficient algorithm, our framework enables practical error calculation in a single forward pass. The framework is both accurate and flexible, supporting on-training pruning as well as post-training simplification via iterative error re-quantification for improved stability. Experimental results show that our method consistently outperforms existing state-of-the-art pruning methods across both application scenarios, achieving a superior trade-off between model compactness and high rendering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重新思考多条件 DiT：通过位置对齐和关键字范围确定消除冗余注意力</w:t>
      </w:r>
    </w:p>
    <w:p>
      <w:r>
        <w:rPr>
          <w:rFonts w:ascii="Times New Roman" w:hAnsi="Times New Roman" w:eastAsia="宋体"/>
          <w:b/>
          <w:color w:val="003264"/>
          <w:sz w:val="24"/>
        </w:rPr>
        <w:t>Rethinking Multi-Condition DiTs: Eliminating Redundant Attention via Position-Alignment and Keyword-Scoping</w:t>
      </w:r>
    </w:p>
    <w:p>
      <w:r>
        <w:rPr>
          <w:rFonts w:ascii="Times New Roman" w:hAnsi="Times New Roman" w:eastAsia="宋体"/>
          <w:sz w:val="21"/>
        </w:rPr>
        <w:t>作者: Nenghai Yu</w:t>
        <w:br/>
      </w:r>
      <w:r>
        <w:rPr>
          <w:rFonts w:ascii="Times New Roman" w:hAnsi="Times New Roman" w:eastAsia="宋体"/>
          <w:sz w:val="21"/>
        </w:rPr>
        <w:t xml:space="preserve">时间: 2026-02-06T16:39:10Z | </w:t>
      </w:r>
      <w:r>
        <w:t xml:space="preserve">链接: </w:t>
      </w:r>
      <w:hyperlink r:id="rId89">
        <w:r>
          <w:rPr>
            <w:rFonts w:ascii="Times New Roman" w:hAnsi="Times New Roman" w:eastAsia="宋体"/>
            <w:color w:val="0000FF"/>
            <w:sz w:val="21"/>
            <w:u w:val="single"/>
          </w:rPr>
          <w:t>https://arxiv.org/abs/2602.06850v1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虽然现代文本到图像模型擅长基于提示的生成，但它们通常缺乏特定用户需求（例如空间布局或主题外观）所需的细粒度控制。多条件控制解决了这个问题，但它与扩散变压器 (DiT) 的集成受到传统“连接并参与”策略的瓶颈，该策略随着条件数量的增加而遭受二次计算和内存开销。我们的分析表明，这种跨模式交互大部分在空间或语义上都是冗余的。为此，我们提出了位置对齐和关键字范围的注意力（PKA），这是一个旨在消除这些冗余的高效框架。具体来说，位置对齐注意力（PAA）通过强制局部补丁对齐来线性化空间控制，而关键字范围注意力（KSA）则通过语义感知屏蔽来修剪不相关的主题驱动交互。为了促进高效学习，我们进一步引入了条件敏感度感知采样（CSAS）策略，该策略将训练目标重新加权到关键的去噪阶段，从而大大加速收敛并增强条件保真度。根据经验，PKA 提供 10.0$\times$ 的推理加速和 5.1$\times$ VRAM 节省，为高保真多条件生成提供可扩展且资源友好的解决方案。</w:t>
      </w:r>
    </w:p>
    <w:p>
      <w:pPr>
        <w:spacing w:before="120"/>
      </w:pPr>
      <w:r>
        <w:rPr>
          <w:rFonts w:ascii="Times New Roman" w:hAnsi="Times New Roman" w:eastAsia="宋体"/>
          <w:b/>
          <w:sz w:val="21"/>
        </w:rPr>
        <w:t>English Abstract:</w:t>
      </w:r>
    </w:p>
    <w:p>
      <w:r>
        <w:rPr>
          <w:rFonts w:ascii="Times New Roman" w:hAnsi="Times New Roman" w:eastAsia="宋体"/>
          <w:sz w:val="21"/>
        </w:rPr>
        <w:t>While modern text-to-image models excel at prompt-based generation, they often lack the fine-grained control necessary for specific user requirements like spatial layouts or subject appearances. Multi-condition control addresses this, yet its integration into Diffusion Transformers (DiTs) is bottlenecked by the conventional ``concatenate-and-attend'' strategy, which suffers from quadratic computational and memory overhead as the number of conditions scales. Our analysis reveals that much of this cross-modal interaction is spatially or semantically redundant. To this end, we propose Position-aligned and Keyword-scoped Attention (PKA), a highly efficient framework designed to eliminate these redundancies. Specifically, Position-Aligned Attention (PAA) linearizes spatial control by enforcing localized patch alignment, while Keyword-Scoped Attention (KSA) prunes irrelevant subject-driven interactions via semantic-aware masking. To facilitate efficient learning, we further introduce a Conditional Sensitivity-Aware Sampling (CSAS) strategy that reweights the training objective towards critical denoising phases, drastically accelerating convergence and enhancing conditional fidelity. Empirically, PKA delivers a 10.0$\times$ inference speedup and a 5.1$\times$ VRAM saving, providing a scalable and resource-friendly solution for high-fidelity multi-conditioned generation.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RFDM：用于高效因果视频编辑的残余流扩散模型</w:t>
      </w:r>
    </w:p>
    <w:p>
      <w:r>
        <w:rPr>
          <w:rFonts w:ascii="Times New Roman" w:hAnsi="Times New Roman" w:eastAsia="宋体"/>
          <w:b/>
          <w:color w:val="003264"/>
          <w:sz w:val="24"/>
        </w:rPr>
        <w:t>RFDM: Residual Flow Diffusion Model for Efficient Causal Video Editing</w:t>
      </w:r>
    </w:p>
    <w:p>
      <w:r>
        <w:rPr>
          <w:rFonts w:ascii="Times New Roman" w:hAnsi="Times New Roman" w:eastAsia="宋体"/>
          <w:sz w:val="21"/>
        </w:rPr>
        <w:t>作者: Abhinav Mehrotra</w:t>
        <w:br/>
      </w:r>
      <w:r>
        <w:rPr>
          <w:rFonts w:ascii="Times New Roman" w:hAnsi="Times New Roman" w:eastAsia="宋体"/>
          <w:sz w:val="21"/>
        </w:rPr>
        <w:t xml:space="preserve">时间: 2026-02-06T16:56:30Z | </w:t>
      </w:r>
      <w:r>
        <w:t xml:space="preserve">链接: </w:t>
      </w:r>
      <w:hyperlink r:id="rId90">
        <w:r>
          <w:rPr>
            <w:rFonts w:ascii="Times New Roman" w:hAnsi="Times New Roman" w:eastAsia="宋体"/>
            <w:color w:val="0000FF"/>
            <w:sz w:val="21"/>
            <w:u w:val="single"/>
          </w:rPr>
          <w:t>https://arxiv.org/abs/2602.06871v1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教学视频编辑仅使用文本提示对输入视频进行编辑，从而实现直观的自然语言控制。尽管进展迅速，大多数方法仍然需要固定长度的输入和大量的计算。与此同时，自回归视频生成可以实现高效的可变长度合成，但在视频编辑方面仍有待探索。我们引入了一种因果高效的视频编辑模型，可以逐帧编辑可变长度的视频。为了提高效率，我们从 2D 图像到图像 (I2I) 扩散模型开始，并通过根据模型在 t-1 时的预测来调节时间步 t 的编辑，使其适应视频到视频 (V2V) 编辑。为了利用视频的时间冗余，我们提出了一种新的 I2I 扩散前向过程公式，鼓励模型预测目标输出和先前预测之间的残差。我们称之为残余流扩散模型（RFDM），它将去噪过程集中在连续帧之间的变化上。此外，我们提出了一个新的基准，可以更好地对编辑任务的最先进方法进行排名。 RFDM 在配对视频数据上进行全局/局部风格转移和对象移除训练，超越了基于 I2I 的方法，并与完全时空 (3D) V2V 模型竞争，同时匹配图像模型的计算并独立于输入视频长度进行缩放。更多内容可参见：https://smsd75.github.io/RFDM_page/</w:t>
      </w:r>
    </w:p>
    <w:p>
      <w:pPr>
        <w:spacing w:before="120"/>
      </w:pPr>
      <w:r>
        <w:rPr>
          <w:rFonts w:ascii="Times New Roman" w:hAnsi="Times New Roman" w:eastAsia="宋体"/>
          <w:b/>
          <w:sz w:val="21"/>
        </w:rPr>
        <w:t>English Abstract:</w:t>
      </w:r>
    </w:p>
    <w:p>
      <w:r>
        <w:rPr>
          <w:rFonts w:ascii="Times New Roman" w:hAnsi="Times New Roman" w:eastAsia="宋体"/>
          <w:sz w:val="21"/>
        </w:rPr>
        <w:t>Instructional video editing applies edits to an input video using only text prompts, enabling intuitive natural-language control. Despite rapid progress, most methods still require fixed-length inputs and substantial compute. Meanwhile, autoregressive video generation enables efficient variable-length synthesis, yet remains under-explored for video editing. We introduce a causal, efficient video editing model that edits variable-length videos frame by frame. For efficiency, we start from a 2D image-to-image (I2I) diffusion model and adapt it to video-to-video (V2V) editing by conditioning the edit at time step t on the model's prediction at t-1. To leverage videos' temporal redundancy, we propose a new I2I diffusion forward process formulation that encourages the model to predict the residual between the target output and the previous prediction. We call this Residual Flow Diffusion Model (RFDM), which focuses the denoising process on changes between consecutive frames. Moreover, we propose a new benchmark that better ranks state-of-the-art methods for editing tasks. Trained on paired video data for global/local style transfer and object removal, RFDM surpasses I2I-based methods and competes with fully spatiotemporal (3D) V2V models, while matching the compute of image models and scaling independently of input video length. More content can be found in: https://smsd75.github.io/RFDM_page/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NanoFLUX：移动设备的大型文本到图像生成模型的蒸馏驱动压缩</w:t>
      </w:r>
    </w:p>
    <w:p>
      <w:r>
        <w:rPr>
          <w:rFonts w:ascii="Times New Roman" w:hAnsi="Times New Roman" w:eastAsia="宋体"/>
          <w:b/>
          <w:color w:val="003264"/>
          <w:sz w:val="24"/>
        </w:rPr>
        <w:t>NanoFLUX: Distillation-Driven Compression of Large Text-to-Image Generation Models for Mobile Devices</w:t>
      </w:r>
    </w:p>
    <w:p>
      <w:r>
        <w:rPr>
          <w:rFonts w:ascii="Times New Roman" w:hAnsi="Times New Roman" w:eastAsia="宋体"/>
          <w:sz w:val="21"/>
        </w:rPr>
        <w:t>作者: Abhinav Mehrotra</w:t>
        <w:br/>
      </w:r>
      <w:r>
        <w:rPr>
          <w:rFonts w:ascii="Times New Roman" w:hAnsi="Times New Roman" w:eastAsia="宋体"/>
          <w:sz w:val="21"/>
        </w:rPr>
        <w:t xml:space="preserve">时间: 2026-02-06T17:05:56Z | </w:t>
      </w:r>
      <w:r>
        <w:t xml:space="preserve">链接: </w:t>
      </w:r>
      <w:hyperlink r:id="rId91">
        <w:r>
          <w:rPr>
            <w:rFonts w:ascii="Times New Roman" w:hAnsi="Times New Roman" w:eastAsia="宋体"/>
            <w:color w:val="0000FF"/>
            <w:sz w:val="21"/>
            <w:u w:val="single"/>
          </w:rPr>
          <w:t>https://arxiv.org/abs/2602.06879v1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虽然大规模文本到图像扩散模型的视觉质量不断提高，但其规模的不断扩大扩大了最先进模型和设备上解决方案之间的差距。为了解决这一差距，我们引入了 NanoFLUX，这是一种从 17B FLUX.1-Schnell 中提取的 2.4B 文本到图像流匹配模型，使用旨在保持生成质量的渐进式压缩管道。我们的贡献包括：（1）通过修剪扩散变压器中的冗余组件驱动的模型压缩策略，将其大小从 12B 减小到 2B； (2) 基于 ResNet 的令牌下采样机制，通过允许中间块对较低分辨率的令牌进行操作来减少延迟，同时在其他地方保留高分辨率处理； (3) 一种新颖的文本编码器蒸馏方法，该方法在采样过程中利用来自降噪器早期层的视觉信号。根据经验，NanoFLUX 在移动设备上大约需要 2.5 秒生成 512 x 512 图像，证明了在设备上生成高质量文本到图像的可行性。</w:t>
      </w:r>
    </w:p>
    <w:p>
      <w:pPr>
        <w:spacing w:before="120"/>
      </w:pPr>
      <w:r>
        <w:rPr>
          <w:rFonts w:ascii="Times New Roman" w:hAnsi="Times New Roman" w:eastAsia="宋体"/>
          <w:b/>
          <w:sz w:val="21"/>
        </w:rPr>
        <w:t>English Abstract:</w:t>
      </w:r>
    </w:p>
    <w:p>
      <w:r>
        <w:rPr>
          <w:rFonts w:ascii="Times New Roman" w:hAnsi="Times New Roman" w:eastAsia="宋体"/>
          <w:sz w:val="21"/>
        </w:rPr>
        <w:t>While large-scale text-to-image diffusion models continue to improve in visual quality, their increasing scale has widened the gap between state-of-the-art models and on-device solutions. To address this gap, we introduce NanoFLUX, a 2.4B text-to-image flow-matching model distilled from 17B FLUX.1-Schnell using a progressive compression pipeline designed to preserve generation quality. Our contributions include: (1) A model compression strategy driven by pruning redundant components in the diffusion transformer, reducing its size from 12B to 2B; (2) A ResNet-based token downsampling mechanism that reduces latency by allowing intermediate blocks to operate on lower-resolution tokens while preserving high-resolution processing elsewhere; (3) A novel text encoder distillation approach that leverages visual signals from early layers of the denoiser during sampling. Empirically, NanoFLUX generates 512 x 512 images in approximately 2.5 seconds on mobile devices, demonstrating the feasibility of high-quality on-device text-to-image generation.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即时重注入：减轻多模态扩散变压器中的即时遗忘</w:t>
      </w:r>
    </w:p>
    <w:p>
      <w:r>
        <w:rPr>
          <w:rFonts w:ascii="Times New Roman" w:hAnsi="Times New Roman" w:eastAsia="宋体"/>
          <w:b/>
          <w:color w:val="003264"/>
          <w:sz w:val="24"/>
        </w:rPr>
        <w:t>Prompt Reinjection: Alleviating Prompt Forgetting in Multimodal Diffusion Transformers</w:t>
      </w:r>
    </w:p>
    <w:p>
      <w:r>
        <w:rPr>
          <w:rFonts w:ascii="Times New Roman" w:hAnsi="Times New Roman" w:eastAsia="宋体"/>
          <w:sz w:val="21"/>
        </w:rPr>
        <w:t>作者: Siyu Zhu</w:t>
        <w:br/>
      </w:r>
      <w:r>
        <w:rPr>
          <w:rFonts w:ascii="Times New Roman" w:hAnsi="Times New Roman" w:eastAsia="宋体"/>
          <w:sz w:val="21"/>
        </w:rPr>
        <w:t xml:space="preserve">时间: 2026-02-06T17:19:53Z | </w:t>
      </w:r>
      <w:r>
        <w:t xml:space="preserve">链接: </w:t>
      </w:r>
      <w:hyperlink r:id="rId92">
        <w:r>
          <w:rPr>
            <w:rFonts w:ascii="Times New Roman" w:hAnsi="Times New Roman" w:eastAsia="宋体"/>
            <w:color w:val="0000FF"/>
            <w:sz w:val="21"/>
            <w:u w:val="single"/>
          </w:rPr>
          <w:t>https://arxiv.org/abs/2602.06886v1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用于文本到图像生成的多模态扩散变压器 (MMDiT) 维护单独的文本和图像分支，并在整个去噪过程中在文本标记和视觉潜伏之间实现双向信息流。在这种情况下，我们观察到提示遗忘现象：随着深度的增加，文本分支中提示表示的语义逐渐被遗忘。我们通过探测文本分支中各层表示的语言属性，进一步验证了对三个代表性 MMDiT（SD3、SD3.5 和 FLUX.1）的这种影响。受这些发现的启发，我们引入了一种免训练的方法，即提示重新注入，它将早期层的提示表示重新注入到后面的层中，以减轻这种遗忘。 GenEval、DPG 和 T2I-CompBench++ 上的实验表明，指令跟踪能力得到了持续提升，并且捕获偏好、美观性和整体文本图像生成质量的指标也得到了改进。</w:t>
      </w:r>
    </w:p>
    <w:p>
      <w:pPr>
        <w:spacing w:before="120"/>
      </w:pPr>
      <w:r>
        <w:rPr>
          <w:rFonts w:ascii="Times New Roman" w:hAnsi="Times New Roman" w:eastAsia="宋体"/>
          <w:b/>
          <w:sz w:val="21"/>
        </w:rPr>
        <w:t>English Abstract:</w:t>
      </w:r>
    </w:p>
    <w:p>
      <w:r>
        <w:rPr>
          <w:rFonts w:ascii="Times New Roman" w:hAnsi="Times New Roman" w:eastAsia="宋体"/>
          <w:sz w:val="21"/>
        </w:rPr>
        <w:t>Multimodal Diffusion Transformers (MMDiTs) for text-to-image generation maintain separate text and image branches, with bidirectional information flow between text tokens and visual latents throughout denoising. In this setting, we observe a prompt forgetting phenomenon: the semantics of the prompt representation in the text branch is progressively forgotten as depth increases. We further verify this effect on three representative MMDiTs--SD3, SD3.5, and FLUX.1 by probing linguistic attributes of the representations over the layers in the text branch. Motivated by these findings, we introduce a training-free approach, prompt reinjection, which reinjects prompt representations from early layers into later layers to alleviate this forgetting. Experiments on GenEval, DPG, and T2I-CompBench++ show consistent gains in instruction-following capability, along with improvements on metrics capturing preference, aesthetics, and overall text--image generation quality.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视频胶囊内窥镜数据的可靠错误标签检测</w:t>
      </w:r>
    </w:p>
    <w:p>
      <w:r>
        <w:rPr>
          <w:rFonts w:ascii="Times New Roman" w:hAnsi="Times New Roman" w:eastAsia="宋体"/>
          <w:b/>
          <w:color w:val="003264"/>
          <w:sz w:val="24"/>
        </w:rPr>
        <w:t>Reliable Mislabel Detection for Video Capsule Endoscopy Data</w:t>
      </w:r>
    </w:p>
    <w:p>
      <w:r>
        <w:rPr>
          <w:rFonts w:ascii="Times New Roman" w:hAnsi="Times New Roman" w:eastAsia="宋体"/>
          <w:sz w:val="21"/>
        </w:rPr>
        <w:t>作者: Oliver Bringmann</w:t>
        <w:br/>
      </w:r>
      <w:r>
        <w:rPr>
          <w:rFonts w:ascii="Times New Roman" w:hAnsi="Times New Roman" w:eastAsia="宋体"/>
          <w:sz w:val="21"/>
        </w:rPr>
        <w:t xml:space="preserve">时间: 2026-02-06T18:33:12Z | </w:t>
      </w:r>
      <w:r>
        <w:t xml:space="preserve">链接: </w:t>
      </w:r>
      <w:hyperlink r:id="rId93">
        <w:r>
          <w:rPr>
            <w:rFonts w:ascii="Times New Roman" w:hAnsi="Times New Roman" w:eastAsia="宋体"/>
            <w:color w:val="0000FF"/>
            <w:sz w:val="21"/>
            <w:u w:val="single"/>
          </w:rPr>
          <w:t>https://arxiv.org/abs/2602.06938v1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深度神经网络的分类性能很大程度上依赖于对大型、准确注释的数据集的访问。然而，在医学成像中，获取此类数据集尤其具有挑战性，因为注释必须由专业医生提供，这严重限制了注释者的数量。此外，类边界通常不明确或难以定义，这使得基于机器学习的分类进一步复杂化。在本文中，我们希望解决这个问题，并引入一个用于医学数据集中错误标签检测的框架。这在视频胶囊内窥镜检查的两个最大的公开数据集上得到了验证，视频胶囊内窥镜检查是一种基于低分辨率图像视频流检查胃肠道的重要成像程序。此外，我们的管道中发现的可能贴错标签的样本由三位经验丰富的胃肠病学家进行了审查和重新注释。我们的结果表明，所提出的框架成功地检测到错误标记的数据，并在清理数据集后与当前基线相比提高了异常检测性能。</w:t>
      </w:r>
    </w:p>
    <w:p>
      <w:pPr>
        <w:spacing w:before="120"/>
      </w:pPr>
      <w:r>
        <w:rPr>
          <w:rFonts w:ascii="Times New Roman" w:hAnsi="Times New Roman" w:eastAsia="宋体"/>
          <w:b/>
          <w:sz w:val="21"/>
        </w:rPr>
        <w:t>English Abstract:</w:t>
      </w:r>
    </w:p>
    <w:p>
      <w:r>
        <w:rPr>
          <w:rFonts w:ascii="Times New Roman" w:hAnsi="Times New Roman" w:eastAsia="宋体"/>
          <w:sz w:val="21"/>
        </w:rPr>
        <w:t>The classification performance of deep neural networks relies strongly on access to large, accurately annotated datasets. In medical imaging, however, obtaining such datasets is particularly challenging since annotations must be provided by specialized physicians, which severely limits the pool of annotators. Furthermore, class boundaries can often be ambiguous or difficult to define which further complicates machine learning-based classification. In this paper, we want to address this problem and introduce a framework for mislabel detection in medical datasets. This is validated on the two largest, publicly available datasets for Video Capsule Endoscopy, an important imaging procedure for examining the gastrointestinal tract based on a video stream of lowresolution images. In addition, potentially mislabeled samples identified by our pipeline were reviewed and re-annotated by three experienced gastroenterologists. Our results show that the proposed framework successfully detects incorrectly labeled data and results in an improved anomaly detection performance after cleaning the datasets compared to current baselines.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CineScene：隐式 3D 作为电影视频生成的有效场景表示</w:t>
      </w:r>
    </w:p>
    <w:p>
      <w:r>
        <w:rPr>
          <w:rFonts w:ascii="Times New Roman" w:hAnsi="Times New Roman" w:eastAsia="宋体"/>
          <w:b/>
          <w:color w:val="003264"/>
          <w:sz w:val="24"/>
        </w:rPr>
        <w:t>CineScene: Implicit 3D as Effective Scene Representation for Cinematic Video Generation</w:t>
      </w:r>
    </w:p>
    <w:p>
      <w:r>
        <w:rPr>
          <w:rFonts w:ascii="Times New Roman" w:hAnsi="Times New Roman" w:eastAsia="宋体"/>
          <w:sz w:val="21"/>
        </w:rPr>
        <w:t>作者: Xihui Liu</w:t>
        <w:br/>
      </w:r>
      <w:r>
        <w:rPr>
          <w:rFonts w:ascii="Times New Roman" w:hAnsi="Times New Roman" w:eastAsia="宋体"/>
          <w:sz w:val="21"/>
        </w:rPr>
        <w:t xml:space="preserve">时间: 2026-02-06T18:59:24Z | </w:t>
      </w:r>
      <w:r>
        <w:t xml:space="preserve">链接: </w:t>
      </w:r>
      <w:hyperlink r:id="rId94">
        <w:r>
          <w:rPr>
            <w:rFonts w:ascii="Times New Roman" w:hAnsi="Times New Roman" w:eastAsia="宋体"/>
            <w:color w:val="0000FF"/>
            <w:sz w:val="21"/>
            <w:u w:val="single"/>
          </w:rPr>
          <w:t>https://arxiv.org/abs/2602.06959v1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电影视频制作需要控制场景主体构图和摄像机移动，但由于需要构建物理布景，实景拍摄仍然成本高昂。为了解决这个问题，我们引入了具有解耦场景上下文的电影视频生成任务：给定静态环境的多个图像，目标是合成具有动态主题的高质量视频，同时保持底层场景的一致性并遵循用户指定的摄像机轨迹。我们提出了 CineScene，一个利用隐式 3D 感知场景表示来生成电影视频的框架。我们的关键创新是一种新颖的上下文调节机制，它以隐式方式注入 3D 感知功能：通过 VGGT 将场景图像编码为视觉表示，CineScene 通过额外的上下文串联将空间先验注入到预训练的文本到视频生成模型中，从而实现具有一致场景和动态主题的摄像机控制视频合成。为了进一步增强模型的鲁棒性，我们在训练期间对输入场景图像引入了一种简单而有效的随机洗牌策略。为了解决训练数据的缺乏，我们使用虚幻引擎 5 构建了一个场景解耦数据集，其中包含有和没有动态主体的场景配对视频、代表底层静态场景的全景图像及其摄像机轨迹。实验表明，CineScene 在场景一致的电影视频生成方面实现了最先进的性能，可处理大型摄像机运动并展示跨不同环境的泛化能力。</w:t>
      </w:r>
    </w:p>
    <w:p>
      <w:pPr>
        <w:spacing w:before="120"/>
      </w:pPr>
      <w:r>
        <w:rPr>
          <w:rFonts w:ascii="Times New Roman" w:hAnsi="Times New Roman" w:eastAsia="宋体"/>
          <w:b/>
          <w:sz w:val="21"/>
        </w:rPr>
        <w:t>English Abstract:</w:t>
      </w:r>
    </w:p>
    <w:p>
      <w:r>
        <w:rPr>
          <w:rFonts w:ascii="Times New Roman" w:hAnsi="Times New Roman" w:eastAsia="宋体"/>
          <w:sz w:val="21"/>
        </w:rPr>
        <w:t>Cinematic video production requires control over scene-subject composition and camera movement, but live-action shooting remains costly due to the need for constructing physical sets. To address this, we introduce the task of cinematic video generation with decoupled scene context: given multiple images of a static environment, the goal is to synthesize high-quality videos featuring dynamic subject while preserving the underlying scene consistency and following a user-specified camera trajectory. We present CineScene, a framework that leverages implicit 3D-aware scene representation for cinematic video generation. Our key innovation is a novel context conditioning mechanism that injects 3D-aware features in an implicit way: By encoding scene images into visual representations through VGGT, CineScene injects spatial priors into a pretrained text-to-video generation model by additional context concatenation, enabling camera-controlled video synthesis with consistent scenes and dynamic subjects. To further enhance the model's robustness, we introduce a simple yet effective random-shuffling strategy for the input scene images during training. To address the lack of training data, we construct a scene-decoupled dataset with Unreal Engine 5, containing paired videos of scenes with and without dynamic subjects, panoramic images representing the underlying static scene, along with their camera trajectories. Experiments show that CineScene achieves state-of-the-art performance in scene-consistent cinematic video generation, handling large camera movements and demonstrating generalization across diverse environments.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arXiv: Nerf &amp; Neural Fields</w:t>
      </w:r>
    </w:p>
    <w:p>
      <w:pPr>
        <w:jc w:val="center"/>
      </w:pPr>
      <w:r>
        <w:t>--- 更新: 11:31 ---</w:t>
      </w:r>
    </w:p>
    <w:p>
      <w:pPr>
        <w:pStyle w:val="Heading2"/>
      </w:pPr>
      <w:r/>
      <w:r>
        <w:rPr>
          <w:rFonts w:ascii="Times New Roman" w:hAnsi="Times New Roman" w:eastAsia="宋体"/>
          <w:b/>
          <w:color w:val="000000"/>
          <w:sz w:val="24"/>
        </w:rPr>
        <w:t>目标噪声：基于预训练的神经网络初始化，用于高效的高分辨率学习</w:t>
      </w:r>
    </w:p>
    <w:p>
      <w:r>
        <w:rPr>
          <w:rFonts w:ascii="Times New Roman" w:hAnsi="Times New Roman" w:eastAsia="宋体"/>
          <w:b/>
          <w:color w:val="003264"/>
          <w:sz w:val="24"/>
        </w:rPr>
        <w:t>Target noise: A pre-training based neural network initialization for efficient high resolution learning</w:t>
      </w:r>
    </w:p>
    <w:p>
      <w:r>
        <w:rPr>
          <w:rFonts w:ascii="Times New Roman" w:hAnsi="Times New Roman" w:eastAsia="宋体"/>
          <w:sz w:val="21"/>
        </w:rPr>
        <w:t>作者: Tariq Alkhalifah</w:t>
        <w:br/>
      </w:r>
      <w:r>
        <w:rPr>
          <w:rFonts w:ascii="Times New Roman" w:hAnsi="Times New Roman" w:eastAsia="宋体"/>
          <w:sz w:val="21"/>
        </w:rPr>
        <w:t xml:space="preserve">时间: 2026-02-06T10:26:12Z | </w:t>
      </w:r>
      <w:r>
        <w:t xml:space="preserve">链接: </w:t>
      </w:r>
      <w:hyperlink r:id="rId95">
        <w:r>
          <w:rPr>
            <w:rFonts w:ascii="Times New Roman" w:hAnsi="Times New Roman" w:eastAsia="宋体"/>
            <w:color w:val="0000FF"/>
            <w:sz w:val="21"/>
            <w:u w:val="single"/>
          </w:rPr>
          <w:t>https://arxiv.org/abs/2602.06585v1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权重初始化对于神经网络的优化行为和收敛效率起着至关重要的作用。大多数现有的初始化方法（例如 Xavier 和 Kaiming 初始化）都依赖于随机采样，并且不利用优化过程本身的信息。我们提出了一种简单但有效的初始化策略，该策略基于使用随机噪声作为目标的自监督预训练。我们不是直接从随机权重训练网络，而是首先对其进行预训练以适应随机噪声，这导致结构化和非随机的参数配置。我们表明，这种噪声驱动的预训练显着提高了后续任务的收敛速度，而不需要额外的数据或更改网络架构。该方法对于隐式神经表示（INR）和深度图像先验（DIP）式网络特别有效，众所周知，这些网络在优化过程中表现出很强的低频偏差。经过基于噪声的预训练后，网络能够在训练中更早地捕获高频分量，从而实现更快、更稳定的收敛。尽管随机噪声不包含语义信息，但它可以作为有效的自监督信号（考虑到其白频谱性质）来塑造神经网络的初始化。总体而言，这项工作表明，基于噪声的预训练为传统随机初始化提供了一种轻量级且通用的替代方案，从而能够更有效地优化深度神经网络。</w:t>
      </w:r>
    </w:p>
    <w:p>
      <w:pPr>
        <w:spacing w:before="120"/>
      </w:pPr>
      <w:r>
        <w:rPr>
          <w:rFonts w:ascii="Times New Roman" w:hAnsi="Times New Roman" w:eastAsia="宋体"/>
          <w:b/>
          <w:sz w:val="21"/>
        </w:rPr>
        <w:t>English Abstract:</w:t>
      </w:r>
    </w:p>
    <w:p>
      <w:r>
        <w:rPr>
          <w:rFonts w:ascii="Times New Roman" w:hAnsi="Times New Roman" w:eastAsia="宋体"/>
          <w:sz w:val="21"/>
        </w:rPr>
        <w:t>Weight initialization plays a crucial role in the optimization behavior and convergence efficiency of neural networks. Most existing initialization methods, such as Xavier and Kaiming initializations, rely on random sampling and do not exploit information from the optimization process itself. We propose a simple, yet effective, initialization strategy based on self-supervised pre-training using random noise as the target. Instead of directly training the network from random weights, we first pre-train it to fit random noise, which leads to a structured and non-random parameter configuration. We show that this noise-driven pre-training significantly improves convergence speed in subsequent tasks, without requiring additional data or changes to the network architecture. The proposed method is particularly effective for implicit neural representations (INRs) and Deep Image Prior (DIP)-style networks, which are known to exhibit a strong low-frequency bias during optimization. After noise-based pre-training, the network is able to capture high-frequency components much earlier in training, leading to faster and more stable convergence. Although random noise contains no semantic information, it serves as an effective self-supervised signal (considering its white spectrum nature) for shaping the initialization of neural networks. Overall, this work demonstrates that noise-based pre-training offers a lightweight and general alternative to traditional random initialization, enabling more efficient optimization of deep neural networks.</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467-026-69403-2" TargetMode="External"/><Relationship Id="rId11" Type="http://schemas.openxmlformats.org/officeDocument/2006/relationships/hyperlink" Target="https://doi.org/10.1038/s41467-026-69386-0" TargetMode="External"/><Relationship Id="rId12" Type="http://schemas.openxmlformats.org/officeDocument/2006/relationships/hyperlink" Target="https://doi.org/10.1038/s41467-026-68860-z" TargetMode="External"/><Relationship Id="rId13" Type="http://schemas.openxmlformats.org/officeDocument/2006/relationships/hyperlink" Target="https://doi.org/10.1038/s41598-026-38883-z" TargetMode="External"/><Relationship Id="rId14" Type="http://schemas.openxmlformats.org/officeDocument/2006/relationships/hyperlink" Target="https://doi.org/10.1038/s41598-026-38967-w" TargetMode="External"/><Relationship Id="rId15" Type="http://schemas.openxmlformats.org/officeDocument/2006/relationships/hyperlink" Target="https://doi.org/10.1038/s41598-026-38917-6" TargetMode="External"/><Relationship Id="rId16" Type="http://schemas.openxmlformats.org/officeDocument/2006/relationships/hyperlink" Target="https://doi.org/10.1038/s41598-026-38911-y" TargetMode="External"/><Relationship Id="rId17" Type="http://schemas.openxmlformats.org/officeDocument/2006/relationships/hyperlink" Target="https://doi.org/10.1038/s41598-026-39015-3" TargetMode="External"/><Relationship Id="rId18" Type="http://schemas.openxmlformats.org/officeDocument/2006/relationships/hyperlink" Target="https://doi.org/10.1038/s41598-026-38567-8" TargetMode="External"/><Relationship Id="rId19" Type="http://schemas.openxmlformats.org/officeDocument/2006/relationships/hyperlink" Target="https://doi.org/10.1016/j.displa.2026.103387" TargetMode="External"/><Relationship Id="rId20" Type="http://schemas.openxmlformats.org/officeDocument/2006/relationships/hyperlink" Target="https://doi.org/10.1016/j.optcom.2026.133004" TargetMode="External"/><Relationship Id="rId21" Type="http://schemas.openxmlformats.org/officeDocument/2006/relationships/hyperlink" Target="https://doi.org/10.1016/j.optcom.2026.133005" TargetMode="External"/><Relationship Id="rId22" Type="http://schemas.openxmlformats.org/officeDocument/2006/relationships/hyperlink" Target="https://doi.org/10.1021/acsphotonics.5c01558" TargetMode="External"/><Relationship Id="rId23" Type="http://schemas.openxmlformats.org/officeDocument/2006/relationships/hyperlink" Target="https://doi.org/10.1021/acsphotonics.5c02138" TargetMode="External"/><Relationship Id="rId24" Type="http://schemas.openxmlformats.org/officeDocument/2006/relationships/hyperlink" Target="https://doi.org/10.1021/acsphotonics.5c02063" TargetMode="External"/><Relationship Id="rId25" Type="http://schemas.openxmlformats.org/officeDocument/2006/relationships/hyperlink" Target="https://doi.org/10.1021/acsphotonics.5c02407" TargetMode="External"/><Relationship Id="rId26" Type="http://schemas.openxmlformats.org/officeDocument/2006/relationships/hyperlink" Target="https://doi.org/10.1038/s41598-026-38337-6" TargetMode="External"/><Relationship Id="rId27" Type="http://schemas.openxmlformats.org/officeDocument/2006/relationships/hyperlink" Target="https://doi.org/10.1016/j.optcom.2026.132996" TargetMode="External"/><Relationship Id="rId28" Type="http://schemas.openxmlformats.org/officeDocument/2006/relationships/hyperlink" Target="https://doi.org/10.1038/s41598-026-39073-7" TargetMode="External"/><Relationship Id="rId29" Type="http://schemas.openxmlformats.org/officeDocument/2006/relationships/hyperlink" Target="https://doi.org/10.1002/lpor.202503158" TargetMode="External"/><Relationship Id="rId30" Type="http://schemas.openxmlformats.org/officeDocument/2006/relationships/hyperlink" Target="https://arxiv.org/abs/2602.06587v1" TargetMode="External"/><Relationship Id="rId31" Type="http://schemas.openxmlformats.org/officeDocument/2006/relationships/hyperlink" Target="https://arxiv.org/abs/2602.06145v1" TargetMode="External"/><Relationship Id="rId32" Type="http://schemas.openxmlformats.org/officeDocument/2006/relationships/hyperlink" Target="https://arxiv.org/abs/2602.06316v1" TargetMode="External"/><Relationship Id="rId33" Type="http://schemas.openxmlformats.org/officeDocument/2006/relationships/hyperlink" Target="https://arxiv.org/abs/2602.06352v1" TargetMode="External"/><Relationship Id="rId34" Type="http://schemas.openxmlformats.org/officeDocument/2006/relationships/hyperlink" Target="https://arxiv.org/abs/2602.06438v1" TargetMode="External"/><Relationship Id="rId35" Type="http://schemas.openxmlformats.org/officeDocument/2006/relationships/hyperlink" Target="https://arxiv.org/abs/2602.06444v1" TargetMode="External"/><Relationship Id="rId36" Type="http://schemas.openxmlformats.org/officeDocument/2006/relationships/hyperlink" Target="https://arxiv.org/abs/2602.06537v1" TargetMode="External"/><Relationship Id="rId37" Type="http://schemas.openxmlformats.org/officeDocument/2006/relationships/hyperlink" Target="https://arxiv.org/abs/2602.06559v1" TargetMode="External"/><Relationship Id="rId38" Type="http://schemas.openxmlformats.org/officeDocument/2006/relationships/hyperlink" Target="https://arxiv.org/abs/2602.06605v1" TargetMode="External"/><Relationship Id="rId39" Type="http://schemas.openxmlformats.org/officeDocument/2006/relationships/hyperlink" Target="https://arxiv.org/abs/2602.06711v1" TargetMode="External"/><Relationship Id="rId40" Type="http://schemas.openxmlformats.org/officeDocument/2006/relationships/hyperlink" Target="https://arxiv.org/abs/2602.06732v1" TargetMode="External"/><Relationship Id="rId41" Type="http://schemas.openxmlformats.org/officeDocument/2006/relationships/hyperlink" Target="https://arxiv.org/abs/2602.06796v1" TargetMode="External"/><Relationship Id="rId42" Type="http://schemas.openxmlformats.org/officeDocument/2006/relationships/hyperlink" Target="https://arxiv.org/abs/2602.06851v1" TargetMode="External"/><Relationship Id="rId43" Type="http://schemas.openxmlformats.org/officeDocument/2006/relationships/hyperlink" Target="https://arxiv.org/abs/2602.06896v1" TargetMode="External"/><Relationship Id="rId44" Type="http://schemas.openxmlformats.org/officeDocument/2006/relationships/hyperlink" Target="https://arxiv.org/abs/2602.06242v1" TargetMode="External"/><Relationship Id="rId45" Type="http://schemas.openxmlformats.org/officeDocument/2006/relationships/hyperlink" Target="https://arxiv.org/abs/2602.06292v1" TargetMode="External"/><Relationship Id="rId46" Type="http://schemas.openxmlformats.org/officeDocument/2006/relationships/hyperlink" Target="https://arxiv.org/abs/2602.06350v1" TargetMode="External"/><Relationship Id="rId47" Type="http://schemas.openxmlformats.org/officeDocument/2006/relationships/hyperlink" Target="https://arxiv.org/abs/2602.06761v1" TargetMode="External"/><Relationship Id="rId48" Type="http://schemas.openxmlformats.org/officeDocument/2006/relationships/hyperlink" Target="https://arxiv.org/abs/2602.06122v1" TargetMode="External"/><Relationship Id="rId49" Type="http://schemas.openxmlformats.org/officeDocument/2006/relationships/hyperlink" Target="https://arxiv.org/abs/2602.06159v1" TargetMode="External"/><Relationship Id="rId50" Type="http://schemas.openxmlformats.org/officeDocument/2006/relationships/hyperlink" Target="https://arxiv.org/abs/2602.06163v1" TargetMode="External"/><Relationship Id="rId51" Type="http://schemas.openxmlformats.org/officeDocument/2006/relationships/hyperlink" Target="https://arxiv.org/abs/2602.06166v1" TargetMode="External"/><Relationship Id="rId52" Type="http://schemas.openxmlformats.org/officeDocument/2006/relationships/hyperlink" Target="https://arxiv.org/abs/2602.06179v1" TargetMode="External"/><Relationship Id="rId53" Type="http://schemas.openxmlformats.org/officeDocument/2006/relationships/hyperlink" Target="https://arxiv.org/abs/2602.06184v1" TargetMode="External"/><Relationship Id="rId54" Type="http://schemas.openxmlformats.org/officeDocument/2006/relationships/hyperlink" Target="https://arxiv.org/abs/2602.06203v1" TargetMode="External"/><Relationship Id="rId55" Type="http://schemas.openxmlformats.org/officeDocument/2006/relationships/hyperlink" Target="https://arxiv.org/abs/2602.06211v1" TargetMode="External"/><Relationship Id="rId56" Type="http://schemas.openxmlformats.org/officeDocument/2006/relationships/hyperlink" Target="https://arxiv.org/abs/2602.06218v1" TargetMode="External"/><Relationship Id="rId57" Type="http://schemas.openxmlformats.org/officeDocument/2006/relationships/hyperlink" Target="https://arxiv.org/abs/2602.06226v1" TargetMode="External"/><Relationship Id="rId58" Type="http://schemas.openxmlformats.org/officeDocument/2006/relationships/hyperlink" Target="https://arxiv.org/abs/2602.06282v1" TargetMode="External"/><Relationship Id="rId59" Type="http://schemas.openxmlformats.org/officeDocument/2006/relationships/hyperlink" Target="https://arxiv.org/abs/2602.06288v1" TargetMode="External"/><Relationship Id="rId60" Type="http://schemas.openxmlformats.org/officeDocument/2006/relationships/hyperlink" Target="https://arxiv.org/abs/2602.06300v1" TargetMode="External"/><Relationship Id="rId61" Type="http://schemas.openxmlformats.org/officeDocument/2006/relationships/hyperlink" Target="https://arxiv.org/abs/2602.06335v1" TargetMode="External"/><Relationship Id="rId62" Type="http://schemas.openxmlformats.org/officeDocument/2006/relationships/hyperlink" Target="https://arxiv.org/abs/2602.06351v1" TargetMode="External"/><Relationship Id="rId63" Type="http://schemas.openxmlformats.org/officeDocument/2006/relationships/hyperlink" Target="https://arxiv.org/abs/2602.06355v1" TargetMode="External"/><Relationship Id="rId64" Type="http://schemas.openxmlformats.org/officeDocument/2006/relationships/hyperlink" Target="https://arxiv.org/abs/2602.06363v1" TargetMode="External"/><Relationship Id="rId65" Type="http://schemas.openxmlformats.org/officeDocument/2006/relationships/hyperlink" Target="https://arxiv.org/abs/2602.06369v1" TargetMode="External"/><Relationship Id="rId66" Type="http://schemas.openxmlformats.org/officeDocument/2006/relationships/hyperlink" Target="https://arxiv.org/abs/2602.06391v1" TargetMode="External"/><Relationship Id="rId67" Type="http://schemas.openxmlformats.org/officeDocument/2006/relationships/hyperlink" Target="https://arxiv.org/abs/2602.06400v1" TargetMode="External"/><Relationship Id="rId68" Type="http://schemas.openxmlformats.org/officeDocument/2006/relationships/hyperlink" Target="https://arxiv.org/abs/2602.06405v1" TargetMode="External"/><Relationship Id="rId69" Type="http://schemas.openxmlformats.org/officeDocument/2006/relationships/hyperlink" Target="https://arxiv.org/abs/2602.06422v1" TargetMode="External"/><Relationship Id="rId70" Type="http://schemas.openxmlformats.org/officeDocument/2006/relationships/hyperlink" Target="https://arxiv.org/abs/2602.06425v1" TargetMode="External"/><Relationship Id="rId71" Type="http://schemas.openxmlformats.org/officeDocument/2006/relationships/hyperlink" Target="https://arxiv.org/abs/2602.06427v1" TargetMode="External"/><Relationship Id="rId72" Type="http://schemas.openxmlformats.org/officeDocument/2006/relationships/hyperlink" Target="https://arxiv.org/abs/2602.06442v1" TargetMode="External"/><Relationship Id="rId73" Type="http://schemas.openxmlformats.org/officeDocument/2006/relationships/hyperlink" Target="https://arxiv.org/abs/2602.06452v1" TargetMode="External"/><Relationship Id="rId74" Type="http://schemas.openxmlformats.org/officeDocument/2006/relationships/hyperlink" Target="https://arxiv.org/abs/2602.06488v1" TargetMode="External"/><Relationship Id="rId75" Type="http://schemas.openxmlformats.org/officeDocument/2006/relationships/hyperlink" Target="https://arxiv.org/abs/2602.06507v1" TargetMode="External"/><Relationship Id="rId76" Type="http://schemas.openxmlformats.org/officeDocument/2006/relationships/hyperlink" Target="https://arxiv.org/abs/2602.06530v1" TargetMode="External"/><Relationship Id="rId77" Type="http://schemas.openxmlformats.org/officeDocument/2006/relationships/hyperlink" Target="https://arxiv.org/abs/2602.06566v1" TargetMode="External"/><Relationship Id="rId78" Type="http://schemas.openxmlformats.org/officeDocument/2006/relationships/hyperlink" Target="https://arxiv.org/abs/2602.06652v1" TargetMode="External"/><Relationship Id="rId79" Type="http://schemas.openxmlformats.org/officeDocument/2006/relationships/hyperlink" Target="https://arxiv.org/abs/2602.06663v1" TargetMode="External"/><Relationship Id="rId80" Type="http://schemas.openxmlformats.org/officeDocument/2006/relationships/hyperlink" Target="https://arxiv.org/abs/2602.06674v1" TargetMode="External"/><Relationship Id="rId81" Type="http://schemas.openxmlformats.org/officeDocument/2006/relationships/hyperlink" Target="https://arxiv.org/abs/2602.06676v1" TargetMode="External"/><Relationship Id="rId82" Type="http://schemas.openxmlformats.org/officeDocument/2006/relationships/hyperlink" Target="https://arxiv.org/abs/2602.06695v1" TargetMode="External"/><Relationship Id="rId83" Type="http://schemas.openxmlformats.org/officeDocument/2006/relationships/hyperlink" Target="https://arxiv.org/abs/2602.06748v1" TargetMode="External"/><Relationship Id="rId84" Type="http://schemas.openxmlformats.org/officeDocument/2006/relationships/hyperlink" Target="https://arxiv.org/abs/2602.06778v1" TargetMode="External"/><Relationship Id="rId85" Type="http://schemas.openxmlformats.org/officeDocument/2006/relationships/hyperlink" Target="https://arxiv.org/abs/2602.06805v1" TargetMode="External"/><Relationship Id="rId86" Type="http://schemas.openxmlformats.org/officeDocument/2006/relationships/hyperlink" Target="https://arxiv.org/abs/2602.06806v1" TargetMode="External"/><Relationship Id="rId87" Type="http://schemas.openxmlformats.org/officeDocument/2006/relationships/hyperlink" Target="https://arxiv.org/abs/2602.06825v1" TargetMode="External"/><Relationship Id="rId88" Type="http://schemas.openxmlformats.org/officeDocument/2006/relationships/hyperlink" Target="https://arxiv.org/abs/2602.06830v1" TargetMode="External"/><Relationship Id="rId89" Type="http://schemas.openxmlformats.org/officeDocument/2006/relationships/hyperlink" Target="https://arxiv.org/abs/2602.06850v1" TargetMode="External"/><Relationship Id="rId90" Type="http://schemas.openxmlformats.org/officeDocument/2006/relationships/hyperlink" Target="https://arxiv.org/abs/2602.06871v1" TargetMode="External"/><Relationship Id="rId91" Type="http://schemas.openxmlformats.org/officeDocument/2006/relationships/hyperlink" Target="https://arxiv.org/abs/2602.06879v1" TargetMode="External"/><Relationship Id="rId92" Type="http://schemas.openxmlformats.org/officeDocument/2006/relationships/hyperlink" Target="https://arxiv.org/abs/2602.06886v1" TargetMode="External"/><Relationship Id="rId93" Type="http://schemas.openxmlformats.org/officeDocument/2006/relationships/hyperlink" Target="https://arxiv.org/abs/2602.06938v1" TargetMode="External"/><Relationship Id="rId94" Type="http://schemas.openxmlformats.org/officeDocument/2006/relationships/hyperlink" Target="https://arxiv.org/abs/2602.06959v1" TargetMode="External"/><Relationship Id="rId95" Type="http://schemas.openxmlformats.org/officeDocument/2006/relationships/hyperlink" Target="https://arxiv.org/abs/2602.06585v1" TargetMode="External"/><Relationship Id="rId96" Type="http://schemas.openxmlformats.org/officeDocument/2006/relationships/hyperlink" Target="https://doi.org/10.1038/s41598-026-39059-5" TargetMode="External"/><Relationship Id="rId97" Type="http://schemas.openxmlformats.org/officeDocument/2006/relationships/hyperlink" Target="https://doi.org/10.1038/s41598-026-367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