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目 录</w:t>
      </w:r>
    </w:p>
    <w:p>
      <w:r>
        <w:fldChar w:fldCharType="begin"/>
        <w:instrText xml:space="preserve">TOC \o "1-3" \h \z \u</w:instrText>
        <w:fldChar w:fldCharType="separate"/>
        <w:fldChar w:fldCharType="end"/>
      </w:r>
    </w:p>
    <w:p>
      <w:r>
        <w:br/>
      </w:r>
    </w:p>
    <w:p>
      <w:pPr>
        <w:pStyle w:val="Heading1"/>
      </w:pPr>
      <w:r>
        <w:rPr>
          <w:rFonts w:ascii="Times New Roman" w:hAnsi="Times New Roman" w:eastAsia="宋体"/>
          <w:b/>
          <w:color w:val="000000"/>
          <w:sz w:val="32"/>
        </w:rPr>
        <w:t>Nature Communications</w:t>
      </w:r>
    </w:p>
    <w:p>
      <w:pPr>
        <w:jc w:val="center"/>
      </w:pPr>
      <w:r>
        <w:t>--- 更新: 00:27 ---</w:t>
      </w:r>
    </w:p>
    <w:p>
      <w:pPr>
        <w:pStyle w:val="Heading2"/>
      </w:pPr>
      <w:r/>
      <w:r>
        <w:rPr>
          <w:rFonts w:ascii="Times New Roman" w:hAnsi="Times New Roman" w:eastAsia="宋体"/>
          <w:b/>
          <w:color w:val="000000"/>
          <w:sz w:val="24"/>
        </w:rPr>
        <w:t>使用企业级供应链网络来衡量能源转型的速度</w:t>
      </w:r>
    </w:p>
    <w:p>
      <w:r>
        <w:rPr>
          <w:rFonts w:ascii="Times New Roman" w:hAnsi="Times New Roman" w:eastAsia="宋体"/>
          <w:b/>
          <w:color w:val="003264"/>
          <w:sz w:val="24"/>
        </w:rPr>
        <w:t>Using firm-level supply chain networks to measure the speed of the energy transition</w:t>
      </w:r>
    </w:p>
    <w:p>
      <w:r>
        <w:rPr>
          <w:rFonts w:ascii="Times New Roman" w:hAnsi="Times New Roman" w:eastAsia="宋体"/>
          <w:sz w:val="21"/>
        </w:rPr>
        <w:t>作者: Johannes Stangl, András Borsos, Stefan Thurner</w:t>
        <w:br/>
      </w:r>
      <w:r>
        <w:rPr>
          <w:rFonts w:ascii="Times New Roman" w:hAnsi="Times New Roman" w:eastAsia="宋体"/>
          <w:sz w:val="21"/>
        </w:rPr>
        <w:t xml:space="preserve">时间: 2026-02-09 | </w:t>
      </w:r>
      <w:r>
        <w:t xml:space="preserve">链接: </w:t>
      </w:r>
      <w:hyperlink r:id="rId10">
        <w:r>
          <w:rPr>
            <w:rFonts w:ascii="Times New Roman" w:hAnsi="Times New Roman" w:eastAsia="宋体"/>
            <w:color w:val="0000FF"/>
            <w:sz w:val="21"/>
            <w:u w:val="single"/>
          </w:rPr>
          <w:t>https://doi.org/10.1038/s41467-026-69358-4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国际气候目标依赖于能源转型的成功，但对经济如何采用低碳能源的系统监测仍然不发达。在这里，我们利用全国供应链网络数据重建了 2020 年至 2024 年间 25,000 家匈牙利企业的能源组合，涵盖 75% 的天然气、70% 的电力和 50% 的石油消费。这使我们能够在企业层面量化能源转型（向低碳电力转型）的速度。我们发现脱碳进程存在显着的异质性：一半的企业增加了低碳能源份额，但 50% 的企业减少了低碳能源份额。能源成本结构与转型行为密切相关，表明与技术相关的锁定效应。推断当前趋势，到 2050 年，低碳份额将达到 20%，这凸显了脱碳努力的无效性。如果企业严格采取行业内的脱碳领跑者战略，到2050年低碳份额可以达到70%，气候目标触手可及。</w:t>
      </w:r>
    </w:p>
    <w:p>
      <w:pPr>
        <w:spacing w:before="120"/>
      </w:pPr>
      <w:r>
        <w:rPr>
          <w:rFonts w:ascii="Times New Roman" w:hAnsi="Times New Roman" w:eastAsia="宋体"/>
          <w:b/>
          <w:sz w:val="21"/>
        </w:rPr>
        <w:t>English Abstract:</w:t>
      </w:r>
    </w:p>
    <w:p>
      <w:r>
        <w:rPr>
          <w:rFonts w:ascii="Times New Roman" w:hAnsi="Times New Roman" w:eastAsia="宋体"/>
          <w:sz w:val="21"/>
        </w:rPr>
        <w:t>Abstract International climate targets rely on the success of the energy transition, however systematic monitoring on how the economy adopts low-carbon energy remains underdeveloped. Here we use nationwide supply-chain network data to reconstruct energy portfolios for 25,000 Hungarian firms between 2020 and 2024, covering 75% of gas, 70% of electricity, and 50% of oil consumption. This allows us to quantify the speed of the energy transition -the transition towards low-carbon electricity- on the firm level. We find substantial heterogeneity in decarbonization progress: half of firms increase low-carbon energy shares, but 50% reduce it. Energy cost structures are closely associated with transition behavior, indicating technology-related lock-in effects. Extrapolating current trends yields an aggregate low-carbon share of 20% by 2050, highlighting ineffective decarbonization efforts. If firms strictly adopted strategies of decarbonization frontrunners within their industry sectors, a low-carbon share of 70% could be achieved by 2050, putting climate targets within reach.</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纤维素纳米纤维和石灰石填料可实现高性能、可持续且经济高效的可打印混凝土</w:t>
      </w:r>
    </w:p>
    <w:p>
      <w:r>
        <w:rPr>
          <w:rFonts w:ascii="Times New Roman" w:hAnsi="Times New Roman" w:eastAsia="宋体"/>
          <w:b/>
          <w:color w:val="003264"/>
          <w:sz w:val="24"/>
        </w:rPr>
        <w:t>Cellulose nanofibers and limestone filler enable high-performance, sustainable, and cost-efficient printable concrete</w:t>
      </w:r>
    </w:p>
    <w:p>
      <w:r>
        <w:rPr>
          <w:rFonts w:ascii="Times New Roman" w:hAnsi="Times New Roman" w:eastAsia="宋体"/>
          <w:sz w:val="21"/>
        </w:rPr>
        <w:t>作者: Yu Wang, Ala Eddin Douba, Naveenkumar Rajendiran, David L. Cubillos-Gamez, Akshat Verma, Richard D. Bergman, Troy Runge, Jan Olek, Pablo D. Zavattieri, Jeffrey P. Youngblood</w:t>
        <w:br/>
      </w:r>
      <w:r>
        <w:rPr>
          <w:rFonts w:ascii="Times New Roman" w:hAnsi="Times New Roman" w:eastAsia="宋体"/>
          <w:sz w:val="21"/>
        </w:rPr>
        <w:t xml:space="preserve">时间: 2026-02-09 | </w:t>
      </w:r>
      <w:r>
        <w:t xml:space="preserve">链接: </w:t>
      </w:r>
      <w:hyperlink r:id="rId11">
        <w:r>
          <w:rPr>
            <w:rFonts w:ascii="Times New Roman" w:hAnsi="Times New Roman" w:eastAsia="宋体"/>
            <w:color w:val="0000FF"/>
            <w:sz w:val="21"/>
            <w:u w:val="single"/>
          </w:rPr>
          <w:t>https://doi.org/10.1038/s41467-026-69373-5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该研究开发了一种使用纤维素纳米纤维和石灰石填料的可打印混凝土，在降低水泥含量的同时增强流变学和机械性能。它展示了改进的可建造性和可持续性，具有在建筑中大规模 3D 打印应用的潜力。</w:t>
      </w:r>
    </w:p>
    <w:p>
      <w:pPr>
        <w:spacing w:before="120"/>
      </w:pPr>
      <w:r>
        <w:rPr>
          <w:rFonts w:ascii="Times New Roman" w:hAnsi="Times New Roman" w:eastAsia="宋体"/>
          <w:b/>
          <w:sz w:val="21"/>
        </w:rPr>
        <w:t>English Abstract:</w:t>
      </w:r>
    </w:p>
    <w:p>
      <w:r>
        <w:rPr>
          <w:rFonts w:ascii="Times New Roman" w:hAnsi="Times New Roman" w:eastAsia="宋体"/>
          <w:sz w:val="21"/>
        </w:rPr>
        <w:t>The study develops a printable concrete using cellulose nanofibers and limestone filler, enhancing rheological and mechanical properties while reducing cement content. It demonstrates improved buildability and sustainability, with potential for large-scale 3D printing applications in construction.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神奇的 Floquet-Bloch 带结构中的连续俘获物质波干涉测量</w:t>
      </w:r>
    </w:p>
    <w:p>
      <w:r>
        <w:rPr>
          <w:rFonts w:ascii="Times New Roman" w:hAnsi="Times New Roman" w:eastAsia="宋体"/>
          <w:b/>
          <w:color w:val="003264"/>
          <w:sz w:val="24"/>
        </w:rPr>
        <w:t>Continuously trapped matter-wave interferometry in magic Floquet-Bloch band structures</w:t>
      </w:r>
    </w:p>
    <w:p>
      <w:r>
        <w:rPr>
          <w:rFonts w:ascii="Times New Roman" w:hAnsi="Times New Roman" w:eastAsia="宋体"/>
          <w:sz w:val="21"/>
        </w:rPr>
        <w:t>作者: Xiao Chai, Eber Nolasco-Martinez, Xuanwei Liang, Jeremy L. Tanlimco, E. Quinn Simmons, Eric Zhu, Roshan Sajjad, Hector Mas, S. Nicole Halawani, Alec Cao, David M. Weld</w:t>
        <w:br/>
      </w:r>
      <w:r>
        <w:rPr>
          <w:rFonts w:ascii="Times New Roman" w:hAnsi="Times New Roman" w:eastAsia="宋体"/>
          <w:sz w:val="21"/>
        </w:rPr>
        <w:t xml:space="preserve">时间: 2026-02-09 | </w:t>
      </w:r>
      <w:r>
        <w:t xml:space="preserve">链接: </w:t>
      </w:r>
      <w:hyperlink r:id="rId12">
        <w:r>
          <w:rPr>
            <w:rFonts w:ascii="Times New Roman" w:hAnsi="Times New Roman" w:eastAsia="宋体"/>
            <w:color w:val="0000FF"/>
            <w:sz w:val="21"/>
            <w:u w:val="single"/>
          </w:rPr>
          <w:t>https://doi.org/10.1038/s41467-026-69299-y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俘获物质波干涉测量技术为紧凑型高精度局部力传感提供了前景。然而，陷阱本身的噪声可能会引入传统自由落体干涉仪中不存在的新系统误差。我们描述并演示了一个本质上耐噪声的 Floquet 设计平台，用于连续捕获原子干涉测量。非相互作用的简并量子气体通过调幅光学晶格经历位置空间布洛赫振荡，其产生的弗洛奎特-布洛赫能带结构包括朗道-齐纳分束器和布拉格镜，形成马赫-曾德干涉力传感器的组件。我们识别、实现并通过实验表征魔能带结构，类似于光学晶格时钟中使用的魔能波长，其中干涉相位对晶格强度噪声不敏感。我们利用 Floquet 能带合成方法的固有可编程性来演示各种干涉仪结构，突出了该技术对于可调谐、紧凑、简单且坚固的量子力传感器的潜力。</w:t>
      </w:r>
    </w:p>
    <w:p>
      <w:pPr>
        <w:spacing w:before="120"/>
      </w:pPr>
      <w:r>
        <w:rPr>
          <w:rFonts w:ascii="Times New Roman" w:hAnsi="Times New Roman" w:eastAsia="宋体"/>
          <w:b/>
          <w:sz w:val="21"/>
        </w:rPr>
        <w:t>English Abstract:</w:t>
      </w:r>
    </w:p>
    <w:p>
      <w:r>
        <w:rPr>
          <w:rFonts w:ascii="Times New Roman" w:hAnsi="Times New Roman" w:eastAsia="宋体"/>
          <w:sz w:val="21"/>
        </w:rPr>
        <w:t>Abstract Trapped matter-wave interferometry offers the promise of compact high-precision local force sensing. However, noise in the trap itself can introduce new systematic errors which are absent in traditional free-fall interferometers. We describe and demonstrate an intrinsically noise-tolerant Floquet-engineered platform for continuously trapped atom interferometry. A non-interacting degenerate quantum gas undergoes position-space Bloch oscillations through an amplitude-modulated optical lattice, whose resulting Floquet-Bloch band structure includes Landau-Zener beamsplitters and Bragg mirrors, forming the components of a Mach-Zehnder interferometric force sensor. We identify, realize, and experimentally characterize magic band structures, analogous to the magic wavelengths employed in optical lattice clocks, for which the interferometric phase is insensitive to lattice intensity noise. We leverage the intrinsic programmability of the Floquet band synthesis approach to demonstrate a variety of interferometer structures, highlighting the potential of this technique for quantum force sensors which are tunable, compact, simple, and robust.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基于二维材料的光电神经元和铁电突触的均匀集成，用于神经形态视觉</w:t>
      </w:r>
    </w:p>
    <w:p>
      <w:r>
        <w:rPr>
          <w:rFonts w:ascii="Times New Roman" w:hAnsi="Times New Roman" w:eastAsia="宋体"/>
          <w:b/>
          <w:color w:val="003264"/>
          <w:sz w:val="24"/>
        </w:rPr>
        <w:t>Homogeneous integration of two-dimensional material-based optoelectronic neurons and ferroelectric synapses for neuromorphic vision</w:t>
      </w:r>
    </w:p>
    <w:p>
      <w:r>
        <w:rPr>
          <w:rFonts w:ascii="Times New Roman" w:hAnsi="Times New Roman" w:eastAsia="宋体"/>
          <w:sz w:val="21"/>
        </w:rPr>
        <w:t>作者: Jiarong Wang, Keqin Liu, Pek Jun Tiw, Dawei He, Lianfeng Yu, Bowen Wang, Jinxuan Bai, Teng Zhang, Xin Shan, Yang Yang, Yuzhe Wang, Yongsheng Wang, Yaoyu Tao, Xiaoxian Zhang, Yuchao Yang</w:t>
        <w:br/>
      </w:r>
      <w:r>
        <w:rPr>
          <w:rFonts w:ascii="Times New Roman" w:hAnsi="Times New Roman" w:eastAsia="宋体"/>
          <w:sz w:val="21"/>
        </w:rPr>
        <w:t xml:space="preserve">时间: 2026-02-09 | </w:t>
      </w:r>
      <w:r>
        <w:t xml:space="preserve">链接: </w:t>
      </w:r>
      <w:hyperlink r:id="rId13">
        <w:r>
          <w:rPr>
            <w:rFonts w:ascii="Times New Roman" w:hAnsi="Times New Roman" w:eastAsia="宋体"/>
            <w:color w:val="0000FF"/>
            <w:sz w:val="21"/>
            <w:u w:val="single"/>
          </w:rPr>
          <w:t>https://doi.org/10.1038/s41467-026-68905-3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将易失性光学传感与非易失性存储器集成对于神经形态视觉应用至关重要。王等人。提出了一种同质集成方案，将光电神经元和铁电突触结合在单个基板上，用于颜色识别和物体检测任务。</w:t>
      </w:r>
    </w:p>
    <w:p>
      <w:pPr>
        <w:spacing w:before="120"/>
      </w:pPr>
      <w:r>
        <w:rPr>
          <w:rFonts w:ascii="Times New Roman" w:hAnsi="Times New Roman" w:eastAsia="宋体"/>
          <w:b/>
          <w:sz w:val="21"/>
        </w:rPr>
        <w:t>English Abstract:</w:t>
      </w:r>
    </w:p>
    <w:p>
      <w:r>
        <w:rPr>
          <w:rFonts w:ascii="Times New Roman" w:hAnsi="Times New Roman" w:eastAsia="宋体"/>
          <w:sz w:val="21"/>
        </w:rPr>
        <w:t>Integrating volatile optical sensing with non-volatile memory is crucial for neuromorphic vision applications. Wang et al. propose a homogeneous integration scheme that combines optoelectronic neurons and ferroelectric synapses on a single substrate for color recognition and object detection tasks.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基于可解释的人工智能的人类胰腺切片分析确定了 2 型糖尿病的特征</w:t>
      </w:r>
    </w:p>
    <w:p>
      <w:r>
        <w:rPr>
          <w:rFonts w:ascii="Times New Roman" w:hAnsi="Times New Roman" w:eastAsia="宋体"/>
          <w:b/>
          <w:color w:val="003264"/>
          <w:sz w:val="24"/>
        </w:rPr>
        <w:t>Explainable AI-based analysis of human pancreas sections identifies traits of type 2 diabetes</w:t>
      </w:r>
    </w:p>
    <w:p>
      <w:r>
        <w:rPr>
          <w:rFonts w:ascii="Times New Roman" w:hAnsi="Times New Roman" w:eastAsia="宋体"/>
          <w:sz w:val="21"/>
        </w:rPr>
        <w:t>作者: Lukas Klein, Sebastian Ziegler, Felicia Gerst, Yanni Morgenroth, Karol Gotkowski, Eyke Schöniger, Martin Heni, Nicole Kipke, Daniela Friedland, Annika Seiler, Ellen Geibelt, Hajime Yamazaki, Hans-Ulrich Häring, Silvia Wagner, Silvio Nadalin, Alfred Königsrainer, Andre L. Mihaljevic, Daniel Hartmann, Falko Fend, Daniela Aust, Jürgen Weitz, Reiner Jumpertz-von Schwartzenberg, Marius Distler, Klaus Maier-Hein, Andreas L. Birkenfeld, Susanne Ullrich, Paul F. Jäger, Fabian Isensee, Michele Solimena, Robert Wagner</w:t>
        <w:br/>
      </w:r>
      <w:r>
        <w:rPr>
          <w:rFonts w:ascii="Times New Roman" w:hAnsi="Times New Roman" w:eastAsia="宋体"/>
          <w:sz w:val="21"/>
        </w:rPr>
        <w:t xml:space="preserve">时间: 2026-02-09 | </w:t>
      </w:r>
      <w:r>
        <w:t xml:space="preserve">链接: </w:t>
      </w:r>
      <w:hyperlink r:id="rId14">
        <w:r>
          <w:rPr>
            <w:rFonts w:ascii="Times New Roman" w:hAnsi="Times New Roman" w:eastAsia="宋体"/>
            <w:color w:val="0000FF"/>
            <w:sz w:val="21"/>
            <w:u w:val="single"/>
          </w:rPr>
          <w:t>https://doi.org/10.1038/s41467-026-69295-2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2 型糖尿病 (T2D) 是一种慢性疾病，目前影响着全球约 5 亿人，通常会造成严重的健康后果。然而，组织病理学分析仍然不足以根据与 T2D 胰岛素分泌受损和 β 细胞衰竭相关的形态学改变来推断一个人的血糖状态。千兆像素显微镜可以捕捉细微的形态变化，但数据复杂性超出了人类的分析能力。作为回应，我们生成了来自活体捐赠者的胰腺全切片图像的数据集，具有多种显色和多重免疫荧光染色，并训练深度学习模型来预测 T2D 状态。使用可解释的人工智能，我们可以解释学到的关系，将它们量化为生物标志物，并评估它们与 T2D 的关联。值得注意的是，通过同时关注胰岛 α 和 δ 细胞以及神经元轴突，以及 T2D 供体中微妙的胰腺变化（例如较大的脂肪细胞簇、改变的胰岛-脂肪细胞接近度和较小的胰岛），可以实现最高的预测性能。这种数据驱动的方法为未来相关诊断和治疗靶点的研究奠定了基础，完善了与 T2D 相关的组织改变的几种假设。</w:t>
      </w:r>
    </w:p>
    <w:p>
      <w:pPr>
        <w:spacing w:before="120"/>
      </w:pPr>
      <w:r>
        <w:rPr>
          <w:rFonts w:ascii="Times New Roman" w:hAnsi="Times New Roman" w:eastAsia="宋体"/>
          <w:b/>
          <w:sz w:val="21"/>
        </w:rPr>
        <w:t>English Abstract:</w:t>
      </w:r>
    </w:p>
    <w:p>
      <w:r>
        <w:rPr>
          <w:rFonts w:ascii="Times New Roman" w:hAnsi="Times New Roman" w:eastAsia="宋体"/>
          <w:sz w:val="21"/>
        </w:rPr>
        <w:t>Abstract Type 2 diabetes (T2D) is a chronic disease currently affecting around 500 million people worldwide with often severe health consequences. Yet, histopathological analyses are still inadequate to infer the glycaemic state of a person based on morphological alterations linked to impaired insulin secretion and β -cell failure in T2D. Giga-pixel microscopy can capture subtle morphological changes, but data complexity exceeds human analysis capabilities. In response, we generate a dataset of pancreas whole-slide images from living donors with multiple chromogenic and multiplex immunofluorescence stainings and train deep learning models to predict the T2D status. Using explainable AI, we make the learned relationships interpretable, quantify them as biomarkers, and assess their association with T2D. Remarkably, the highest prediction performance is achieved by simultaneously focusing on islet α - and δ -cells and neuronal axons, alongside subtle pancreatic alterations in T2D donors such as larger adipocyte clusters, altered islet-adipocyte proximity and smaller islets. This data-driven approach provides a foundation for future research into relevant diagnostic and therapeutic targets, refining several hypotheses regarding tissue alterations associated with T2D.</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A 位非化学计量 NaNbO3 基陶瓷中钠氧混合离子传导的调控</w:t>
      </w:r>
    </w:p>
    <w:p>
      <w:r>
        <w:rPr>
          <w:rFonts w:ascii="Times New Roman" w:hAnsi="Times New Roman" w:eastAsia="宋体"/>
          <w:b/>
          <w:color w:val="003264"/>
          <w:sz w:val="24"/>
        </w:rPr>
        <w:t>Tailoring sodium and oxygen mixed-ion conduction in the A-site non-stoichiometric NaNbO3-based ceramics</w:t>
      </w:r>
    </w:p>
    <w:p>
      <w:r>
        <w:rPr>
          <w:rFonts w:ascii="Times New Roman" w:hAnsi="Times New Roman" w:eastAsia="宋体"/>
          <w:sz w:val="21"/>
        </w:rPr>
        <w:t>作者: Zhiyong Liu, Chenggong Xiang, Pengrong Ren, Kun Guo, Bing Xie, Pu Mao, Haijun Sun, Huiqing Fan</w:t>
        <w:br/>
      </w:r>
      <w:r>
        <w:rPr>
          <w:rFonts w:ascii="Times New Roman" w:hAnsi="Times New Roman" w:eastAsia="宋体"/>
          <w:sz w:val="21"/>
        </w:rPr>
        <w:t xml:space="preserve">时间: 2026-02-09 | </w:t>
      </w:r>
      <w:r>
        <w:t xml:space="preserve">链接: </w:t>
      </w:r>
      <w:hyperlink r:id="rId15">
        <w:r>
          <w:rPr>
            <w:rFonts w:ascii="Times New Roman" w:hAnsi="Times New Roman" w:eastAsia="宋体"/>
            <w:color w:val="0000FF"/>
            <w:sz w:val="21"/>
            <w:u w:val="single"/>
          </w:rPr>
          <w:t>https://doi.org/10.1038/s41467-026-69428-7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精确定制固态电解质的电子或离子传导特性对于满足电化学储能和转换技术的功能需求至关重要。这里，Na 0.96 x Ca 0.04 Nb 0.96 Zr 0.04 O 3- δ 导体中Na + 和O 2− 离子传导的协同调节是通过非化学计量比策略实现的。晶体结构和电学性质分析表明所有样品均具有 Pbma 斜方结构。随着Na含量的增加，缺陷特征从空位转变为填隙，NbO 6 八面体经历了从压缩到正常再到倾斜扁平的变化，导致Na-O-Na和Na-O-Nb网络中相应填隙的扩展。通过改变这三种多面体和网络的结构，可以有效调控Na + 和O 2− 离子以及电子的传导通道。 O 2− 离子是Na 缺乏样品的主要载流子，化学计量样品具有混合的O 2− 离子和本征电子，而Na⁺ 离子成为Na 过量样品的主要载流子。这项工作强调了晶格缺陷和氧八面体扭曲/扭曲对电导率的重要作用，为固态离子导体中Na + /O 2− 离子迁移路径的设计提供了见解。</w:t>
      </w:r>
    </w:p>
    <w:p>
      <w:pPr>
        <w:spacing w:before="120"/>
      </w:pPr>
      <w:r>
        <w:rPr>
          <w:rFonts w:ascii="Times New Roman" w:hAnsi="Times New Roman" w:eastAsia="宋体"/>
          <w:b/>
          <w:sz w:val="21"/>
        </w:rPr>
        <w:t>English Abstract:</w:t>
      </w:r>
    </w:p>
    <w:p>
      <w:r>
        <w:rPr>
          <w:rFonts w:ascii="Times New Roman" w:hAnsi="Times New Roman" w:eastAsia="宋体"/>
          <w:sz w:val="21"/>
        </w:rPr>
        <w:t>Abstract Tailoring the electronic or ionic conduction properties of solid-state electrolytes with precision is essential to fulfilling the functional demands of electrochemical energy storage and conversion technologies. Here, the synergistic regulation of Na + and O 2− ions conduction in the Na 0.96 x Ca 0.04 Nb 0.96 Zr 0.04 O 3- δ conductor is achieved by the non-stoichiometric ratio strategy. Crystal structure and electrical property analyses reveal that all samples feature a Pbma orthorhombic structure. With rising Na content, the defect characteristics shift from vacancies to interstitials, the NbO 6 octahedra experience a change from being compressed to normal and then to being obliquely flattened, which leads to an expansion of the corresponding interstitials in the Na-O-Na and Na-O-Nb networks. By changing the structures of these three types of polyhedron and networks, the conduction channels of Na + and O 2− ions as well as electrons can be effectively regulated. The O 2− ions are the main charge carriers for Na-deficient samples, stoichiometric samples feature the mixed O 2− ions and intrinsic electrons, while Na⁺ ions become the dominant carriers for Na-excess samples. This work highlights the important role of lattice defects and oxygen octahedral distortions/twisting on the conductivity, offering insights into the design of and Na + /O 2− ions migration pathways in solid-state ion conductors.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Scientific Reports</w:t>
      </w:r>
    </w:p>
    <w:p>
      <w:pPr>
        <w:jc w:val="center"/>
      </w:pPr>
      <w:r>
        <w:t>--- 更新: 00:29 ---</w:t>
      </w:r>
    </w:p>
    <w:p>
      <w:pPr>
        <w:pStyle w:val="Heading2"/>
      </w:pPr>
      <w:r/>
      <w:r>
        <w:rPr>
          <w:rFonts w:ascii="Times New Roman" w:hAnsi="Times New Roman" w:eastAsia="宋体"/>
          <w:b/>
          <w:color w:val="000000"/>
          <w:sz w:val="24"/>
        </w:rPr>
        <w:t>自我管理赋权计划对剖腹产母亲一致性感、自我效能感和产后焦虑的评估随机试验</w:t>
      </w:r>
    </w:p>
    <w:p>
      <w:r>
        <w:rPr>
          <w:rFonts w:ascii="Times New Roman" w:hAnsi="Times New Roman" w:eastAsia="宋体"/>
          <w:b/>
          <w:color w:val="003264"/>
          <w:sz w:val="24"/>
        </w:rPr>
        <w:t>Assessment of self-management empowerment program on sense of coherence, self-‌efficacy and postpartum anxiety in cesarean mothers randomized trial</w:t>
      </w:r>
    </w:p>
    <w:p>
      <w:r>
        <w:rPr>
          <w:rFonts w:ascii="Times New Roman" w:hAnsi="Times New Roman" w:eastAsia="宋体"/>
          <w:sz w:val="21"/>
        </w:rPr>
        <w:t>作者: Fariba Najafi ShahaliBegloo, Farahnaz Kamali, Sudabeh Mohamadi, Maryam Ravanipour</w:t>
        <w:br/>
      </w:r>
      <w:r>
        <w:rPr>
          <w:rFonts w:ascii="Times New Roman" w:hAnsi="Times New Roman" w:eastAsia="宋体"/>
          <w:sz w:val="21"/>
        </w:rPr>
        <w:t xml:space="preserve">时间: 2026-02-09 | </w:t>
      </w:r>
      <w:r>
        <w:t xml:space="preserve">链接: </w:t>
      </w:r>
      <w:hyperlink r:id="rId16">
        <w:r>
          <w:rPr>
            <w:rFonts w:ascii="Times New Roman" w:hAnsi="Times New Roman" w:eastAsia="宋体"/>
            <w:color w:val="0000FF"/>
            <w:sz w:val="21"/>
            <w:u w:val="single"/>
          </w:rPr>
          <w:t>https://doi.org/10.1038/s41598-026-37944-7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关于接受剖腹产的妇女的相互矛盾的研究结果强调了重复剖腹产与连贯感、自我效能感和焦虑等因素之间的复杂关系，强调需要基于赋权的干预措施来改善母亲的心理健康和养育结果。这项随机对照试验旨在评估基于自我管理赋权模型的教育计划对剖腹产母亲的连贯感、自我效能感和产后焦虑的影响。 2024 年，通过方便抽样选出了 98 名计划在伊朗布什尔 Shohada-ye-Khalij-e-Fars 医院剖腹产的妇女，并通过分块随机化随机分配到干预组 (n = 49) 或对照组 (n = 49)。干预组接受了为期两个月的五步教育计划。在干预前后进行安东诺夫斯基一致性感问卷、谢勒自我效能感量表和斯皮尔伯格焦虑问卷。使用 SPSS 27 版进行数据分析，并进行描述性/推论性统计 (p &lt; 0.05)。平均变化显示出显着的干预效果：自我效能 - 1.58 ± 7.31（对照）与 2.79 ± 6.42（干预，ŋ2 = 0.151，p &lt; 0.001）；连贯感 2.67 ± 8.36（对照）对比 4.81 ± 6.58（干预，ŋ2 = 0.073，p = 0.018）；焦虑 0.02 ± 15.99（对照）对比 − 13.07 ± 13.7（干预，ŋ2 = 0.224，p &lt; 0.001）。自我管理赋权模式显着提高了连贯感和自我效能感，同时减少了产后焦虑，建议将其纳入产后护理计划。试用注册http://www.irct.ir/，IRCTID：IRCT20130422013092N12，注册于2024年7月11日。</w:t>
      </w:r>
    </w:p>
    <w:p>
      <w:pPr>
        <w:spacing w:before="120"/>
      </w:pPr>
      <w:r>
        <w:rPr>
          <w:rFonts w:ascii="Times New Roman" w:hAnsi="Times New Roman" w:eastAsia="宋体"/>
          <w:b/>
          <w:sz w:val="21"/>
        </w:rPr>
        <w:t>English Abstract:</w:t>
      </w:r>
    </w:p>
    <w:p>
      <w:r>
        <w:rPr>
          <w:rFonts w:ascii="Times New Roman" w:hAnsi="Times New Roman" w:eastAsia="宋体"/>
          <w:sz w:val="21"/>
        </w:rPr>
        <w:t>Conflicting study outcomes on women undergoing cesarean sections underscore the complex relationship between repeated cesarean deliveries and factors such as sense of coherence, self-efficacy, and anxiety, highlighting the need for empowerment-based interventions to improve mothers’ mental health and parenting outcomes. This randomized controlled trial aimed to evaluate an educational program based on the self-management empowerment model on sense of coherence, self-efficacy, and postpartum anxiety in cesarean mothers. In 2024, 98 women scheduled for cesarean delivery at Shohada-ye-Khalij-e-Fars Hospital, Bushehr, Iran, were selected by convenience sampling and randomly assigned via block randomization to intervention (n = 49) or control (n = 49) groups. The intervention group received a five-step education program over two months. Antonovsky’s Sense of Coherence Questionnaire, Sherer’s Self-Efficacy Scale, and Spielberger Anxiety Questionnaire were administered pre- and post-intervention. Data were analyzed using SPSS version 27 with descriptive/inferential statistics (p &lt; 0.05). Mean changes showed significant intervention effects: self-efficacy − 1.58 ± 7.31 (control) versus 2.79 ± 6.42 (intervention, ŋ2 = 0.151, p &lt; 0.001); sense of coherence 2.67 ± 8.36 (control) versus 4.81 ± 6.58 (intervention, ŋ2 = 0.073, p = 0.018); anxiety 0.02 ± 15.99 (control) versus − 13.07 ± 13.7 (intervention, ŋ2 = 0.224, p &lt; 0.001). The self-management empowerment model significantly improved sense of coherence and self-efficacy while reducing postpartum anxiety, recommending its integration into postpartum care programs. Trial Registration http://www.irct.ir/, IRCTID: IRCT20130422013092N12 registered July 11, 2024.</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内置FRP筋的FRP混凝土缠绕管拱的弯曲性能</w:t>
      </w:r>
    </w:p>
    <w:p>
      <w:r>
        <w:rPr>
          <w:rFonts w:ascii="Times New Roman" w:hAnsi="Times New Roman" w:eastAsia="宋体"/>
          <w:b/>
          <w:color w:val="003264"/>
          <w:sz w:val="24"/>
        </w:rPr>
        <w:t>Bending behavior of concrete-filled FRP wound tubular arches with internal FRP bars</w:t>
      </w:r>
    </w:p>
    <w:p>
      <w:r>
        <w:rPr>
          <w:rFonts w:ascii="Times New Roman" w:hAnsi="Times New Roman" w:eastAsia="宋体"/>
          <w:sz w:val="21"/>
        </w:rPr>
        <w:t>作者: Benben Li, Zhenyuan Yang, Yujun Qi, Zhenglong Zhou, Guowei Wang</w:t>
        <w:br/>
      </w:r>
      <w:r>
        <w:rPr>
          <w:rFonts w:ascii="Times New Roman" w:hAnsi="Times New Roman" w:eastAsia="宋体"/>
          <w:sz w:val="21"/>
        </w:rPr>
        <w:t xml:space="preserve">时间: 2026-02-09 | </w:t>
      </w:r>
      <w:r>
        <w:t xml:space="preserve">链接: </w:t>
      </w:r>
      <w:hyperlink r:id="rId17">
        <w:r>
          <w:rPr>
            <w:rFonts w:ascii="Times New Roman" w:hAnsi="Times New Roman" w:eastAsia="宋体"/>
            <w:color w:val="0000FF"/>
            <w:sz w:val="21"/>
            <w:u w:val="single"/>
          </w:rPr>
          <w:t>https://doi.org/10.1038/s41598-026-38886-w</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传统的钢筋混凝土拱门在地下环境中容易受到腐蚀，导致耐久性降低。本研究提出采用混凝土填充 FRP（纤维增强聚合物）缠绕管拱，内部带有 FRP 筋，以实现优异的耐腐蚀性。对18个FRP管混凝土拱进行跨中集中荷载试验，研究FRP管壁厚和FRP筋配置的影响。实验结果表明，增加FRP管的壁厚显着提高了极限承载能力，在跨中荷载下最大增加了104.7%。 FRP加固的加入还导致极限承载力增加236.3%~279%，位移延性比增加111.11%-119.67%。提出了一种预测内置FRP筋的FRP管混凝土拱极限荷载的简化理论模型，相对误差在10%以内。所提出的混凝土填充玻璃钢管拱在地下工程中显示出巨大的应用潜力。</w:t>
      </w:r>
    </w:p>
    <w:p>
      <w:pPr>
        <w:spacing w:before="120"/>
      </w:pPr>
      <w:r>
        <w:rPr>
          <w:rFonts w:ascii="Times New Roman" w:hAnsi="Times New Roman" w:eastAsia="宋体"/>
          <w:b/>
          <w:sz w:val="21"/>
        </w:rPr>
        <w:t>English Abstract:</w:t>
      </w:r>
    </w:p>
    <w:p>
      <w:r>
        <w:rPr>
          <w:rFonts w:ascii="Times New Roman" w:hAnsi="Times New Roman" w:eastAsia="宋体"/>
          <w:sz w:val="21"/>
        </w:rPr>
        <w:t>Conventional reinforced concrete arches are susceptible to corrosion in underground environments, leading to reduced durability. This study proposes concrete-filled FRP (Fiber-reinforced polymer) wound tubular arches with internal FRP bars to achieve excellent corrosion resistance. Eighteen concrete-filled FRP tubular arches were tested under mid-span concentrated loading, and the effects of FRP tube wall thickness and FRP reinforcement configuration were investigated. The experimental results demonstrate that increasing the wall thickness of the FRP tube significantly enhances the ultimate load-bearing capacity, with a maximum increase of 104.7% observed under mid-span loading. The incorporation of FRP reinforcement also resulted in 236.3%~279% increase of ultimate capacity and 111.11%-119.67% increase of displacement ductility ratio. A simplified theoretical model for predicting the ultimate load of concrete-filled FRP tubular arches with internal FRP bars was proposed, achieving a relative error within 10%. The proposed concrete-filled FRP tubular arch demonstrates considerable potential for application in underground engineering.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C3H/HeJ 小鼠对寒冷的温度调节适应与 ADRB3 信号传导无关</w:t>
      </w:r>
    </w:p>
    <w:p>
      <w:r>
        <w:rPr>
          <w:rFonts w:ascii="Times New Roman" w:hAnsi="Times New Roman" w:eastAsia="宋体"/>
          <w:b/>
          <w:color w:val="003264"/>
          <w:sz w:val="24"/>
        </w:rPr>
        <w:t>Thermoregulatory adaptations to cold in C3H/HeJ mice are independent of ADRB3 signaling</w:t>
      </w:r>
    </w:p>
    <w:p>
      <w:r>
        <w:rPr>
          <w:rFonts w:ascii="Times New Roman" w:hAnsi="Times New Roman" w:eastAsia="宋体"/>
          <w:sz w:val="21"/>
        </w:rPr>
        <w:t>作者: Sarra Beji, Mathilde Mouchiroud, Yves Gélinas, Mathieu Laplante, Andréanne Michaud, Alexandre Caron</w:t>
        <w:br/>
      </w:r>
      <w:r>
        <w:rPr>
          <w:rFonts w:ascii="Times New Roman" w:hAnsi="Times New Roman" w:eastAsia="宋体"/>
          <w:sz w:val="21"/>
        </w:rPr>
        <w:t xml:space="preserve">时间: 2026-02-09 | </w:t>
      </w:r>
      <w:r>
        <w:t xml:space="preserve">链接: </w:t>
      </w:r>
      <w:hyperlink r:id="rId18">
        <w:r>
          <w:rPr>
            <w:rFonts w:ascii="Times New Roman" w:hAnsi="Times New Roman" w:eastAsia="宋体"/>
            <w:color w:val="0000FF"/>
            <w:sz w:val="21"/>
            <w:u w:val="single"/>
          </w:rPr>
          <w:t>https://doi.org/10.1038/s41598-026-38538-z</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饲养条件和小鼠品系显着影响代谢表型，影响临床前研究的转化相关性。尽管 C57BL/6J (C57) 小鼠被广泛使用，但它们的产热和肾上腺素能特征可能无法完全反映人类生理学。本研究比较了雄性 C57 和 C3H/HeJ (C3H) 小鼠对寒冷暴露的产热反应。将动物安置在 Promethion 间接量热系统中并暴露于不同的环境温度。光照阶段的热中性点几乎相同（C57：29.26±0.28°C；C3H：29.46±0.17°C），但C3H小鼠在急性和慢性冷暴露期间表现出显着更高的能量消耗（EE）。基因表达分析显示，C3H 小鼠的棕色脂肪组织 (BAT) 中产热基因的诱导作用更强。值得注意的是，C3H 小鼠的 BAT 和白色脂肪组织 (WAT) 中 β3 肾上腺素受体 ( Adrb3 ) 的表达极少，并且不受冷暴露的影响。与受损的 β3 信号传导一致，β3 激动剂 CL 316,243 显着增加了 C57 小鼠的 EE，但对 C3H 小鼠的影响有限。相比之下，去甲肾上腺素在两种品系中均引发 EE 反应，而普萘洛尔预处理（一种 β1/β2 拮抗剂）消除了这些品系差异，表明 C3H 小鼠依赖于 β1/β2 或非经典途径。总之，C3H 小鼠通过 ADRB3 独立机制表现出增强的冷诱导生热作用。尽管热中性点相似，C3H 和 C57 小鼠表现出不同的代谢和肾上腺素能适应，强调了代谢研究中菌株选择的重要性。 C3H 小鼠可能代表研究适用于人类生理学的替代生热机制的模型。</w:t>
      </w:r>
    </w:p>
    <w:p>
      <w:pPr>
        <w:spacing w:before="120"/>
      </w:pPr>
      <w:r>
        <w:rPr>
          <w:rFonts w:ascii="Times New Roman" w:hAnsi="Times New Roman" w:eastAsia="宋体"/>
          <w:b/>
          <w:sz w:val="21"/>
        </w:rPr>
        <w:t>English Abstract:</w:t>
      </w:r>
    </w:p>
    <w:p>
      <w:r>
        <w:rPr>
          <w:rFonts w:ascii="Times New Roman" w:hAnsi="Times New Roman" w:eastAsia="宋体"/>
          <w:sz w:val="21"/>
        </w:rPr>
        <w:t>Abstract Housing conditions and mouse strain significantly influence metabolic phenotypes, affecting the translational relevance of preclinical studies. Although C57BL/6J (C57) mice are widely used, their thermogenic and adrenergic profiles may not fully reflect human physiology. This study compared thermogenic responses to cold exposure between male C57 and C3H/HeJ (C3H) mice. Animals were housed in a Promethion indirect calorimetry system and exposed to varying ambient temperatures. Thermoneutral points during the light phase were nearly identical (C57: 29.26 ± 0.28 °C; C3H: 29.46 ± 0.17 °C), yet C3H mice exhibited significantly higher energy expenditure (EE) during both acute and chronic cold exposure. Gene expression analysis revealed a stronger induction of thermogenic genes in brown adipose tissue (BAT) of C3H mice. Notably, β3-adrenergic receptor ( Adrb3 ) expression was minimal in BAT and white adipose tissue (WAT) of C3H mice and unaffected by cold exposure. Consistent with impaired β3 signaling, the β3 agonist CL 316,243 markedly increased EE in C57 mice but had only modest effects in C3H mice. In contrast, norepinephrine elicited EE responses in both strains, and propranolol pretreatment (a β1/β2 antagonist) abolished these strain differences, suggesting that C3H mice depend on β1/β2 or non-canonical pathways. In conclusion, C3H mice exhibit enhanced cold-induced thermogenesis through ADRB3-independent mechanisms. Despite similar thermoneutral point, C3H and C57 mice display distinct metabolic and adrenergic adaptations, underscoring the importance of strain selection in metabolic research. C3H mice may represent a model to study alternative thermogenic mechanisms applicable to human physiology.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富含血小板的血浆通过自噬调节促进细胞从尼古丁诱导的毒性中恢复</w:t>
      </w:r>
    </w:p>
    <w:p>
      <w:r>
        <w:rPr>
          <w:rFonts w:ascii="Times New Roman" w:hAnsi="Times New Roman" w:eastAsia="宋体"/>
          <w:b/>
          <w:color w:val="003264"/>
          <w:sz w:val="24"/>
        </w:rPr>
        <w:t>Platelet-rich plasma promotes cellular recovery from nicotine-induced toxicity via autophagy modulation</w:t>
      </w:r>
    </w:p>
    <w:p>
      <w:r>
        <w:rPr>
          <w:rFonts w:ascii="Times New Roman" w:hAnsi="Times New Roman" w:eastAsia="宋体"/>
          <w:sz w:val="21"/>
        </w:rPr>
        <w:t>作者: Julie Vérièpe-Salerno, José Antonio Cancela, Solange Vischer, Antoine Turzi, Muriel Cuendet, Catherine Giannopoulou, Sarah Berndt</w:t>
        <w:br/>
      </w:r>
      <w:r>
        <w:rPr>
          <w:rFonts w:ascii="Times New Roman" w:hAnsi="Times New Roman" w:eastAsia="宋体"/>
          <w:sz w:val="21"/>
        </w:rPr>
        <w:t xml:space="preserve">时间: 2026-02-09 | </w:t>
      </w:r>
      <w:r>
        <w:t xml:space="preserve">链接: </w:t>
      </w:r>
      <w:hyperlink r:id="rId19">
        <w:r>
          <w:rPr>
            <w:rFonts w:ascii="Times New Roman" w:hAnsi="Times New Roman" w:eastAsia="宋体"/>
            <w:color w:val="0000FF"/>
            <w:sz w:val="21"/>
            <w:u w:val="single"/>
          </w:rPr>
          <w:t>https://doi.org/10.1038/s41598-026-38188-1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长期接触尼古丁会诱导牙龈成纤维细胞自噬和炎症等细胞过程，从而显着加剧牙周炎（一种常见的炎症性疾病）。目前的疗法往往无法完全解决吸烟者的这些细胞改变，这凸显了对创新治疗和再生方法的需求。本研究探讨了富含血小板血浆（PRP）（一种血液衍生产品）调节尼古丁诱导的初级牙龈成纤维细胞生物活性的治疗潜力，特别是在吸烟者的牙周炎情况下。用增加浓度的尼古丁处理牙龈成纤维细胞，导致衰老和自噬。高浓度的尼古丁会引发细胞空泡化，并降低新陈代谢、活力和增殖。同时用 10% PRP 进行细胞处理可逆转尼古丁效应并显着增加细胞迁移潜力。在秀丽隐杆线虫中，PRP 降低了尼古丁诱导的自噬活性。对牙龈成纤维细胞分泌组的筛选揭示了尼古丁和/或 PRP 对自噬相关细胞因子的调节作用。研究结果表明，PRP 可以有效抑制尼古丁诱导的牙龈成纤维细胞自噬，为其作为治疗吸烟者牙周炎的治疗工具提供了见解。该研究强调了 PRP 通过调节受吸烟影响的关键细胞过程来改变疾病进展的潜力。</w:t>
      </w:r>
    </w:p>
    <w:p>
      <w:pPr>
        <w:spacing w:before="120"/>
      </w:pPr>
      <w:r>
        <w:rPr>
          <w:rFonts w:ascii="Times New Roman" w:hAnsi="Times New Roman" w:eastAsia="宋体"/>
          <w:b/>
          <w:sz w:val="21"/>
        </w:rPr>
        <w:t>English Abstract:</w:t>
      </w:r>
    </w:p>
    <w:p>
      <w:r>
        <w:rPr>
          <w:rFonts w:ascii="Times New Roman" w:hAnsi="Times New Roman" w:eastAsia="宋体"/>
          <w:sz w:val="21"/>
        </w:rPr>
        <w:t>Abstract Chronic exposure to nicotine significantly exacerbates periodontitis, a prevalent inflammatory disease, by inducing cellular processes such as autophagy and inflammation in gingival fibroblasts. Current therapies often fail to fully address these cellular alterations in smokers, highlighting a need for innovative therapeutic and regenerative approaches. This study explores the therapeutic potential of Platelet-Rich Plasma (PRP), a blood-derived product, to modulate nicotine-induced biological activities in primary gingival fibroblasts, particularly in the case of periodontitis in smokers. Gingival fibroblasts were treated with increasing concentrations of nicotine, which led to senescence and autophagy. Nicotine at high concentrations triggered cellular vacuolization, and a decrease in metabolism, viability and proliferation. Concomitant cell treatment with 10% PRP reversed nicotine effects and significantly increased cell migration potential. In Caenorhabditis elegans, PRP reduced the nicotine-induced autophagic activity. A screening of the gingival fibroblast secretome revealed a modulation of autophagy-related cytokines in response to nicotine and/or PRP. The findings demonstrate that PRP could effectively inhibit nicotine-induced autophagy in gingival fibroblasts, offering insights into its possible use as a therapeutic tool for managing periodontitis in smokers. The study underscores the potential of PRP in altering disease progression by modulating key cellular processes affected by smoking.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通过类人提示和感知可靠性，建立用户对人工智能聊天机器人的客户服务信任</w:t>
      </w:r>
    </w:p>
    <w:p>
      <w:r>
        <w:rPr>
          <w:rFonts w:ascii="Times New Roman" w:hAnsi="Times New Roman" w:eastAsia="宋体"/>
          <w:b/>
          <w:color w:val="003264"/>
          <w:sz w:val="24"/>
        </w:rPr>
        <w:t>Building user trust in AI chatbots for customer service through human-like cues and perceived reliability</w:t>
      </w:r>
    </w:p>
    <w:p>
      <w:r>
        <w:rPr>
          <w:rFonts w:ascii="Times New Roman" w:hAnsi="Times New Roman" w:eastAsia="宋体"/>
          <w:sz w:val="21"/>
        </w:rPr>
        <w:t>作者: Sheng Wang, Noor Fatima, Muhammad Shahbaz, Muhammad Asif</w:t>
        <w:br/>
      </w:r>
      <w:r>
        <w:rPr>
          <w:rFonts w:ascii="Times New Roman" w:hAnsi="Times New Roman" w:eastAsia="宋体"/>
          <w:sz w:val="21"/>
        </w:rPr>
        <w:t xml:space="preserve">时间: 2026-02-09 | </w:t>
      </w:r>
      <w:r>
        <w:t xml:space="preserve">链接: </w:t>
      </w:r>
      <w:hyperlink r:id="rId20">
        <w:r>
          <w:rPr>
            <w:rFonts w:ascii="Times New Roman" w:hAnsi="Times New Roman" w:eastAsia="宋体"/>
            <w:color w:val="0000FF"/>
            <w:sz w:val="21"/>
            <w:u w:val="single"/>
          </w:rPr>
          <w:t>https://doi.org/10.1038/s41598-026-38179-2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这项定性研究探讨了类人线索和系统能力如何塑造用户对人工智能驱动的聊天机器人客户服务的信任和可靠性感知。通过在巴基斯坦和中国进行的半结构化访谈收集了 28 名参与者的数据。该研究利用 NVivo 15 支持的主题分析，确定了用户信任和交互体验形成的关键模式。出现了两个主题：类人交互和情感联系，以及感知可靠性和系统能力。第一个强调对话的自然性、同理心、个性化和社会存在感作为情感信任的驱动力。相比之下，第二个强调准确性、透明度、响应性和数据安全性作为认知信任的核心要素。这些维度共同说明了情感和功能因素如何共同影响用户对聊天机器人的信心和满意度。除了重申已建立的信任结构之外，该研究还提供了针对具体情况的定性见解，加深了对发展中市场中的用户如何解释和协商人工智能介导的服务交互中的信任的理解。</w:t>
      </w:r>
    </w:p>
    <w:p>
      <w:pPr>
        <w:spacing w:before="120"/>
      </w:pPr>
      <w:r>
        <w:rPr>
          <w:rFonts w:ascii="Times New Roman" w:hAnsi="Times New Roman" w:eastAsia="宋体"/>
          <w:b/>
          <w:sz w:val="21"/>
        </w:rPr>
        <w:t>English Abstract:</w:t>
      </w:r>
    </w:p>
    <w:p>
      <w:r>
        <w:rPr>
          <w:rFonts w:ascii="Times New Roman" w:hAnsi="Times New Roman" w:eastAsia="宋体"/>
          <w:sz w:val="21"/>
        </w:rPr>
        <w:t>This qualitative study explores how human-like cues and system competence shape users’ trust and perceptions of reliability in AI-driven chatbot customer service. Data were collected from 28 participants through semi-structured interviews conducted in Pakistan and China. Using thematic analysis supported by NVivo 15, the study identifies key patterns in the formation of user trust and interaction experiences. Two main themes emerged: human-like interaction and emotional connection, and perceived reliability and system competence. The first highlights conversational naturalness, empathy, personalisation, and social presence as drivers of affective trust. In contrast, the second emphasises accuracy, transparency, responsiveness, and data security as core elements of cognitive trust. Together, these dimensions illustrate how emotional and functional factors jointly influence user confidence and satisfaction with chatbots. Beyond reaffirming established trust constructs, the study offers context-specific qualitative insights that deepen understanding of how users in a developing market interpret and negotiate trust in AI-mediated service interactions.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硫氢化钠和L-半胱氨酸提高赤字施肥条件下草莓的产量和果实品质</w:t>
      </w:r>
    </w:p>
    <w:p>
      <w:r>
        <w:rPr>
          <w:rFonts w:ascii="Times New Roman" w:hAnsi="Times New Roman" w:eastAsia="宋体"/>
          <w:b/>
          <w:color w:val="003264"/>
          <w:sz w:val="24"/>
        </w:rPr>
        <w:t>Enhancement of yield and fruit quality of strawberry under deficit fertigation via sodium hydrosulfide and L-cysteine</w:t>
      </w:r>
    </w:p>
    <w:p>
      <w:r>
        <w:rPr>
          <w:rFonts w:ascii="Times New Roman" w:hAnsi="Times New Roman" w:eastAsia="宋体"/>
          <w:sz w:val="21"/>
        </w:rPr>
        <w:t>作者: Anmar Mohammed Abdulazeez, Hamid Hassanpour, Karim Manda-Hakki</w:t>
        <w:br/>
      </w:r>
      <w:r>
        <w:rPr>
          <w:rFonts w:ascii="Times New Roman" w:hAnsi="Times New Roman" w:eastAsia="宋体"/>
          <w:sz w:val="21"/>
        </w:rPr>
        <w:t xml:space="preserve">时间: 2026-02-09 | </w:t>
      </w:r>
      <w:r>
        <w:t xml:space="preserve">链接: </w:t>
      </w:r>
      <w:hyperlink r:id="rId21">
        <w:r>
          <w:rPr>
            <w:rFonts w:ascii="Times New Roman" w:hAnsi="Times New Roman" w:eastAsia="宋体"/>
            <w:color w:val="0000FF"/>
            <w:sz w:val="21"/>
            <w:u w:val="single"/>
          </w:rPr>
          <w:t>https://doi.org/10.1038/s41598-026-39598-x</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草莓（Fragaria × ananassa）是一种高价值作物，其产量和果实品质极易受到水和养分限制的影响，特别是在温室和无土栽培中。因此，制定在减少灌溉施肥条件下保持生产力的策略至关重要。本研究调查了是否将硫相关化合物，特别是硫氢化钠 (NaHS) 和 L-半胱氨酸 (Cys) 应用于草莓品种。塞布丽娜可以抵消营养供应减少的不利影响。在两种灌溉施肥水平（100 mL 和 140 mL 作为对照）下用 NaHS（500 和 1000 µM）或 Cys（500 和 1000 µM）处理植物。单独减少灌溉施肥会导致生理限制，而与未经处理的植物相比，NaHS和Cys显着提高了产量，改善了果实品质性状，并增强了抗氧化能力。此外，苯丙氨酸解氨酶、过氧化氢酶和抗坏血酸过氧化物酶的活性显着增加。这些改善与较高水平的酚类、花青素和维生素 C 相关，表明酶促和非酶促防御系统的协调增强。总体而言，在减少灌溉施肥计划的情况下叶面喷施 1000 µM NaHS 和 1000 µM Cys 对于提高草莓生产力和果实品质最为有效。这项研究强调了硫基诱导子作为实用、环保工具的潜力，可提高受控栽培系统中的抗逆性、保持营养价值以及优化水和养分的利用。</w:t>
      </w:r>
    </w:p>
    <w:p>
      <w:pPr>
        <w:spacing w:before="120"/>
      </w:pPr>
      <w:r>
        <w:rPr>
          <w:rFonts w:ascii="Times New Roman" w:hAnsi="Times New Roman" w:eastAsia="宋体"/>
          <w:b/>
          <w:sz w:val="21"/>
        </w:rPr>
        <w:t>English Abstract:</w:t>
      </w:r>
    </w:p>
    <w:p>
      <w:r>
        <w:rPr>
          <w:rFonts w:ascii="Times New Roman" w:hAnsi="Times New Roman" w:eastAsia="宋体"/>
          <w:sz w:val="21"/>
        </w:rPr>
        <w:t>Strawberry (Fragaria × ananassa) is a high-value crop whose yield and fruit quality are extremely susceptible to water and nutrient limitations, especially in greenhouse and soilless cultivation. Developing strategies to maintain productivity under reduced fertigation is therefore crucial. This study investigated whether applying sulfur-related compounds, specifically sodium hydrosulfide (NaHS) and L-cysteine (Cys), to the strawberry cv. Sabrina could counteract the detrimental effects of reduced nutrient supply. Plants were treated with NaHS (500 and 1000 µM) or Cys (500 and 1000 µM) under two fertigation levels (100 mL and 140 mL as control). Applying reduced fertigation alone resulted in physiological constraints, whereas NaHS and Cys significantly increased yield, improved fruit quality traits, and enhanced antioxidant capacity compared with untreated plants. Also, activities of phenylalanine ammonia lyase, catalase, and ascorbate peroxidase were significantly increased. The improvements were associated with higher levels of phenolics, anthocyanins, and vitamin C, indicating a coordinated strengthening of the enzymatic and non-enzymatic defense systems. Overall, foliar applications of 1000 µM NaHS and 1000 µM Cys under reduced fertigation schedules were most effective in improving strawberry productivity and fruit quality. This study highlights the potential of sulfur-based elicitors as practical, eco-friendly tools to improve stress tolerance, preserve nutritional value, and optimize water and nutrient use in controlled cultivation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利用分子描述符和可解释的机器学习来预测光诱导电子转移-可逆加成-断裂链转移聚合中的单体转化率</w:t>
      </w:r>
    </w:p>
    <w:p>
      <w:r>
        <w:rPr>
          <w:rFonts w:ascii="Times New Roman" w:hAnsi="Times New Roman" w:eastAsia="宋体"/>
          <w:b/>
          <w:color w:val="003264"/>
          <w:sz w:val="24"/>
        </w:rPr>
        <w:t>Leveraging molecular descriptors and explainable machine learning for monomer conversion prediction in photoinduced electron transfer-reversible addition-fragmentation chain transfer polymerization</w:t>
      </w:r>
    </w:p>
    <w:p>
      <w:r>
        <w:rPr>
          <w:rFonts w:ascii="Times New Roman" w:hAnsi="Times New Roman" w:eastAsia="宋体"/>
          <w:sz w:val="21"/>
        </w:rPr>
        <w:t>作者: Berna Alemdag, Azra Kocaarslan, Gözde Kabay</w:t>
        <w:br/>
      </w:r>
      <w:r>
        <w:rPr>
          <w:rFonts w:ascii="Times New Roman" w:hAnsi="Times New Roman" w:eastAsia="宋体"/>
          <w:sz w:val="21"/>
        </w:rPr>
        <w:t xml:space="preserve">时间: 2026-02-09 | </w:t>
      </w:r>
      <w:r>
        <w:t xml:space="preserve">链接: </w:t>
      </w:r>
      <w:hyperlink r:id="rId22">
        <w:r>
          <w:rPr>
            <w:rFonts w:ascii="Times New Roman" w:hAnsi="Times New Roman" w:eastAsia="宋体"/>
            <w:color w:val="0000FF"/>
            <w:sz w:val="21"/>
            <w:u w:val="single"/>
          </w:rPr>
          <w:t>https://doi.org/10.1038/s41598-025-33553-y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研究提出了一种基于分子描述符的机器学习（ML）架构，用于预测光诱导电子转移-可逆加成-断裂链转移（PET-RAFT）聚合系统中的单体转化。与将聚合物视为单个单元或对反应组分使用单热编码的传统聚合物信息学方法不同，我们将每个 PET-RAFT 系统分解为单独的部分：单体、RAFT 试剂和光催化剂。接下来，使用源自 SMILES 的 2D 分子描述符单独编码每个元素。使用 152 个 PET-RAFT 系统的文献来源数据集，我们系统地训练（通过五重交叉验证，CV）并评估了 10 种 ML 算法。 CatBoost 在 CV 倍数上表现出更高的稳定性 (SD = ± 0.07)，并被确定为单体转化预测的最佳表现者 (R2 = 0.84；RMSE = 10.04 pps；MAE = 8.16 pps)。 SHapley Additive exPlanations (SHAP) 分析揭示了机械上可解释的结构-性能-性能关系，强调单体拓扑复杂性、电子极化和分子量共同占模型预测能力的 60% 以上。外部验证证实了 CatBoost 能够泛化到看不见的（甲基）丙烯酸酯和（甲基）丙烯酰胺 (MAE = 8.03)，其性能与训练集相当。在实践中，学习到的描述符转换映射可以实现快速的计算机筛选和组件排序，突出显示可操作的描述符范围，并有可能加速高转换 PET-RAFT 的设计-构建-测试周期。</w:t>
      </w:r>
    </w:p>
    <w:p>
      <w:pPr>
        <w:spacing w:before="120"/>
      </w:pPr>
      <w:r>
        <w:rPr>
          <w:rFonts w:ascii="Times New Roman" w:hAnsi="Times New Roman" w:eastAsia="宋体"/>
          <w:b/>
          <w:sz w:val="21"/>
        </w:rPr>
        <w:t>English Abstract:</w:t>
      </w:r>
    </w:p>
    <w:p>
      <w:r>
        <w:rPr>
          <w:rFonts w:ascii="Times New Roman" w:hAnsi="Times New Roman" w:eastAsia="宋体"/>
          <w:sz w:val="21"/>
        </w:rPr>
        <w:t>This study presents a molecular descriptor-based machine learning (ML) architecture for predicting monomer conversion in photoinduced electron transfer-reversible addition-fragmentation chain transfer (PET-RAFT) polymerization systems. Unlike traditional polymer informatics approaches that treat polymers as single units or use one-hot encoding for reaction components, we decompose each PET-RAFT system into its individual parts: monomer, RAFT agent, and photocatalyst. Next, each element was separately encoded using 2D molecular descriptors derived from SMILES. Using a literature-sourced dataset of 152 PET-RAFT systems, we systematically trained (with fivefold cross-validation, CV) and evaluated 10 ML algorithms. CatBoost showed greater stability across CV-folds (SD = ± 0.07) and was identified as the top performer for monomer conversion prediction (R2 = 0.84; RMSE = 10.04 pps; MAE = 8.16 pps). SHapley Additive exPlanations (SHAP) analysis revealed mechanistically interpretable structure–property-performance relationships, highlighting that monomer topological complexity, electronic polarization, and molecular weight together account for over 60% of the model’s predictive power. External validation confirmed CatBoost’s ability to generalize to unseen (meth)acrylates and (meth)acrylamides (MAE = 8.03), with comparable performance to that of the training set. In practice, the learned descriptor-conversion mapping enables fast in silico screening and component ranking, highlighting actionable descriptor ranges and potentially accelerating design-build-test cycles for high-conversion PET-RAFT.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评估阿尔茨海默病 MRI 图像中海马体体积分割的深度学习模型</w:t>
      </w:r>
    </w:p>
    <w:p>
      <w:r>
        <w:rPr>
          <w:rFonts w:ascii="Times New Roman" w:hAnsi="Times New Roman" w:eastAsia="宋体"/>
          <w:b/>
          <w:color w:val="003264"/>
          <w:sz w:val="24"/>
        </w:rPr>
        <w:t>Evaluation of deep learning models for segmentation of hippocampus volumes from MRI images in Alzheimer’s disease</w:t>
      </w:r>
    </w:p>
    <w:p>
      <w:r>
        <w:rPr>
          <w:rFonts w:ascii="Times New Roman" w:hAnsi="Times New Roman" w:eastAsia="宋体"/>
          <w:sz w:val="21"/>
        </w:rPr>
        <w:t>作者: Yori Pusparani, Chih-Yang Lin, Yih-Kuen Jan, Ben-Yi Liau, Fu-Yu Lin, Elvin Nur Furqon, Muhammad Talal, Sheena Christabel Pravin, Zhi-Ren Tsai, Chi-Wen Lung</w:t>
        <w:br/>
      </w:r>
      <w:r>
        <w:rPr>
          <w:rFonts w:ascii="Times New Roman" w:hAnsi="Times New Roman" w:eastAsia="宋体"/>
          <w:sz w:val="21"/>
        </w:rPr>
        <w:t xml:space="preserve">时间: 2026-02-09 | </w:t>
      </w:r>
      <w:r>
        <w:t xml:space="preserve">链接: </w:t>
      </w:r>
      <w:hyperlink r:id="rId23">
        <w:r>
          <w:rPr>
            <w:rFonts w:ascii="Times New Roman" w:hAnsi="Times New Roman" w:eastAsia="宋体"/>
            <w:color w:val="0000FF"/>
            <w:sz w:val="21"/>
            <w:u w:val="single"/>
          </w:rPr>
          <w:t>https://doi.org/10.1038/s41598-026-38220-4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海马体是与阿尔茨海默病 (AD) 相关的重要大脑结构。精确分割对于使用深度学习研究 AD 进展至关重要。本研究旨在评估深度学习模型在分割 MRI 图像中左右海马体方面的性能。我们假设基于深度学习的方法可以实现左右海马体的精确分割。我们提出使用阿尔茨海默病神经影像计划 (ADNI) 数据集的 U-Net、You Only Look Once version 8 (YOLO-v8) 和 DeepLab-v3 模型。这项研究使用了 300 名受试者，其中包括 100 名受试者 (AD)、100 名轻度认知障碍 (MCI) 受试者和 100 名正常对照 (NC) 受试者，总共产生 7859 个图像切片。结果表明，U-Net 模型表现出最好的交并集 (IoU)，它是 AD (0.639)、MCI (0.801) 和 NC (0.751) 三个类别中的关键性能指标。相比之下，YOLO-v8 在 AD (0.342)、MCI (0.465) 和 NC (0.550) 方面表现出较低的 IoU 性能，这些模型被认为不适合分割左右海马。我们获得了 AD (1557.5 mm3)、MCI (1863.3 mm3) 和 NC (2089.2 mm3) 的左侧海马体积。 AD (1593.4 mm3)、MCI (1918.7 mm3) 和 NC (2280.2 mm3) 的右侧海马体积。 U-Net模型表现出最好的性能。我们期望基于深度学习的方法通过提供准确的海马体分割来协助临床决策。</w:t>
      </w:r>
    </w:p>
    <w:p>
      <w:pPr>
        <w:spacing w:before="120"/>
      </w:pPr>
      <w:r>
        <w:rPr>
          <w:rFonts w:ascii="Times New Roman" w:hAnsi="Times New Roman" w:eastAsia="宋体"/>
          <w:b/>
          <w:sz w:val="21"/>
        </w:rPr>
        <w:t>English Abstract:</w:t>
      </w:r>
    </w:p>
    <w:p>
      <w:r>
        <w:rPr>
          <w:rFonts w:ascii="Times New Roman" w:hAnsi="Times New Roman" w:eastAsia="宋体"/>
          <w:sz w:val="21"/>
        </w:rPr>
        <w:t>The hippocampus is a crucial brain structure associated with Alzheimer’s disease (AD). Precise segmentation is crucial for studying AD progression using deep learning. This study aimed to evaluate the performance of deep learning models in segmenting the left and right hippocampus in MRI images. We hypothesized that deep learning-based approaches would enable precise and accurate segmentation of the left and right hippocampus. We propose U-Net, You Only Look Once version 8 (YOLO-v8), and DeepLab-v3 models using the Alzheimer’s Disease Neuroimaging Initiative (ADNI) dataset. This study used 300 subjects, comprising 100 subjects (AD), 100 subjects with mild cognitive impairment (MCI), and 100 subjects with normal control (NC), resulting in a total of 7859 image slices. The results showed that the U-Net model exhibited the best Intersection over Union (IoU), which served as a key performance indicator among the three classes: AD (0.639), MCI (0.801), and NC (0.751). In contrast, YOLO-v8 demonstrated lower IoU performance for AD (0.342), MCI (0.465), and NC (0.550), which are considered inappropriate models to segment the left and right hippocampus. We obtained the left hippocampus volume of AD (1557.5 mm³), MCI (1863.3 mm3), and NC (2089.2 mm3). The right hippocampus volumes of AD (1593.4 mm³), MCI (1918.7 mm3), and NC (2280.2 mm3). The U-Net model exhibited the best performance. We expect deep learning-based methods to assist in clinical decisions by providing accurate hippocampus segmentation.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熊去氧胆酸通过 TGR5/NF-κB 信号通路减轻 α-酪蛋白诱导的牛奶蛋白过敏</w:t>
      </w:r>
    </w:p>
    <w:p>
      <w:r>
        <w:rPr>
          <w:rFonts w:ascii="Times New Roman" w:hAnsi="Times New Roman" w:eastAsia="宋体"/>
          <w:b/>
          <w:color w:val="003264"/>
          <w:sz w:val="24"/>
        </w:rPr>
        <w:t>Ursodeoxycholic acid alleviates α-Casein-induced cow’s milk protein allergy via the TGR5/NF-κB signaling pathway</w:t>
      </w:r>
    </w:p>
    <w:p>
      <w:r>
        <w:rPr>
          <w:rFonts w:ascii="Times New Roman" w:hAnsi="Times New Roman" w:eastAsia="宋体"/>
          <w:sz w:val="21"/>
        </w:rPr>
        <w:t>作者: Zhidan Yu, Zihui Wang, Lingling Yue, Yuesheng Wang, Bo Sun, Ruifeng Wang, Xiangzhan Zhu, Lifeng Li, Wancun Zhang, Xiaoqin Li</w:t>
        <w:br/>
      </w:r>
      <w:r>
        <w:rPr>
          <w:rFonts w:ascii="Times New Roman" w:hAnsi="Times New Roman" w:eastAsia="宋体"/>
          <w:sz w:val="21"/>
        </w:rPr>
        <w:t xml:space="preserve">时间: 2026-02-09 | </w:t>
      </w:r>
      <w:r>
        <w:t xml:space="preserve">链接: </w:t>
      </w:r>
      <w:hyperlink r:id="rId24">
        <w:r>
          <w:rPr>
            <w:rFonts w:ascii="Times New Roman" w:hAnsi="Times New Roman" w:eastAsia="宋体"/>
            <w:color w:val="0000FF"/>
            <w:sz w:val="21"/>
            <w:u w:val="single"/>
          </w:rPr>
          <w:t>https://doi.org/10.1038/s41598-026-38293-1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牛奶蛋白过敏（CMPA）是婴儿最常见的食物过敏之一，主要表现为胃肠道症状，与肠道菌群失调密切相关。熊去氧胆酸 (UDCA) 是一种肠道微生物群衍生的次级胆汁酸，在患有 CMPA 的婴儿中显着减少。然而，UDCA在CMPA结肠炎中的作用和机制尚不清楚。我们的分析表明，在 α-酪蛋白诱导的 CMPA 小鼠模型中，UDCA 给药可减轻全身过敏症状，改善体重增加，并减轻肝脏和结肠组织的组织病理学损伤。 UDCA 通过增加杯状细胞数量和增强结肠组织中紧密连接基因的表达来恢复肠道屏障的完整性。在α-酪蛋白致敏的RAW264.7细胞中，UDCA促进愈合和迁移。此外，UDCA 显着下调关键促炎因子（IL-1β、TNF-α、IL-6）的分泌和 mRNA 水平以及炎症介质（NO、ROS）的产生。从机制上讲，UDCA 增加 cAMP 水平，上调 G 蛋白偶联受体 (TGR5) 表达，并抑制 NF-κB 信号通路，体内和体外 p65 磷酸化和核转位的减少证明了这一点。 SBI-115 的药理学拮抗作用证实 UDCA 主要通过靶向 TGR5 来抑制 α-酪蛋白诱导的 NF-κB p65 激活。这项研究表明，UDCA 可能通过靶向 TGR5 来增强肠道屏障功能并通过 NF-κB 信号调节免疫反应来缓解 CMPA，凸显了其作为过敏性疾病治疗策略的潜力。</w:t>
      </w:r>
    </w:p>
    <w:p>
      <w:pPr>
        <w:spacing w:before="120"/>
      </w:pPr>
      <w:r>
        <w:rPr>
          <w:rFonts w:ascii="Times New Roman" w:hAnsi="Times New Roman" w:eastAsia="宋体"/>
          <w:b/>
          <w:sz w:val="21"/>
        </w:rPr>
        <w:t>English Abstract:</w:t>
      </w:r>
    </w:p>
    <w:p>
      <w:r>
        <w:rPr>
          <w:rFonts w:ascii="Times New Roman" w:hAnsi="Times New Roman" w:eastAsia="宋体"/>
          <w:sz w:val="21"/>
        </w:rPr>
        <w:t>Cow’s milk protein allergy (CMPA), one of the most common food allergies in infant, is primarily manifesting gastrointestinal symptoms and closely associated to the disorders of gut microbiota. Ursodeoxycholic acid (UDCA), a gut microbiota derived secondary bile acid, is significantly decreased in infant with CMPA. However, the effect and mechanism of UDCA in colitis of CMPA is unknown. Our analysis demonstrated that UDCA administration alleviated the systemic allergic symptoms, improved body weight gain, and mitigated histopathological damage in both liver and colon tissues in a mouse model of α-Casein-induced CMPA. UDCA restored intestinal barrier integrity by increasing goblet cell numbers and enhancing the expression of the tight junction gene in colonic tissue. In α-Casein-sensitized RAW264.7 cells, UDCA promoted the healing and migration. Additionally, UDCA significantly down-regulated the secretion and mRNA levels of key pro-inflammatory factors (IL-1β, TNF-α, IL-6) and the production of inflammatory mediators (NO, ROS). Mechanistically, UDCA increased the cAMP level and up-regulated G-protein coupled receptors (TGR5) expression and inhibited the NF-κB signaling pathway, as evidenced by reduced phosphorylation and nuclear translocation of p65 in vivo and in vitro. Pharmacological antagonism with SBI-115 confirmed that UDCA suppressed α-Casein-induced NF-κB p65 activation primarily by targeting TGR5. This study suggested that UDCA may alleviate CMPA by targeting TGR5 to enhance intestinal barrier function and modulate immune response via NF-κB signaling, highlighting its potential as a therapeutic strategy for allergic diseases.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使用定制深度 CNN 架构对遥感图像进行高性能场景分类</w:t>
      </w:r>
    </w:p>
    <w:p>
      <w:r>
        <w:rPr>
          <w:rFonts w:ascii="Times New Roman" w:hAnsi="Times New Roman" w:eastAsia="宋体"/>
          <w:b/>
          <w:color w:val="003264"/>
          <w:sz w:val="24"/>
        </w:rPr>
        <w:t>High-performance scene classification in remote sensing imagery using a custom deep CNN architecture</w:t>
      </w:r>
    </w:p>
    <w:p>
      <w:r>
        <w:rPr>
          <w:rFonts w:ascii="Times New Roman" w:hAnsi="Times New Roman" w:eastAsia="宋体"/>
          <w:sz w:val="21"/>
        </w:rPr>
        <w:t>作者: Ahmed M. Abdelmonem, Mohamed Maher Ata, Abdelhamied A. Atey, A. A. Shaalan, Rania A. El-Sayed</w:t>
        <w:br/>
      </w:r>
      <w:r>
        <w:rPr>
          <w:rFonts w:ascii="Times New Roman" w:hAnsi="Times New Roman" w:eastAsia="宋体"/>
          <w:sz w:val="21"/>
        </w:rPr>
        <w:t xml:space="preserve">时间: 2026-02-09 | </w:t>
      </w:r>
      <w:r>
        <w:t xml:space="preserve">链接: </w:t>
      </w:r>
      <w:hyperlink r:id="rId25">
        <w:r>
          <w:rPr>
            <w:rFonts w:ascii="Times New Roman" w:hAnsi="Times New Roman" w:eastAsia="宋体"/>
            <w:color w:val="0000FF"/>
            <w:sz w:val="21"/>
            <w:u w:val="single"/>
          </w:rPr>
          <w:t>https://doi.org/10.1038/s41598-025-34176-z</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摘要：本研究提出了一种深度新颖的卷积神经网络（CNN）架构，专为遥感数据中的多类图像分类而设计。所提出的模型使用 NWPU-RESISC45 和 UC Merced 土地利用数据集进行评估，每个数据集包含 10 个类别：港口、丛林、网球场、工业区、停车场、森林、海滩、立交桥、飞机和棒球场。广泛的测试表明，所提出的 CNN 架构在准确性和效率方面优于五种流行的预训练 CNN 模型。定量结果表明，该模型在 NWPU-RESISC45 数据集上的准确率达到 0.9428，在 UC Merced 数据集上的准确率达到 0.93。召回率分别为 0.94 和 0.93，准确率分别达到 0.95 和 0.94。此外，交并集 (IoU) 分数为 0.89 和 0.86，而 F1 分数为 0.94 和 0.93，证实了模型在数据集中的稳健性。在计算效率方面，该模型展示了具有竞争力的训练时间：NWPU-RESISC45 的训练时间为 3,692 秒（跨 10 个类别的 5,057 张图像），GPU 内存使用量为 12.7 GB；UC Merced 数据集的训练时间为 559 秒（跨 10 个类别的 722 张图像）。为了确保和增强模型预测的可解释性和可解释性，引入了两种可解释性技术：Shapley Additive Explanations (SHAP) 和 Class Activation Mapping (CAM)。该手稿的主要新颖之处包括：混合 CNN 框架，不仅可以提高分类性能，还可以通过 SHAP 和 CAM 实现可解释性，同时保持高效的训练时间和强大的泛化能力，使其成为遥感图像理解的一个引人注目的解决方案。总的来说，我们的方法的关键新颖之处是： 轻量级和高效的架构：我们提出的 CNN 设计在性能和计算效率之间取得了平衡，使其非常适合实时或资源受限的环境，而不会影响准确性。集成的可解释性：通过结合 SHAP（沙普利附加解释）和 CAM（类激活映射），我们的框架提供了强大的预测性能。跨数据集的通用性：我们在两个具有挑战性和多样化的数据集上展示了模型的稳健性和通用性，确认了其对不同领域场景的适应性。</w:t>
      </w:r>
    </w:p>
    <w:p>
      <w:pPr>
        <w:spacing w:before="120"/>
      </w:pPr>
      <w:r>
        <w:rPr>
          <w:rFonts w:ascii="Times New Roman" w:hAnsi="Times New Roman" w:eastAsia="宋体"/>
          <w:b/>
          <w:sz w:val="21"/>
        </w:rPr>
        <w:t>English Abstract:</w:t>
      </w:r>
    </w:p>
    <w:p>
      <w:r>
        <w:rPr>
          <w:rFonts w:ascii="Times New Roman" w:hAnsi="Times New Roman" w:eastAsia="宋体"/>
          <w:sz w:val="21"/>
        </w:rPr>
        <w:t>Abstract This research presents a deep novel Convolutional Neural Network (CNN) architecture specifically designed for multi-class image categorization in remote sensing data. The proposed model is evaluated using both the NWPU-RESISC45 and UC Merced Land Use datasets, each containing 10 class categories: harbor, chaparral, tennis court, industrial area, parking lot, forest, beach, overpass, airplane, and baseball diamond. Extensive testing demonstrates that the proposed CNN architecture outperforms five popular pre-trained CNN models in terms of accuracy and efficiency. Quantitative results show that the proposed model achieves an accuracy of 0.9428 on the NWPU-RESISC45 dataset and 0.93 on the UC Merced dataset. The recall scores are 0.94 and 0.93, while precision values reach 0.95 and 0.94, respectively. Furthermore, the Intersection over Union (IoU) scores are 0.89 and 0.86, while the F1-scores are 0.94 and 0.93, confirming the robustness of the model across the datasets. In terms of computational efficiency, the model demonstrates competitive training times: 3,692 s for NWPU-RESISC45 (5,057 images across 10 classes) with GPU memory usage of 12.7 gigabytes (GB) and 559 s for the UC Merced dataset (722 images across 10 classes ). To ensure and enhance the interpretability and explainability of the model’s predictions, two interpretability techniques were incorporated: Shapley Additive Explanations (SHAP) and Class Activation Mapping (CAM). The key novelties of this manuscript include: a hybrid CNN framework that not only advances classification performance but also incorporates explainability via SHAP and CAM, while maintaining efficient training times and strong generalization, making it a compelling solution for remote sensing image understanding. In general, the key novel aspects of our approach are: Lightweight and efficient architecture: Our proposed CNN design strikes a balance between performance and computational efficiency, making it highly suitable for real-time or resource-constrained environments without compromising accuracy. Integrated interpretability: By incorporating both SHAP (Shapley Additive explanations) and CAM (Class Activation Mapping), our framework delivers strong predictive performance. Generalizability across datasets: We demonstrate the model’s robustness and generalizability across two challenging and diverse datasets, confirming its adaptability to different domain scenarios.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新型掺钇和掺钕锂锌磷酸盐玻璃的结构、机械、电学和辐射屏蔽性能</w:t>
      </w:r>
    </w:p>
    <w:p>
      <w:r>
        <w:rPr>
          <w:rFonts w:ascii="Times New Roman" w:hAnsi="Times New Roman" w:eastAsia="宋体"/>
          <w:b/>
          <w:color w:val="003264"/>
          <w:sz w:val="24"/>
        </w:rPr>
        <w:t>The structural, mechanical, electrical, and radiation-shielding properties of newly yttrium and neodymium-doped lithium-zinc-phosphate glasses</w:t>
      </w:r>
    </w:p>
    <w:p>
      <w:r>
        <w:rPr>
          <w:rFonts w:ascii="Times New Roman" w:hAnsi="Times New Roman" w:eastAsia="宋体"/>
          <w:sz w:val="21"/>
        </w:rPr>
        <w:t>作者: Gharam A. Alharshan, Shaaban M. Shaaban, R.A. Elsad, A.A. Demewez, Mohamed Elsafi</w:t>
        <w:br/>
      </w:r>
      <w:r>
        <w:rPr>
          <w:rFonts w:ascii="Times New Roman" w:hAnsi="Times New Roman" w:eastAsia="宋体"/>
          <w:sz w:val="21"/>
        </w:rPr>
        <w:t xml:space="preserve">时间: 2026-02-09 | </w:t>
      </w:r>
      <w:r>
        <w:t xml:space="preserve">链接: </w:t>
      </w:r>
      <w:hyperlink r:id="rId26">
        <w:r>
          <w:rPr>
            <w:rFonts w:ascii="Times New Roman" w:hAnsi="Times New Roman" w:eastAsia="宋体"/>
            <w:color w:val="0000FF"/>
            <w:sz w:val="21"/>
            <w:u w:val="single"/>
          </w:rPr>
          <w:t>https://doi.org/10.1038/s41598-026-36616-w</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本文研究了通过熔融淬火制备的新型掺钇锂锌磷酸盐玻璃，并表征了其电气、机械、屏蔽、结构和物理性能，重点关注不同钇浓度对这些方面的影响。较重的 Y2O3 逐渐取代较轻的 P2O5 单元，密度从 3.0265 g.cm− 3 增加到 3.136 g.cm− 3。FTIR 结果清楚地表明，Y2O3 的添加通过引入 Y-O 键、产生非桥接氧和扰乱 P-O-P 网络来改变其磷酸盐玻璃结构。随着频率的升高，相对介电常数在低频下迅速下降，在高频下变为半常数。一般来说，相对介电常数和交流电导率随 Y2O3 数量的增加而增加。由于杨氏模量从 72.688 GPa 提高到 74.663 GPa，更换后的玻璃的机械和辐射屏蔽特性得到了改善。曝光累积因子 (EBF) 是在不同的 mfp 下计算的。在非常低的能量（如0.015 MeV）下，EBF值非常接近1，并且随着能量的提高而增加。结果发现，所制备的钇含量较高的玻璃的辐射吸收性能略有改善。</w:t>
      </w:r>
    </w:p>
    <w:p>
      <w:pPr>
        <w:spacing w:before="120"/>
      </w:pPr>
      <w:r>
        <w:rPr>
          <w:rFonts w:ascii="Times New Roman" w:hAnsi="Times New Roman" w:eastAsia="宋体"/>
          <w:b/>
          <w:sz w:val="21"/>
        </w:rPr>
        <w:t>English Abstract:</w:t>
      </w:r>
    </w:p>
    <w:p>
      <w:r>
        <w:rPr>
          <w:rFonts w:ascii="Times New Roman" w:hAnsi="Times New Roman" w:eastAsia="宋体"/>
          <w:sz w:val="21"/>
        </w:rPr>
        <w:t>This paper investigates novel yttrium-doped lithium-zinc-phosphate glass prepared via melt-quenching and characterizes their electrical, mechanical, shielding, structural, and physical properties, with a focus on the impact of varying yttrium concentrations on these aspects. The heavier Y2O3 gradually replaces the lighter P2O5 units, increasing density from 3.0265 g.cm− 3 towards 3.136 g.cm− 3. The FTIR results clearly show that the addition of Y2O3 alters its phosphate glass structures by introducing Y–O bonds, producing non-bridging oxygens, and upsetting the P–O–P network. With rising frequency, relative permittivity decreases rapidly at low frequencies and becomes semi-constant at high frequencies. In general, the relative permittivity and ac conductivity rose in tandem with the Y2O3 quantity. The replacing improved the mechanical and radiation shielding characteristics of the glass, since the Young’s modulus improved from 72.688 GPa to 74.663 GPa. The exposure buildup factor (EBF) was calculated at different mfp’s. At very low energies (such as 0.015 MeV), the EBF values ​​are very close to 1 and increased with raising the energy. It was found that some slight improvement in the radiation absorption performance of the prepared glasses with higher yttrium content.</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任务时间的功能成像以及多巴胺能和胆碱能底物在认知努力和奖励中的参与</w:t>
      </w:r>
    </w:p>
    <w:p>
      <w:r>
        <w:rPr>
          <w:rFonts w:ascii="Times New Roman" w:hAnsi="Times New Roman" w:eastAsia="宋体"/>
          <w:b/>
          <w:color w:val="003264"/>
          <w:sz w:val="24"/>
        </w:rPr>
        <w:t>Functional imaging of time on task and the involvement of dopaminergic and cholinergic substrates in cognitive effort and reward</w:t>
      </w:r>
    </w:p>
    <w:p>
      <w:r>
        <w:rPr>
          <w:rFonts w:ascii="Times New Roman" w:hAnsi="Times New Roman" w:eastAsia="宋体"/>
          <w:sz w:val="21"/>
        </w:rPr>
        <w:t>作者: Chiara Orsini, Julia E. Bosch, Karin Labek, Roberto Viviani</w:t>
        <w:br/>
      </w:r>
      <w:r>
        <w:rPr>
          <w:rFonts w:ascii="Times New Roman" w:hAnsi="Times New Roman" w:eastAsia="宋体"/>
          <w:sz w:val="21"/>
        </w:rPr>
        <w:t xml:space="preserve">时间: 2026-02-09 | </w:t>
      </w:r>
      <w:r>
        <w:t xml:space="preserve">链接: </w:t>
      </w:r>
      <w:hyperlink r:id="rId27">
        <w:r>
          <w:rPr>
            <w:rFonts w:ascii="Times New Roman" w:hAnsi="Times New Roman" w:eastAsia="宋体"/>
            <w:color w:val="0000FF"/>
            <w:sz w:val="21"/>
            <w:u w:val="single"/>
          </w:rPr>
          <w:t>https://doi.org/10.1038/s41598-026-37370-9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神经影像学研究已经确定了与持续认知努力和控制及其通过奖励的调节相关的神经基质。不同的证据表明前额叶皮层（特别是前扣带皮层，ACC）、多巴胺能和胆碱能底物参与了这种调节。我们在这里研究了在具有不同奖励水平的区块内的试验中，随着任务时间的增加（需要增加认知努力水平）这些底物的活性。在皮质中，虽然 ACC 达到峰值，但与任务时间相关的活动非常广泛，还包括默认模式网络之外的活动减少，主要涉及运动和体感区域。有关奖励水平的信息由腹侧纹状体携带，与其激励作用一致，但并未反映在任务期间增加努力的权衡。相反，与胆碱能 Ch4 核相对应的腹侧被盖区和基底前脑 (BF) 部分的活动随着任务时间的延长而增加，并且对奖励水平敏感。这种 BF 活动与驱动由奖励水平调节的补偿努力的胆碱能作用一致。这些发现将 BF 确定为与维持任务集和认知努力相关的神经影像表型。</w:t>
      </w:r>
    </w:p>
    <w:p>
      <w:pPr>
        <w:spacing w:before="120"/>
      </w:pPr>
      <w:r>
        <w:rPr>
          <w:rFonts w:ascii="Times New Roman" w:hAnsi="Times New Roman" w:eastAsia="宋体"/>
          <w:b/>
          <w:sz w:val="21"/>
        </w:rPr>
        <w:t>English Abstract:</w:t>
      </w:r>
    </w:p>
    <w:p>
      <w:r>
        <w:rPr>
          <w:rFonts w:ascii="Times New Roman" w:hAnsi="Times New Roman" w:eastAsia="宋体"/>
          <w:sz w:val="21"/>
        </w:rPr>
        <w:t>Neuroimaging studies have identified the neural substrates associated with sustained cognitive efforts and control and their modulation by rewards. Different lines of evidence implicate the prefrontal cortex (especially the anterior cingulate cortex, ACC), dopaminergic, and cholinergic substrates in this modulation. We studied here the activity of these substrates at increasing time on task (requiring increasing levels of cognitive effort) in trials within blocks with differing reward levels. In the cortex, while peaking in the ACC, activity associated with time on task was extensive, also including activity decrements outside the default mode network, primarily involving motor and somatosensory regions. Information about reward levels was carried in the ventral striatum, consistent with its motivational role, but did not reflect trade-offs with increasing efforts during time on task. Instead, the ventral tegmental area and parts of the basal forebrain (BF) corresponding to the cholinergic Ch4 nuclei increased in activity with time on task and were sensitive to reward levels. This BF activity is consistent with a cholinergic role in driving compensatory efforts modulated by reward levels. These findings identify the BF as a neuroimaging phenotype associated with sustaining task sets and cognitive efforts.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对具有改善骨骼肌退化潜力的新型天然 HDAC6 抑制剂进行集成虚拟筛选、ADMET 分析和分子动力学模拟</w:t>
      </w:r>
    </w:p>
    <w:p>
      <w:r>
        <w:rPr>
          <w:rFonts w:ascii="Times New Roman" w:hAnsi="Times New Roman" w:eastAsia="宋体"/>
          <w:b/>
          <w:color w:val="003264"/>
          <w:sz w:val="24"/>
        </w:rPr>
        <w:t>Integrated virtual screening, ADMET profiling, and molecular dynamics simulations of novel natural HDAC6 inhibitors with the potential to ameliorate skeletal muscle degeneration</w:t>
      </w:r>
    </w:p>
    <w:p>
      <w:r>
        <w:rPr>
          <w:rFonts w:ascii="Times New Roman" w:hAnsi="Times New Roman" w:eastAsia="宋体"/>
          <w:sz w:val="21"/>
        </w:rPr>
        <w:t>作者: Khurshid Ahmad, Syed Sayeed Ahmad, Inho Choi</w:t>
        <w:br/>
      </w:r>
      <w:r>
        <w:rPr>
          <w:rFonts w:ascii="Times New Roman" w:hAnsi="Times New Roman" w:eastAsia="宋体"/>
          <w:sz w:val="21"/>
        </w:rPr>
        <w:t xml:space="preserve">时间: 2026-02-09 | </w:t>
      </w:r>
      <w:r>
        <w:t xml:space="preserve">链接: </w:t>
      </w:r>
      <w:hyperlink r:id="rId28">
        <w:r>
          <w:rPr>
            <w:rFonts w:ascii="Times New Roman" w:hAnsi="Times New Roman" w:eastAsia="宋体"/>
            <w:color w:val="0000FF"/>
            <w:sz w:val="21"/>
            <w:u w:val="single"/>
          </w:rPr>
          <w:t>https://doi.org/10.1038/s41598-026-39066-6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组蛋白脱乙酰酶 6 (HDAC6) 有助于维持肌肉健康并调节蛋白质平衡。在萎缩的肌肉中，HDAC6 活性增加会破坏微管的稳定性并加剧蛋白质降解。因此，选择性 HDAC6 抑制是保持肌肉健康的一种有前途的方法。在这项研究中，我们进行了全面的计算分析，包括对 SuperNatural 3.0 数据库中的 449,058 种天然化合物进行虚拟筛选，以鉴定新型天然 HDAC6 抑制剂。对最佳候选药物进行药物相似性和 ADMET 特性筛选，然后进行分子对接和分子动力学模拟 (MDS)，以评估结合稳定性和能量分布。对 20 个得分最高的化合物（LibDock 得分范围：120.54 至 167.81）的对接姿势进行了视觉分析，并选择排名最高的化合物 SN0000021 和 SN0000043 进行评估。两种天然化合物 SN0000021 和 SN0000043 在整个 200 ns MDS 中始终表现出强烈的预测结合、良好的药代动力学特征以及与 HDAC6 催化袋的稳定相互作用。 SN0000021 具有中等溶解度、高 Caco-2 渗透性和约 93% 的肠道吸收，而 SN0000043 显示稍高的溶解度、中等渗透性和约 75% 的吸收。两者均是 AMES 无毒且可合成。自由能计算进一步证实了它们的结合潜力。这些结果表明SN0000021和SN0000043是用于开发选择性HDAC6抑制剂的合理的天然支架。需要在 HDAC6 酶测定和 SM 模型中进行实验验证，以确认其抗萎缩作用。</w:t>
      </w:r>
    </w:p>
    <w:p>
      <w:pPr>
        <w:spacing w:before="120"/>
      </w:pPr>
      <w:r>
        <w:rPr>
          <w:rFonts w:ascii="Times New Roman" w:hAnsi="Times New Roman" w:eastAsia="宋体"/>
          <w:b/>
          <w:sz w:val="21"/>
        </w:rPr>
        <w:t>English Abstract:</w:t>
      </w:r>
    </w:p>
    <w:p>
      <w:r>
        <w:rPr>
          <w:rFonts w:ascii="Times New Roman" w:hAnsi="Times New Roman" w:eastAsia="宋体"/>
          <w:sz w:val="21"/>
        </w:rPr>
        <w:t>Histone deacetylase 6 (HDAC6) helps maintain muscle health and regulates protein balance. In atrophic muscle, increased HDAC6 activity destabilizes microtubules and intensifies protein degradation. Therefore, selective HDAC6 inhibition is a promising approach to preserving muscle health. In this study, we conducted a comprehensive computational analysis, including virtual screening of 449,058 natural compounds from the SuperNatural 3.0 database, to identify novel natural HDAC6 inhibitors. The top candidates were filtered for drug-likeness and ADMET properties, then subjected to molecular docking and molecular dynamics simulations (MDS) to evaluate binding stability and energy profiles. The 20 best-scoring compounds (range of LibDock score: 120.54 to 167.81) were visually analyzed for their docking poses, and top-ranked compounds, SN0000021 and SN0000043, were selected for evaluation. Two natural compounds, SN0000021 and SN0000043, consistently showed strong predicted binding, favorable pharmacokinetic features, and stable interaction with the HDAC6 catalytic pocket throughout a 200-ns MDS. SN0000021 has moderate solubility, high Caco-2 permeability, and ~ 93% intestinal absorption, while SN0000043 shows slightly higher solubility, moderate permeability, and ~ 75% absorption. Both are AMES non-toxic and synthetically accessible. Free-energy calculations further confirmed their binding potential. These results indicate that SN0000021 and SN0000043 are plausible natural scaffolds for the development of selective HDAC6 inhibitors. Experimental validation in HDAC6 enzyme assays and SM models is required to confirm their anti-atrophic effects.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自发荧光和傅里叶变换红外分析追踪膳食荧光团并揭示蚊子幼虫肠道中的塑料污染</w:t>
      </w:r>
    </w:p>
    <w:p>
      <w:r>
        <w:rPr>
          <w:rFonts w:ascii="Times New Roman" w:hAnsi="Times New Roman" w:eastAsia="宋体"/>
          <w:b/>
          <w:color w:val="003264"/>
          <w:sz w:val="24"/>
        </w:rPr>
        <w:t>Autofluorescence and Fourier transform infrared analyses trace dietary fluorophores and reveal plastic contamination in the gut of mosquito larvae</w:t>
      </w:r>
    </w:p>
    <w:p>
      <w:r>
        <w:rPr>
          <w:rFonts w:ascii="Times New Roman" w:hAnsi="Times New Roman" w:eastAsia="宋体"/>
          <w:sz w:val="21"/>
        </w:rPr>
        <w:t>作者: Sara Soldano, Maduka L. Weththimuni, Amanda Oldani, Alessandro Girella, Andrea Moyano, Anna C. Croce, Maurizio Licchelli, Ludvik M. Gomulski, Francesca Scolari</w:t>
        <w:br/>
      </w:r>
      <w:r>
        <w:rPr>
          <w:rFonts w:ascii="Times New Roman" w:hAnsi="Times New Roman" w:eastAsia="宋体"/>
          <w:sz w:val="21"/>
        </w:rPr>
        <w:t xml:space="preserve">时间: 2026-02-09 | </w:t>
      </w:r>
      <w:r>
        <w:t xml:space="preserve">链接: </w:t>
      </w:r>
      <w:hyperlink r:id="rId29">
        <w:r>
          <w:rPr>
            <w:rFonts w:ascii="Times New Roman" w:hAnsi="Times New Roman" w:eastAsia="宋体"/>
            <w:color w:val="0000FF"/>
            <w:sz w:val="21"/>
            <w:u w:val="single"/>
          </w:rPr>
          <w:t>https://doi.org/10.1038/s41598-026-38938-1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了解蚊子幼虫的营养生理学对于优化大规模饲养实践和改进控制策略至关重要。在这里，我们结合了互补的光学和光谱技术，包括荧光显微镜、共焦光谱成像和衰减全反射（ATR）傅里叶变换红外（FTIR）光谱，来追踪白纹伊蚊幼虫的食物摄入情况。在聚苯乙烯（PS）或玻璃（GL）容器中饲养的幼虫肠道中观察到自发荧光（AF）信号强度和空间分布的差异，表明AF可以作为评估摄入效率的相对指标。在幼虫体内的肠道外检测到叶绿素衍生的 AF，表明食物衍生的荧光团的全身分布。对幼体发育前后饲养水的光谱分析揭示了黄素相关荧光谱的变化，这与黄素代谢一致。此外，幼虫肠道样本的 ATR-FTIR 光谱揭示了在 PS 或 GL 容器中饲养的幼虫之间化学官能团的差异，表明摄入了从饲养容器中释放的 PS 衍生物质。尽管在饲养条件之间观察到光谱差异，但没有检测到对标准蚊子生活史特征的明显影响。总而言之，这些发现凸显了基于荧光和 ATR-FTIR 的技术作为探索蚊子幼虫生物学和营养的敏感工具的潜力。这些方法可以揭示饲养环境的微妙但与生物学相关的影响，这是病媒控制计划的关键因素。</w:t>
      </w:r>
    </w:p>
    <w:p>
      <w:pPr>
        <w:spacing w:before="120"/>
      </w:pPr>
      <w:r>
        <w:rPr>
          <w:rFonts w:ascii="Times New Roman" w:hAnsi="Times New Roman" w:eastAsia="宋体"/>
          <w:b/>
          <w:sz w:val="21"/>
        </w:rPr>
        <w:t>English Abstract:</w:t>
      </w:r>
    </w:p>
    <w:p>
      <w:r>
        <w:rPr>
          <w:rFonts w:ascii="Times New Roman" w:hAnsi="Times New Roman" w:eastAsia="宋体"/>
          <w:sz w:val="21"/>
        </w:rPr>
        <w:t>Understanding the nutritional physiology of mosquito larvae is crucial for optimizing mass-rearing practices and improving control strategies. Here we combined complementary optical and spectroscopic techniques, including fluorescence microscopy, confocal spectral imaging and Attenuated Total Reflectance (ATR) Fourier transform infrared (FTIR) spectroscopy, to trace food ingestion in Aedes albopictus larvae. Differences in autofluorescence (AF) signal intensity and spatial distribution were observed in the gut of larvae reared in polystyrene (PS) or glass (GL) containers, suggesting that AF may serve as a relative proxy for evaluating ingestion efficiency. Chlorophyll-derived AF was detected outside the gut within the larval body, indicating systemic distribution of food-derived fluorophores. Spectral analysis of rearing water before and after larval development revealed changes in flavin-associated fluorescence profiles, consistent with flavin metabolism. Moreover, ATR-FTIR spectroscopy of larval gut samples revealed differences in chemical functional groups between larvae reared in PS or GL containers, suggesting ingestion of PS-derived material released from rearing containers. Despite the spectroscopic differences observed between rearing conditions, no clear effects were detected on standard mosquito life-history traits. Taken together, these findings highlight the potential of fluorescence- and ATR-FTIR-based techniques as sensitive tools to explore mosquito larval biology and nutrition. These approaches can reveal subtle yet biologically relevant effects of the rearing environment, a key factor in vector control programmes.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基于视频的便携式脑电图设备的情绪识别</w:t>
      </w:r>
    </w:p>
    <w:p>
      <w:r>
        <w:rPr>
          <w:rFonts w:ascii="Times New Roman" w:hAnsi="Times New Roman" w:eastAsia="宋体"/>
          <w:b/>
          <w:color w:val="003264"/>
          <w:sz w:val="24"/>
        </w:rPr>
        <w:t>Video-dominant emotion recognition for portable EEG-based devices</w:t>
      </w:r>
    </w:p>
    <w:p>
      <w:r>
        <w:rPr>
          <w:rFonts w:ascii="Times New Roman" w:hAnsi="Times New Roman" w:eastAsia="宋体"/>
          <w:sz w:val="21"/>
        </w:rPr>
        <w:t>作者: Xinyi Wen, Wei Xu, Lei Tian, Cuijuan Guo, Jinjun Bai</w:t>
        <w:br/>
      </w:r>
      <w:r>
        <w:rPr>
          <w:rFonts w:ascii="Times New Roman" w:hAnsi="Times New Roman" w:eastAsia="宋体"/>
          <w:sz w:val="21"/>
        </w:rPr>
        <w:t xml:space="preserve">时间: 2026-02-09 | </w:t>
      </w:r>
      <w:r>
        <w:t xml:space="preserve">链接: </w:t>
      </w:r>
      <w:hyperlink r:id="rId30">
        <w:r>
          <w:rPr>
            <w:rFonts w:ascii="Times New Roman" w:hAnsi="Times New Roman" w:eastAsia="宋体"/>
            <w:color w:val="0000FF"/>
            <w:sz w:val="21"/>
            <w:u w:val="single"/>
          </w:rPr>
          <w:t>https://doi.org/10.1038/s41598-026-39315-8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脑电图 (EEG) 信号为检测视频观看期间的情绪反应提供了一种有前景的途径，从而能够自动识别视频引发的情绪并提供客观的评估方法。然而，当前的方法面临两个主要限制。首先，情绪标签通常依赖于引入个人偏见的主观自我报告。其次，大多数系统需要高密度电极阵列，这对于便携式应用来说成本高昂且不切实际。为了应对这些挑战，本研究探索使用轻量级脑电图设置进行视频情感识别。我们引入了三种互补策略：（i）动态分层标签校准方法，通过一致性建模和边界细化减少标签主观性； (ii) 多维能量比分析，在保留区分信息的同时压缩信道需求； (iii) 显着性引导的特征选择方法以提高泛化能力。通过从原始数据集中减少 65% 的通道，我们的方法仅使用 11 个通道即可在四类主导视频情感预测中实现 45% 的准确率，同时在跨主题条件下保持有意义的判别性能。除了技术进步之外，这些结果还证明了基于脑电图的系统在捕捉对视频内容的集体情绪反应方面的潜力。该功能支持受众情绪分析、媒体内容评估和情感感知推荐系统的实际应用。</w:t>
      </w:r>
    </w:p>
    <w:p>
      <w:pPr>
        <w:spacing w:before="120"/>
      </w:pPr>
      <w:r>
        <w:rPr>
          <w:rFonts w:ascii="Times New Roman" w:hAnsi="Times New Roman" w:eastAsia="宋体"/>
          <w:b/>
          <w:sz w:val="21"/>
        </w:rPr>
        <w:t>English Abstract:</w:t>
      </w:r>
    </w:p>
    <w:p>
      <w:r>
        <w:rPr>
          <w:rFonts w:ascii="Times New Roman" w:hAnsi="Times New Roman" w:eastAsia="宋体"/>
          <w:sz w:val="21"/>
        </w:rPr>
        <w:t>Electroencephalography (EEG) signals offer a promising avenue for detecting emotional responses during video viewing, enabling the automated recognition of video-induced emotions and providing an objective assessment approach. However, current approaches face two main limitations. First, emotion labels often rely on subjective self-reports that introduce personal bias. Second, most systems require high-density electrode arrays that are costly and impractical for portable applications. To address these challenges, this study explores video emotion recognition using a lightweight EEG setup. We introduce three complementary strategies: (i) a dynamic hierarchical label calibration approach that reduces labeling subjectivity through consistency modeling and boundary refinement; (ii) a multi-dimensional energy ratio analysis that compresses channel requirements while preserving discriminative information; and (iii) a saliency-guided feature selection method to improve generalization capability. By reducing 65% of the channels from the original dataset, our approach achieves 45% accuracy in four-class dominant video emotion prediction using only 11 channels, while maintaining meaningful discriminative performance under cross-subject conditions. Beyond technical advancements, these results demonstrate the potential of EEG-based systems to capture collective emotional responses to video content. This capability supports practical applications in audience sentiment analysis, media content evaluation, and emotion-aware recommendation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基于创新功率转换器的技术，用于自然辐照度下的现场光伏 I-V 表征</w:t>
      </w:r>
    </w:p>
    <w:p>
      <w:r>
        <w:rPr>
          <w:rFonts w:ascii="Times New Roman" w:hAnsi="Times New Roman" w:eastAsia="宋体"/>
          <w:b/>
          <w:color w:val="003264"/>
          <w:sz w:val="24"/>
        </w:rPr>
        <w:t>An innovative power converter based technique for on-site photovoltaic I-V characterization under natural irradiance</w:t>
      </w:r>
    </w:p>
    <w:p>
      <w:r>
        <w:rPr>
          <w:rFonts w:ascii="Times New Roman" w:hAnsi="Times New Roman" w:eastAsia="宋体"/>
          <w:sz w:val="21"/>
        </w:rPr>
        <w:t>作者: Mohammed Rhiat, Firyal Latrache, Mustapha Melhaoui, Ilias Atmane, Imane Ihsane, Mostafa El Ouariachi, Kamal Hirech, Mourad Yessef, Z. M.S. El-Barbary, Saad A. Alqahtani, Badre Bossoufi</w:t>
        <w:br/>
      </w:r>
      <w:r>
        <w:rPr>
          <w:rFonts w:ascii="Times New Roman" w:hAnsi="Times New Roman" w:eastAsia="宋体"/>
          <w:sz w:val="21"/>
        </w:rPr>
        <w:t xml:space="preserve">时间: 2026-02-09 | </w:t>
      </w:r>
      <w:r>
        <w:t xml:space="preserve">链接: </w:t>
      </w:r>
      <w:hyperlink r:id="rId31">
        <w:r>
          <w:rPr>
            <w:rFonts w:ascii="Times New Roman" w:hAnsi="Times New Roman" w:eastAsia="宋体"/>
            <w:color w:val="0000FF"/>
            <w:sz w:val="21"/>
            <w:u w:val="single"/>
          </w:rPr>
          <w:t>https://doi.org/10.1038/s41598-026-39626-w</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本文提出了一种独立的 PV 曲线追踪器，旨在提取电流-电压 (I-V) 和功率-电压 (P-V) 特性，以及具有相同二极管的多二极管模型 (MDM) 的五个参数，有效地将其简化为单二极管模型，以便在真实阳光条件下进行参数提取。该系统由一个作为可编程电子负载运行的定制同步升压转换器组成，其中 PWM 信号的占空比可调节等效电阻。该系统与电压和电流传感器以及外部太阳辐照度和温度传感器集成，可自动提取功率高达 300 W 的光伏电池板的 I-V 和 P-V 曲线。实验在 12 节电池 ET-M53630WW 光伏电池板（VOC = 21.52 V、ISC = 1.8 A、VMP = 17.72 V、IMP = 1.69 A 和 PMP = 30）上进行。 W），展示了系统在实际操作条件下的性能。基于Levenberg-Marquardt方法的非线性最小二乘拟合算法处理提取的曲线，以高精度确定光伏电池板的五个关键参数。实验验证表明，估计和测量的 I-V 曲线几乎相同，最坏情况下的电流偏差仅为 41.5 mA。在标准测试条件（G = 1000 W/m²，T = 298.15 K）下重建的 P-V 曲线与制造商的数据表非常匹配，与额定 30 W 相比，产生的最大功率为 27 W。这些结果突出了所提出的参数提取方法的准确性及其在光伏性能监测、退化分析和教育用途中的潜在应用。</w:t>
      </w:r>
    </w:p>
    <w:p>
      <w:pPr>
        <w:spacing w:before="120"/>
      </w:pPr>
      <w:r>
        <w:rPr>
          <w:rFonts w:ascii="Times New Roman" w:hAnsi="Times New Roman" w:eastAsia="宋体"/>
          <w:b/>
          <w:sz w:val="21"/>
        </w:rPr>
        <w:t>English Abstract:</w:t>
      </w:r>
    </w:p>
    <w:p>
      <w:r>
        <w:rPr>
          <w:rFonts w:ascii="Times New Roman" w:hAnsi="Times New Roman" w:eastAsia="宋体"/>
          <w:sz w:val="21"/>
        </w:rPr>
        <w:t>This paper presents a standalone PV curve tracer designed to extract current-voltage (I-V) and power-voltage (P-V) characteristics, as well as the five parameters of a Multiple-Diode Model (MDM) with identical diodes, effectively reducing it to a single-diode model for parameter extraction, under real sunlight conditions. The system consists of a custom-built synchronous boost converter operating as a programmable electronic load, where the duty cycle of the PWM signal regulates the equivalent resistance. Integrated with voltage and current sensors, along with external solar irradiance and temperature sensors, the system enables the automatic extraction of I-V and P-V curves for PV panels up to 300 W. Experiments were conducted on a 12-cell ET-M53630WW PV panel (VOC = 21.52 V, ISC = 1.8 A, VMP = 17.72 V, IMP = 1.69 A and PMP = 30 W), demonstrating the system’s performance under realistic operating conditions. A nonlinear least squares fitting algorithm based on the Levenberg-Marquardt method processes the extracted curves to determine the five key parameters of the PV panel with high precision. Experimental validation demonstrated that the estimated and measured I-V curves are nearly identical, with a worst-case current deviation of only 41.5 mA. The reconstructed P-V curve at standard test conditions (G = 1000 W/m², T = 298.15 K) closely matched the manufacturer’s datasheet, yielding a maximum power of 27 W compared to the rated 30 W. These results highlight the accuracy of the proposed methodology in parameter extraction and its potential application in PV performance monitoring, degradation analysis, and educational use.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扎格罗斯山脉中部半干旱牧场的地表现象测定及其对气候变量的响应</w:t>
      </w:r>
    </w:p>
    <w:p>
      <w:r>
        <w:rPr>
          <w:rFonts w:ascii="Times New Roman" w:hAnsi="Times New Roman" w:eastAsia="宋体"/>
          <w:b/>
          <w:color w:val="003264"/>
          <w:sz w:val="24"/>
        </w:rPr>
        <w:t>Land surface phenometrics and their responses to climatic variables in the semi-arid rangelands of the central Zagros mountains</w:t>
      </w:r>
    </w:p>
    <w:p>
      <w:r>
        <w:rPr>
          <w:rFonts w:ascii="Times New Roman" w:hAnsi="Times New Roman" w:eastAsia="宋体"/>
          <w:sz w:val="21"/>
        </w:rPr>
        <w:t>作者: Fatemeh Pordel, Reza Jafari, Mostafa Tarkesh Esfahani, Mohsen Ahmadi, Geoffrey M. Henebry, Ataollah Ebrahimi, Adrià Descals, Josep Penuelas</w:t>
        <w:br/>
      </w:r>
      <w:r>
        <w:rPr>
          <w:rFonts w:ascii="Times New Roman" w:hAnsi="Times New Roman" w:eastAsia="宋体"/>
          <w:sz w:val="21"/>
        </w:rPr>
        <w:t xml:space="preserve">时间: 2026-02-09 | </w:t>
      </w:r>
      <w:r>
        <w:t xml:space="preserve">链接: </w:t>
      </w:r>
      <w:hyperlink r:id="rId32">
        <w:r>
          <w:rPr>
            <w:rFonts w:ascii="Times New Roman" w:hAnsi="Times New Roman" w:eastAsia="宋体"/>
            <w:color w:val="0000FF"/>
            <w:sz w:val="21"/>
            <w:u w:val="single"/>
          </w:rPr>
          <w:t>https://doi.org/10.1038/s41598-026-38652-y</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随着气候变化的加速，人们对脆弱的半干旱生态系统的物候变化仍知之甚少，但其重要性却日益凸显。确定牧场生态系统的物候阶段，并量化气候变化如何随时间影响每个阶段，对于有效的牧场管理至关重要。本研究旨在调查 2000 年至 2023 年伊朗 Chaharmahal-Va-Bakhtiari (CVB) 省半干旱牧场地表物候 (LSP) 的长期趋势以及气候变化对 LSP 的影响。利用 MODIS NDVI 卫星数据，分析了关键的 LSP 指标，包括生长季开始 (SOS)、生长季高峰 (POS)、生长季结束。 (EOS)、生长季长度 (LOS) 和最大植被绿度 (maxNDVI)。研究结果表明了重大变化：SOS、POS 和 EOS 发生得更早，导致许多地区的生长季节缩短。这些变化与降水、温度和潜在蒸散量等气候变量有很强的相关性，其中温度与 SOS 的变化关系最为显着。 Sen 斜率趋势分析显示，25.74% 的研究区域在 SOS 方面取得了进步，23.2% 在 POS 方面取得了进步，在 EOS 方面取得了 32.3% 的进步。此外，70% 的像素的 LOS 有所下降，且变化显着。这项研究表明，CVB 半干旱牧场的物候模式正在因气候变化而发生变化。这些发现强调需要实施适应性管理策略以维持这些脆弱生态系统的可持续性。</w:t>
      </w:r>
    </w:p>
    <w:p>
      <w:pPr>
        <w:spacing w:before="120"/>
      </w:pPr>
      <w:r>
        <w:rPr>
          <w:rFonts w:ascii="Times New Roman" w:hAnsi="Times New Roman" w:eastAsia="宋体"/>
          <w:b/>
          <w:sz w:val="21"/>
        </w:rPr>
        <w:t>English Abstract:</w:t>
      </w:r>
    </w:p>
    <w:p>
      <w:r>
        <w:rPr>
          <w:rFonts w:ascii="Times New Roman" w:hAnsi="Times New Roman" w:eastAsia="宋体"/>
          <w:sz w:val="21"/>
        </w:rPr>
        <w:t>As climate change accelerates, phenological shifts in vulnerable semi-arid ecosystems remain poorly understood yet are of increasingly critical. Identifying the phenological stages of rangeland ecosystems, and quantifying how climate change affects each stage over time, is essential for effective rangeland management. This study aimed to investigate the long-term trends in land surface phenology (LSP) and the impact of climate variations on LSP in the semi-arid rangelands of Chaharmahal-Va-Bakhtiari (CVB) Province, Iran, from 2000 to 2023. Utilizing satellite data from MODIS NDVI, key LSP metrics were analyzed, including the start of the growing season (SOS), peak of the growing season (POS), end of the growing season (EOS), length of the growing season (LOS), and maximum vegetation greenness (maxNDVI). The findings indicate significant shifts: SOS, POS and EOS are occurring earlier, resulting in shorter growing season in many regions. These changes show strong correlations with climatic variables such as precipitation, temperature, and potential evapotranspiration, with temperature exhibiting the most significant relationship to changes in SOS. The Sen’s slope trend analysis showed that 25.74% of the study area experienced advancements in SOS, 23.2% % in POS, and 32.3% in EOS. Additionally, LOS has decreased in 70% of pixels with significant change. This study demonstrates that phenological patterns in the semi-arid rangelands of CVB are shifting in response to climate change. These findings highlight the need to implement adaptive management strategies to maintain the sustainability of these fragile ecosystems.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静电纺大麻/聚丙烯腈复合纤维膜及染料吸附能力探讨</w:t>
      </w:r>
    </w:p>
    <w:p>
      <w:r>
        <w:rPr>
          <w:rFonts w:ascii="Times New Roman" w:hAnsi="Times New Roman" w:eastAsia="宋体"/>
          <w:b/>
          <w:color w:val="003264"/>
          <w:sz w:val="24"/>
        </w:rPr>
        <w:t>Exploration of electrospinning hemp/polyacrylonitrile composite fiber membrane and dye adsorption capabilities</w:t>
      </w:r>
    </w:p>
    <w:p>
      <w:r>
        <w:rPr>
          <w:rFonts w:ascii="Times New Roman" w:hAnsi="Times New Roman" w:eastAsia="宋体"/>
          <w:sz w:val="21"/>
        </w:rPr>
        <w:t>作者: Ying Sun, Jiayi Wang, Weishuai Kong, Yucan Jia</w:t>
        <w:br/>
      </w:r>
      <w:r>
        <w:rPr>
          <w:rFonts w:ascii="Times New Roman" w:hAnsi="Times New Roman" w:eastAsia="宋体"/>
          <w:sz w:val="21"/>
        </w:rPr>
        <w:t xml:space="preserve">时间: 2026-02-09 | </w:t>
      </w:r>
      <w:r>
        <w:t xml:space="preserve">链接: </w:t>
      </w:r>
      <w:hyperlink r:id="rId33">
        <w:r>
          <w:rPr>
            <w:rFonts w:ascii="Times New Roman" w:hAnsi="Times New Roman" w:eastAsia="宋体"/>
            <w:color w:val="0000FF"/>
            <w:sz w:val="21"/>
            <w:u w:val="single"/>
          </w:rPr>
          <w:t>https://doi.org/10.1038/s41598-025-33369-w</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纺织印染废水水质复杂，危害极大。阳离子亚甲蓝染料作为一种常见污染物，对健康有害。因此，吸附技术在废水处理中起着至关重要的作用。为了研究大麻/聚丙烯腈纳米复合纤维膜在染料吸附中的应用，本研究采用静电纺丝技术。本研究采用静电纺丝法制备用于染料吸附的大麻/聚丙烯腈纳米复合纤维膜。将大麻纤维溶解在LiCl/DMAc中，与聚丙烯腈溶液共混，经过单因素优化后进行静电纺丝。结果表明，大麻/聚丙烯腈复合纤维膜直径分布均匀，亲水性良好，具有优异的机械物理性能。颗粒物过滤测试表明，该膜的过滤效率可达99.97%。大麻/聚丙烯腈复合纤维膜对亚甲基蓝的吸附更符合准二级动力学模型和Langmuir吸附等温线模型，表明其主要以化学吸附为主。吸附过程是自发吸热反应，温度越高越有利于吸附，吸附量可达75.85 mg/g。这种简单的方法产生了具有优异的染料吸附和颗粒过滤性能的膜。</w:t>
      </w:r>
    </w:p>
    <w:p>
      <w:pPr>
        <w:spacing w:before="120"/>
      </w:pPr>
      <w:r>
        <w:rPr>
          <w:rFonts w:ascii="Times New Roman" w:hAnsi="Times New Roman" w:eastAsia="宋体"/>
          <w:b/>
          <w:sz w:val="21"/>
        </w:rPr>
        <w:t>English Abstract:</w:t>
      </w:r>
    </w:p>
    <w:p>
      <w:r>
        <w:rPr>
          <w:rFonts w:ascii="Times New Roman" w:hAnsi="Times New Roman" w:eastAsia="宋体"/>
          <w:sz w:val="21"/>
        </w:rPr>
        <w:t>Textile printing and dyeing wastewater has complex water quality and causes great harm. As a common pollutant, the cationic methylene blue dye is harmful to health. Therefore, adsorption technology plays a crucial role in wastewater treatment. To study the application of hemp/polyacrylonitrile nanocomposite fiber membranes in dye adsorption, this study employed electrospinning technology. This study used electrospinning to prepare hemp/polyacrylonitrile nanocomposite fiber membranes for dye adsorption. Hemp fibers were dissolved in LiCl/DMAc, blended with polyacrylonitrile solution, and electrospun after single-factor optimization. The results show that the hemp/polyacrylonitrile composite fiber membrane has a uniform diameter distribution, good hydrophilicity, and excellent mechanical and physical properties. The particulate matter filtration test reveals that the membrane’s filtration efficiency can reach 99.97%. The adsorption of methylene blue by the hemp/polyacrylonitrile composite fiber membrane is more consistent with the pseudo-second-order kinetic model and the Langmuir adsorption isotherm model, indicating that it is mainly dominated by chemical adsorption. The adsorption process is a spontaneous endothermic reaction, and a higher temperature is more conducive to adsorption, with an adsorption capacity of up to 75.85 mg/g. The simple method yielded membranes with excellent dye adsorption and particulate filtration performance.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MM-GradCAM：一种改进的多模式 GradCAM 方法，具有 1D 和 2D ECG 数据，用于检测心律失常</w:t>
      </w:r>
    </w:p>
    <w:p>
      <w:r>
        <w:rPr>
          <w:rFonts w:ascii="Times New Roman" w:hAnsi="Times New Roman" w:eastAsia="宋体"/>
          <w:b/>
          <w:color w:val="003264"/>
          <w:sz w:val="24"/>
        </w:rPr>
        <w:t>MM-GradCAM: an improved multimodal GradCAM method with 1D and 2D ECG data for detection of cardiac arrhythmia</w:t>
      </w:r>
    </w:p>
    <w:p>
      <w:r>
        <w:rPr>
          <w:rFonts w:ascii="Times New Roman" w:hAnsi="Times New Roman" w:eastAsia="宋体"/>
          <w:sz w:val="21"/>
        </w:rPr>
        <w:t>作者: Fatma Murat Duranay, Ender Murat, Özal Yıldırım, Yakup Demir, Ru-San Tan, Niranjana Sampathila, U. Rajendra Acharya</w:t>
        <w:br/>
      </w:r>
      <w:r>
        <w:rPr>
          <w:rFonts w:ascii="Times New Roman" w:hAnsi="Times New Roman" w:eastAsia="宋体"/>
          <w:sz w:val="21"/>
        </w:rPr>
        <w:t xml:space="preserve">时间: 2026-02-09 | </w:t>
      </w:r>
      <w:r>
        <w:t xml:space="preserve">链接: </w:t>
      </w:r>
      <w:hyperlink r:id="rId34">
        <w:r>
          <w:rPr>
            <w:rFonts w:ascii="Times New Roman" w:hAnsi="Times New Roman" w:eastAsia="宋体"/>
            <w:color w:val="0000FF"/>
            <w:sz w:val="21"/>
            <w:u w:val="single"/>
          </w:rPr>
          <w:t>https://doi.org/10.1038/s41598-026-38654-w</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由于心律失常仍然是全世界死亡的主要原因之一，心律失常的早期、准确诊断对于改善患者的预后至关重要。心电图 (ECG) 分析在这些疾病的诊断中发挥着至关重要的作用，深度学习的最新进展导致自动心电图解读方面取得了重大进展。然而，这些模型的“黑匣子”性质限制了临床信心，并凸显了对可解释的人工智能方法的需求。本研究提出了一种创新的 MM-GradCAM 方法，该方法结合了两种不同的数据格式，为 1D ECG 信号和 2D ECG 图像数据提供了可解释性。使用超过 10,000 名患者的数据集，开发了能够进行四级心律失常检测的 17 层 CNN 模型，并为每种数据形式获得了单独的可解释性输出。心脏病专家对所得的可解释性图进行了评估，并验证了模型的可解释性和临床意义。信号形式的准确率达到93.07%，图像形式的准确率达到97.44%。作为医疗诊断可解释性的开创性方法，MM-GradCAM 有潜力提高医疗 AI 应用的可靠性和透明度。</w:t>
      </w:r>
    </w:p>
    <w:p>
      <w:pPr>
        <w:spacing w:before="120"/>
      </w:pPr>
      <w:r>
        <w:rPr>
          <w:rFonts w:ascii="Times New Roman" w:hAnsi="Times New Roman" w:eastAsia="宋体"/>
          <w:b/>
          <w:sz w:val="21"/>
        </w:rPr>
        <w:t>English Abstract:</w:t>
      </w:r>
    </w:p>
    <w:p>
      <w:r>
        <w:rPr>
          <w:rFonts w:ascii="Times New Roman" w:hAnsi="Times New Roman" w:eastAsia="宋体"/>
          <w:sz w:val="21"/>
        </w:rPr>
        <w:t>Abstract As cardiac arrhythmia remains one of the leading causes of death worldwide, early and accurate diagnosis of cardiac arrhythmia is critical to improving patient outcomes. Electrocardiogram (ECG) analysis plays a critical role in the diagnosis of these diseases, and recent advances in deep learning have led to significant advances in automated ECG interpretation. However, the “black box” nature of these models limits clinical confidence and highlights the need for explainable artificial intelligence methods. This study presents an innovative MM-GradCAM method that combines two different data formats, providing explainability for both 1D ECG signal and 2D ECG image data. Using a dataset of more than 10,000 patients, a 17-layer CNN model capable of four-class arrhythmia detection was developed and separate explainability outputs were obtained for each data form. The resulting explainability maps were evaluated by a cardiologist and the interpretability and clinical significance of the model were verified. The signal form achieved 93.07% accuracy, while the image form achieved 97.44% accuracy. As a pioneering approach for explainability in medical diagnosis, MM-GradCAM has the potential to increase reliability and transparency in medical AI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集成的单细胞和机器学习框架揭示了预后成纤维细胞亚型并构建了肺腺癌中成纤维细胞相关的风险特征</w:t>
      </w:r>
    </w:p>
    <w:p>
      <w:r>
        <w:rPr>
          <w:rFonts w:ascii="Times New Roman" w:hAnsi="Times New Roman" w:eastAsia="宋体"/>
          <w:b/>
          <w:color w:val="003264"/>
          <w:sz w:val="24"/>
        </w:rPr>
        <w:t>Integrative single-cell and machine learning framework reveals prognostic fibroblast subtypes and constructs a fibroblast-related risk signature in lung adenocarcinoma</w:t>
      </w:r>
    </w:p>
    <w:p>
      <w:r>
        <w:rPr>
          <w:rFonts w:ascii="Times New Roman" w:hAnsi="Times New Roman" w:eastAsia="宋体"/>
          <w:sz w:val="21"/>
        </w:rPr>
        <w:t>作者: Shizhao Cheng, Han Zhang, Qiuqiao Mu, Hao Zhang, Lin Tan, Daqiang Sun</w:t>
        <w:br/>
      </w:r>
      <w:r>
        <w:rPr>
          <w:rFonts w:ascii="Times New Roman" w:hAnsi="Times New Roman" w:eastAsia="宋体"/>
          <w:sz w:val="21"/>
        </w:rPr>
        <w:t xml:space="preserve">时间: 2026-02-09 | </w:t>
      </w:r>
      <w:r>
        <w:t xml:space="preserve">链接: </w:t>
      </w:r>
      <w:hyperlink r:id="rId35">
        <w:r>
          <w:rPr>
            <w:rFonts w:ascii="Times New Roman" w:hAnsi="Times New Roman" w:eastAsia="宋体"/>
            <w:color w:val="0000FF"/>
            <w:sz w:val="21"/>
            <w:u w:val="single"/>
          </w:rPr>
          <w:t>https://doi.org/10.1038/s41598-026-35830-w</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肺腺癌（LUAD）是非小细胞肺癌的主要亚型，并且继续对全球癌症死亡率产生重大影响。在肿瘤生态系统中，癌症相关成纤维细胞 (CAF) 是显着影响 LUAD 进展的关键基质成分。然而，它们的表型多样性和临床意义仍未完全阐明。我们整合了两个单细胞 RNA 测序数据集（GSE171145 和 GSE189357）来描绘 LUAD 中成纤维细胞的转录景观和发育轨迹。通过将成纤维细胞特异性标记物与 TCGA-LUAD 队列中的差异表达基因交叉，然后进行单变量 Cox 分析和机器学习建模，开发了成纤维细胞相关特征 (FRS)。总共评估了 10 种机器学习算法的 101 种组合。 FRS 的预后价值在多个 GEO 数据集上得到了验证。我们进一步研究了它与免疫浸润、基因组改变和治疗反应的关联。核心基因TIMP1经过体外和临床验证。我们在 LUAD 中发现了明显的成纤维细胞异质性，通过伪时间分析揭示了不同的分化轨迹。构建的 FRS 在各队列中表现出强大的预后性能，并且与免疫抑制特征、肿瘤突变负担和预测的免疫治疗结果显着相关。临床上，FRS 作为独立的预后指标，与列线图中的 TNM 分期结合时显示出良好的校准效果。 TIMP1 是单变量 Cox 分析中排名最高的风险基因之一，被证实在肿瘤样本中表达上调，并在体外促进细胞侵袭和增殖，支持其在 LUAD 进展中的功能作用。这项研究通过综合单细胞和批量转录组分析开发了基于成纤维细胞的预后特征。 FRS 有效对 LUAD 患者进行分层，并强调成纤维细胞在塑造肿瘤进展中的动态作用，提供潜在的生物标志物和治疗靶点。</w:t>
      </w:r>
    </w:p>
    <w:p>
      <w:pPr>
        <w:spacing w:before="120"/>
      </w:pPr>
      <w:r>
        <w:rPr>
          <w:rFonts w:ascii="Times New Roman" w:hAnsi="Times New Roman" w:eastAsia="宋体"/>
          <w:b/>
          <w:sz w:val="21"/>
        </w:rPr>
        <w:t>English Abstract:</w:t>
      </w:r>
    </w:p>
    <w:p>
      <w:r>
        <w:rPr>
          <w:rFonts w:ascii="Times New Roman" w:hAnsi="Times New Roman" w:eastAsia="宋体"/>
          <w:sz w:val="21"/>
        </w:rPr>
        <w:t>Lung adenocarcinoma (LUAD) is a major subtype of non-small cell lung cancer and continues to contribute substantially to global cancer mortality. Within the tumor ecosystem, cancer-associated fibroblasts (CAFs) are key stromal components that significantly influence LUAD progression. However, their phenotypic diversity and clinical implications remain incompletely elucidated. We integrated two single-cell RNA sequencing datasets (GSE171145 and GSE189357) to delineate the transcriptional landscape and developmental trajectory of fibroblasts in LUAD. A fibroblast-related signature (FRS) was developed by intersecting fibroblast-specific markers with differentially expressed genes from the TCGA-LUAD cohort, followed by univariate Cox analysis and machine learning modeling. A total of 101 combinations of ten machine learning algorithms were evaluated. The prognostic value of the FRS was validated across multiple GEO datasets. We further investigated its associations with immune infiltration, genomic alterations, and therapeutic response. The core gene TIMP1 was subjected to in vitro and clinical validation. We identified pronounced fibroblast heterogeneity in LUAD, with distinct differentiation trajectories revealed by pseudotime analysis. The constructed FRS exhibited robust prognostic performance across cohorts and was significantly correlated with immunosuppressive features, tumor mutation burden, and predicted immunotherapy outcomes. Clinically, the FRS served as an independent prognostic indicator and showed favorable calibration when combined with TNM stage in a nomogram. TIMP1, one of the top-ranked risk genes in univariate Cox analysis, was confirmed to be upregulated in tumor samples and to promote cell invasion and proliferation in vitro, supporting its functional role in LUAD progression. This study developed a fibroblast-based prognostic signature through integrative single-cell and bulk transcriptomic analyses. The FRS effectively stratifies LUAD patients and highlights the dynamic roles of fibroblasts in shaping tumor progression, providing potential biomarkers and therapeutic targets.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研究膨胀珍珠岩和石灰泥对含纸浆污泥的水泥粘结复合材料的影响</w:t>
      </w:r>
    </w:p>
    <w:p>
      <w:r>
        <w:rPr>
          <w:rFonts w:ascii="Times New Roman" w:hAnsi="Times New Roman" w:eastAsia="宋体"/>
          <w:b/>
          <w:color w:val="003264"/>
          <w:sz w:val="24"/>
        </w:rPr>
        <w:t>Investigating the influence of expanded perlite and lime mud on cement-bonded composites containing pulp sludge</w:t>
      </w:r>
    </w:p>
    <w:p>
      <w:r>
        <w:rPr>
          <w:rFonts w:ascii="Times New Roman" w:hAnsi="Times New Roman" w:eastAsia="宋体"/>
          <w:sz w:val="21"/>
        </w:rPr>
        <w:t>作者: Stephen O. Amiandamhen, Carsten Mai, Joran van Blokland, Geoffrey Daniel, Stergios Adamopoulos</w:t>
        <w:br/>
      </w:r>
      <w:r>
        <w:rPr>
          <w:rFonts w:ascii="Times New Roman" w:hAnsi="Times New Roman" w:eastAsia="宋体"/>
          <w:sz w:val="21"/>
        </w:rPr>
        <w:t xml:space="preserve">时间: 2026-02-09 | </w:t>
      </w:r>
      <w:r>
        <w:t xml:space="preserve">链接: </w:t>
      </w:r>
      <w:hyperlink r:id="rId36">
        <w:r>
          <w:rPr>
            <w:rFonts w:ascii="Times New Roman" w:hAnsi="Times New Roman" w:eastAsia="宋体"/>
            <w:color w:val="0000FF"/>
            <w:sz w:val="21"/>
            <w:u w:val="single"/>
          </w:rPr>
          <w:t>https://doi.org/10.1038/s41598-026-39390-x</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本文对含有纸浆污泥（PS）的轻质水泥复合材料进行了综合研究。该研究的目的是评估珍珠岩（一种轻质火山玻璃骨料）和石灰泥（一种纸浆厂残渣）的结合如何影响复合材料的性能，包括机械强度、绝缘性和耐火性。高达 50% 的水泥粘结剂被 PS 替代（按质量计），小部分水泥 (5-15%) 被珍珠岩或石灰泥替代。采用了一套分析技术、材料表征和机械测试以及用于应变分析的数字图像相关 (DIC)。 X 射线分析表明，骨料由于其粒径和与水泥形成水合凝胶的能力，在很大程度上影响了复合材料的性能。添加 5% 的珍珠岩或石灰泥可在不影响重量减轻的情况下产生最佳强度，而较高的骨料含量 (15%) 会导致强度降低。 DIC 系统提供了对加载过程中应变分布的深入了解，证实了纤维 PS 的韧性增强。该复合材料明显更轻（732-749 kg/m 3 ），并且导热系数（0.17 W/mK）比纯水泥复合材料（0.25 W/mK）低约30%。由于其结构致密，复合材料的中高频法向入射吸声率约为0.3。该复合材料显示出作为可持续、轻质建筑材料的潜力，具有良好的隔音和隔热性能，以及基于 EN 634-1/-2 对水泥粘合刨花板的要求的非结构应用可接受的承载能力。</w:t>
      </w:r>
    </w:p>
    <w:p>
      <w:pPr>
        <w:spacing w:before="120"/>
      </w:pPr>
      <w:r>
        <w:rPr>
          <w:rFonts w:ascii="Times New Roman" w:hAnsi="Times New Roman" w:eastAsia="宋体"/>
          <w:b/>
          <w:sz w:val="21"/>
        </w:rPr>
        <w:t>English Abstract:</w:t>
      </w:r>
    </w:p>
    <w:p>
      <w:r>
        <w:rPr>
          <w:rFonts w:ascii="Times New Roman" w:hAnsi="Times New Roman" w:eastAsia="宋体"/>
          <w:sz w:val="21"/>
        </w:rPr>
        <w:t>Abstract This paper presents a comprehensive study on lightweight cement-bonded composites containing pulp sludge (PS). The objective of the study was to evaluate how the incorporation of perlite (a lightweight volcanic glass aggregate) and lime mud (a pulp mill residue) influences composites’ properties including mechanical strength, insulation and fire resistance. Up to 50% of the cement binder was replaced with PS (by mass), and small fractions of cement (5–15%) were replaced with perlite or lime mud. A suite of analytical techniques, material characterization and mechanical tests with digital image correlation (DIC) for strain analysis were employed. X-ray analysis showed that the aggregates influenced the composite properties to a considerable extent due to their particle sizes and ability to form hydrated gels with cement. Adding 5% of perlite or lime mud yields optimal strength without compromising weight reduction whereas higher aggregate content (15%) led to reduced strength. The DIC system provided insights into strain distribution during loading, confirming enhanced toughness from the fibrous PS. The composites were significantly lighter (732–749 kg/m 3 ) and showed about 30% lower thermal conductivity (0.17 W/mK) than pure cement composites (0.25 W/mK). The normal incidence sound absorption of the composites was about 0.3 at mid-high frequencies due to their compact structure. The composites demonstrated potential for use as sustainable, lightweight construction materials with good acoustic and thermal insulation, as well as acceptable load-bearing capacity for non-structural applications based on EN 634-1/-2 requirements for cement-bonded particleboards.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碳化硅纳米颗粒对碳玻璃环氧杂化复合材料机械和振动特性的影响</w:t>
      </w:r>
    </w:p>
    <w:p>
      <w:r>
        <w:rPr>
          <w:rFonts w:ascii="Times New Roman" w:hAnsi="Times New Roman" w:eastAsia="宋体"/>
          <w:b/>
          <w:color w:val="003264"/>
          <w:sz w:val="24"/>
        </w:rPr>
        <w:t>Effects of silicon carbide nanoparticles on mechanical and vibrational characteristics of carbon glass epoxy hybrid composites</w:t>
      </w:r>
    </w:p>
    <w:p>
      <w:r>
        <w:rPr>
          <w:rFonts w:ascii="Times New Roman" w:hAnsi="Times New Roman" w:eastAsia="宋体"/>
          <w:sz w:val="21"/>
        </w:rPr>
        <w:t>作者: K. S. Suhas, Vamsi Krishna Reddy, Yeturi Thirumanas Reddy, Yogeesha Pai</w:t>
        <w:br/>
      </w:r>
      <w:r>
        <w:rPr>
          <w:rFonts w:ascii="Times New Roman" w:hAnsi="Times New Roman" w:eastAsia="宋体"/>
          <w:sz w:val="21"/>
        </w:rPr>
        <w:t xml:space="preserve">时间: 2026-02-09 | </w:t>
      </w:r>
      <w:r>
        <w:t xml:space="preserve">链接: </w:t>
      </w:r>
      <w:hyperlink r:id="rId37">
        <w:r>
          <w:rPr>
            <w:rFonts w:ascii="Times New Roman" w:hAnsi="Times New Roman" w:eastAsia="宋体"/>
            <w:color w:val="0000FF"/>
            <w:sz w:val="21"/>
            <w:u w:val="single"/>
          </w:rPr>
          <w:t>https://doi.org/10.1038/s41598-026-39559-4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摘要：本研究对嵌入不同重量百分比的碳化硅 (SiC) 纳米颗粒的碳/玻璃纤维增​​强环氧混合层压板的机械、振动和声学性能进行了实验研究。层压板采用压缩成型工艺制造，采用碳纤维和玻璃纤维的六层交替堆叠顺序。进行了一系列全面的测试，以评估弯曲强度、拉伸性能、抗冲击性、自由振动特性和吸音性能。机械测试表明，含有 3 wt% SiC 的层压板达到了最高的拉伸强度 258.8 MPa、弯曲强度 292.6 MPa、杨氏模量 19.13 GPa 和冲击强度 67.9 kJ/m 2 ，表明由于均匀的纳米颗粒分散而实现了最佳的增强和有效的应力传递。与未增强（0 wt%）复合材料相比，这些值分别对应于约 19.05%、15.22%、15.37% 和 7.65% 的改进。 SEM 分析证实了最佳填料含量下纤维-基体相互作用的改善和微观结构缺陷的最小化。相反，5 wt% SiC 样品表现出机械性能下降，这归因于颗粒团聚和界面结合减弱。振动分析表明，SiC 含量为 3 wt% 时，刚度和固有频率达到峰值，而阻尼性能则随着填料用量的增加而下降。声学测试表明，随着 SiC 含量的增加，传输损耗也会增加，其中 5 wt% 可产生最佳的声音衰减性能。研究得出的结论是，当填料含量优化时，将 SiC 纳米颗粒纳入碳/玻璃混合复合材料中可显着提高其多功能性能，其中 3 wt% 的 SiC 成分可在强度、刚度和声学效率之间实现最佳平衡。通过开发用于可持续航空航天/运输基础设施的弹性轻质复合材料，通过提高效率减少排放，从而推进 SDG 9（工业、创新和基础设施）。</w:t>
      </w:r>
    </w:p>
    <w:p>
      <w:pPr>
        <w:spacing w:before="120"/>
      </w:pPr>
      <w:r>
        <w:rPr>
          <w:rFonts w:ascii="Times New Roman" w:hAnsi="Times New Roman" w:eastAsia="宋体"/>
          <w:b/>
          <w:sz w:val="21"/>
        </w:rPr>
        <w:t>English Abstract:</w:t>
      </w:r>
    </w:p>
    <w:p>
      <w:r>
        <w:rPr>
          <w:rFonts w:ascii="Times New Roman" w:hAnsi="Times New Roman" w:eastAsia="宋体"/>
          <w:sz w:val="21"/>
        </w:rPr>
        <w:t>Abstract This study presents an experimental investigation into the mechanical, vibrational, and acoustic properties of carbon/glass fibre-reinforced epoxy hybrid laminates embedded with varying weight percentages of silicon carbide (SiC) nanoparticles. The laminates were fabricated using compression moulding, with a six-layer alternating stacking sequence of carbon and glass fibres. A comprehensive series of tests was conducted to assess flexural strength, tensile behaviour, impact resistance, free-vibration characteristics, and sound-absorption performance. Mechanical tests revealed that the laminate with 3 wt% SiC achieved the highest tensile strength of 258.8 MPa, flexural strength of 292.6 MPa, Young’s modulus of 19.13 GPa, and impact strength of 67.9 kJ/m 2 , indicating optimal reinforcement and efficient stress transfer due to uniform nanoparticle dispersion. These values correspond to improvements of approximately 19.05%, 15.22%, 15.37%, and 7.65%, respectively, compared to the unreinforced (0 wt%) composite. SEM analysis substantiated the improved fibre–matrix interaction and the minimal microstructural defects at the optimal filler content. Conversely, the 5 wt% SiC specimens exhibited reduced mechanical performance, attributed to particle agglomeration and weakened interfacial bonding. Vibration analysis indicated a peak in stiffness and natural frequency at 3 wt% SiC, while damping behaviour declined with increasing filler loading. Acoustic testing showed enhanced transmission loss with increasing SiC content, with 5 wt% yielding the best sound-attenuation performance. The study concludes that incorporating SiC nanoparticles into carbon/glass hybrid composites significantly improves their multifunctional performance when the filler content is optimized, with the 3 wt% SiC composition offering the best balance between strength, stiffness, and acoustic efficiency.This advances SDG 9 (Industry, Innovation and Infrastructure) by developing resilient, lightweight composites for sustainable aerospace/transport infrastructure, reducing emissions via efficiency gains.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 2D DPS-OCDMA 的高容量、安全的星间光无线通信</w:t>
      </w:r>
    </w:p>
    <w:p>
      <w:r>
        <w:rPr>
          <w:rFonts w:ascii="Times New Roman" w:hAnsi="Times New Roman" w:eastAsia="宋体"/>
          <w:b/>
          <w:color w:val="003264"/>
          <w:sz w:val="24"/>
        </w:rPr>
        <w:t>High-capacity and secure inter-satellite optical wireless communication using 2D DPS-OCDMA</w:t>
      </w:r>
    </w:p>
    <w:p>
      <w:r>
        <w:rPr>
          <w:rFonts w:ascii="Times New Roman" w:hAnsi="Times New Roman" w:eastAsia="宋体"/>
          <w:sz w:val="21"/>
        </w:rPr>
        <w:t>作者: Ammar Armghan, Somia A. Abd El-Mottaleb, Sultan S. Aldkeelalah, Slim Chaoui, Ahmed Emara, Mehtab Singh</w:t>
        <w:br/>
      </w:r>
      <w:r>
        <w:rPr>
          <w:rFonts w:ascii="Times New Roman" w:hAnsi="Times New Roman" w:eastAsia="宋体"/>
          <w:sz w:val="21"/>
        </w:rPr>
        <w:t xml:space="preserve">时间: 2026-02-09 | </w:t>
      </w:r>
      <w:r>
        <w:t xml:space="preserve">链接: </w:t>
      </w:r>
      <w:hyperlink r:id="rId38">
        <w:r>
          <w:rPr>
            <w:rFonts w:ascii="Times New Roman" w:hAnsi="Times New Roman" w:eastAsia="宋体"/>
            <w:color w:val="0000FF"/>
            <w:sz w:val="21"/>
            <w:u w:val="single"/>
          </w:rPr>
          <w:t>https://doi.org/10.1038/s41598-026-38694-2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卫星间光无线通信 (IsOWC) 已成为下一代卫星网络中高容量和安全链路的一项有前景的技术。然而，整体系统效率高度依赖于几个设计因素，包括接收器孔径尺寸、指向误差、光学效率和额外传播损耗，必须仔细解决这些因素，以确保在长距离卫星间可靠运行。本文提出了一种增强的 IsOWC 模型，该模型采用基于对角置换移位 (DPS) 码的二维光码分多址 (2D-OCDMA) 来增强链路容量，同时保持安全传输。通过改变卫星间链路（ISL）、接收孔径直径、指向误差、光传输效率，在不同的信道场景下对所提出的系统进行评估。使用误码率 (BER)、Q 因子和目视检查等指标来评估系统性能。结果表明，采用2D-OCDMA显着提高了传输质量，实现了长达16,000公里的可靠通信。此外，使用 2D DPS 代码提供了固有的安全性，因为数据只能由配备适当代码序列的接收器解码。此外，所提出的系统支持 120 Gbps 的总体数据速率，在实际条件下，BER 值远低于前向纠错 (FEC) 阈值 (3.8 × 10−3)。</w:t>
      </w:r>
    </w:p>
    <w:p>
      <w:pPr>
        <w:spacing w:before="120"/>
      </w:pPr>
      <w:r>
        <w:rPr>
          <w:rFonts w:ascii="Times New Roman" w:hAnsi="Times New Roman" w:eastAsia="宋体"/>
          <w:b/>
          <w:sz w:val="21"/>
        </w:rPr>
        <w:t>English Abstract:</w:t>
      </w:r>
    </w:p>
    <w:p>
      <w:r>
        <w:rPr>
          <w:rFonts w:ascii="Times New Roman" w:hAnsi="Times New Roman" w:eastAsia="宋体"/>
          <w:sz w:val="21"/>
        </w:rPr>
        <w:t>Inter-satellite optical wireless communication (IsOWC) has emerged as a promising technology for high-capacity and secure links in next-generation satellite networks. The overall system efficiency, however, is highly dependent on several design factors, including the receiver aperture size, pointing error, optical efficiency, and additional propagation losses, which must be carefully addressed to ensure reliable operation over long inter-satellite distances. This paper proposes an enhanced IsOWC model that employs two-dimensional optical code division multiple access (2D-OCDMA) based on diagonal permutation shift (DPS) codes to enhance link capacity while maintaining secure transmission. The proposed system is assessed under diverse channel scenarios by altering the inter-satellite link (ISL), the diameter of the receiving aperture, pointing inaccuracies, optical transmission efficiency. System performance is evaluated using metrics including bit error rate (BER), Q-factor, and visual inspection. The results demonstrate that the adoption of 2D-OCDMA significantly improves transmission quality, achieving reliable communication over ranges up to 16,000 km. Furthermore, using 2D DPS code provides inherent security, since data can only be decoded by receivers equipped with the proper code sequence. Additionally, the proposed system supports an overall data rate of 120 Gbps with BER values well below the forward error correction (FEC) threshold (3.8 × 10−3) under realistic conditions.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通过生物炭和腐殖酸种子引发提高扁豆的种子质量和生理生化参数</w:t>
      </w:r>
    </w:p>
    <w:p>
      <w:r>
        <w:rPr>
          <w:rFonts w:ascii="Times New Roman" w:hAnsi="Times New Roman" w:eastAsia="宋体"/>
          <w:b/>
          <w:color w:val="003264"/>
          <w:sz w:val="24"/>
        </w:rPr>
        <w:t>Enhanced seed quality and physio-biochemical parameters in lentil through biochar and humic acid- based seed priming</w:t>
      </w:r>
    </w:p>
    <w:p>
      <w:r>
        <w:rPr>
          <w:rFonts w:ascii="Times New Roman" w:hAnsi="Times New Roman" w:eastAsia="宋体"/>
          <w:sz w:val="21"/>
        </w:rPr>
        <w:t>作者: Sumit Chauhan, Karthik Bhardwaj, Deepak Rao, Narender Pal, Rajneesh Kumar, Ajaz Ahmed Lone, Mehdi Rahimi</w:t>
        <w:br/>
      </w:r>
      <w:r>
        <w:rPr>
          <w:rFonts w:ascii="Times New Roman" w:hAnsi="Times New Roman" w:eastAsia="宋体"/>
          <w:sz w:val="21"/>
        </w:rPr>
        <w:t xml:space="preserve">时间: 2026-02-09 | </w:t>
      </w:r>
      <w:r>
        <w:t xml:space="preserve">链接: </w:t>
      </w:r>
      <w:hyperlink r:id="rId39">
        <w:r>
          <w:rPr>
            <w:rFonts w:ascii="Times New Roman" w:hAnsi="Times New Roman" w:eastAsia="宋体"/>
            <w:color w:val="0000FF"/>
            <w:sz w:val="21"/>
            <w:u w:val="single"/>
          </w:rPr>
          <w:t>https://doi.org/10.1038/s41598-026-39380-z</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小扁豆 (Lens culinaris Medik.) 是一种营养价值很高的豆类作物，可通过生物固氮提高粮食安全和土壤肥力。然而，其生产力往往受到发芽不良和幼苗生长不均匀的限制。这项研究调查了生物炭和腐殖酸作为可持续的种子引发剂来改善扁豆种子的性能。经过初步优化后，在受控实验室条件下评估了两种药物的最有效浓度。评估发芽率、幼苗长度、活力指数、叶绿素含量和氧化应激反应（DAB 测定）。与未处理的对照相比，两种处理均显着增强了种子和幼苗的性状（p &lt; 0.05）。与对照相比，生物炭引发使发芽率提高了 14.7%，幼苗长度提高了 26.3%，活力指数提高了 32.5%，同时叶绿素含量更高，过氧化氢积累减少，表明生理效率和胁迫缓解得到改善。腐植酸也提高了性能，但程度较小。结果表明，生物炭和腐植酸引发剂通过促进应激调节和有效的能量利用来增强种子活力和代谢活性。总体而言，生物炭成为改善扁豆发芽和早期生长的优质且环保的选择，为可持续豆类生产和气候适应型农业提供了实用方法。</w:t>
      </w:r>
    </w:p>
    <w:p>
      <w:pPr>
        <w:spacing w:before="120"/>
      </w:pPr>
      <w:r>
        <w:rPr>
          <w:rFonts w:ascii="Times New Roman" w:hAnsi="Times New Roman" w:eastAsia="宋体"/>
          <w:b/>
          <w:sz w:val="21"/>
        </w:rPr>
        <w:t>English Abstract:</w:t>
      </w:r>
    </w:p>
    <w:p>
      <w:r>
        <w:rPr>
          <w:rFonts w:ascii="Times New Roman" w:hAnsi="Times New Roman" w:eastAsia="宋体"/>
          <w:sz w:val="21"/>
        </w:rPr>
        <w:t>Lentil (Lens culinaris Medik.) is a nutritionally valuable pulse crop that enhances food security and soil fertility through biological nitrogen fixation. However, its productivity is often constrained by poor germination and uneven seedling establishment. This study investigated biochar and humic acid as sustainable seed-priming agents to improve lentil seed performance. After preliminary optimization, the most effective concentrations of both agents were evaluated under controlled laboratory conditions. Germination percentage, seedling length, vigour indices, chlorophyll content, and oxidative stress response (DAB assay) were assessed. Both treatments significantly enhanced seed and seedling traits compared with unprimed controls (p &lt; 0.05). Biochar priming increased germination by 14.7%, seedling length by 26.3%, and vigour index by 32.5% over control, alongside higher chlorophyll content and reduced hydrogen peroxide accumulation, indicating improved physiological efficiency and stress mitigation. Humic acid also improved performance, though to a lesser degree. The results demonstrate that biochar and humic acid priming enhance seed vigour and metabolic activity by promoting stress regulation and efficient energy utilization. Overall, biochar emerged as the superior and eco-friendly option for improving germination and early growth in lentil, offering a practical approach for sustainable pulse production and climate-resilient agriculture.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评估 RUNOFF01 模型的性能和微流域设计潜力</w:t>
      </w:r>
    </w:p>
    <w:p>
      <w:r>
        <w:rPr>
          <w:rFonts w:ascii="Times New Roman" w:hAnsi="Times New Roman" w:eastAsia="宋体"/>
          <w:b/>
          <w:color w:val="003264"/>
          <w:sz w:val="24"/>
        </w:rPr>
        <w:t>Evaluating the RUNOFF01 model’s performance and potential for micro-catchment design</w:t>
      </w:r>
    </w:p>
    <w:p>
      <w:r>
        <w:rPr>
          <w:rFonts w:ascii="Times New Roman" w:hAnsi="Times New Roman" w:eastAsia="宋体"/>
          <w:sz w:val="21"/>
        </w:rPr>
        <w:t>作者: Ali Shabani, Artemis Roodari, Ali Reza Sepaskhah</w:t>
        <w:br/>
      </w:r>
      <w:r>
        <w:rPr>
          <w:rFonts w:ascii="Times New Roman" w:hAnsi="Times New Roman" w:eastAsia="宋体"/>
          <w:sz w:val="21"/>
        </w:rPr>
        <w:t xml:space="preserve">时间: 2026-02-09 | </w:t>
      </w:r>
      <w:r>
        <w:t xml:space="preserve">链接: </w:t>
      </w:r>
      <w:hyperlink r:id="rId40">
        <w:r>
          <w:rPr>
            <w:rFonts w:ascii="Times New Roman" w:hAnsi="Times New Roman" w:eastAsia="宋体"/>
            <w:color w:val="0000FF"/>
            <w:sz w:val="21"/>
            <w:u w:val="single"/>
          </w:rPr>
          <w:t>https://doi.org/10.1038/s41598-026-36785-8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本研究评估了 RUNOFF01 模型在整个流域都会产生径流、规模效应可以忽略不计的情况下模拟霍顿地表径流的性能。该模型针对三个不同的数据集进行了验证：(1) 在经过各种表面处理（砾石、波纹和化学改良剂）的壤土上进行的降雨模拟器实验，(2) 在不同坡度和降雨强度下对砂壤土和粉质粘土进行的水槽实验，以及 (3) 来自 4.83 公顷农业流域的数据。使用归一化均方根误差 (NRMSE &lt; 0.2)、一致性指数 (d &gt; 0.96) 和 F 检验进行的统计分析表明，所有情景中的模拟径流和测量径流之间具有很强的一致性。结果证实，对于小于 350 m 的坡长和延长的降雨持续时间（在干旱地区微流域中常见），可以快速达到平衡时间 (tₑ)，并且该模型使用降雨强度、入渗率和坡度等关键输入准确预测径流量。 RUNOFF01 模型可用作设计未计量农业流域的集水系统和土壤保持策略的可靠工具。</w:t>
      </w:r>
    </w:p>
    <w:p>
      <w:pPr>
        <w:spacing w:before="120"/>
      </w:pPr>
      <w:r>
        <w:rPr>
          <w:rFonts w:ascii="Times New Roman" w:hAnsi="Times New Roman" w:eastAsia="宋体"/>
          <w:b/>
          <w:sz w:val="21"/>
        </w:rPr>
        <w:t>English Abstract:</w:t>
      </w:r>
    </w:p>
    <w:p>
      <w:r>
        <w:rPr>
          <w:rFonts w:ascii="Times New Roman" w:hAnsi="Times New Roman" w:eastAsia="宋体"/>
          <w:sz w:val="21"/>
        </w:rPr>
        <w:t>This study evaluates the performance of the RUNOFF01 model for simulating Hortonian overland flow under conditions where the entire watershed contributes to runoff, rendering scale effects negligible. The model was validated against three distinct datasets: (1) rainfall simulator experiments on a loam soil with various surface treatments (gravel, corrugations, and chemical amendments), (2) flume experiments on sandy loam and silty clay soils under different slopes and rainfall intensities, and (3) data from a 4.83-hectare agricultural catchment. Statistical analysis, using normalized root mean square error (NRMSE &lt; 0.2), index of agreement (d &gt; 0.96), and F-tests, demonstrated strong agreement between simulated and measured runoff across all scenarios. The results confirm that for slope lengths under ~ 350 m and extended rainfall duration—common in arid-region micro-catchments—the time to equilibrium (tₑ) is rapidly achieved, and the model accurately predicts runoff volume using key inputs like rainfall intensity, infiltration rate, and slope. The RUNOFF01 model can be used as a reliable tool for designing water harvesting systems and soil conservation strategies in ungauged agricultural basins.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Displays</w:t>
      </w:r>
    </w:p>
    <w:p>
      <w:pPr>
        <w:jc w:val="center"/>
      </w:pPr>
      <w:r>
        <w:t>--- 更新: 00:30 ---</w:t>
      </w:r>
    </w:p>
    <w:p>
      <w:pPr>
        <w:pStyle w:val="Heading2"/>
      </w:pPr>
      <w:r/>
      <w:r>
        <w:rPr>
          <w:rFonts w:ascii="Times New Roman" w:hAnsi="Times New Roman" w:eastAsia="宋体"/>
          <w:b/>
          <w:color w:val="000000"/>
          <w:sz w:val="24"/>
        </w:rPr>
        <w:t>增强点云特征提取以实现有效的机器人感知</w:t>
      </w:r>
    </w:p>
    <w:p>
      <w:r>
        <w:rPr>
          <w:rFonts w:ascii="Times New Roman" w:hAnsi="Times New Roman" w:eastAsia="宋体"/>
          <w:b/>
          <w:color w:val="003264"/>
          <w:sz w:val="24"/>
        </w:rPr>
        <w:t>Enhancing point cloud feature extraction for effective robot perception</w:t>
      </w:r>
    </w:p>
    <w:p>
      <w:r>
        <w:rPr>
          <w:rFonts w:ascii="Times New Roman" w:hAnsi="Times New Roman" w:eastAsia="宋体"/>
          <w:sz w:val="21"/>
        </w:rPr>
        <w:t>作者: Qihui Li, Qiliang Du, Lianfang Tian, Guoyu Lu</w:t>
        <w:br/>
      </w:r>
      <w:r>
        <w:rPr>
          <w:rFonts w:ascii="Times New Roman" w:hAnsi="Times New Roman" w:eastAsia="宋体"/>
          <w:sz w:val="21"/>
        </w:rPr>
        <w:t xml:space="preserve">时间: 2026-07-01 | </w:t>
      </w:r>
      <w:r>
        <w:t xml:space="preserve">链接: </w:t>
      </w:r>
      <w:hyperlink r:id="rId41">
        <w:r>
          <w:rPr>
            <w:rFonts w:ascii="Times New Roman" w:hAnsi="Times New Roman" w:eastAsia="宋体"/>
            <w:color w:val="0000FF"/>
            <w:sz w:val="21"/>
            <w:u w:val="single"/>
          </w:rPr>
          <w:t>https://doi.org/10.1016/j.displa.2026.103389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3D 重建的场景复杂度动态感知</w:t>
      </w:r>
    </w:p>
    <w:p>
      <w:r>
        <w:rPr>
          <w:rFonts w:ascii="Times New Roman" w:hAnsi="Times New Roman" w:eastAsia="宋体"/>
          <w:b/>
          <w:color w:val="003264"/>
          <w:sz w:val="24"/>
        </w:rPr>
        <w:t>Scene complexity dynamic perception for 3D reconstruction</w:t>
      </w:r>
    </w:p>
    <w:p>
      <w:r>
        <w:rPr>
          <w:rFonts w:ascii="Times New Roman" w:hAnsi="Times New Roman" w:eastAsia="宋体"/>
          <w:sz w:val="21"/>
        </w:rPr>
        <w:t>作者: Jia Liu, Ao Zhang, Kun Zhang</w:t>
        <w:br/>
      </w:r>
      <w:r>
        <w:rPr>
          <w:rFonts w:ascii="Times New Roman" w:hAnsi="Times New Roman" w:eastAsia="宋体"/>
          <w:sz w:val="21"/>
        </w:rPr>
        <w:t xml:space="preserve">时间: 2026-02-01 | </w:t>
      </w:r>
      <w:r>
        <w:t xml:space="preserve">链接: </w:t>
      </w:r>
      <w:hyperlink r:id="rId42">
        <w:r>
          <w:rPr>
            <w:rFonts w:ascii="Times New Roman" w:hAnsi="Times New Roman" w:eastAsia="宋体"/>
            <w:color w:val="0000FF"/>
            <w:sz w:val="21"/>
            <w:u w:val="single"/>
          </w:rPr>
          <w:t>https://doi.org/10.1016/j.displa.2026.103391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具有语义失真集成和动态全局局部细化的双重感知感知盲图像质量评估</w:t>
      </w:r>
    </w:p>
    <w:p>
      <w:r>
        <w:rPr>
          <w:rFonts w:ascii="Times New Roman" w:hAnsi="Times New Roman" w:eastAsia="宋体"/>
          <w:b/>
          <w:color w:val="003264"/>
          <w:sz w:val="24"/>
        </w:rPr>
        <w:t>Dual perception-aware blind image quality assessment with semantic-distortion integration and dynamic global–local refinement</w:t>
      </w:r>
    </w:p>
    <w:p>
      <w:r>
        <w:rPr>
          <w:rFonts w:ascii="Times New Roman" w:hAnsi="Times New Roman" w:eastAsia="宋体"/>
          <w:sz w:val="21"/>
        </w:rPr>
        <w:t>作者: Yun Liang, Yuting Xiao, Zihan Zhou, Hongyu Wang, Jiabin Zhang, Jing Li, Yong Xu, Patrick Le Callet</w:t>
        <w:br/>
      </w:r>
      <w:r>
        <w:rPr>
          <w:rFonts w:ascii="Times New Roman" w:hAnsi="Times New Roman" w:eastAsia="宋体"/>
          <w:sz w:val="21"/>
        </w:rPr>
        <w:t xml:space="preserve">时间: 2026-07-01 | </w:t>
      </w:r>
      <w:r>
        <w:t xml:space="preserve">链接: </w:t>
      </w:r>
      <w:hyperlink r:id="rId43">
        <w:r>
          <w:rPr>
            <w:rFonts w:ascii="Times New Roman" w:hAnsi="Times New Roman" w:eastAsia="宋体"/>
            <w:color w:val="0000FF"/>
            <w:sz w:val="21"/>
            <w:u w:val="single"/>
          </w:rPr>
          <w:t>https://doi.org/10.1016/j.displa.2026.103357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and Lasers in Engineering</w:t>
      </w:r>
    </w:p>
    <w:p>
      <w:pPr>
        <w:jc w:val="center"/>
      </w:pPr>
      <w:r>
        <w:t>--- 更新: 00:30 ---</w:t>
      </w:r>
    </w:p>
    <w:p>
      <w:pPr>
        <w:pStyle w:val="Heading2"/>
      </w:pPr>
      <w:r/>
      <w:r>
        <w:rPr>
          <w:rFonts w:ascii="Times New Roman" w:hAnsi="Times New Roman" w:eastAsia="宋体"/>
          <w:b/>
          <w:color w:val="000000"/>
          <w:sz w:val="24"/>
        </w:rPr>
        <w:t>基于偏振转换超表面的超宽带消色差超透镜</w:t>
      </w:r>
    </w:p>
    <w:p>
      <w:r>
        <w:rPr>
          <w:rFonts w:ascii="Times New Roman" w:hAnsi="Times New Roman" w:eastAsia="宋体"/>
          <w:b/>
          <w:color w:val="003264"/>
          <w:sz w:val="24"/>
        </w:rPr>
        <w:t>Ultra-broadband achromatic metalens based on polarization conversion metasurface</w:t>
      </w:r>
    </w:p>
    <w:p>
      <w:r>
        <w:rPr>
          <w:rFonts w:ascii="Times New Roman" w:hAnsi="Times New Roman" w:eastAsia="宋体"/>
          <w:sz w:val="21"/>
        </w:rPr>
        <w:t>作者: Mustafa Kirlar, Mustafa Turkmen</w:t>
        <w:br/>
      </w:r>
      <w:r>
        <w:rPr>
          <w:rFonts w:ascii="Times New Roman" w:hAnsi="Times New Roman" w:eastAsia="宋体"/>
          <w:sz w:val="21"/>
        </w:rPr>
        <w:t xml:space="preserve">时间: 2026-06-01 | </w:t>
      </w:r>
      <w:r>
        <w:t xml:space="preserve">链接: </w:t>
      </w:r>
      <w:hyperlink r:id="rId44">
        <w:r>
          <w:rPr>
            <w:rFonts w:ascii="Times New Roman" w:hAnsi="Times New Roman" w:eastAsia="宋体"/>
            <w:color w:val="0000FF"/>
            <w:sz w:val="21"/>
            <w:u w:val="single"/>
          </w:rPr>
          <w:t>https://doi.org/10.1016/j.optlaseng.2026.109680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Communications</w:t>
      </w:r>
    </w:p>
    <w:p>
      <w:pPr>
        <w:jc w:val="center"/>
      </w:pPr>
      <w:r>
        <w:t>--- 更新: 00:30 ---</w:t>
      </w:r>
    </w:p>
    <w:p>
      <w:pPr>
        <w:pStyle w:val="Heading2"/>
      </w:pPr>
      <w:r/>
      <w:r>
        <w:rPr>
          <w:rFonts w:ascii="Times New Roman" w:hAnsi="Times New Roman" w:eastAsia="宋体"/>
          <w:b/>
          <w:color w:val="000000"/>
          <w:sz w:val="24"/>
        </w:rPr>
        <w:t>使用光纤进行语音声学传感的可能性和局限性：干涉测量方法和分布式方法的比较</w:t>
      </w:r>
    </w:p>
    <w:p>
      <w:r>
        <w:rPr>
          <w:rFonts w:ascii="Times New Roman" w:hAnsi="Times New Roman" w:eastAsia="宋体"/>
          <w:b/>
          <w:color w:val="003264"/>
          <w:sz w:val="24"/>
        </w:rPr>
        <w:t>Possibilities and limitations of speech acoustic sensing using fiber optics: Comparison of interferometric and distributed approaches</w:t>
      </w:r>
    </w:p>
    <w:p>
      <w:r>
        <w:rPr>
          <w:rFonts w:ascii="Times New Roman" w:hAnsi="Times New Roman" w:eastAsia="宋体"/>
          <w:sz w:val="21"/>
        </w:rPr>
        <w:t>作者: Ondřej Mokrý, Petr Dejdar, Martin Čížek, Pavel Rajmic, JiříSchimmel, Tomáš Horváth, Petr Münster, Ondřej Číp</w:t>
        <w:br/>
      </w:r>
      <w:r>
        <w:rPr>
          <w:rFonts w:ascii="Times New Roman" w:hAnsi="Times New Roman" w:eastAsia="宋体"/>
          <w:sz w:val="21"/>
        </w:rPr>
        <w:t xml:space="preserve">时间: 2026-02-01 | </w:t>
      </w:r>
      <w:r>
        <w:t xml:space="preserve">链接: </w:t>
      </w:r>
      <w:hyperlink r:id="rId45">
        <w:r>
          <w:rPr>
            <w:rFonts w:ascii="Times New Roman" w:hAnsi="Times New Roman" w:eastAsia="宋体"/>
            <w:color w:val="0000FF"/>
            <w:sz w:val="21"/>
            <w:u w:val="single"/>
          </w:rPr>
          <w:t>https://doi.org/10.1016/j.optcom.2026.132987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基于二次游标效应的超高灵敏度温度应变传感器</w:t>
      </w:r>
    </w:p>
    <w:p>
      <w:r>
        <w:rPr>
          <w:rFonts w:ascii="Times New Roman" w:hAnsi="Times New Roman" w:eastAsia="宋体"/>
          <w:b/>
          <w:color w:val="003264"/>
          <w:sz w:val="24"/>
        </w:rPr>
        <w:t>Temperature and strain sensor with ultra-high sensitivity based on the secondary Vernier effect</w:t>
      </w:r>
    </w:p>
    <w:p>
      <w:r>
        <w:rPr>
          <w:rFonts w:ascii="Times New Roman" w:hAnsi="Times New Roman" w:eastAsia="宋体"/>
          <w:sz w:val="21"/>
        </w:rPr>
        <w:t>作者: Xiaoxiang Liu, Qianhao Xia, Wenlong Sun, Cui Liang, Yilan Zhou, Tengchao Huang</w:t>
        <w:br/>
      </w:r>
      <w:r>
        <w:rPr>
          <w:rFonts w:ascii="Times New Roman" w:hAnsi="Times New Roman" w:eastAsia="宋体"/>
          <w:sz w:val="21"/>
        </w:rPr>
        <w:t xml:space="preserve">时间: 2026-02-01 | </w:t>
      </w:r>
      <w:r>
        <w:t xml:space="preserve">链接: </w:t>
      </w:r>
      <w:hyperlink r:id="rId46">
        <w:r>
          <w:rPr>
            <w:rFonts w:ascii="Times New Roman" w:hAnsi="Times New Roman" w:eastAsia="宋体"/>
            <w:color w:val="0000FF"/>
            <w:sz w:val="21"/>
            <w:u w:val="single"/>
          </w:rPr>
          <w:t>https://doi.org/10.1016/j.optcom.2026.133006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Applied Optics</w:t>
      </w:r>
    </w:p>
    <w:p>
      <w:pPr>
        <w:jc w:val="center"/>
      </w:pPr>
      <w:r>
        <w:t>--- 更新: 00:30 ---</w:t>
      </w:r>
    </w:p>
    <w:p>
      <w:pPr>
        <w:pStyle w:val="Heading2"/>
      </w:pPr>
      <w:r/>
      <w:r>
        <w:rPr>
          <w:rFonts w:ascii="Times New Roman" w:hAnsi="Times New Roman" w:eastAsia="宋体"/>
          <w:b/>
          <w:color w:val="000000"/>
          <w:sz w:val="24"/>
        </w:rPr>
        <w:t>用于智能手机生物传感的多色多孔硅 RGB 梳状滤光片</w:t>
      </w:r>
    </w:p>
    <w:p>
      <w:r>
        <w:rPr>
          <w:rFonts w:ascii="Times New Roman" w:hAnsi="Times New Roman" w:eastAsia="宋体"/>
          <w:b/>
          <w:color w:val="003264"/>
          <w:sz w:val="24"/>
        </w:rPr>
        <w:t>Multichromatic porous silicon RGB rugate filters for use in smartphone biosensing</w:t>
      </w:r>
    </w:p>
    <w:p>
      <w:r>
        <w:rPr>
          <w:rFonts w:ascii="Times New Roman" w:hAnsi="Times New Roman" w:eastAsia="宋体"/>
          <w:sz w:val="21"/>
        </w:rPr>
        <w:t>作者: Zachary D. Martin, Sharon M. Weiss</w:t>
        <w:br/>
      </w:r>
      <w:r>
        <w:rPr>
          <w:rFonts w:ascii="Times New Roman" w:hAnsi="Times New Roman" w:eastAsia="宋体"/>
          <w:sz w:val="21"/>
        </w:rPr>
        <w:t xml:space="preserve">时间: 2026-02-04 | </w:t>
      </w:r>
      <w:r>
        <w:t xml:space="preserve">链接: </w:t>
      </w:r>
      <w:hyperlink r:id="rId47">
        <w:r>
          <w:rPr>
            <w:rFonts w:ascii="Times New Roman" w:hAnsi="Times New Roman" w:eastAsia="宋体"/>
            <w:color w:val="0000FF"/>
            <w:sz w:val="21"/>
            <w:u w:val="single"/>
          </w:rPr>
          <w:t>https://doi.org/10.1364/ao.584283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在这项工作中，我们报告了一种基于多孔硅的多色梳状滤光片，可以从智能手机提供的白光照明中选择红色 (R)、绿色 (G) 和蓝色 (B) 波长。所有三个色带的半峰全宽均低于 30 nm。使用光谱仪进行光谱表征，并对滤波器的智能手机图像进行色彩分析，以验证所需的性能。将智能手机 LED 闪光灯的白光转换为多色 RGB 照明可用于基于智能手机的生物传感，以提高检测限。</w:t>
      </w:r>
    </w:p>
    <w:p>
      <w:pPr>
        <w:spacing w:before="120"/>
      </w:pPr>
      <w:r>
        <w:rPr>
          <w:rFonts w:ascii="Times New Roman" w:hAnsi="Times New Roman" w:eastAsia="宋体"/>
          <w:b/>
          <w:sz w:val="21"/>
        </w:rPr>
        <w:t>English Abstract:</w:t>
      </w:r>
    </w:p>
    <w:p>
      <w:r>
        <w:rPr>
          <w:rFonts w:ascii="Times New Roman" w:hAnsi="Times New Roman" w:eastAsia="宋体"/>
          <w:sz w:val="21"/>
        </w:rPr>
        <w:t>In this work, we report a porous silicon-based multichromatic rugate filter to select red (R), green (G), and blue (B) wavelengths from white light illumination provided by a smartphone. The full width at half-maximum values for all three color bands are below 30 nm. Spectral characterization was carried out with a spectrometer, and chromatic analysis was applied to smartphone images of the filter to verify the desired performance. Conversion of white light from the LED flash of a smartphone to multichromatic RGB illumination can be used in smartphone-based biosensing for improved limit of detection.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用于海底光通信的多通道混合量子密码</w:t>
      </w:r>
    </w:p>
    <w:p>
      <w:r>
        <w:rPr>
          <w:rFonts w:ascii="Times New Roman" w:hAnsi="Times New Roman" w:eastAsia="宋体"/>
          <w:b/>
          <w:color w:val="003264"/>
          <w:sz w:val="24"/>
        </w:rPr>
        <w:t>Multichannel hybrid quantum cryptography for submarine optical communications</w:t>
      </w:r>
    </w:p>
    <w:p>
      <w:r>
        <w:rPr>
          <w:rFonts w:ascii="Times New Roman" w:hAnsi="Times New Roman" w:eastAsia="宋体"/>
          <w:sz w:val="21"/>
        </w:rPr>
        <w:t>作者: Jesús Liñares, Xesús Prieto-Blanco, Alexandre Vázquez-Martínez, Eduardo F. Mateo</w:t>
        <w:br/>
      </w:r>
      <w:r>
        <w:rPr>
          <w:rFonts w:ascii="Times New Roman" w:hAnsi="Times New Roman" w:eastAsia="宋体"/>
          <w:sz w:val="21"/>
        </w:rPr>
        <w:t xml:space="preserve">时间: 2026-02-02 | </w:t>
      </w:r>
      <w:r>
        <w:t xml:space="preserve">链接: </w:t>
      </w:r>
      <w:hyperlink r:id="rId48">
        <w:r>
          <w:rPr>
            <w:rFonts w:ascii="Times New Roman" w:hAnsi="Times New Roman" w:eastAsia="宋体"/>
            <w:color w:val="0000FF"/>
            <w:sz w:val="21"/>
            <w:u w:val="single"/>
          </w:rPr>
          <w:t>https://doi.org/10.1364/ao.574443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我们提出了一种多通道混合量子加密方法，旨在用于 Alice 和 Bob 之间的海底量子光通信，两者之间的距离超出了当前 QKD 可能性，每个都位于海岸线上。它是基于同时接入M个光海底通道的难度。从海岸线（理想情况下到大陆架末端）的光路由自动补偿高维离散调制连续变量 QKD 协议下的光的量子特性控制。混合方法包括组合 M 通道的多个密钥，并在位于大陆架以外的非量子光线路上引入额外的安全层（无源和/或有源）。</w:t>
      </w:r>
    </w:p>
    <w:p>
      <w:pPr>
        <w:spacing w:before="120"/>
      </w:pPr>
      <w:r>
        <w:rPr>
          <w:rFonts w:ascii="Times New Roman" w:hAnsi="Times New Roman" w:eastAsia="宋体"/>
          <w:b/>
          <w:sz w:val="21"/>
        </w:rPr>
        <w:t>English Abstract:</w:t>
      </w:r>
    </w:p>
    <w:p>
      <w:r>
        <w:rPr>
          <w:rFonts w:ascii="Times New Roman" w:hAnsi="Times New Roman" w:eastAsia="宋体"/>
          <w:sz w:val="21"/>
        </w:rPr>
        <w:t>We present a multichannel hybrid quantum cryptography approach intended for submarine quantum optical communications between Alice and Bob separated by a distance beyond the current QKD possibilities, each located on a coastline. It is based on the difficulty of simultaneous access to M optical submarine channels. The optical lines from the coastline, and ideally to the end of the continental shelf, are governed by the quantum properties of the light under an autocompensating high-dimensional discrete-modulation continuous variable QKD protocol. The hybrid approach consists of combining several secret keys of M channels and introducing extra layers of security, passive and/or active, on the non-quantum optical lines located beyond the continental shelf.</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具有集成光回收功能的紧凑型四透镜准直系统的设计</w:t>
      </w:r>
    </w:p>
    <w:p>
      <w:r>
        <w:rPr>
          <w:rFonts w:ascii="Times New Roman" w:hAnsi="Times New Roman" w:eastAsia="宋体"/>
          <w:b/>
          <w:color w:val="003264"/>
          <w:sz w:val="24"/>
        </w:rPr>
        <w:t>Design of a compact four-lens collimation system with integrated light recycling</w:t>
      </w:r>
    </w:p>
    <w:p>
      <w:r>
        <w:rPr>
          <w:rFonts w:ascii="Times New Roman" w:hAnsi="Times New Roman" w:eastAsia="宋体"/>
          <w:sz w:val="21"/>
        </w:rPr>
        <w:t>作者: Shutao Zheng, Yiqin Xu, Zhiqing Zhang, Zhongrui Qu, Zhiliang Gu, Shuwen Zheng</w:t>
        <w:br/>
      </w:r>
      <w:r>
        <w:rPr>
          <w:rFonts w:ascii="Times New Roman" w:hAnsi="Times New Roman" w:eastAsia="宋体"/>
          <w:sz w:val="21"/>
        </w:rPr>
        <w:t xml:space="preserve">时间: 2026-02-04 | </w:t>
      </w:r>
      <w:r>
        <w:t xml:space="preserve">链接: </w:t>
      </w:r>
      <w:hyperlink r:id="rId49">
        <w:r>
          <w:rPr>
            <w:rFonts w:ascii="Times New Roman" w:hAnsi="Times New Roman" w:eastAsia="宋体"/>
            <w:color w:val="0000FF"/>
            <w:sz w:val="21"/>
            <w:u w:val="single"/>
          </w:rPr>
          <w:t>https://doi.org/10.1364/ao.583050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利用非相干光源的高亮度 LED 照明系统通常受到可实现的亮度和整个系统体积之间固有权衡的限制。为了克服这一限制，我们设计并制造了一种具有集成光回收（ILRC）功能的紧凑型四透镜准直系统，该系统将自由曲面透镜组与反射环结构相结合，以有效地重新分配和重新捕获发散光。通过三个离散波长（385、430 和 475 nm）进行光线追踪分析，以评估关键系统参数，包括孔径、反射率、散射行为和 LED 芯片面积。与市售替代品相比，ILRC 系统的总体积减少了近 50%，同时 385 nm 的辐射强度增加了约 65%。当在光学显微镜中实施时，该系统在样品平面上提供了显着增强的有效辐射度并改善了图像对比度，证实了其作为紧凑、节能和高辐射度照明解决方案的实用性。</w:t>
      </w:r>
    </w:p>
    <w:p>
      <w:pPr>
        <w:spacing w:before="120"/>
      </w:pPr>
      <w:r>
        <w:rPr>
          <w:rFonts w:ascii="Times New Roman" w:hAnsi="Times New Roman" w:eastAsia="宋体"/>
          <w:b/>
          <w:sz w:val="21"/>
        </w:rPr>
        <w:t>English Abstract:</w:t>
      </w:r>
    </w:p>
    <w:p>
      <w:r>
        <w:rPr>
          <w:rFonts w:ascii="Times New Roman" w:hAnsi="Times New Roman" w:eastAsia="宋体"/>
          <w:sz w:val="21"/>
        </w:rPr>
        <w:t>High-radiance LED illumination systems utilizing incoherent light sources are typically limited by an inherent trade-off between achievable radiance and overall system volume. To overcome this constraint, we designed and fabricated a compact four-lens collimation system with integrated light recycling (ILRC) that combines a freeform surface lens group with a reflective ring structure to efficiently redistribute and recapture divergent light. Ray tracing analysis was performed by three discrete wavelengths (385, 430, and 475 nm) to evaluate key system parameters, including aperture, reflectivity, scattering behavior, and LED chip area. Compared to commercially available alternatives, the ILRC system achieves a reduction in total volume by nearly 50% while increasing the radiant intensity at 385 nm by approximately 65%. When implemented in optical microscopy, the system provided significantly enhanced effective radiance at the sample plane and improved image contrast, confirming its utility as a compact, energy-efficient, and high-radiance illumination solution.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基于剪切散斑干涉的复合材料内部缺陷检测设备研制</w:t>
      </w:r>
    </w:p>
    <w:p>
      <w:r>
        <w:rPr>
          <w:rFonts w:ascii="Times New Roman" w:hAnsi="Times New Roman" w:eastAsia="宋体"/>
          <w:b/>
          <w:color w:val="003264"/>
          <w:sz w:val="24"/>
        </w:rPr>
        <w:t>Development of internal defect detection equipment for composite materials based on shear speckle interference</w:t>
      </w:r>
    </w:p>
    <w:p>
      <w:r>
        <w:rPr>
          <w:rFonts w:ascii="Times New Roman" w:hAnsi="Times New Roman" w:eastAsia="宋体"/>
          <w:sz w:val="21"/>
        </w:rPr>
        <w:t>作者: ZhiYong Peng, Biao Gu, JiaHao Zhao, Qilin Zeng, YuLong Qiao</w:t>
        <w:br/>
      </w:r>
      <w:r>
        <w:rPr>
          <w:rFonts w:ascii="Times New Roman" w:hAnsi="Times New Roman" w:eastAsia="宋体"/>
          <w:sz w:val="21"/>
        </w:rPr>
        <w:t xml:space="preserve">时间: 2026-02-06 | </w:t>
      </w:r>
      <w:r>
        <w:t xml:space="preserve">链接: </w:t>
      </w:r>
      <w:hyperlink r:id="rId50">
        <w:r>
          <w:rPr>
            <w:rFonts w:ascii="Times New Roman" w:hAnsi="Times New Roman" w:eastAsia="宋体"/>
            <w:color w:val="0000FF"/>
            <w:sz w:val="21"/>
            <w:u w:val="single"/>
          </w:rPr>
          <w:t>https://doi.org/10.1364/ao.566829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为了解决传统复合材料缺陷检测系统相移速度慢和硬件集成度低的限制，开发了一种集成了沃拉斯顿棱镜剪切模块和高速液晶相位延迟器的便携式设备。这项工作的主要贡献是改进了剪切散斑干涉测量的实时相位展开过程，通过将梯度自适应平滑与图割优化相结合并将其部署在嵌入式 GPU 平台上来实现。结合嵌入式软件和 GPU 加速算法来提高处理效率。提出了一种结合梯度自适应平滑和图割优化的改进算法来抑制相位展开中的噪声，在混合噪声条件下将均方根误差（RMSE）降低了27.34%至33.20%，并在0.36 s内完成单帧分析。使用铝盘和复合试件进行的实验验证表明，在热载荷下可靠检测直径≥2mm的内部缺陷，准确率达到97%。该系统的集成硬件软件设计实现了亚毫米分辨率，同时保持了现场部署的便携性，满足航空航天应用中高速、高灵敏度无损检测的关键要求。</w:t>
      </w:r>
    </w:p>
    <w:p>
      <w:pPr>
        <w:spacing w:before="120"/>
      </w:pPr>
      <w:r>
        <w:rPr>
          <w:rFonts w:ascii="Times New Roman" w:hAnsi="Times New Roman" w:eastAsia="宋体"/>
          <w:b/>
          <w:sz w:val="21"/>
        </w:rPr>
        <w:t>English Abstract:</w:t>
      </w:r>
    </w:p>
    <w:p>
      <w:r>
        <w:rPr>
          <w:rFonts w:ascii="Times New Roman" w:hAnsi="Times New Roman" w:eastAsia="宋体"/>
          <w:sz w:val="21"/>
        </w:rPr>
        <w:t>To address the limitations of slow phase-shifting speed and low hardware integration in traditional composite defect detection systems, a portable device was developed that integrates a Wollaston prism shearing module with a high-speed liquid crystal phase retarder. The main contribution of this work is an improved real-time phase unwrapping process for shear speckle interferometry measurements, achieved by combining gradient-adaptive smoothing with graph-cut optimization and deploying it on an embedded GPU platform. Embedded software and GPU-accelerated algorithms were incorporated to enhance processing efficiency. An improved algorithm combining gradient-adaptive smoothing and graph-cut optimization was proposed for noise suppression in phase unwrapping, reducing the root mean square error (RMSE) by 27.34% to 33.20% under hybrid noise conditions and completing single-frame analysis within 0.36 s. Experimental validation using aluminum discs and composite specimens showed that the reliable detection of internal defects with a diameter of ≥2mm under heat loading achieved 97% accuracy. The system’s integrated hardware–software design achieves submillimeter resolution while maintaining field-deployable portability, fulfilling critical requirements for high-speed, high-sensitivity nondestructive testing in aerospace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采用各种改进的奥夫纳结构和自由曲面光栅棱镜色散元件的紧凑型成像光谱仪与长缝设计的比较</w:t>
      </w:r>
    </w:p>
    <w:p>
      <w:r>
        <w:rPr>
          <w:rFonts w:ascii="Times New Roman" w:hAnsi="Times New Roman" w:eastAsia="宋体"/>
          <w:b/>
          <w:color w:val="003264"/>
          <w:sz w:val="24"/>
        </w:rPr>
        <w:t>Comparison of a compact imaging spectrometer with long-slit designs utilizing various modified Offner structures and freeform surface grating-prism dispersion elements</w:t>
      </w:r>
    </w:p>
    <w:p>
      <w:r>
        <w:rPr>
          <w:rFonts w:ascii="Times New Roman" w:hAnsi="Times New Roman" w:eastAsia="宋体"/>
          <w:sz w:val="21"/>
        </w:rPr>
        <w:t>作者: Chen Zhang, Xianglong Mao, Jiadong Yu, Junming Chen, Ruitong Wu</w:t>
        <w:br/>
      </w:r>
      <w:r>
        <w:rPr>
          <w:rFonts w:ascii="Times New Roman" w:hAnsi="Times New Roman" w:eastAsia="宋体"/>
          <w:sz w:val="21"/>
        </w:rPr>
        <w:t xml:space="preserve">时间: 2026-02-04 | </w:t>
      </w:r>
      <w:r>
        <w:t xml:space="preserve">链接: </w:t>
      </w:r>
      <w:hyperlink r:id="rId51">
        <w:r>
          <w:rPr>
            <w:rFonts w:ascii="Times New Roman" w:hAnsi="Times New Roman" w:eastAsia="宋体"/>
            <w:color w:val="0000FF"/>
            <w:sz w:val="21"/>
            <w:u w:val="single"/>
          </w:rPr>
          <w:t>https://doi.org/10.1364/ao.575365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为了满足长缝、高光谱分辨率和紧凑系统设计的应用需求，传统的奥夫纳型自由曲面成像光谱仪面临光栅线密度过高和制造复杂性的挑战。本文提出了一种离轴三镜成像光谱仪的创新设计，该光谱仪具有光栅棱镜组合和色散校正自由曲面。基于改进的奥夫纳结构，次镜采用自由曲面光栅，而棱镜系统地集成到光路中以共享色散并协同校正像差。通过在三个关键位置（输入臂、次镜和输出臂）配置不同数量 (1-3) 的棱镜（只有一个是自由曲面棱镜），可实现 12 种不同的设计配置。同时设计了光栅成像光谱仪进行比较。最终的设计与要求进行了严格比较：波长范围从 400 纳米到 1000 纳米，光谱分辨率为 3 纳米，狭缝长度为 60 毫米，F 数为 3。在这些设计中，特定配置证明在全波长 34 lp/mm 的奈奎斯特频率下调制传递（MTF 值）超过 0.7，同时保持微笑和梯形失真小于像素尺寸的十分之一。公差分析证实这些自由曲面可以有效制造。该设计满足长狭缝功能和紧凑架构的标准。</w:t>
      </w:r>
    </w:p>
    <w:p>
      <w:pPr>
        <w:spacing w:before="120"/>
      </w:pPr>
      <w:r>
        <w:rPr>
          <w:rFonts w:ascii="Times New Roman" w:hAnsi="Times New Roman" w:eastAsia="宋体"/>
          <w:b/>
          <w:sz w:val="21"/>
        </w:rPr>
        <w:t>English Abstract:</w:t>
      </w:r>
    </w:p>
    <w:p>
      <w:r>
        <w:rPr>
          <w:rFonts w:ascii="Times New Roman" w:hAnsi="Times New Roman" w:eastAsia="宋体"/>
          <w:sz w:val="21"/>
        </w:rPr>
        <w:t>To address application demands for long slits, high spectral resolution, and compact system design, traditional Offner-type freeform surface imaging spectrometers face challenges of excessively high grating line density and manufacturing complexity. This paper proposes an innovative design for an off-axis three-mirror imaging spectrometer featuring a grating-prism combination with dispersion-corrected freeform surfaces. Building upon a modified Offner structure, the secondary mirror employs a freeform surface grating while prisms are systematically integrated into the optical path to share dispersion and synergistically correct aberrations. By configuring varying numbers (1–3) of prisms (only one being a freeform surface prism) at three critical locations—the input arm, secondary mirror, and output arm—12 distinct design configurations are achieved. A grating imaging spectrometer was concurrently designed for comparison. The resulting designs were rigorously compared against requirements: a wavelength range spanning from 400 to 1000 nm, a spectral resolution of 3 nm, a slit length of 60 mm, and an F-number of 3. Among these designs, a particular configuration demonstrated modulation transfer (MTF values) surpassing 0.7 at the Nyquist frequency of 34 lp/mm in full wavelengths while maintaining the smile and keystone less than one-tenth that of the pixel size. Tolerance analysis confirms that these freeform surfaces can be manufactured effectively. This design fulfills the criteria for both long slit functionality and compact architecture.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晴朗暮色中紫光颜色和光谱的分布</w:t>
      </w:r>
    </w:p>
    <w:p>
      <w:r>
        <w:rPr>
          <w:rFonts w:ascii="Times New Roman" w:hAnsi="Times New Roman" w:eastAsia="宋体"/>
          <w:b/>
          <w:color w:val="003264"/>
          <w:sz w:val="24"/>
        </w:rPr>
        <w:t>Distributions of purple-light colors and spectra in clear twilights</w:t>
      </w:r>
    </w:p>
    <w:p>
      <w:r>
        <w:rPr>
          <w:rFonts w:ascii="Times New Roman" w:hAnsi="Times New Roman" w:eastAsia="宋体"/>
          <w:sz w:val="21"/>
        </w:rPr>
        <w:t>作者: Raymond L. Lee</w:t>
        <w:br/>
      </w:r>
      <w:r>
        <w:rPr>
          <w:rFonts w:ascii="Times New Roman" w:hAnsi="Times New Roman" w:eastAsia="宋体"/>
          <w:sz w:val="21"/>
        </w:rPr>
        <w:t xml:space="preserve">时间: 2026-02-04 | </w:t>
      </w:r>
      <w:r>
        <w:t xml:space="preserve">链接: </w:t>
      </w:r>
      <w:hyperlink r:id="rId52">
        <w:r>
          <w:rPr>
            <w:rFonts w:ascii="Times New Roman" w:hAnsi="Times New Roman" w:eastAsia="宋体"/>
            <w:color w:val="0000FF"/>
            <w:sz w:val="21"/>
            <w:u w:val="single"/>
          </w:rPr>
          <w:t>https://doi.org/10.1364/ao.580943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清澈的民用暮光通常会呈现出一系列柔和的紫色，但这种紫色光的组合角度和时间分布尚不清楚。现在可以使用配备鱼眼镜头的高光谱相机来测量这种分布，这为普通（即非火山）晴朗暮光期间紫色光谱和颜色的传播和演变提供了新的见解。由于紫色光缺乏清晰的边界，因此第一步是对其角度范围制定基于感知的定义。令人惊讶的是，这导致了以下发现：（1）有时会在太阳和反太阳天空中出现色度不同的紫色；（2）随着太阳高度的变化以明显不同的方式变化。</w:t>
      </w:r>
    </w:p>
    <w:p>
      <w:pPr>
        <w:spacing w:before="120"/>
      </w:pPr>
      <w:r>
        <w:rPr>
          <w:rFonts w:ascii="Times New Roman" w:hAnsi="Times New Roman" w:eastAsia="宋体"/>
          <w:b/>
          <w:sz w:val="21"/>
        </w:rPr>
        <w:t>English Abstract:</w:t>
      </w:r>
    </w:p>
    <w:p>
      <w:r>
        <w:rPr>
          <w:rFonts w:ascii="Times New Roman" w:hAnsi="Times New Roman" w:eastAsia="宋体"/>
          <w:sz w:val="21"/>
        </w:rPr>
        <w:t>Clear civil twilights often exhibit a range of pastel purples, but the combined angular and temporal distributions of this purple light are unknown. Such distributions can now be measured by using a hyperspectral camera fitted with a fisheye lens, which gives new insights into the spread and evolution of purple-light spectra and colors during ordinary (i.e., nonvolcanic) clear twilights. Because the purple light lacks clear-cut borders, a first step is to develop a perceptually based definition of its angular extent. Surprisingly, this leads to the discovery that colorimetrically distinct purples (1) sometimes appear in both the solar and antisolar skies and (2) change in markedly different ways with sun elevation.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使用和不使用超声波的各种小孔径工具研磨过程中熔融石英玻璃的亚表面机械损伤</w:t>
      </w:r>
    </w:p>
    <w:p>
      <w:r>
        <w:rPr>
          <w:rFonts w:ascii="Times New Roman" w:hAnsi="Times New Roman" w:eastAsia="宋体"/>
          <w:b/>
          <w:color w:val="003264"/>
          <w:sz w:val="24"/>
        </w:rPr>
        <w:t>Subsurface mechanical damage of fused silica glass during grinding by various sub-aperture tools with and without ultrasonics</w:t>
      </w:r>
    </w:p>
    <w:p>
      <w:r>
        <w:rPr>
          <w:rFonts w:ascii="Times New Roman" w:hAnsi="Times New Roman" w:eastAsia="宋体"/>
          <w:sz w:val="21"/>
        </w:rPr>
        <w:t>作者: T. Suratwala, W. Steele, G. Tham, J. Ross, J. Johnson, O. Herrera, M. Cahill, D. Bechtold, M. Bechtold, R. Bechtold, F. Ravizza</w:t>
        <w:br/>
      </w:r>
      <w:r>
        <w:rPr>
          <w:rFonts w:ascii="Times New Roman" w:hAnsi="Times New Roman" w:eastAsia="宋体"/>
          <w:sz w:val="21"/>
        </w:rPr>
        <w:t xml:space="preserve">时间: 2026-02-04 | </w:t>
      </w:r>
      <w:r>
        <w:t xml:space="preserve">链接: </w:t>
      </w:r>
      <w:hyperlink r:id="rId53">
        <w:r>
          <w:rPr>
            <w:rFonts w:ascii="Times New Roman" w:hAnsi="Times New Roman" w:eastAsia="宋体"/>
            <w:color w:val="0000FF"/>
            <w:sz w:val="21"/>
            <w:u w:val="single"/>
          </w:rPr>
          <w:t>https://doi.org/10.1364/ao.580426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使用一整套小孔径固定磨料磨具 [杯、轮、带、垫和旋转面铣刀（带和不带超声波）] 磨削熔融石英玻璃后的亚表面机械损伤 (SSD) 深度和工艺参数已使用锥度楔块技术进行统计测量和评估。与先前报道的研磨模型一致[J. Non-Cryst。 Solids 352 , 5601 –5617 ( 2006 ) 10.1016/j.jnoncrysol.2006.09.012 , 材料科学与光学制造技术 (Wiley &amp; Sons, 2018 ) ]，基于滑动颗粒或粗糙体的滑动压痕断裂，其中每个颗粒的法向载荷决定断裂深度（最终决定整体 SSD 深度），研究发现，无论刀具类型和工艺条件如何，控制 SSD 深度的主导因素是磨料尺寸。与全孔径研磨方法相比，使用子孔径工具的整体 SSD 深度更高，这可能是由于更高的有效压力和每颗粒分布的更高负载。除了磨料尺寸外，SSD 深度的显着减小还通过以下方式实现：(1) 通过增加接触面积和/或减少机械载荷来减少磨料颗粒上的载荷分布； (2)使用更兼容的宿主工具介质； (3) 我们认为这是一种更新颖的方式，即使用超声波。泡沫垫上的树脂基体 (Trizact) 中的 6 µm 金刚石结合了较小的磨料尺寸、较大的接触面积和兼容的主体，可实现非常低的 SSD 深度 (∼4.6µm)、相对较快的研磨速率 (186mm 3 /h) 以及很少或没有形状退化。这种研磨工具/工艺对于最终研磨来说是一个有吸引力的选择，可显着减少抛光（即“灰化”）时间。通过旋转面铣刀，超声波的使用始终导致 SSD 深度减少（范围为 17%–34%）。据我们所知，已经开发出一种新的基于断裂力学的模型，其中相关法向载荷平行于进给方向，用于解释超声波如何导致较低的 SSD 深度。由有限元应力分析和载荷测量支持的关键因素是（1）在工具的超声波垂直振荡期间，在较高的 z 高度处开始断裂，从而传播到工件的深度较小； (2) 由于刀具-工件进给方向接触面积较小（同样是由相对于切削深度的较高 z 高度引起），负载减少（从而减少断裂扩展距离）； (3) 工具在振荡过程中向上运动导致破裂向地表而不是向深处破裂；最后（4）在工具振荡周期的最低点，可能没有足够的时间让裂缝扩展至其全长。</w:t>
      </w:r>
    </w:p>
    <w:p>
      <w:pPr>
        <w:spacing w:before="120"/>
      </w:pPr>
      <w:r>
        <w:rPr>
          <w:rFonts w:ascii="Times New Roman" w:hAnsi="Times New Roman" w:eastAsia="宋体"/>
          <w:b/>
          <w:sz w:val="21"/>
        </w:rPr>
        <w:t>English Abstract:</w:t>
      </w:r>
    </w:p>
    <w:p>
      <w:r>
        <w:rPr>
          <w:rFonts w:ascii="Times New Roman" w:hAnsi="Times New Roman" w:eastAsia="宋体"/>
          <w:sz w:val="21"/>
        </w:rPr>
        <w:t>The subsurface mechanical damage (SSD) depth after grinding fused silica glass with a comprehensive set of sub-aperture fixed abrasive grinding tools [cup, wheel, belt, pad, and rotary face mill (with and without ultrasonics)] and process parameters has been statistically measured using the taper wedge technique and evaluated. Consistent with a previously reported grinding model [ J. Non-Cryst. Solids 352 , 5601 –5617 ( 2006 ) 10.1016/j.jnoncrysol.2006.09.012 , Materials Science and Technology of Optical Fabrication (Wiley &amp; Sons, 2018 ) ], based on the sliding indentation fracture by sliding particles or asperities where the normal load per particle determines the depth of the fracture (and ultimately the overall SSD depth), the dominant factor controlling SSD depth was found to be the abrasive size regardless of the tool type and process conditions. Compared to full aperture grinding methods, the overall SSD depth was higher using the sub-aperture tools, likely due to the higher effective pressure and higher load per particle distribution. In addition to abrasive size, a significant reduction in SSD depth was achieved by: (1) reducing the load distribution on the abrasive particles via increase in contact area and/or decrease in mechanical loading; (2) using a more compliant host tool medium; and (3) in what we believe is a more novel way, using ultrasonics. Combining low abrasive size, larger contact area, and a compliant host, the 6 µm diamond in a resin matrix (Trizact) on a foam pad led to very low SSD depth (∼4.6µm), relatively fast grinding rate (186mm 3 /h), and little or no figure degradation. This grinding tool/process is an attractive choice for final grind, resulting in significantly reduced polish out (i.e., “grey out”) times. With the rotary face mill tool, the use of ultrasonics consistently led to a SSD depth reduction (ranging from 17%–34%). A new fracture mechanics-based model, to the best of our knowledge, where the relevant normal load is parallel to the feed direction, has been developed to explain how ultrasonics leads to lower SSD depth. The key factors, supported by finite element stress analysis and load measurements, are (1) the initiation of fractures at higher z heights during the tool’s ultrasonic vertical oscillations, thus propagating less deep into workpiece; (2) reduction in load (and therefore reduction in fracture propagation distance) due to smaller tool-workpiece feed direction contact area (again caused by higher z heights relative to depth of cut); (3) upward movement of the tool during oscillation leads to fracturing toward the surface instead into the depth; and finally (4) at tool’s lowest point of oscillation cycle, there may not be enough time for the fracture to propagate to its full length.</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3D-DeepZern：基于 Zernike 多项式的断层扫描重建深度卷积神经网络</w:t>
      </w:r>
    </w:p>
    <w:p>
      <w:r>
        <w:rPr>
          <w:rFonts w:ascii="Times New Roman" w:hAnsi="Times New Roman" w:eastAsia="宋体"/>
          <w:b/>
          <w:color w:val="003264"/>
          <w:sz w:val="24"/>
        </w:rPr>
        <w:t>3D-DeepZern: a deep convolutional neural network for tomographic reconstruction based on Zernike polynomials</w:t>
      </w:r>
    </w:p>
    <w:p>
      <w:r>
        <w:rPr>
          <w:rFonts w:ascii="Times New Roman" w:hAnsi="Times New Roman" w:eastAsia="宋体"/>
          <w:sz w:val="21"/>
        </w:rPr>
        <w:t>作者: Quang Trieu, Dominick Rizk, George Nehmetallah</w:t>
        <w:br/>
      </w:r>
      <w:r>
        <w:rPr>
          <w:rFonts w:ascii="Times New Roman" w:hAnsi="Times New Roman" w:eastAsia="宋体"/>
          <w:sz w:val="21"/>
        </w:rPr>
        <w:t xml:space="preserve">时间: 2026-02-09 | </w:t>
      </w:r>
      <w:r>
        <w:t xml:space="preserve">链接: </w:t>
      </w:r>
      <w:hyperlink r:id="rId54">
        <w:r>
          <w:rPr>
            <w:rFonts w:ascii="Times New Roman" w:hAnsi="Times New Roman" w:eastAsia="宋体"/>
            <w:color w:val="0000FF"/>
            <w:sz w:val="21"/>
            <w:u w:val="single"/>
          </w:rPr>
          <w:t>https://doi.org/10.1364/ao.586077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用于断层扫描编码的传统分析泽尼克方法需要乘以大型泽尼克多项式矩阵，这会导致大量的计算开销。此外，逆泽尼克矩阵必须预先计算和存储，导致显着的内存消耗——随着泽尼克阶数或断层图像分辨率的增长，这个问题变得越来越严重。为了解决这些限制，我们提出了 3D-DeepZern，这是一种基于深度学习的 Zernike 多项式，用神经网络代替基于矩阵的编码。该方法有效地将 3D 断层图映射到其 1D Zernike 描述符向量，并根据该编码重建断层图。与分析方法相比，3D-DeepZern 提供了显着更快的编码、显着降低的内存使用量以及相当的重建精度。这些改进在更高的泽尼克阶数或更大的体素网格下变得更加明显，证明了所提出的方法对于高分辨率断层摄影应用的可扩展性和实用性。</w:t>
      </w:r>
    </w:p>
    <w:p>
      <w:pPr>
        <w:spacing w:before="120"/>
      </w:pPr>
      <w:r>
        <w:rPr>
          <w:rFonts w:ascii="Times New Roman" w:hAnsi="Times New Roman" w:eastAsia="宋体"/>
          <w:b/>
          <w:sz w:val="21"/>
        </w:rPr>
        <w:t>English Abstract:</w:t>
      </w:r>
    </w:p>
    <w:p>
      <w:r>
        <w:rPr>
          <w:rFonts w:ascii="Times New Roman" w:hAnsi="Times New Roman" w:eastAsia="宋体"/>
          <w:sz w:val="21"/>
        </w:rPr>
        <w:t>Traditional analytical Zernike methods for tomographic encoding require multiplying large Zernike polynomial matrices, which leads to substantial computational overhead. Moreover, the inverse Zernike matrices must be precomputed and stored, resulting in significant memory consumption—an issue that becomes increasingly severe as the Zernike order or tomogram resolution grows. To address these limitations, we propose 3D-DeepZern, a deep learning-based Zernike polynomials that replaces the matrix-based encoding with neural networks. The method efficiently maps a 3D tomogram to its 1D Zernike descriptor vector and reconstructs the tomogram from this encoding. Compared with the analytical approach, 3D-DeepZern provides dramatically faster encoding, substantially lower memory usage, and comparable reconstruction accuracy. The improvements become even more pronounced at higher Zernike orders or larger voxel grids, demonstrating the scalability and practicality of the proposed method for high-resolution tomographic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用于高峰值功率纳秒脉冲放大的 40 µm 纤芯直径掺镱 VLMA 光纤</w:t>
      </w:r>
    </w:p>
    <w:p>
      <w:r>
        <w:rPr>
          <w:rFonts w:ascii="Times New Roman" w:hAnsi="Times New Roman" w:eastAsia="宋体"/>
          <w:b/>
          <w:color w:val="003264"/>
          <w:sz w:val="24"/>
        </w:rPr>
        <w:t>40 µm core diameter ytterbium-doped VLMA fiber for high-peak-power nanosecond pulse amplification</w:t>
      </w:r>
    </w:p>
    <w:p>
      <w:r>
        <w:rPr>
          <w:rFonts w:ascii="Times New Roman" w:hAnsi="Times New Roman" w:eastAsia="宋体"/>
          <w:sz w:val="21"/>
        </w:rPr>
        <w:t>作者: A. Chervet, B. Leconte, K. Wondraczek, J. Didierjean, R. Jamier, P. Roy</w:t>
        <w:br/>
      </w:r>
      <w:r>
        <w:rPr>
          <w:rFonts w:ascii="Times New Roman" w:hAnsi="Times New Roman" w:eastAsia="宋体"/>
          <w:sz w:val="21"/>
        </w:rPr>
        <w:t xml:space="preserve">时间: 2026-02-03 | </w:t>
      </w:r>
      <w:r>
        <w:t xml:space="preserve">链接: </w:t>
      </w:r>
      <w:hyperlink r:id="rId55">
        <w:r>
          <w:rPr>
            <w:rFonts w:ascii="Times New Roman" w:hAnsi="Times New Roman" w:eastAsia="宋体"/>
            <w:color w:val="0000FF"/>
            <w:sz w:val="21"/>
            <w:u w:val="single"/>
          </w:rPr>
          <w:t>https://doi.org/10.1364/ao.580121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微电子加工应用中，开发具有高峰值和平均功率的纳秒红外脉冲激光源对于支持不断提高加工生产率的努力至关重要。在本文中，我们提出了一种主振荡器光纤功率放大器（MOFPA），其特点是保偏（PM）超大模式面积（VLMA）掺镱光纤放大器的创新设计。该光纤的模场直径 (MFD) 为 38±2μm，并表现出显着的泵浦吸收，这些特性的组合可以有效地推迟峰值功率方面非线性效应的出现。</w:t>
      </w:r>
    </w:p>
    <w:p>
      <w:pPr>
        <w:spacing w:before="120"/>
      </w:pPr>
      <w:r>
        <w:rPr>
          <w:rFonts w:ascii="Times New Roman" w:hAnsi="Times New Roman" w:eastAsia="宋体"/>
          <w:b/>
          <w:sz w:val="21"/>
        </w:rPr>
        <w:t>English Abstract:</w:t>
      </w:r>
    </w:p>
    <w:p>
      <w:r>
        <w:rPr>
          <w:rFonts w:ascii="Times New Roman" w:hAnsi="Times New Roman" w:eastAsia="宋体"/>
          <w:sz w:val="21"/>
        </w:rPr>
        <w:t>In the context of microelectronic processing applications, the development of nanosecond infrared pulsed laser sources with high peak and average power is essential to support the ongoing effort to improve machining productivity. In this paper, we propose a master oscillator fiber power amplifier (MOFPA) featuring an innovative design of a polarization-maintaining (PM) very large mode area (VLMA) ytterbium-doped fiber amplifier. This fiber possesses a mode field diameter (MFD) of 38±2µm and demonstrates significant pump absorption, a combination of properties that effectively pushes back the onset of nonlinear effects in terms of peak power.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硫酸盐模型模拟全血在选定氧饱和度下的近红外光声响应</w:t>
      </w:r>
    </w:p>
    <w:p>
      <w:r>
        <w:rPr>
          <w:rFonts w:ascii="Times New Roman" w:hAnsi="Times New Roman" w:eastAsia="宋体"/>
          <w:b/>
          <w:color w:val="003264"/>
          <w:sz w:val="24"/>
        </w:rPr>
        <w:t>Sulfate phantoms to mimic NIR photoacoustic response of whole blood at selected oxygen saturations</w:t>
      </w:r>
    </w:p>
    <w:p>
      <w:r>
        <w:rPr>
          <w:rFonts w:ascii="Times New Roman" w:hAnsi="Times New Roman" w:eastAsia="宋体"/>
          <w:sz w:val="21"/>
        </w:rPr>
        <w:t>作者: Léa Davenet, Arthur Billon, Jacques Battaglia, Lori Bridal, Jerome Gateau</w:t>
        <w:br/>
      </w:r>
      <w:r>
        <w:rPr>
          <w:rFonts w:ascii="Times New Roman" w:hAnsi="Times New Roman" w:eastAsia="宋体"/>
          <w:sz w:val="21"/>
        </w:rPr>
        <w:t xml:space="preserve">时间: 2026-01-20 | </w:t>
      </w:r>
      <w:r>
        <w:t xml:space="preserve">链接: </w:t>
      </w:r>
      <w:hyperlink r:id="rId56">
        <w:r>
          <w:rPr>
            <w:rFonts w:ascii="Times New Roman" w:hAnsi="Times New Roman" w:eastAsia="宋体"/>
            <w:color w:val="0000FF"/>
            <w:sz w:val="21"/>
            <w:u w:val="single"/>
          </w:rPr>
          <w:t>https://doi.org/10.1364/ao.588474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本文提出了一种实用指南，用于制备在 700 nm 至 850 nm 范围内的特定氧合水平下模拟全血光声特性的无机溶液，无论是在光学吸收特性还是 Gr{\"u}neisen 系数方面。目标是提供可注射到模拟组织成像体模中的水溶液，以测试在多个波长下工作的光声成像系统的灵敏度和光谱能力，以估计血液氧合。</w:t>
      </w:r>
    </w:p>
    <w:p>
      <w:pPr>
        <w:spacing w:before="120"/>
      </w:pPr>
      <w:r>
        <w:rPr>
          <w:rFonts w:ascii="Times New Roman" w:hAnsi="Times New Roman" w:eastAsia="宋体"/>
          <w:b/>
          <w:sz w:val="21"/>
        </w:rPr>
        <w:t>English Abstract:</w:t>
      </w:r>
    </w:p>
    <w:p>
      <w:r>
        <w:rPr>
          <w:rFonts w:ascii="Times New Roman" w:hAnsi="Times New Roman" w:eastAsia="宋体"/>
          <w:sz w:val="21"/>
        </w:rPr>
        <w:t>This paper presents a practical guide to prepare inorganic solutions that mimic the photoacoustic properties of whole blood at specific levels of oxygenation in the range of 700 nm to 850 nm, both in terms of optical absorption properties and the Gr{\"u}neisen coefficient. The goal is to provide aqueous solutions that can be injected in tissue-mimicking imaging phantoms to test the sensitivity and spectral capabilities of photoacoustic imaging systems operating at multiple wavelengths to estimate blood oxygenation.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 L 波段 500 MHz 步进稳定双激光拍频源的连续太赫兹辐射</w:t>
      </w:r>
    </w:p>
    <w:p>
      <w:r>
        <w:rPr>
          <w:rFonts w:ascii="Times New Roman" w:hAnsi="Times New Roman" w:eastAsia="宋体"/>
          <w:b/>
          <w:color w:val="003264"/>
          <w:sz w:val="24"/>
        </w:rPr>
        <w:t>Continuous terahertz radiation based on an L-band 500 MHz step-stable two laser beat-frequency source</w:t>
      </w:r>
    </w:p>
    <w:p>
      <w:r>
        <w:rPr>
          <w:rFonts w:ascii="Times New Roman" w:hAnsi="Times New Roman" w:eastAsia="宋体"/>
          <w:sz w:val="21"/>
        </w:rPr>
        <w:t>作者: Zepeng Wu, Mingxing Li, Jiaxin Yu, Shaofei Wang, Lei Yu, Qing Yan, Shuo Su, Wenjun He, Yajun You, Yi Liu, Xiujian Chou, Le Zhang, Yunpeng Shao</w:t>
        <w:br/>
      </w:r>
      <w:r>
        <w:rPr>
          <w:rFonts w:ascii="Times New Roman" w:hAnsi="Times New Roman" w:eastAsia="宋体"/>
          <w:sz w:val="21"/>
        </w:rPr>
        <w:t xml:space="preserve">时间: 2026-02-06 | </w:t>
      </w:r>
      <w:r>
        <w:t xml:space="preserve">链接: </w:t>
      </w:r>
      <w:hyperlink r:id="rId57">
        <w:r>
          <w:rPr>
            <w:rFonts w:ascii="Times New Roman" w:hAnsi="Times New Roman" w:eastAsia="宋体"/>
            <w:color w:val="0000FF"/>
            <w:sz w:val="21"/>
            <w:u w:val="single"/>
          </w:rPr>
          <w:t>https://doi.org/10.1364/ao.580558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本文提出了基于 L 波段 500 MHz 步进稳定双激光拍频源 (TL-BFS) 的连续太赫兹 (THz) 辐射，频率调谐范围覆盖 0.1–2.7 THz。设计了全保偏（PM）光纤链路，包括保偏隔离器、保偏耦合器和保偏掺铒光纤放大器（EDFA），以保持两束光之间一致的偏振状态。 InGaAs 高性能光电导天线 (PCA) 由 TL-BFS 激发，在 1568.8–1589.6 nm 波长范围内产生连续的 0.1–2.7 THz 辐射。分别使用Golay探测器和太赫兹扫描法布里-珀罗干涉仪（TSFPI）测试太赫兹功率和频率。结果表明，25 min内太赫兹波功率不稳定性在4%以内，0.1、0.5、1 THz频率与TL-BFS的间隔频率高度一致。在0.95-1 THz范围内实现了500 MHz的高精度调谐，对应0.004 nm的波长间隔。同时，在酪氨酸样品的太赫兹吸收光谱分析中也得到了证明，在0.968太赫兹成功检测到了明显的吸收峰。这些结果证明了系统出色的调谐精度和稳定性，凸显了其对高分辨率光谱的适用性。</w:t>
      </w:r>
    </w:p>
    <w:p>
      <w:pPr>
        <w:spacing w:before="120"/>
      </w:pPr>
      <w:r>
        <w:rPr>
          <w:rFonts w:ascii="Times New Roman" w:hAnsi="Times New Roman" w:eastAsia="宋体"/>
          <w:b/>
          <w:sz w:val="21"/>
        </w:rPr>
        <w:t>English Abstract:</w:t>
      </w:r>
    </w:p>
    <w:p>
      <w:r>
        <w:rPr>
          <w:rFonts w:ascii="Times New Roman" w:hAnsi="Times New Roman" w:eastAsia="宋体"/>
          <w:sz w:val="21"/>
        </w:rPr>
        <w:t>This paper presents continuous terahertz (THz) radiation based on an L-Band 500 MHz step-stable two laser beat-frequency source (TL-BFS), with a frequency tuning range covering 0.1–2.7 THz. An all-polarization-maintaining (PM) fiber link was designed, including a PM isolator, a PM coupler, and a PM erbium-doped optical fiber amplifier (EDFA), to maintain a consistent polarization state between the two beams of light. An InGaAs high-performance photoconductive antenna (PCA) is excited by TL-BFS, generating continuous 0.1–2.7 THz radiation within the wavelength range of 1568.8–1589.6 nm. The THz power and frequency were tested respectively using a Golay detector and a THz scanning Fabry–Perot interferometer (TSFPI). The results show that the power instability of THz waves within 25 min is within 4%, and the frequency of 0.1, 0.5, and 1 THz are highly consistent with the interval frequencies of the TL-BFS. High-precision tuning of 500 MHz was achieved within the range of 0.95–1 THz, corresponding to a wavelength interval of 0.004 nm. At the same time, it was also proven in the THz absorption spectroscopy analysis of tyrosine samples, with a distinct absorption peak successfully detected at 0.968 THz. These results demonstrate the excellent tunning accuracy and stability of the system, highlighting its suitability for high-resolution spectroscopy.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光线追踪条纹模拟和基于 Zernike 的椭圆光学表面重建</w:t>
      </w:r>
    </w:p>
    <w:p>
      <w:r>
        <w:rPr>
          <w:rFonts w:ascii="Times New Roman" w:hAnsi="Times New Roman" w:eastAsia="宋体"/>
          <w:b/>
          <w:color w:val="003264"/>
          <w:sz w:val="24"/>
        </w:rPr>
        <w:t>Simulation of ray-traced fringes and Zernike-based reconstruction of elliptical optical surfaces</w:t>
      </w:r>
    </w:p>
    <w:p>
      <w:r>
        <w:rPr>
          <w:rFonts w:ascii="Times New Roman" w:hAnsi="Times New Roman" w:eastAsia="宋体"/>
          <w:sz w:val="21"/>
        </w:rPr>
        <w:t>作者: Dahi Ghareab Abdelsalam Ibrahim, Nicholas Devaney</w:t>
        <w:br/>
      </w:r>
      <w:r>
        <w:rPr>
          <w:rFonts w:ascii="Times New Roman" w:hAnsi="Times New Roman" w:eastAsia="宋体"/>
          <w:sz w:val="21"/>
        </w:rPr>
        <w:t xml:space="preserve">时间: 2026-02-06 | </w:t>
      </w:r>
      <w:r>
        <w:t xml:space="preserve">链接: </w:t>
      </w:r>
      <w:hyperlink r:id="rId58">
        <w:r>
          <w:rPr>
            <w:rFonts w:ascii="Times New Roman" w:hAnsi="Times New Roman" w:eastAsia="宋体"/>
            <w:color w:val="0000FF"/>
            <w:sz w:val="21"/>
            <w:u w:val="single"/>
          </w:rPr>
          <w:t>https://doi.org/10.1364/ao.580581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本研究提出了使用模拟条纹图案和泽尼克多项式拟合的高精度椭圆镜的综合建模和重建框架。生成一个合成椭圆形表面，具有半径为 -1300 mm 的圆顶形曲率、长轴和短轴分别为 229 和 124 mm，以及亚波长平坦度和粗糙度特征。使用非插值轮廓旋转模型 (N-IPRM) 将表面分为 180 个径向轮廓，该模型保留了原生空间采样。为了解决径向重建中固有的不连续性，插值轮廓旋转模型 (IPRM) 应用保形插值来实现平滑的表面恢复。从插值轮廓导出的垂度和斜率方程用于自定义光线追踪算法，以模拟可见光 (0.0006328 mm) 和毫米波 (5.052296 mm) 波长的干涉条纹。该算法结合了平面、球形和相对于椭圆形表面相反弯曲的球形参考表面。模拟的条纹图案经过细化和条纹阶次估计，然后使用在 MATLAB 中实现的自定义 Zernike 多项式拟合算法进行表面重建。由于基于Zernike的椭圆面重建中不完整的圆条纹带来的挑战，据我们所知，我们提出了一种新颖的方法：将椭圆面变换为等效球面，进行重建，然后将其转换回原始椭圆形式。重建表面与模型表现出极好的一致性，在较长波长下沿主轴的绝对误差为 0.0161 mm，相对误差为 0.32%。约 0.5% 的对称偏差进一步验证了重建精度。该方法为椭圆光学表面的模拟、分析和精确重建提供了强大且通用的工具集，对光学制造和计量具有重要意义。</w:t>
      </w:r>
    </w:p>
    <w:p>
      <w:pPr>
        <w:spacing w:before="120"/>
      </w:pPr>
      <w:r>
        <w:rPr>
          <w:rFonts w:ascii="Times New Roman" w:hAnsi="Times New Roman" w:eastAsia="宋体"/>
          <w:b/>
          <w:sz w:val="21"/>
        </w:rPr>
        <w:t>English Abstract:</w:t>
      </w:r>
    </w:p>
    <w:p>
      <w:r>
        <w:rPr>
          <w:rFonts w:ascii="Times New Roman" w:hAnsi="Times New Roman" w:eastAsia="宋体"/>
          <w:sz w:val="21"/>
        </w:rPr>
        <w:t>This study presents a comprehensive modeling and reconstruction framework for high-precision elliptical mirrors using simulated fringe patterns and Zernike polynomial fitting. A synthetic elliptical surface is generated, featuring a dome-shaped curvature with a radius of −1300 mm, major and minor axes of 229 and 124 mm, respectively, and sub-wavelength flatness and roughness characteristics. The surface is divided into 180 radial profiles using the non-interpolated profile rotation model (N-IPRM), which preserves native spatial sampling. To address discontinuities inherent in radial reconstruction, the interpolated profile rotation model (IPRM) applies shape-preserving interpolation to enable smooth surface recovery. Sag and slope equations derived from the interpolated profiles are used in a custom ray-tracing algorithm to simulate interference fringes at both visible (0.0006328 mm) and millimeter-wave (5.052296 mm) wavelengths. The algorithm incorporates planar, spherical, and oppositely curved spherical reference surfaces relative to the elliptical surface. The simulated fringe patterns undergo thinning and fringe order estimation, followed by surface reconstruction using a custom Zernike polynomial fitting algorithm implemented in MATLAB. Due to the challenges posed by incomplete circular fringes in Zernike-based reconstruction of elliptical surfaces, we propose a novel approach, to our knowledge: transforming the elliptical surface into an equivalent spherical surface, performing the reconstruction, and then converting it back to the original elliptical form. The reconstructed surface shows excellent agreement with the model, achieving an absolute error of 0.0161 mm and a relative error of 0.32% along the major axis at the longer wavelength. Symmetry deviations of approximately 0.5% further validate the reconstruction accuracy. This methodology provides a robust and versatile toolset for the simulation, analysis, and precise reconstruction of elliptical optical surfaces, with significant implications for optical fabrication and metrology.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通过散斑硅芯片解调光纤法布里-珀罗传感器</w:t>
      </w:r>
    </w:p>
    <w:p>
      <w:r>
        <w:rPr>
          <w:rFonts w:ascii="Times New Roman" w:hAnsi="Times New Roman" w:eastAsia="宋体"/>
          <w:b/>
          <w:color w:val="003264"/>
          <w:sz w:val="24"/>
        </w:rPr>
        <w:t>Demodulation of a fiber Fabry–Perot sensor by a speckle-based silicon chip</w:t>
      </w:r>
    </w:p>
    <w:p>
      <w:r>
        <w:rPr>
          <w:rFonts w:ascii="Times New Roman" w:hAnsi="Times New Roman" w:eastAsia="宋体"/>
          <w:sz w:val="21"/>
        </w:rPr>
        <w:t>作者: Zhipeng Wu, Qinlei Liu, Zhihang Lin, Huafei Mao, Xiao Liu, Qinggang Lin, Yanghui Li, Juan Kang, Yi Li</w:t>
        <w:br/>
      </w:r>
      <w:r>
        <w:rPr>
          <w:rFonts w:ascii="Times New Roman" w:hAnsi="Times New Roman" w:eastAsia="宋体"/>
          <w:sz w:val="21"/>
        </w:rPr>
        <w:t xml:space="preserve">时间: 2026-02-04 | </w:t>
      </w:r>
      <w:r>
        <w:t xml:space="preserve">链接: </w:t>
      </w:r>
      <w:hyperlink r:id="rId59">
        <w:r>
          <w:rPr>
            <w:rFonts w:ascii="Times New Roman" w:hAnsi="Times New Roman" w:eastAsia="宋体"/>
            <w:color w:val="0000FF"/>
            <w:sz w:val="21"/>
            <w:u w:val="single"/>
          </w:rPr>
          <w:t>https://doi.org/10.1364/ao.582540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法布里-珀罗 (FP) 干涉传感器广泛用于温度、应变和压力的精确测量。然而，传统的解调方法面临着精度、动态范围和实时性能之间固有的权衡。在此，我们提出并实验验证了基于绝缘体上硅 (SOI) 芯片的光纤 FP 传感器系统。解调原理基于通过多模干涉将环境引起的光谱偏移映射为散斑图案。在这项研究中，采用阿基米德螺旋双向多模波导（MMW）来取代传统的多模光纤，从而实现更高的集成度、简化的封装并提高环境鲁棒性。随后将散斑图案转换为八通道强度信号，以便于数据采集。在演示实验中，实现了 0.02°C 的温度测量精度，同时保持了出色的长期稳定性。进一步分析表明，所采用的 SOI 芯片具有 1 pm 的波长灵敏度，对应于优于 0.001°C 的理论温度分辨率。总体而言，基于散斑的SOI芯片为FP传感器系统提供了一种解决方案，具有高精度、出色的稳定性和宽动态范围。</w:t>
      </w:r>
    </w:p>
    <w:p>
      <w:pPr>
        <w:spacing w:before="120"/>
      </w:pPr>
      <w:r>
        <w:rPr>
          <w:rFonts w:ascii="Times New Roman" w:hAnsi="Times New Roman" w:eastAsia="宋体"/>
          <w:b/>
          <w:sz w:val="21"/>
        </w:rPr>
        <w:t>English Abstract:</w:t>
      </w:r>
    </w:p>
    <w:p>
      <w:r>
        <w:rPr>
          <w:rFonts w:ascii="Times New Roman" w:hAnsi="Times New Roman" w:eastAsia="宋体"/>
          <w:sz w:val="21"/>
        </w:rPr>
        <w:t>Fabry–Perot (FP) interferometric sensors are widely employed for precise measurements of temperature, strain, and pressure. However, conventional demodulation methods face inherent trade-offs among accuracy, dynamic range, and real-time performance. Herein, we propose and experimentally validate a fiber FP sensor system based on a silicon-on-insulator (SOI) chip. The demodulation principle is on the basis of mapping environmentally induced spectral shifts into speckle patterns through multimode interferences. In this study, an Archimedean spiral bidirectional multimode waveguide (MMW) is employed to replace conventional multimode fibers, enabling higher integration, simplified packaging, and improved environmental robustness. The speckle patterns are subsequently converted into eight-channel intensity signals for easier data acquisition. In the demonstration experiments, a temperature measurement accuracy of 0.02°C was achieved while maintaining excellent long-term stability. Further analysis reveals that the employed SOI chip exhibits a wavelength sensitivity of 1 pm, corresponding to a theoretical temperature resolution better than 0.001°C. Overall, the speckle-based SOI chip provides a solution for FP sensor systems that features high precision, excellent stability, and a broad dynamic range.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具有四个相同悬臂梁的二维光纤布拉格光栅加速度计</w:t>
      </w:r>
    </w:p>
    <w:p>
      <w:r>
        <w:rPr>
          <w:rFonts w:ascii="Times New Roman" w:hAnsi="Times New Roman" w:eastAsia="宋体"/>
          <w:b/>
          <w:color w:val="003264"/>
          <w:sz w:val="24"/>
        </w:rPr>
        <w:t>Two-dimensional fiber Bragg grating accelerometer with four identical cantilevers</w:t>
      </w:r>
    </w:p>
    <w:p>
      <w:r>
        <w:rPr>
          <w:rFonts w:ascii="Times New Roman" w:hAnsi="Times New Roman" w:eastAsia="宋体"/>
          <w:sz w:val="21"/>
        </w:rPr>
        <w:t>作者: Meiya Zhang, Qiang Zhao, Peng Sun, Yunzhou Li, Zhen Wang</w:t>
        <w:br/>
      </w:r>
      <w:r>
        <w:rPr>
          <w:rFonts w:ascii="Times New Roman" w:hAnsi="Times New Roman" w:eastAsia="宋体"/>
          <w:sz w:val="21"/>
        </w:rPr>
        <w:t xml:space="preserve">时间: 2026-02-04 | </w:t>
      </w:r>
      <w:r>
        <w:t xml:space="preserve">链接: </w:t>
      </w:r>
      <w:hyperlink r:id="rId60">
        <w:r>
          <w:rPr>
            <w:rFonts w:ascii="Times New Roman" w:hAnsi="Times New Roman" w:eastAsia="宋体"/>
            <w:color w:val="0000FF"/>
            <w:sz w:val="21"/>
            <w:u w:val="single"/>
          </w:rPr>
          <w:t>https://doi.org/10.1364/ao.581353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为了满足二维（2D）低频振动监测和传感器小型化的要求，本文提出了一种具有四个相同悬臂梁的紧凑型二维光纤布拉格光栅（FBG）加速度传感器。该传感器采用四个相同的悬臂梁作为弹性传感元件。通过对光纤光栅中心波长的变化进行差分信号处理，可以抑制温度交叉敏感性并提高测量灵敏度。实验结果表明，谐振频率为 500 Hz（X 轴）和 525 Hz（Y 轴），在 10–200 Hz 范围内稳定运行，灵敏度为 38.01 和 38.10 pm/g，具有出色的线性度（r 2 &gt;0.99），串扰比为 11.6% 和 13.7%，温差灵敏度仅为 1.7–2下午/°C。由于其小型化的结构和一致的双向灵敏度，该传感器非常适合空间受限环境和强电磁干扰（EMI）场景下的二维低频振动监测。</w:t>
      </w:r>
    </w:p>
    <w:p>
      <w:pPr>
        <w:spacing w:before="120"/>
      </w:pPr>
      <w:r>
        <w:rPr>
          <w:rFonts w:ascii="Times New Roman" w:hAnsi="Times New Roman" w:eastAsia="宋体"/>
          <w:b/>
          <w:sz w:val="21"/>
        </w:rPr>
        <w:t>English Abstract:</w:t>
      </w:r>
    </w:p>
    <w:p>
      <w:r>
        <w:rPr>
          <w:rFonts w:ascii="Times New Roman" w:hAnsi="Times New Roman" w:eastAsia="宋体"/>
          <w:sz w:val="21"/>
        </w:rPr>
        <w:t>To address the requirements of two-dimensional (2D) low-frequency vibration monitoring and sensor miniaturization, this paper proposes a compact 2D fiber Bragg grating (FBG) acceleration sensor with four identical cantilever beams. The sensor uses four identical cantilever beams as elastic sensing elements. By applying differential signal processing to the variations in the central wavelength of the FBGs, it suppresses temperature cross-sensitivity and enhances measurement sensitivity. The experimental results demonstrate resonant frequencies of 500 (X-axis) and 525 Hz (Y-axis), with stable operation in the 10–200 Hz range, sensitivities of 38.01 and 38.10 pm/g with excellent linearity (r 2 &gt;0.99), crosstalk ratios of 11.6% and 13.7%, and differential temperature sensitivities of only 1.7–2 pm/°C. Owing to its miniaturized structure and consistent bidirectional sensitivity, the sensor is highly suitable for two-dimensional low-frequency vibration monitoring in space-constrained environments and in scenarios with strong electromagnetic interference (EMI).</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Letters</w:t>
      </w:r>
    </w:p>
    <w:p>
      <w:pPr>
        <w:jc w:val="center"/>
      </w:pPr>
      <w:r>
        <w:t>--- 更新: 00:31 ---</w:t>
      </w:r>
    </w:p>
    <w:p>
      <w:pPr>
        <w:pStyle w:val="Heading2"/>
      </w:pPr>
      <w:r/>
      <w:r>
        <w:rPr>
          <w:rFonts w:ascii="Times New Roman" w:hAnsi="Times New Roman" w:eastAsia="宋体"/>
          <w:b/>
          <w:color w:val="000000"/>
          <w:sz w:val="24"/>
        </w:rPr>
        <w:t>空气处理的 CuSCN 空穴注入层具有改善的表面性能，可增强量子点发光二极管的性能</w:t>
      </w:r>
    </w:p>
    <w:p>
      <w:r>
        <w:rPr>
          <w:rFonts w:ascii="Times New Roman" w:hAnsi="Times New Roman" w:eastAsia="宋体"/>
          <w:b/>
          <w:color w:val="003264"/>
          <w:sz w:val="24"/>
        </w:rPr>
        <w:t>Air-processed CuSCN hole-injection layer with improved surface properties for performance enhancement of quantum dot light-emitting diodes</w:t>
      </w:r>
    </w:p>
    <w:p>
      <w:r>
        <w:rPr>
          <w:rFonts w:ascii="Times New Roman" w:hAnsi="Times New Roman" w:eastAsia="宋体"/>
          <w:sz w:val="21"/>
        </w:rPr>
        <w:t>作者: Shilong Shi, Yuanhong Hu, Mingyue Liao, Yanlian Lei, Xuejun Qiu</w:t>
        <w:br/>
      </w:r>
      <w:r>
        <w:rPr>
          <w:rFonts w:ascii="Times New Roman" w:hAnsi="Times New Roman" w:eastAsia="宋体"/>
          <w:sz w:val="21"/>
        </w:rPr>
        <w:t xml:space="preserve">时间: 2026-01-30 | </w:t>
      </w:r>
      <w:r>
        <w:t xml:space="preserve">链接: </w:t>
      </w:r>
      <w:hyperlink r:id="rId61">
        <w:r>
          <w:rPr>
            <w:rFonts w:ascii="Times New Roman" w:hAnsi="Times New Roman" w:eastAsia="宋体"/>
            <w:color w:val="0000FF"/>
            <w:sz w:val="21"/>
            <w:u w:val="single"/>
          </w:rPr>
          <w:t>https://doi.org/10.1364/ol.582287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硫氰酸铜 (I) (CuSCN) 具有优异的空穴迁移率、光学透明度和溶液加工性能，是一种非常有前景的光电器件空穴注入层 (HIL)。然而，与缺陷状态和薄膜质量相关的挑战仍然存在。本研究提出了一种空气诱导 CuSCN 薄膜表面化学重组的简单策略，有效减少表面缺陷并增加共价特性。结果表明，与氮气气氛中制造的器件相比，采用空气处理的 CuSCN HIL 制造的量子点发光二极管 (QLED) 在亮度和效率方面均提高了大约两倍。这些发现为开发适用于各种传输层系统的经济高效、高亮度 QLED 提供了宝贵的见解。</w:t>
      </w:r>
    </w:p>
    <w:p>
      <w:pPr>
        <w:spacing w:before="120"/>
      </w:pPr>
      <w:r>
        <w:rPr>
          <w:rFonts w:ascii="Times New Roman" w:hAnsi="Times New Roman" w:eastAsia="宋体"/>
          <w:b/>
          <w:sz w:val="21"/>
        </w:rPr>
        <w:t>English Abstract:</w:t>
      </w:r>
    </w:p>
    <w:p>
      <w:r>
        <w:rPr>
          <w:rFonts w:ascii="Times New Roman" w:hAnsi="Times New Roman" w:eastAsia="宋体"/>
          <w:sz w:val="21"/>
        </w:rPr>
        <w:t>Copper (I) thiocyanate (CuSCN) is a highly promising hole-injection layer (HIL) for optoelectronic devices due to its excellent hole mobility, optical transparency, and solution-processability. However, challenges related to defect states and film quality persist. This study presents a simple strategy for air-induced surface chemical restructuring of CuSCN films, effectively reducing surface defects and increasing covalent character. Results show that quantum-dot light-emitting diodes (QLEDs) fabricated with air-processed CuSCN HIL demonstrate approximately two-fold improvements in both brightness and efficiency compared to devices made in nitrogen atmospheres. These findings offer valuable insights for the development of cost-effective, high-brightness QLEDs, applicable across various transport layer systems.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矢量光束的腔增强型偏振无关频率转换</w:t>
      </w:r>
    </w:p>
    <w:p>
      <w:r>
        <w:rPr>
          <w:rFonts w:ascii="Times New Roman" w:hAnsi="Times New Roman" w:eastAsia="宋体"/>
          <w:b/>
          <w:color w:val="003264"/>
          <w:sz w:val="24"/>
        </w:rPr>
        <w:t>Cavity-enhanced polarization-independent frequency conversion for vector beams</w:t>
      </w:r>
    </w:p>
    <w:p>
      <w:r>
        <w:rPr>
          <w:rFonts w:ascii="Times New Roman" w:hAnsi="Times New Roman" w:eastAsia="宋体"/>
          <w:sz w:val="21"/>
        </w:rPr>
        <w:t>作者: Ren-Hui Chen, Zhi-Cheng Guo, Zheng-Bang Ju, Ming-Yuan Gao, Zhao-Qi-Zhi Han, Yue-Wei Song, Xiao-Hua Wang, Yin-Hai Li, Yan Li, Wei Zhang, Zhi-Yuan Zhou, Bao-Sen Shi</w:t>
        <w:br/>
      </w:r>
      <w:r>
        <w:rPr>
          <w:rFonts w:ascii="Times New Roman" w:hAnsi="Times New Roman" w:eastAsia="宋体"/>
          <w:sz w:val="21"/>
        </w:rPr>
        <w:t xml:space="preserve">时间: 2026-01-27 | </w:t>
      </w:r>
      <w:r>
        <w:t xml:space="preserve">链接: </w:t>
      </w:r>
      <w:hyperlink r:id="rId62">
        <w:r>
          <w:rPr>
            <w:rFonts w:ascii="Times New Roman" w:hAnsi="Times New Roman" w:eastAsia="宋体"/>
            <w:color w:val="0000FF"/>
            <w:sz w:val="21"/>
            <w:u w:val="single"/>
          </w:rPr>
          <w:t>https://doi.org/10.1364/ol.584847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高阶庞加莱球上表示的具有空间变化偏振的矢量光束在光通信、成像和量子信息科学中是不可或缺的。然而，由于灵敏度和有限的转换效率，矢量光束的非线性频率转换仍然具有挑战性。在这里，我们展示了一种基于矢量光束差频生成的高效、外腔增强、与偏振无关的频率转换。受益于 Sagnac 配置内的腔体增强，我们在 l =1 和 l =2 的矢量光束上分别实现了 43.85% 和 16.83% 的外部量子效率，证明了高效的连续波频率转换。通过空间斯托克斯测量验证了转换光束中矢量偏振结构的保留。这项工作展示了一种有效的矢量光束波长操纵方法，并且可能与结构光控制和非线性光子接口的应用相关。</w:t>
      </w:r>
    </w:p>
    <w:p>
      <w:pPr>
        <w:spacing w:before="120"/>
      </w:pPr>
      <w:r>
        <w:rPr>
          <w:rFonts w:ascii="Times New Roman" w:hAnsi="Times New Roman" w:eastAsia="宋体"/>
          <w:b/>
          <w:sz w:val="21"/>
        </w:rPr>
        <w:t>English Abstract:</w:t>
      </w:r>
    </w:p>
    <w:p>
      <w:r>
        <w:rPr>
          <w:rFonts w:ascii="Times New Roman" w:hAnsi="Times New Roman" w:eastAsia="宋体"/>
          <w:sz w:val="21"/>
        </w:rPr>
        <w:t>Vector beams with spatially varying polarization, represented on the higher-order Poincaré sphere, are indispensable in optical communications, imaging, and quantum information science. However, nonlinear frequency conversion of vector beams remains challenging due to sensitivity and limited conversion efficiency. Here, we demonstrate a highly efficient, external-cavity-enhanced, polarization-independent frequency conversion based on difference-frequency generation for vector beams. Benefiting from cavity enhancement within the Sagnac configuration, we achieve external quantum efficiencies of 43.85% and 16.83% for vector beams with l =1 and l =2, respectively, demonstrating efficient continuous-wave frequency conversion. The preservation of the vectorial polarization structure in the converted beams is verified by spatial Stokes measurements. This work demonstrates an efficient approach for wavelength manipulation of vector beams and is potentially relevant to applications in structured-light control and nonlinear photonic interfaces.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使用电磁感应透明体和矢量涡旋光束进行磁场方向检测</w:t>
      </w:r>
    </w:p>
    <w:p>
      <w:r>
        <w:rPr>
          <w:rFonts w:ascii="Times New Roman" w:hAnsi="Times New Roman" w:eastAsia="宋体"/>
          <w:b/>
          <w:color w:val="003264"/>
          <w:sz w:val="24"/>
        </w:rPr>
        <w:t>Magnetic field direction detection using electromagnetically induced transparency with a vector vortex beam</w:t>
      </w:r>
    </w:p>
    <w:p>
      <w:r>
        <w:rPr>
          <w:rFonts w:ascii="Times New Roman" w:hAnsi="Times New Roman" w:eastAsia="宋体"/>
          <w:sz w:val="21"/>
        </w:rPr>
        <w:t>作者: Owen Rollins, Eugeniy E. Mikhailov, Irina Novikova</w:t>
        <w:br/>
      </w:r>
      <w:r>
        <w:rPr>
          <w:rFonts w:ascii="Times New Roman" w:hAnsi="Times New Roman" w:eastAsia="宋体"/>
          <w:sz w:val="21"/>
        </w:rPr>
        <w:t xml:space="preserve">时间: 2026-02-09 | </w:t>
      </w:r>
      <w:r>
        <w:t xml:space="preserve">链接: </w:t>
      </w:r>
      <w:hyperlink r:id="rId63">
        <w:r>
          <w:rPr>
            <w:rFonts w:ascii="Times New Roman" w:hAnsi="Times New Roman" w:eastAsia="宋体"/>
            <w:color w:val="0000FF"/>
            <w:sz w:val="21"/>
            <w:u w:val="single"/>
          </w:rPr>
          <w:t>https://doi.org/10.1364/ol.585801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我们通过实验演示了如何使用电磁感应透明 (EIT) 和矢量涡旋激光束来测量磁场方向。解开沿涡旋的强度变化可以同时从一张差分强度图像中获取有关所有激光偏振的 EIT 共振振幅的信息。我们证明，通过跟踪 EIT 振幅极值的角位置，可以以亚度精度确定磁场横向分量的方向。对峰值方位角依赖性的傅立叶分析可以明确识别磁场与激光传播方向（纵向角）之间的角度。所提出的方法与基于 EIT 的磁力计完全兼容，并且对于集成组件特别有吸引力，因为它不需要任何有源偏振旋转器。</w:t>
      </w:r>
    </w:p>
    <w:p>
      <w:pPr>
        <w:spacing w:before="120"/>
      </w:pPr>
      <w:r>
        <w:rPr>
          <w:rFonts w:ascii="Times New Roman" w:hAnsi="Times New Roman" w:eastAsia="宋体"/>
          <w:b/>
          <w:sz w:val="21"/>
        </w:rPr>
        <w:t>English Abstract:</w:t>
      </w:r>
    </w:p>
    <w:p>
      <w:r>
        <w:rPr>
          <w:rFonts w:ascii="Times New Roman" w:hAnsi="Times New Roman" w:eastAsia="宋体"/>
          <w:sz w:val="21"/>
        </w:rPr>
        <w:t>We experimentally demonstrate how one can measure the magnetic field direction using electromagnetically induced transparency (EIT) with a vector vortex laser beam. Unwrapping the intensity variation along the vortex allows to simultaneously obtain information about EIT resonance amplitudes for all laser polarizations from one differential intensity image. We demonstrate that one can determine the orientation of the transverse component of the magnetic field with sub-degree precision by tracking the angular position of EIT amplitude extrema. Fourier analysis of the peaks’ azimuthal dependence enables unambiguous identification of the angle between the magnetic field and the laser propagation direction (longitudinal angle). The proposed method is fully compatible with EIT-based magnetometers, and particularly attractive for integrated assemblies, since it does not require any active polarization rotators.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连续可变 QKD 和量子噪声流密码的偏振复用共传</w:t>
      </w:r>
    </w:p>
    <w:p>
      <w:r>
        <w:rPr>
          <w:rFonts w:ascii="Times New Roman" w:hAnsi="Times New Roman" w:eastAsia="宋体"/>
          <w:b/>
          <w:color w:val="003264"/>
          <w:sz w:val="24"/>
        </w:rPr>
        <w:t>Polarization-multiplexed co-transmission of continuous-variable QKD and quantum noise stream cipher</w:t>
      </w:r>
    </w:p>
    <w:p>
      <w:r>
        <w:rPr>
          <w:rFonts w:ascii="Times New Roman" w:hAnsi="Times New Roman" w:eastAsia="宋体"/>
          <w:sz w:val="21"/>
        </w:rPr>
        <w:t>作者: Yuchao Liu, Tao Wang, Peng Huang, Guihua Zeng</w:t>
        <w:br/>
      </w:r>
      <w:r>
        <w:rPr>
          <w:rFonts w:ascii="Times New Roman" w:hAnsi="Times New Roman" w:eastAsia="宋体"/>
          <w:sz w:val="21"/>
        </w:rPr>
        <w:t xml:space="preserve">时间: 2026-01-29 | </w:t>
      </w:r>
      <w:r>
        <w:t xml:space="preserve">链接: </w:t>
      </w:r>
      <w:hyperlink r:id="rId64">
        <w:r>
          <w:rPr>
            <w:rFonts w:ascii="Times New Roman" w:hAnsi="Times New Roman" w:eastAsia="宋体"/>
            <w:color w:val="0000FF"/>
            <w:sz w:val="21"/>
            <w:u w:val="single"/>
          </w:rPr>
          <w:t>https://doi.org/10.1364/ol.585901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量子噪声流密码（QNSC）是一种利用量子噪声掩盖的冗余信息来实现攻击复杂性呈指数级增长的加密技术，而连续变量量子密钥分发（CV-QKD）可以通过生成密钥来提供此类冗余信息。值得注意的是，这两种方案中采用的光学架构表现出显着的相似性。在这项工作中，我们采用偏振分复用（PDM）来增强信道容量，从而能够在单个信道上同时传输两种不同协议下的信号。为了减轻信号传播过程中引起的动态偏振态变化，我们实施了偏振交织子载波调制（PISCM）方案。我们证明，在20公里的传输距离上，QKD安全密钥速率可以保持在4.93 Mbps，而QNSC传输速率达到100 Mbps。使用线性反馈移位寄存器 (LFSR) 将密钥速率从 4 Mbps 扩展到 400 Mbps，从而实现与 100 Mbps QNSC 信号的同步，从而实现了集成通信和加密系统的一条有前途的途径。</w:t>
      </w:r>
    </w:p>
    <w:p>
      <w:pPr>
        <w:spacing w:before="120"/>
      </w:pPr>
      <w:r>
        <w:rPr>
          <w:rFonts w:ascii="Times New Roman" w:hAnsi="Times New Roman" w:eastAsia="宋体"/>
          <w:b/>
          <w:sz w:val="21"/>
        </w:rPr>
        <w:t>English Abstract:</w:t>
      </w:r>
    </w:p>
    <w:p>
      <w:r>
        <w:rPr>
          <w:rFonts w:ascii="Times New Roman" w:hAnsi="Times New Roman" w:eastAsia="宋体"/>
          <w:sz w:val="21"/>
        </w:rPr>
        <w:t>Quantum noise stream cipher (QNSC) is an encryption technique that leverages redundant information obscured by quantum noise to achieve an exponential increase in attack complexity, while continuous-variable quantum key distribution (CV-QKD) can provide such redundant information by generating secret keys. Notably, the optical architectures employed in these two schemes exhibit significant similarities. In this work, we employ polarization division multiplexing (PDM) to enhance channel capacity, enabling simultaneous transmission of signals under two different protocols over a single channel. To mitigate dynamic polarization state variations induced during signal propagation, we implement a polarization-interleaved subcarrier modulation (PISCM) scheme. We demonstrate that at a transmission distance of 20 km, the QKD secure key rate can be maintained at 4.93 Mbps, while the QNSC transmission rate reaches 100 Mbps. The expansion of the key rate from 4 Mbps to 400 Mbps using a linear feedback shift register (LFSR) enables synchronization with the 100 Mbps QNSC signal, realizing a promising pathway toward an integrated communication and encryption system.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通过边缘奇点工程实现亚衍射极限光场整形</w:t>
      </w:r>
    </w:p>
    <w:p>
      <w:r>
        <w:rPr>
          <w:rFonts w:ascii="Times New Roman" w:hAnsi="Times New Roman" w:eastAsia="宋体"/>
          <w:b/>
          <w:color w:val="003264"/>
          <w:sz w:val="24"/>
        </w:rPr>
        <w:t>Sub-diffraction-limit light field shaping through edge-singularity engineering</w:t>
      </w:r>
    </w:p>
    <w:p>
      <w:r>
        <w:rPr>
          <w:rFonts w:ascii="Times New Roman" w:hAnsi="Times New Roman" w:eastAsia="宋体"/>
          <w:sz w:val="21"/>
        </w:rPr>
        <w:t>作者: Junhui Jia, Chaoheng Guo, Haolin Lin, Jiahui Wu, Yanwen Hu, Yangjian Cai, Shenhe Fu</w:t>
        <w:br/>
      </w:r>
      <w:r>
        <w:rPr>
          <w:rFonts w:ascii="Times New Roman" w:hAnsi="Times New Roman" w:eastAsia="宋体"/>
          <w:sz w:val="21"/>
        </w:rPr>
        <w:t xml:space="preserve">时间: 2026-02-03 | </w:t>
      </w:r>
      <w:r>
        <w:t xml:space="preserve">链接: </w:t>
      </w:r>
      <w:hyperlink r:id="rId65">
        <w:r>
          <w:rPr>
            <w:rFonts w:ascii="Times New Roman" w:hAnsi="Times New Roman" w:eastAsia="宋体"/>
            <w:color w:val="0000FF"/>
            <w:sz w:val="21"/>
            <w:u w:val="single"/>
          </w:rPr>
          <w:t>https://doi.org/10.1364/ol.583394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并通过实验演示了一种在亚衍射区域塑造光场的技术。我们的技术依赖于精心设计沿横向曲线连续分布的相位奇点。我们开发了一个多项式函数来有效地描述这种奇点曲线，从而产生特征尺寸大大降低到深亚衍射极限的任意光图案。我们通过展示边缘奇点工程的不同案例来实验验证理论框架，以将高斯包络塑造成所需的形态。据我们所知，我们的演示开辟了一条在亚衍射极限范围内塑造光场的新颖途径，它可以在包括超分辨率成像和精密检测在内的各个领域找到潜在的应用。</w:t>
      </w:r>
    </w:p>
    <w:p>
      <w:pPr>
        <w:spacing w:before="120"/>
      </w:pPr>
      <w:r>
        <w:rPr>
          <w:rFonts w:ascii="Times New Roman" w:hAnsi="Times New Roman" w:eastAsia="宋体"/>
          <w:b/>
          <w:sz w:val="21"/>
        </w:rPr>
        <w:t>English Abstract:</w:t>
      </w:r>
    </w:p>
    <w:p>
      <w:r>
        <w:rPr>
          <w:rFonts w:ascii="Times New Roman" w:hAnsi="Times New Roman" w:eastAsia="宋体"/>
          <w:sz w:val="21"/>
        </w:rPr>
        <w:t>We propose and experimentally demonstrate a technique for shaping the light field in the sub-diffraction regime. Our technique relies on carefully engineering a phase singularity that is distributed continuously along a transverse curve. We develop a polynomial function to effectively describe this singularity curve, which results in an arbitrary light pattern with a feature size considerably down to the deep sub-diffraction limit. We experimentally verify the theoretical framework by demonstrating different cases of edge-singularity engineering for shaping the Gaussian envelope into desired morphologies. Our demonstrations open a novel, to the best of our knowledge, pathway to shaping the light field at the sub-diffraction-limit regime, which can find potential applications in various fields including the super-resolution imaging and precision detection.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通过部分脱脂二氧化硅纳米复合材料的金刚石车削超精密制造熔融二氧化硅微光学器件</w:t>
      </w:r>
    </w:p>
    <w:p>
      <w:r>
        <w:rPr>
          <w:rFonts w:ascii="Times New Roman" w:hAnsi="Times New Roman" w:eastAsia="宋体"/>
          <w:b/>
          <w:color w:val="003264"/>
          <w:sz w:val="24"/>
        </w:rPr>
        <w:t>Ultra-precision fabrication of fused silica micro-optics by diamond turning of partially debound silica nanocomposites</w:t>
      </w:r>
    </w:p>
    <w:p>
      <w:r>
        <w:rPr>
          <w:rFonts w:ascii="Times New Roman" w:hAnsi="Times New Roman" w:eastAsia="宋体"/>
          <w:sz w:val="21"/>
        </w:rPr>
        <w:t>作者: Xiaodong Su, Ya Xu, Xiaotong Du, Limin Zhu, Zhiwei Zhu</w:t>
        <w:br/>
      </w:r>
      <w:r>
        <w:rPr>
          <w:rFonts w:ascii="Times New Roman" w:hAnsi="Times New Roman" w:eastAsia="宋体"/>
          <w:sz w:val="21"/>
        </w:rPr>
        <w:t xml:space="preserve">时间: 2026-01-28 | </w:t>
      </w:r>
      <w:r>
        <w:t xml:space="preserve">链接: </w:t>
      </w:r>
      <w:hyperlink r:id="rId66">
        <w:r>
          <w:rPr>
            <w:rFonts w:ascii="Times New Roman" w:hAnsi="Times New Roman" w:eastAsia="宋体"/>
            <w:color w:val="0000FF"/>
            <w:sz w:val="21"/>
            <w:u w:val="single"/>
          </w:rPr>
          <w:t>https://doi.org/10.1364/ol.586932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二氧化硅纳米复合材料的工艺为低温制造熔融二氧化硅部件提供了一条新途径。然而，低精度和差的表面质量阻碍了它们在产生熔融石英光学方面的应用。在此，我们报告了一种我们认为是通过对部分脱脂二氧化硅纳米复合材料进行金刚石车削来超精密制造复杂形状熔融石英微光学器件的新工艺，其中部分脱脂纳米复合材料旨在抑制高温加工中不需要的变形。通过对生成的熔融二氧化硅组分的实际表征，最佳部分脱脂温度选择为275℃。作为演示，我们制作了一个长焦深消色差折射-衍射混合透镜，其表面粗糙度为 Sa = 6.01 nm，PV 误差约为 0.46 μm。</w:t>
      </w:r>
    </w:p>
    <w:p>
      <w:pPr>
        <w:spacing w:before="120"/>
      </w:pPr>
      <w:r>
        <w:rPr>
          <w:rFonts w:ascii="Times New Roman" w:hAnsi="Times New Roman" w:eastAsia="宋体"/>
          <w:b/>
          <w:sz w:val="21"/>
        </w:rPr>
        <w:t>English Abstract:</w:t>
      </w:r>
    </w:p>
    <w:p>
      <w:r>
        <w:rPr>
          <w:rFonts w:ascii="Times New Roman" w:hAnsi="Times New Roman" w:eastAsia="宋体"/>
          <w:sz w:val="21"/>
        </w:rPr>
        <w:t>Silica nanocomposites-based processes provided a new route for low-temperature fabrication of fused silica components. However, low accuracy and poor surface quality prohibit their applications for generating fused silica optics. Herein, we report what we believe to be a novel process for ultra-precision fabrication of complex-shaped fused silica micro-optics by diamond turning of partially debound silica nanocomposites, where the partially debound nanocomposites were designed to suppress undesired deformations in the high-temperature processing. By practically characterizing the generated fused silica components, the optimum partial debinding temperature was selected as 275°C. As a demonstration, an achromatic refractive-diffractive hybrid lens with long focal depth was fabricated to have a surface roughness of Sa = 6.01 nm and a PV error of around 0.46 μm.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光致变色吸收介质中的全光减法卷积</w:t>
      </w:r>
    </w:p>
    <w:p>
      <w:r>
        <w:rPr>
          <w:rFonts w:ascii="Times New Roman" w:hAnsi="Times New Roman" w:eastAsia="宋体"/>
          <w:b/>
          <w:color w:val="003264"/>
          <w:sz w:val="24"/>
        </w:rPr>
        <w:t>All-optical subtractive convolution in photochromic absorbing media</w:t>
      </w:r>
    </w:p>
    <w:p>
      <w:r>
        <w:rPr>
          <w:rFonts w:ascii="Times New Roman" w:hAnsi="Times New Roman" w:eastAsia="宋体"/>
          <w:sz w:val="21"/>
        </w:rPr>
        <w:t>作者: Eugenio Fazio, Mario Bragaglia, Arif Nabizada, Francesca Nanni, Alessandro Bile</w:t>
        <w:br/>
      </w:r>
      <w:r>
        <w:rPr>
          <w:rFonts w:ascii="Times New Roman" w:hAnsi="Times New Roman" w:eastAsia="宋体"/>
          <w:sz w:val="21"/>
        </w:rPr>
        <w:t xml:space="preserve">时间: 2026-02-03 | </w:t>
      </w:r>
      <w:r>
        <w:t xml:space="preserve">链接: </w:t>
      </w:r>
      <w:hyperlink r:id="rId67">
        <w:r>
          <w:rPr>
            <w:rFonts w:ascii="Times New Roman" w:hAnsi="Times New Roman" w:eastAsia="宋体"/>
            <w:color w:val="0000FF"/>
            <w:sz w:val="21"/>
            <w:u w:val="single"/>
          </w:rPr>
          <w:t>https://doi.org/10.1364/ol.586072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学图像识别是传统数字方法的一种有前景的替代方案。在本文中，我们提出了一个执行减法卷积的全光学系统，这意味着消除了两个光图（参考光图和待识别的未知光图）之间的共同特征。这是由于在光束相互作用的核心使用了一种具有诱导吸收的材料：环氧树脂中的 TII 光致变色分子薄膜。光致变色材料的照明区域中吸收的增加导致两束光束之间的光学卷积消除了具有共同特征的区域，仅留下透射中不同的特征。理论和实验结果都证明了高选择性和分辨率，凸显了光致变色材料在可重构光学处理器中的巨大潜力。</w:t>
      </w:r>
    </w:p>
    <w:p>
      <w:pPr>
        <w:spacing w:before="120"/>
      </w:pPr>
      <w:r>
        <w:rPr>
          <w:rFonts w:ascii="Times New Roman" w:hAnsi="Times New Roman" w:eastAsia="宋体"/>
          <w:b/>
          <w:sz w:val="21"/>
        </w:rPr>
        <w:t>English Abstract:</w:t>
      </w:r>
    </w:p>
    <w:p>
      <w:r>
        <w:rPr>
          <w:rFonts w:ascii="Times New Roman" w:hAnsi="Times New Roman" w:eastAsia="宋体"/>
          <w:sz w:val="21"/>
        </w:rPr>
        <w:t>Optical image recognition represents a promising alternative to traditional digital methods. In this paper, we present a fully optical system that performs subtraction convolution, meaning that common features between two light maps, a reference and an unknown to be recognized, are eliminated. This is due to the use of a material with induced absorption at the heart of the beam interaction: a thin film of TII photochromic molecules in epoxy resin. The increased absorption in the illuminated regions of the photochromic material causes the optical convolution between two light beams to eliminate the regions with common features, leaving only the dissimilar features in transmission. Both theoretical and experimental results demonstrate high selectivity and resolution, highlighting the great potential of photochromic materials for reconfigurable optical processors.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具有长干涉区的量子诱导相干成像</w:t>
      </w:r>
    </w:p>
    <w:p>
      <w:r>
        <w:rPr>
          <w:rFonts w:ascii="Times New Roman" w:hAnsi="Times New Roman" w:eastAsia="宋体"/>
          <w:b/>
          <w:color w:val="003264"/>
          <w:sz w:val="24"/>
        </w:rPr>
        <w:t>Quantum-induced coherence imaging with a long interference region</w:t>
      </w:r>
    </w:p>
    <w:p>
      <w:r>
        <w:rPr>
          <w:rFonts w:ascii="Times New Roman" w:hAnsi="Times New Roman" w:eastAsia="宋体"/>
          <w:sz w:val="21"/>
        </w:rPr>
        <w:t>作者: Yansheng Bao, Bochen Wang, Zemin Wu, Changyong Tian, Yani Zuo, Zhengyong Li</w:t>
        <w:br/>
      </w:r>
      <w:r>
        <w:rPr>
          <w:rFonts w:ascii="Times New Roman" w:hAnsi="Times New Roman" w:eastAsia="宋体"/>
          <w:sz w:val="21"/>
        </w:rPr>
        <w:t xml:space="preserve">时间: 2026-01-30 | </w:t>
      </w:r>
      <w:r>
        <w:t xml:space="preserve">链接: </w:t>
      </w:r>
      <w:hyperlink r:id="rId68">
        <w:r>
          <w:rPr>
            <w:rFonts w:ascii="Times New Roman" w:hAnsi="Times New Roman" w:eastAsia="宋体"/>
            <w:color w:val="0000FF"/>
            <w:sz w:val="21"/>
            <w:u w:val="single"/>
          </w:rPr>
          <w:t>https://doi.org/10.1364/ol.581283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Zou-Wang-Mandel (ZWM) 量子诱导相干性已被证明可用于高灵敏度检测和传感应用，例如复杂环境中的高信噪比测距和成像。闲频信号的路径重叠阻碍了确定信号源自的确切路径。然而，量子诱导相干的干涉区域仅限于非线性过程产生的参量下转换（PDC）光子的相干长度，这仍然是一个亟待解决的问题。在这里，我们提出了一种方法，通过与惰轮频率相同的种子注入（SI）来增加量子诱导相干成像系统的干涉区域，至少从微米到厘米，并产生更亮的条纹。与典型的ZWM量子诱导相干成像相比，我们的系统不仅保留了抗噪声和无重合要求的优点，而且还展现了高相干、远距离、高可见度成像的可能性。</w:t>
      </w:r>
    </w:p>
    <w:p>
      <w:pPr>
        <w:spacing w:before="120"/>
      </w:pPr>
      <w:r>
        <w:rPr>
          <w:rFonts w:ascii="Times New Roman" w:hAnsi="Times New Roman" w:eastAsia="宋体"/>
          <w:b/>
          <w:sz w:val="21"/>
        </w:rPr>
        <w:t>English Abstract:</w:t>
      </w:r>
    </w:p>
    <w:p>
      <w:r>
        <w:rPr>
          <w:rFonts w:ascii="Times New Roman" w:hAnsi="Times New Roman" w:eastAsia="宋体"/>
          <w:sz w:val="21"/>
        </w:rPr>
        <w:t>Zou-Wang-Mandel (ZWM) quantum-induced coherence has been demonstrated for high-sensitive detection and sensing applications such as high signal-to-noise ratio ranging and imaging in complex environments. The path overlapping of the idler prohibits the determination of the exact path from which the signal originates. However, the interference region of quantum-induced coherence is limited to coherence length of parametric down-conversion (PDC) photons generated by nonlinear processes, which has remained an urgent issue to address. Here, we propose a method to increase the interference region of quantum-induced coherence imaging systems, from micrometers to centimeters at least by seed injection (SI) of the same frequency as the idler, and resulting in brighter fringes. Compared to typical ZWM quantum-induced coherence imaging, our system not only retains the advantages of noise resistance and no coincidence requirement but also exhibits possibilities of high-coherence, long-distance, and high-visibility imaging.</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Optica</w:t>
      </w:r>
    </w:p>
    <w:p>
      <w:pPr>
        <w:jc w:val="center"/>
      </w:pPr>
      <w:r>
        <w:t>--- 更新: 00:31 ---</w:t>
      </w:r>
    </w:p>
    <w:p>
      <w:pPr>
        <w:pStyle w:val="Heading1"/>
      </w:pPr>
      <w:r>
        <w:rPr>
          <w:rFonts w:ascii="Times New Roman" w:hAnsi="Times New Roman" w:eastAsia="宋体"/>
          <w:b/>
          <w:color w:val="000000"/>
          <w:sz w:val="32"/>
        </w:rPr>
        <w:t>Biomedical Optics Express</w:t>
      </w:r>
    </w:p>
    <w:p>
      <w:pPr>
        <w:jc w:val="center"/>
      </w:pPr>
      <w:r>
        <w:t>--- 更新: 00:32 ---</w:t>
      </w:r>
    </w:p>
    <w:p>
      <w:pPr>
        <w:pStyle w:val="Heading1"/>
      </w:pPr>
      <w:r>
        <w:rPr>
          <w:rFonts w:ascii="Times New Roman" w:hAnsi="Times New Roman" w:eastAsia="宋体"/>
          <w:b/>
          <w:color w:val="000000"/>
          <w:sz w:val="32"/>
        </w:rPr>
        <w:t>J. Opt. Soc. Am. A</w:t>
      </w:r>
    </w:p>
    <w:p>
      <w:pPr>
        <w:jc w:val="center"/>
      </w:pPr>
      <w:r>
        <w:t>--- 更新: 00:32 ---</w:t>
      </w:r>
    </w:p>
    <w:p>
      <w:pPr>
        <w:pStyle w:val="Heading2"/>
      </w:pPr>
      <w:r/>
      <w:r>
        <w:rPr>
          <w:rFonts w:ascii="Times New Roman" w:hAnsi="Times New Roman" w:eastAsia="宋体"/>
          <w:b/>
          <w:color w:val="000000"/>
          <w:sz w:val="24"/>
        </w:rPr>
        <w:t>显微镜物镜中具有方位角偏振的非球面波前的矢量衍射</w:t>
      </w:r>
    </w:p>
    <w:p>
      <w:r>
        <w:rPr>
          <w:rFonts w:ascii="Times New Roman" w:hAnsi="Times New Roman" w:eastAsia="宋体"/>
          <w:b/>
          <w:color w:val="003264"/>
          <w:sz w:val="24"/>
        </w:rPr>
        <w:t>Vector diffraction of aspherical wavefronts with azimuthal polarization in microscope objectives</w:t>
      </w:r>
    </w:p>
    <w:p>
      <w:r>
        <w:rPr>
          <w:rFonts w:ascii="Times New Roman" w:hAnsi="Times New Roman" w:eastAsia="宋体"/>
          <w:sz w:val="21"/>
        </w:rPr>
        <w:t>作者: Rafael G. González-Acuña</w:t>
        <w:br/>
      </w:r>
      <w:r>
        <w:rPr>
          <w:rFonts w:ascii="Times New Roman" w:hAnsi="Times New Roman" w:eastAsia="宋体"/>
          <w:sz w:val="21"/>
        </w:rPr>
        <w:t xml:space="preserve">时间: 2026-02-04 | </w:t>
      </w:r>
      <w:r>
        <w:t xml:space="preserve">链接: </w:t>
      </w:r>
      <w:hyperlink r:id="rId69">
        <w:r>
          <w:rPr>
            <w:rFonts w:ascii="Times New Roman" w:hAnsi="Times New Roman" w:eastAsia="宋体"/>
            <w:color w:val="0000FF"/>
            <w:sz w:val="21"/>
            <w:u w:val="single"/>
          </w:rPr>
          <w:t>https://doi.org/10.1364/josaa.583069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理查兹-沃尔夫积分对显微镜等高数值孔径光学系统中的电磁场进行建模，捕获方位偏振光束的偏振效应，但仅限于球面波前，无法考虑像差或非球面。据我们所知，一种新颖的广义衍射积分[Appl。选择。 64, 6036 (2025) 10.1364/AO.568541] 扩展了这个框架来处理自由矢量场和像差，简化为球面情况的经典形式。我们应用这种方法来计算具有非球面波前和方位角偏振的显微镜的点扩散函数（PSF），分析像差影响。我们的结果表明，PSF 精度得到提高，增强了超分辨率成像和光学捕获，从而推进了偏振敏感显微镜设计。</w:t>
      </w:r>
    </w:p>
    <w:p>
      <w:pPr>
        <w:spacing w:before="120"/>
      </w:pPr>
      <w:r>
        <w:rPr>
          <w:rFonts w:ascii="Times New Roman" w:hAnsi="Times New Roman" w:eastAsia="宋体"/>
          <w:b/>
          <w:sz w:val="21"/>
        </w:rPr>
        <w:t>English Abstract:</w:t>
      </w:r>
    </w:p>
    <w:p>
      <w:r>
        <w:rPr>
          <w:rFonts w:ascii="Times New Roman" w:hAnsi="Times New Roman" w:eastAsia="宋体"/>
          <w:sz w:val="21"/>
        </w:rPr>
        <w:t>The Richards–Wolf integral models electromagnetic fields in high-NA optical systems like microscopes, capturing polarization effects of azimuthally polarized beams, but is limited to spherical wavefronts, failing to account for aberrations or aspherical surfaces. A novel, to our knowledge, generalized diffraction integral [ Appl. Opt. 64 , 6036 ( 2025 ) 10.1364/AO.568541 ] extends this framework to handle freeform vectorial fields and aberrations, reducing to the classical form for spherical cases. We apply this method to compute the point spread function (PSF) of microscopes with aspherical wavefronts and azimuthal polarization, analyzing aberration impacts. Our results show improved PSF accuracy, enhancing super-resolution imaging and optical trapping and thus advancing polarization-sensitive microscopy design.</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Photonics Research</w:t>
      </w:r>
    </w:p>
    <w:p>
      <w:pPr>
        <w:jc w:val="center"/>
      </w:pPr>
      <w:r>
        <w:t>--- 更新: 00:32 ---</w:t>
      </w:r>
    </w:p>
    <w:p>
      <w:pPr>
        <w:pStyle w:val="Heading2"/>
      </w:pPr>
      <w:r/>
      <w:r>
        <w:rPr>
          <w:rFonts w:ascii="Times New Roman" w:hAnsi="Times New Roman" w:eastAsia="宋体"/>
          <w:b/>
          <w:color w:val="000000"/>
          <w:sz w:val="24"/>
        </w:rPr>
        <w:t>可定制的自旋到轨道角动量自由度与级联超表面的完全转换</w:t>
      </w:r>
    </w:p>
    <w:p>
      <w:r>
        <w:rPr>
          <w:rFonts w:ascii="Times New Roman" w:hAnsi="Times New Roman" w:eastAsia="宋体"/>
          <w:b/>
          <w:color w:val="003264"/>
          <w:sz w:val="24"/>
        </w:rPr>
        <w:t>Tailorable spin-to-orbital angular momentum degree-of-freedom complete conversion with cascaded metasurfaces</w:t>
      </w:r>
    </w:p>
    <w:p>
      <w:r>
        <w:rPr>
          <w:rFonts w:ascii="Times New Roman" w:hAnsi="Times New Roman" w:eastAsia="宋体"/>
          <w:sz w:val="21"/>
        </w:rPr>
        <w:t>作者: Shiu Hei Lam, Jinyong Ma, Thomas Pertsch, Andrey A. Sukhorukov</w:t>
        <w:br/>
      </w:r>
      <w:r>
        <w:rPr>
          <w:rFonts w:ascii="Times New Roman" w:hAnsi="Times New Roman" w:eastAsia="宋体"/>
          <w:sz w:val="21"/>
        </w:rPr>
        <w:t xml:space="preserve">时间: 2026-01-27 | </w:t>
      </w:r>
      <w:r>
        <w:t xml:space="preserve">链接: </w:t>
      </w:r>
      <w:hyperlink r:id="rId70">
        <w:r>
          <w:rPr>
            <w:rFonts w:ascii="Times New Roman" w:hAnsi="Times New Roman" w:eastAsia="宋体"/>
            <w:color w:val="0000FF"/>
            <w:sz w:val="21"/>
            <w:u w:val="single"/>
          </w:rPr>
          <w:t>https://doi.org/10.1364/prj.574200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自旋到轨道角动量 (OAM) 转换与偏振整形相结合，扩展了光通信和量子光学的能力。虽然单个超表面可以根据输入偏振创建不同的 OAM，但它不能任意定制输出偏振。我们揭示了如何通过级联超表面克服这一限制，实现对 OAM 的偏振和光学相位的完全控制，并结合接近统一的效率，从而可以介导量子纠缠态的创建。我们的多通道 OAM 转换分析框架预测了最佳超表面分离距离，衍射理论计算证实设计的性能保持在纳米制造公差范围内。</w:t>
      </w:r>
    </w:p>
    <w:p>
      <w:pPr>
        <w:spacing w:before="120"/>
      </w:pPr>
      <w:r>
        <w:rPr>
          <w:rFonts w:ascii="Times New Roman" w:hAnsi="Times New Roman" w:eastAsia="宋体"/>
          <w:b/>
          <w:sz w:val="21"/>
        </w:rPr>
        <w:t>English Abstract:</w:t>
      </w:r>
    </w:p>
    <w:p>
      <w:r>
        <w:rPr>
          <w:rFonts w:ascii="Times New Roman" w:hAnsi="Times New Roman" w:eastAsia="宋体"/>
          <w:sz w:val="21"/>
        </w:rPr>
        <w:t>Spin-to-orbital angular momentum (OAM) conversion combined with the polarization shaping expands capabilities in optical communications and quantum optics. Whereas a single metasurface can create different OAMs depending on the input polarization, it cannot arbitrarily tailor output polarizations. We reveal how to overcome this limitation with cascaded metasurfaces, achieving complete control over the polarization and optical phase of OAMs combined with a near-unity efficiency, which can mediate the creation of quantum-entangled states. Our analytical framework of multi-channel OAM conversion predicts the optimal metasurface separation distance, and diffraction theory calculations confirm that the designed performance is preserved within nanofabrication tolerances.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具有精确横模控制的高能量、高光束质量时空锁模光纤激光器</w:t>
      </w:r>
    </w:p>
    <w:p>
      <w:r>
        <w:rPr>
          <w:rFonts w:ascii="Times New Roman" w:hAnsi="Times New Roman" w:eastAsia="宋体"/>
          <w:b/>
          <w:color w:val="003264"/>
          <w:sz w:val="24"/>
        </w:rPr>
        <w:t>High-energy, high-beam quality spatiotemporal mode-locked fiber laser with precise transverse mode control</w:t>
      </w:r>
    </w:p>
    <w:p>
      <w:r>
        <w:rPr>
          <w:rFonts w:ascii="Times New Roman" w:hAnsi="Times New Roman" w:eastAsia="宋体"/>
          <w:sz w:val="21"/>
        </w:rPr>
        <w:t>作者: Xiuquan Li, Wenqi Ma, Yi Qin, Canyi Deng, Guijun Hu</w:t>
        <w:br/>
      </w:r>
      <w:r>
        <w:rPr>
          <w:rFonts w:ascii="Times New Roman" w:hAnsi="Times New Roman" w:eastAsia="宋体"/>
          <w:sz w:val="21"/>
        </w:rPr>
        <w:t xml:space="preserve">时间: 2026-01-28 | </w:t>
      </w:r>
      <w:r>
        <w:t xml:space="preserve">链接: </w:t>
      </w:r>
      <w:hyperlink r:id="rId71">
        <w:r>
          <w:rPr>
            <w:rFonts w:ascii="Times New Roman" w:hAnsi="Times New Roman" w:eastAsia="宋体"/>
            <w:color w:val="0000FF"/>
            <w:sz w:val="21"/>
            <w:u w:val="single"/>
          </w:rPr>
          <w:t>https://doi.org/10.1364/prj.574432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时空锁模激光器通过横模协作提供独特的动力学和高能潜力。然而，现有方案缺乏精确的横模控制，限制了单脉冲能量和光束质量的同时提高。本文采用横模控制技术，利用模式复用器/解复用器实现横模分割，可以实现对参与时空锁模（STML）的所有横模的精确控制。四模阶跃折射率 (STIN) 光纤时空锁模激光器的实验结果表明，通过使用补偿光纤的模间色散控制，可以在多个横向模式的单个重复频率下实现稳定的锁模。横模能量叠加可在 1.5 μm 波段实现 7.6 nJ 的高单脉冲能量输出。此外，每个分支中的偏振控制器动态优化模间耦合，将M 2 值从4.8显着降低至1.4，首次在STIN光纤时空锁模激光器中实现类高斯高光束质量输出。该技术理论上可扩展到任意数量的横向模式，从而能够精确控制每个模式的色散、相位和偏振，从而在时空锁模激光器中协调能量和光束质量优化。</w:t>
      </w:r>
    </w:p>
    <w:p>
      <w:pPr>
        <w:spacing w:before="120"/>
      </w:pPr>
      <w:r>
        <w:rPr>
          <w:rFonts w:ascii="Times New Roman" w:hAnsi="Times New Roman" w:eastAsia="宋体"/>
          <w:b/>
          <w:sz w:val="21"/>
        </w:rPr>
        <w:t>English Abstract:</w:t>
      </w:r>
    </w:p>
    <w:p>
      <w:r>
        <w:rPr>
          <w:rFonts w:ascii="Times New Roman" w:hAnsi="Times New Roman" w:eastAsia="宋体"/>
          <w:sz w:val="21"/>
        </w:rPr>
        <w:t>Spatiotemporal mode-locked lasers offer unique dynamics and high-energy potential through transverse mode collaboration. However, current schemes lack precise transverse mode control, limiting the simultaneous improvement of single-pulse energy and beam quality. This paper employs a transverse mode control technique, which uses a mode multiplexer/demultiplexer to realize transverse mode division and can achieve precise control of all the transverse modes participating in spatiotemporal mode-locking (STML). Experimental results of a four-mode step-index (STIN) fiber spatiotemporal mode-locked laser demonstrate stable mode-locking at a single repetition frequency across multiple transverse modes via intermodal dispersion control using compensating fibers. Transverse mode energy superposition enables a high single-pulse energy output of 7.6 nJ in the 1.5 μm band. Furthermore, polarization controllers in each branch dynamically optimize intermodal coupling, significantly reducing the M 2 value from 4.8 to 1.4, achieving Gaussian-like high-beam-quality output in a STIN fiber spatiotemporal mode-locked laser for the first time. The technique is theoretically extensible to any number of transverse modes, enabling precise control of dispersion, phase, and polarization per mode for coordinated energy and beam quality optimization in spatiotemporal mode-locked lasers.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基于动态增益匹配的大带宽自混合激光多普勒测速，具有显着的 10 4 强度响应增强</w:t>
      </w:r>
    </w:p>
    <w:p>
      <w:r>
        <w:rPr>
          <w:rFonts w:ascii="Times New Roman" w:hAnsi="Times New Roman" w:eastAsia="宋体"/>
          <w:b/>
          <w:color w:val="003264"/>
          <w:sz w:val="24"/>
        </w:rPr>
        <w:t>Dynamic-gain-matching-based large bandwidth self-mixing laser Doppler velocimetry with notable 10 4 intensity response enhancement</w:t>
      </w:r>
    </w:p>
    <w:p>
      <w:r>
        <w:rPr>
          <w:rFonts w:ascii="Times New Roman" w:hAnsi="Times New Roman" w:eastAsia="宋体"/>
          <w:sz w:val="21"/>
        </w:rPr>
        <w:t>作者: Jinsong Liu, Yifan Wang, Yan Li, Xin Xu, Yidong Tan</w:t>
        <w:br/>
      </w:r>
      <w:r>
        <w:rPr>
          <w:rFonts w:ascii="Times New Roman" w:hAnsi="Times New Roman" w:eastAsia="宋体"/>
          <w:sz w:val="21"/>
        </w:rPr>
        <w:t xml:space="preserve">时间: 2026-01-27 | </w:t>
      </w:r>
      <w:r>
        <w:t xml:space="preserve">链接: </w:t>
      </w:r>
      <w:hyperlink r:id="rId72">
        <w:r>
          <w:rPr>
            <w:rFonts w:ascii="Times New Roman" w:hAnsi="Times New Roman" w:eastAsia="宋体"/>
            <w:color w:val="0000FF"/>
            <w:sz w:val="21"/>
            <w:u w:val="single"/>
          </w:rPr>
          <w:t>https://doi.org/10.1364/prj.572887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激光多普勒测速是一种强大的精确运动监测方法，具有高精度、非接触式的优点。其中，自混合（SM）激光多普勒测速对非合作目标表现出高灵敏度。通过腔内干扰对多普勒信号进行自发放大，实现微弱回波信号的检测，满足实际测量需求。然而，由于固有的增益频率限制，激光反馈系统中与频率相关的增益分布在较高频率下表现出渐进衰减，从根本上限制了它们在高速目标的高灵敏度测速中的适用性。据我们所知，我们首次定量地确定自混合干涉测量的增益和频率（GFP）的乘积对于较高频率保持恒定。为了提高单模激光多普勒测速的带宽，进一步提高自混合干涉测量（SMI）的灵敏度，采用变频方法来突破这一固有限制。采用电光调制器（EOM）和光注入锁定将干涉信号的频率移入增益区域，从而扩展增益带宽。理论上，由于EOM调制带宽大，多普勒频率测量带宽可以扩展到数十GHz（1550 nm处对应速度超过1 km/s），而受目标限制，多普勒频率实验测量超过44 MHz（1550 nm处34.1 m/s）。该系统实现了4 Hz以内的多普勒频率测量精度。同时，光学注入锁定可以提供额外的光学增益。 10 μW 的种子光被放大到 60 mW，提供 37 dB 的增益。所提出系统的检测限为-145.52 dB，强度响应灵敏度比正常外差干扰高10 4 。因此，该系统具有带宽大、灵敏度高、精度高等优点。有望广泛应用于非合作高速运动目标的监测。</w:t>
      </w:r>
    </w:p>
    <w:p>
      <w:pPr>
        <w:spacing w:before="120"/>
      </w:pPr>
      <w:r>
        <w:rPr>
          <w:rFonts w:ascii="Times New Roman" w:hAnsi="Times New Roman" w:eastAsia="宋体"/>
          <w:b/>
          <w:sz w:val="21"/>
        </w:rPr>
        <w:t>English Abstract:</w:t>
      </w:r>
    </w:p>
    <w:p>
      <w:r>
        <w:rPr>
          <w:rFonts w:ascii="Times New Roman" w:hAnsi="Times New Roman" w:eastAsia="宋体"/>
          <w:sz w:val="21"/>
        </w:rPr>
        <w:t>Laser Doppler velocimetry is a powerful method for precise motion monitoring with the advantages of high precision and noncontact. Among them, self-mixing (SM) laser Doppler velocimetry exhibits high sensitivity for noncooperative targets. The spontaneous amplification of Doppler signals through intracavity interference enables the detection of weak echo signals, meeting practical measurement requirements. However, the frequency-dependent gain profile in laser feedback systems exhibits progressive attenuation at higher frequencies due to the inherent gain-frequency constraint, fundamentally limiting their applicability for high-sensitivity velocimetry of high-speed targets. We quantitatively establish for the first time, to our knowledge, that the product of self-mixing interferometry’s gain and frequency (GFP) remains constant for higher frequency. In order to improve the bandwidth of SM laser Doppler velocimetry and further enhance the sensitivity of self-mixing interferometry (SMI), a frequency conversion method is implemented to transcend this intrinsic limit. The electro-optical modulator (EOM) and optical injection locking are employed to shift the frequency of the interference signal into the gain region, enabling the extension of gain bandwidth. Theoretically, the measurement bandwidth of Doppler frequency can extend to tens of GHz (the corresponding speed beyond 1 km/s at 1550 nm) due to the large modulation bandwidth of EOM, and the experimental measurement of Doppler frequency exceeds 44 MHz (34.1 m/s at 1550 nm) limited by the target. The system achieves a Doppler frequency measurement precision within 4 Hz. In the meantime, optical injection locking can provide additional optical gain. The seed light of 10 μW is amplified to 60 mW, providing a gain of 37 dB. The detection limit of the proposed system is −145.52 dB with 10 4 higher intensity response sensitivity than normal heterodyne interference. Therefore, the system has the advantages of large bandwidth, high sensitivity, and high precision. It is expected to be widely used in the monitoring of noncooperative high-speed moving targets.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Advanced Photonics Nexus</w:t>
      </w:r>
    </w:p>
    <w:p>
      <w:pPr>
        <w:jc w:val="center"/>
      </w:pPr>
      <w:r>
        <w:t>--- 更新: 00:32 ---</w:t>
      </w:r>
    </w:p>
    <w:p>
      <w:pPr>
        <w:pStyle w:val="Heading2"/>
      </w:pPr>
      <w:r/>
      <w:r>
        <w:rPr>
          <w:rFonts w:ascii="Times New Roman" w:hAnsi="Times New Roman" w:eastAsia="宋体"/>
          <w:b/>
          <w:color w:val="000000"/>
          <w:sz w:val="24"/>
        </w:rPr>
        <w:t>高效的 Gerchberg-Saxton 算法深度展开，用于具有复杂前向路径的相位检索</w:t>
      </w:r>
    </w:p>
    <w:p>
      <w:r>
        <w:rPr>
          <w:rFonts w:ascii="Times New Roman" w:hAnsi="Times New Roman" w:eastAsia="宋体"/>
          <w:b/>
          <w:color w:val="003264"/>
          <w:sz w:val="24"/>
        </w:rPr>
        <w:t>Efficient Gerchberg–Saxton algorithm deep unrolling for phase retrieval with a complex forward path</w:t>
      </w:r>
    </w:p>
    <w:p>
      <w:r>
        <w:rPr>
          <w:rFonts w:ascii="Times New Roman" w:hAnsi="Times New Roman" w:eastAsia="宋体"/>
          <w:sz w:val="21"/>
        </w:rPr>
        <w:t>作者: Shengyuan Yan, Mike Holenderski, Nirvana Meratnia</w:t>
        <w:br/>
      </w:r>
      <w:r>
        <w:rPr>
          <w:rFonts w:ascii="Times New Roman" w:hAnsi="Times New Roman" w:eastAsia="宋体"/>
          <w:sz w:val="21"/>
        </w:rPr>
        <w:t xml:space="preserve">时间: 2026-02-09 | </w:t>
      </w:r>
      <w:r>
        <w:t xml:space="preserve">链接: </w:t>
      </w:r>
      <w:hyperlink r:id="rId73">
        <w:r>
          <w:rPr>
            <w:rFonts w:ascii="Times New Roman" w:hAnsi="Times New Roman" w:eastAsia="宋体"/>
            <w:color w:val="0000FF"/>
            <w:sz w:val="21"/>
            <w:u w:val="single"/>
          </w:rPr>
          <w:t>https://doi.org/10.1117/1.apn.5.2.026005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相位恢复问题出现在各种具有不同前向路径复杂性的光学系统中。 Gerchberg-Saxton 算法深度展开技术是一种最先进的相位检索方法。其推理速度由前向路径的复杂性决定。我们提出了 FourierGSNet，这是一种高效的 Gerchberg-Saxton 算法深度展开方法，可以为具有高前向路径复杂性的应用实现更快的相位检索。 FourierGSNet 并不直接用系统的前向路径展开 Gerchberg-Saxton 迭代。相反，它使用傅里叶变换作为简化的前向路径从展开的迭代中提取物理知识，并将知识注入级联神经网络中以用于实际系统的相位检索。我们在三个复杂程度的三个应用上评估了 FourierGSNet：（i）以傅里叶变换作为简单前向路径的相干衍射成像，（ii）以菲涅尔衍射作为中等复杂性前向路径的近场 X 射线成像，以及（iii）以整个模拟光学序列作为复杂前向路径的激光束整形。我们将 FourierGSNet 与直接展开、两种拟合方法和最先进的数据驱动方法进行比较。实验表明，在高复杂性应用中，FourierGSNet 的推理速度明显快于直接展开，同时与比较方法相比，其准确性相同或更高。</w:t>
      </w:r>
    </w:p>
    <w:p>
      <w:pPr>
        <w:spacing w:before="120"/>
      </w:pPr>
      <w:r>
        <w:rPr>
          <w:rFonts w:ascii="Times New Roman" w:hAnsi="Times New Roman" w:eastAsia="宋体"/>
          <w:b/>
          <w:sz w:val="21"/>
        </w:rPr>
        <w:t>English Abstract:</w:t>
      </w:r>
    </w:p>
    <w:p>
      <w:r>
        <w:rPr>
          <w:rFonts w:ascii="Times New Roman" w:hAnsi="Times New Roman" w:eastAsia="宋体"/>
          <w:sz w:val="21"/>
        </w:rPr>
        <w:t>Phase retrieval problems occur in a wide range of optical systems characterized by different forward path complexities. The Gerchberg–Saxton algorithm deep unrolling technique is a state-of-the-art phase retrieval method. Its inference speed is determined by the complexity of the forward path. We propose FourierGSNet, an efficient Gerchberg–Saxton algorithm deep unrolling method, to achieve faster phase retrieval for applications with high forward path complexities. FourierGSNet does not directly unroll Gerchberg–Saxton iterations with the forward path of the system. Instead, it extracts physics knowledge from unrolled iterations using the Fourier transform as a simplified forward path and injects the knowledge into a cascaded neural network for phase retrieval for the actual system. We evaluated FourierGSNet on three applications with three degrees of complexities: (i) coherent diffractive imaging with Fourier transform as a simple forward path, (ii) near-field X-ray imaging with Fresnel diffraction as a medium-complexity forward path, and (iii) laser beam shaping with the entire simulated optical train as a complex forward path. We compare FourierGSNet with direct unrolling, two fitting methods, and state-of-the-art data-driven methods. Experiments show that FourierGSNet is significantly faster in inference than direct unrolling on high-complexity applications while achieving equal or higher accuracy than compared methods.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APL Photonics</w:t>
      </w:r>
    </w:p>
    <w:p>
      <w:pPr>
        <w:jc w:val="center"/>
      </w:pPr>
      <w:r>
        <w:t>--- 更新: 00:32 ---</w:t>
      </w:r>
    </w:p>
    <w:p>
      <w:pPr>
        <w:pStyle w:val="Heading2"/>
      </w:pPr>
      <w:r/>
      <w:r>
        <w:rPr>
          <w:rFonts w:ascii="Times New Roman" w:hAnsi="Times New Roman" w:eastAsia="宋体"/>
          <w:b/>
          <w:color w:val="000000"/>
          <w:sz w:val="24"/>
        </w:rPr>
        <w:t>光的角动量</w:t>
      </w:r>
    </w:p>
    <w:p>
      <w:r>
        <w:rPr>
          <w:rFonts w:ascii="Times New Roman" w:hAnsi="Times New Roman" w:eastAsia="宋体"/>
          <w:b/>
          <w:color w:val="003264"/>
          <w:sz w:val="24"/>
        </w:rPr>
        <w:t>Angular momentum of light</w:t>
      </w:r>
    </w:p>
    <w:p>
      <w:r>
        <w:rPr>
          <w:rFonts w:ascii="Times New Roman" w:hAnsi="Times New Roman" w:eastAsia="宋体"/>
          <w:sz w:val="21"/>
        </w:rPr>
        <w:t>作者: Antonio Ambrosio, Francois Courvoisier, Marco Ornigotti</w:t>
        <w:br/>
      </w:r>
      <w:r>
        <w:rPr>
          <w:rFonts w:ascii="Times New Roman" w:hAnsi="Times New Roman" w:eastAsia="宋体"/>
          <w:sz w:val="21"/>
        </w:rPr>
        <w:t xml:space="preserve">时间: 2026-02-09 | </w:t>
      </w:r>
      <w:r>
        <w:t xml:space="preserve">链接: </w:t>
      </w:r>
      <w:hyperlink r:id="rId74">
        <w:r>
          <w:rPr>
            <w:rFonts w:ascii="Times New Roman" w:hAnsi="Times New Roman" w:eastAsia="宋体"/>
            <w:color w:val="0000FF"/>
            <w:sz w:val="21"/>
            <w:u w:val="single"/>
          </w:rPr>
          <w:t>https://doi.org/10.1063/5.0323522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过去的几十年里，光的角动量引起了许多研究小组越来越多的兴趣。考虑到光的这种特性的经典和量子含义在光学力和扭矩、量子光学和显微镜等领域的广泛应用，这一点并不令人意外。此外，各种各样的设备和技术不断被开发，以在角动量的操纵和结构化方面取得进展，作为一种多功能的光自由度。本专题旨在展示与光角动量相关的理论和实验的最新进展。</w:t>
      </w:r>
    </w:p>
    <w:p>
      <w:pPr>
        <w:spacing w:before="120"/>
      </w:pPr>
      <w:r>
        <w:rPr>
          <w:rFonts w:ascii="Times New Roman" w:hAnsi="Times New Roman" w:eastAsia="宋体"/>
          <w:b/>
          <w:sz w:val="21"/>
        </w:rPr>
        <w:t>English Abstract:</w:t>
      </w:r>
    </w:p>
    <w:p>
      <w:r>
        <w:rPr>
          <w:rFonts w:ascii="Times New Roman" w:hAnsi="Times New Roman" w:eastAsia="宋体"/>
          <w:sz w:val="21"/>
        </w:rPr>
        <w:t>Over the past few decades, angular momentum of light has attracted increasing interest from many research groups. This comes without surprise, considering the widespread range of applications related to the classical and quantum implications of this property of light in fields such as optical forces and torque, quantum optics, and microscopy. In addition, a large variety of devices and techniques continue to be developed to progress in the manipulation and structuring of angular momentum as a versatile degree of freedom of light. This Special Topic aims at showcasing the latest progress in theory and experiments related to the angular momentum of light.</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Vis. Comput. Graph</w:t>
      </w:r>
    </w:p>
    <w:p>
      <w:pPr>
        <w:jc w:val="center"/>
      </w:pPr>
      <w:r>
        <w:t>--- 更新: 00:32 ---</w:t>
      </w:r>
    </w:p>
    <w:p>
      <w:pPr>
        <w:pStyle w:val="Heading2"/>
      </w:pPr>
      <w:r/>
      <w:r>
        <w:rPr>
          <w:rFonts w:ascii="Times New Roman" w:hAnsi="Times New Roman" w:eastAsia="宋体"/>
          <w:b/>
          <w:color w:val="000000"/>
          <w:sz w:val="24"/>
        </w:rPr>
        <w:t>HiFormer：具有盒装位置编码的分层变压器，用于 3D 零件装配</w:t>
      </w:r>
    </w:p>
    <w:p>
      <w:r>
        <w:rPr>
          <w:rFonts w:ascii="Times New Roman" w:hAnsi="Times New Roman" w:eastAsia="宋体"/>
          <w:b/>
          <w:color w:val="003264"/>
          <w:sz w:val="24"/>
        </w:rPr>
        <w:t>HiFormer: Hierarchical Transformer with Box-packed Positional Encoding for 3D Part Assembly</w:t>
      </w:r>
    </w:p>
    <w:p>
      <w:r>
        <w:rPr>
          <w:rFonts w:ascii="Times New Roman" w:hAnsi="Times New Roman" w:eastAsia="宋体"/>
          <w:sz w:val="21"/>
        </w:rPr>
        <w:t>作者: Songle Chen, Lulu Dong, Yijiao Zhou, Siguang Chen, Kai Xu</w:t>
        <w:br/>
      </w:r>
      <w:r>
        <w:rPr>
          <w:rFonts w:ascii="Times New Roman" w:hAnsi="Times New Roman" w:eastAsia="宋体"/>
          <w:sz w:val="21"/>
        </w:rPr>
        <w:t xml:space="preserve">时间: 2026 | </w:t>
      </w:r>
      <w:r>
        <w:t xml:space="preserve">链接: </w:t>
      </w:r>
      <w:hyperlink r:id="rId75">
        <w:r>
          <w:rPr>
            <w:rFonts w:ascii="Times New Roman" w:hAnsi="Times New Roman" w:eastAsia="宋体"/>
            <w:color w:val="0000FF"/>
            <w:sz w:val="21"/>
            <w:u w:val="single"/>
          </w:rPr>
          <w:t>https://doi.org/10.1109/tvcg.2026.3662816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在基于装配的建模中估计零件的 6-DoF 姿态是计算机图形、计算机视觉和机器人领域的一项关键任务。一个典型的场景是让机器代理使用提供的零件自动组装宜家家具。本文介绍了 HiFormer，一种具有盒装位置编码的新型分层变压器，专为高度自动化的 3D 零件装配而设计。我们的方法解决了 3D 零件装配中常见的三个重要问题：1）如何缓解与基于 Transformer 的 3D 点云特征学习相关的过度拟合问题？ 2）如何有效地建模组内和组间部分之间的关​​系？ 3）对于从粗到精的装配过程中具有不同几何形状的零件，如何计算位置编码并将其集成到Transformer中？这些挑战是通过三个关键贡献来解决的：1) 具有两阶段特征提取训练策略的多任务 3D Swin Transformer，2) 一种新颖的分层 Transformer，用于捕获扁平化、组内和组间级别的零件关系，3) 一种创新的盒装位置编码，通过合并从相对盒位置导出的查询、键和值信息来增强 Transformer。在 PartNet 基准上，我们的方法在三个代表性类别（椅子、桌子和灯）上优于最先进的 PWH-MP 模型，多样性建模（有噪声）的零件精度（PA）平均提高了 2.84%，连接精度（CA）平均提高了 3.72%，确定性建模（无噪声）的 PA 平均提高了 3.55%，CA 平均提高了 3.21%。</w:t>
      </w:r>
    </w:p>
    <w:p>
      <w:pPr>
        <w:spacing w:before="120"/>
      </w:pPr>
      <w:r>
        <w:rPr>
          <w:rFonts w:ascii="Times New Roman" w:hAnsi="Times New Roman" w:eastAsia="宋体"/>
          <w:b/>
          <w:sz w:val="21"/>
        </w:rPr>
        <w:t>English Abstract:</w:t>
      </w:r>
    </w:p>
    <w:p>
      <w:r>
        <w:rPr>
          <w:rFonts w:ascii="Times New Roman" w:hAnsi="Times New Roman" w:eastAsia="宋体"/>
          <w:sz w:val="21"/>
        </w:rPr>
        <w:t>Estimating the 6-DoF posture of parts in assembly-based modeling is a critical task in the fields of computer graphics, computer vision and robotics. A typical scenario involves enabling a machine agent to automatically assemble IKEA furniture using the provided parts. This paper presents HiFormer, a novel Hierarchical Transformer with Box-packed Positional Encoding, designed for highly automatic 3D part assembly. Our method addresses three important issues commonly encountered in 3D part assembly: 1) How to mitigate the overfitting problem associated with Transformer-based feature learning for 3D point clouds? 2) How to effectively model the relationships between the intragroup and intergroup parts? 3) How to compute positional encoding and integrate it into the Transformer for parts with diverse geometric forms in the coarse-to-fine assembly process? These challenges are tackled through three key contributions: 1) a multi-task 3D Swin Transformer with a two-stage training strategy for feature extraction, 2) a novel hierarchical Transformer for capturing part relationships at flattening, intragroup, and intergroup levels, and 3) an innovative box-packed positional encoding that enhances the Transformer by incorporating query, key, and value information derived from relative box positions. On the PartNet benchmark, our method outperforms the state-of-the-art PWH-MP model on three representative categories-Chair, Table, and Lamp-, achieving average improvements of 2.84% in Part Accuracy (PA) and 3.72% in Connection Accuracy (CA) for diversity modeling (with noise), and 3.55% in PA and 3.21% in CA for deterministic modeling (without noise).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情境化还是合理化？因果先验对数据可视化解释的影响</w:t>
      </w:r>
    </w:p>
    <w:p>
      <w:r>
        <w:rPr>
          <w:rFonts w:ascii="Times New Roman" w:hAnsi="Times New Roman" w:eastAsia="宋体"/>
          <w:b/>
          <w:color w:val="003264"/>
          <w:sz w:val="24"/>
        </w:rPr>
        <w:t>Contextualization or Rationalization? The Effect of Causal Priors on Data Visualization Interpretation</w:t>
      </w:r>
    </w:p>
    <w:p>
      <w:r>
        <w:rPr>
          <w:rFonts w:ascii="Times New Roman" w:hAnsi="Times New Roman" w:eastAsia="宋体"/>
          <w:sz w:val="21"/>
        </w:rPr>
        <w:t>作者: Arran Zeyu Wang, David Borland, Estella Calcaterra, David Gotz</w:t>
        <w:br/>
      </w:r>
      <w:r>
        <w:rPr>
          <w:rFonts w:ascii="Times New Roman" w:hAnsi="Times New Roman" w:eastAsia="宋体"/>
          <w:sz w:val="21"/>
        </w:rPr>
        <w:t xml:space="preserve">时间: 2026 | </w:t>
      </w:r>
      <w:r>
        <w:t xml:space="preserve">链接: </w:t>
      </w:r>
      <w:hyperlink r:id="rId76">
        <w:r>
          <w:rPr>
            <w:rFonts w:ascii="Times New Roman" w:hAnsi="Times New Roman" w:eastAsia="宋体"/>
            <w:color w:val="0000FF"/>
            <w:sz w:val="21"/>
            <w:u w:val="single"/>
          </w:rPr>
          <w:t>https://doi.org/10.1109/tvcg.2026.3663050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了解个人如何解释图表是视觉数据通信的一个关键问题。这一必要性激发了许多研究，包括过去的工作证明因果先验（关于概念之间因果关系的先验信念）可以对从可视化推断出的变量关系的感知强度产生重大影响。本文建立在这些先前结果的基础上，证明因果先验也可以影响人们在模糊散点图中视为最显着的模式类型，这些散点图具有大致相同的趋势和集群模式证据。我们采用混合设计方法，将大规模在线实验与深入分析的现场发声思考研究相结合，研究了因果先验与可视化数据模式之间的相互作用如何影响用户的解释。我们的分析提出了人们经常进行观察的两种典型推理行为：情境化，其中用户接受与因果先验一致的视觉模式，并利用他们现有的知识来丰富解释；以及合理化，其中用户遇到与因果先验相冲突的模式，并试图通过调用外部因素（例如设置混杂变量或数据选择偏差）来解释差异。这些发现提供了初步证据，强调了因果先验在塑造高水平可视化理解方面的关键作用，并引入了一个词汇表来描述用户如何推理确认或挑战因果关系先验信念的数据。</w:t>
      </w:r>
    </w:p>
    <w:p>
      <w:pPr>
        <w:spacing w:before="120"/>
      </w:pPr>
      <w:r>
        <w:rPr>
          <w:rFonts w:ascii="Times New Roman" w:hAnsi="Times New Roman" w:eastAsia="宋体"/>
          <w:b/>
          <w:sz w:val="21"/>
        </w:rPr>
        <w:t>English Abstract:</w:t>
      </w:r>
    </w:p>
    <w:p>
      <w:r>
        <w:rPr>
          <w:rFonts w:ascii="Times New Roman" w:hAnsi="Times New Roman" w:eastAsia="宋体"/>
          <w:sz w:val="21"/>
        </w:rPr>
        <w:t>Understanding how individuals interpret charts is a crucial concern for visual data communication. This imperative has motivated a number of studies, including past work demonstrating that causal priors–a priori belief about causal relationships between concepts–can have significant influences on the perceived strength of variable relationships inferred from visualizations. This paper builds on these previous results, demonstrating that causal priors can also influence the types of patterns that people perceive as the most salient within ambiguous scatterplots that have roughly equal evidence for trend and cluster patterns. Using a mixed-design approach that combines a largescale online experiment for breadth of findings with an in-person think-aloud study for analytical depth, we investigated how users' interpretations are influenced by the interplay between causal priors and the visualized data patterns. Our analysis suggests two archetypal reasoning behaviors through which people often make their observations: contextualization, in which users accept a visual pattern that aligns with causal priors and use their existing knowledge to enrich interpretation, and rationalization, in which users encounter a pattern that conflicts with causal priors and attempt to explain away the discrepancy by invoking external factors, such as positing confounding variables or data selection bias. These findings provide initial evidence highlighting the critical role of causal priors in shaping high-level visualization comprehension, and introduce a vocabulary for describing how users reason about data that either confirms or challenges prior beliefs of causality.</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AnchorCrafter：动画网络主播通过人机交互视频生成来销售您的产品</w:t>
      </w:r>
    </w:p>
    <w:p>
      <w:r>
        <w:rPr>
          <w:rFonts w:ascii="Times New Roman" w:hAnsi="Times New Roman" w:eastAsia="宋体"/>
          <w:b/>
          <w:color w:val="003264"/>
          <w:sz w:val="24"/>
        </w:rPr>
        <w:t>AnchorCrafter: Animate Cyber-Anchors Selling Your Products via Human-Object Interacting Video Generation</w:t>
      </w:r>
    </w:p>
    <w:p>
      <w:r>
        <w:rPr>
          <w:rFonts w:ascii="Times New Roman" w:hAnsi="Times New Roman" w:eastAsia="宋体"/>
          <w:sz w:val="21"/>
        </w:rPr>
        <w:t>作者: Ziyi Xu, Ziyao Huang, Juan Cao, Yong Zhang, Xiaodong Cun, Qing Shuai, Yuchen Wang, Linchao Bao, Fan Tang</w:t>
        <w:br/>
      </w:r>
      <w:r>
        <w:rPr>
          <w:rFonts w:ascii="Times New Roman" w:hAnsi="Times New Roman" w:eastAsia="宋体"/>
          <w:sz w:val="21"/>
        </w:rPr>
        <w:t xml:space="preserve">时间: 2026 | </w:t>
      </w:r>
      <w:r>
        <w:t xml:space="preserve">链接: </w:t>
      </w:r>
      <w:hyperlink r:id="rId77">
        <w:r>
          <w:rPr>
            <w:rFonts w:ascii="Times New Roman" w:hAnsi="Times New Roman" w:eastAsia="宋体"/>
            <w:color w:val="0000FF"/>
            <w:sz w:val="21"/>
            <w:u w:val="single"/>
          </w:rPr>
          <w:t>https://doi.org/10.1109/tvcg.2026.3662720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主播式产品宣传视频的产生为电子商务、广告和消费者参与提供了广阔的机遇。尽管姿势引导的人类视频生成取得了进步，但创建产品宣传视频仍然具有挑战性。在应对这一挑战时，我们将人与物体交互（HOI）集成到姿势引导的人类视频生成中作为核心问题。为此，我们推出了 AnchorCrafter，这是一种新颖的基于扩散的系统，旨在生成以目标人和定制对象为特征的 2D 视频，实现高视觉保真度和可控交互。具体来说，我们提出了两项​​关键创新：HOI-外观感知，它增强了从任意多视角的物体外观识别，并解开了物体和人类外观的关系；HOI-运动注入，它通过克服物体轨迹调节和相互遮挡管理方面的挑战，实现复杂的人与物体交互。大量实验表明，与现有最先进的方法相比，我们的系统将对象外观保留提高了 7.5%，并实现了最佳视频质量。它在保持人体运动一致性和高质量视频生成方面也优于现有方法。项目页面包括数据、代码和 Huggingface 演示：https://github.com/cangcz/AnchorCrafter 。</w:t>
      </w:r>
    </w:p>
    <w:p>
      <w:pPr>
        <w:spacing w:before="120"/>
      </w:pPr>
      <w:r>
        <w:rPr>
          <w:rFonts w:ascii="Times New Roman" w:hAnsi="Times New Roman" w:eastAsia="宋体"/>
          <w:b/>
          <w:sz w:val="21"/>
        </w:rPr>
        <w:t>English Abstract:</w:t>
      </w:r>
    </w:p>
    <w:p>
      <w:r>
        <w:rPr>
          <w:rFonts w:ascii="Times New Roman" w:hAnsi="Times New Roman" w:eastAsia="宋体"/>
          <w:sz w:val="21"/>
        </w:rPr>
        <w:t>The generation of anchor-style product promotion videos presents promising opportunities in e-commerce, advertising, and consumer engagement. Despite advancements in pose-guided human video generation, creating product promotion videos remains challenging. In addressing this challenge, we identify the integration of human-object interactions (HOI) into pose-guided human video generation as a core issue. To this end, we introduce AnchorCrafter, a novel diffusion-based system designed to generate 2D videos featuring a target human and a customized object, achieving high visual fidelity and controllable interactions. Specifically, we propose two key innovations: the HOI-appearance perception, which enhances object appearance recognition from arbitrary multi-view perspectives and disentangles object and human appearance, and the HOI-motion injection, which enables complex human-object interactions by overcoming challenges in object trajectory conditioning and inter-occlusion management. Extensive experiments show that our system improves object appearance preservation by 7.5%, and achieves the best video quality compared to existing state-of-the-art approaches. It also outperforms existing approaches in maintaining human motion consistency and high-quality video generation. Project page including data, code, and Huggingface demo: https://github.com/cangcz/AnchorCrafter .</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ACS Photonics</w:t>
      </w:r>
    </w:p>
    <w:p>
      <w:pPr>
        <w:jc w:val="center"/>
      </w:pPr>
      <w:r>
        <w:t>--- 更新: 00:33 ---</w:t>
      </w:r>
    </w:p>
    <w:p>
      <w:pPr>
        <w:pStyle w:val="Heading2"/>
      </w:pPr>
      <w:r/>
      <w:r>
        <w:rPr>
          <w:rFonts w:ascii="Times New Roman" w:hAnsi="Times New Roman" w:eastAsia="宋体"/>
          <w:b/>
          <w:color w:val="000000"/>
          <w:sz w:val="24"/>
        </w:rPr>
        <w:t>单层 WS 2 /CsPbBr 3 钙钛矿异质结构的室温 Trion 发射增强</w:t>
      </w:r>
    </w:p>
    <w:p>
      <w:r>
        <w:rPr>
          <w:rFonts w:ascii="Times New Roman" w:hAnsi="Times New Roman" w:eastAsia="宋体"/>
          <w:b/>
          <w:color w:val="003264"/>
          <w:sz w:val="24"/>
        </w:rPr>
        <w:t>Room-Temperature Trion Emission Enhancement in Monolayer WS 2 /CsPbBr 3 Perovskite Heterostructures</w:t>
      </w:r>
    </w:p>
    <w:p>
      <w:r>
        <w:rPr>
          <w:rFonts w:ascii="Times New Roman" w:hAnsi="Times New Roman" w:eastAsia="宋体"/>
          <w:sz w:val="21"/>
        </w:rPr>
        <w:t>作者: Yiang Sun, Yuxing Li, Zhengda Dong, Hao Ge, Zhongmin Huang, Chuanxiang Sheng, Haibin Zhao, Jie Gu, Jun Wang</w:t>
        <w:br/>
      </w:r>
      <w:r>
        <w:rPr>
          <w:rFonts w:ascii="Times New Roman" w:hAnsi="Times New Roman" w:eastAsia="宋体"/>
          <w:sz w:val="21"/>
        </w:rPr>
        <w:t xml:space="preserve">时间: 2026-02-09 | </w:t>
      </w:r>
      <w:r>
        <w:t xml:space="preserve">链接: </w:t>
      </w:r>
      <w:hyperlink r:id="rId78">
        <w:r>
          <w:rPr>
            <w:rFonts w:ascii="Times New Roman" w:hAnsi="Times New Roman" w:eastAsia="宋体"/>
            <w:color w:val="0000FF"/>
            <w:sz w:val="21"/>
            <w:u w:val="single"/>
          </w:rPr>
          <w:t>https://doi.org/10.1021/acsphotonics.5c02402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无偏置功能太赫兹光电导发射器</w:t>
      </w:r>
    </w:p>
    <w:p>
      <w:r>
        <w:rPr>
          <w:rFonts w:ascii="Times New Roman" w:hAnsi="Times New Roman" w:eastAsia="宋体"/>
          <w:b/>
          <w:color w:val="003264"/>
          <w:sz w:val="24"/>
        </w:rPr>
        <w:t>Bias-Free Functional Terahertz Photoconductive Emitter</w:t>
      </w:r>
    </w:p>
    <w:p>
      <w:r>
        <w:rPr>
          <w:rFonts w:ascii="Times New Roman" w:hAnsi="Times New Roman" w:eastAsia="宋体"/>
          <w:sz w:val="21"/>
        </w:rPr>
        <w:t>作者: Haidi Qiu, Xueqian Zhang, Qingwei Wang, Xi Feng, Li Niu, Quan Xu, Weili Zhang, Jiaguang Han</w:t>
        <w:br/>
      </w:r>
      <w:r>
        <w:rPr>
          <w:rFonts w:ascii="Times New Roman" w:hAnsi="Times New Roman" w:eastAsia="宋体"/>
          <w:sz w:val="21"/>
        </w:rPr>
        <w:t xml:space="preserve">时间: 2026-02-09 | </w:t>
      </w:r>
      <w:r>
        <w:t xml:space="preserve">链接: </w:t>
      </w:r>
      <w:hyperlink r:id="rId79">
        <w:r>
          <w:rPr>
            <w:rFonts w:ascii="Times New Roman" w:hAnsi="Times New Roman" w:eastAsia="宋体"/>
            <w:color w:val="0000FF"/>
            <w:sz w:val="21"/>
            <w:u w:val="single"/>
          </w:rPr>
          <w:t>https://doi.org/10.1021/acsphotonics.5c02612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Image Processing</w:t>
      </w:r>
    </w:p>
    <w:p>
      <w:pPr>
        <w:jc w:val="center"/>
      </w:pPr>
      <w:r>
        <w:t>--- 更新: 00:33 ---</w:t>
      </w:r>
    </w:p>
    <w:p>
      <w:pPr>
        <w:pStyle w:val="Heading2"/>
      </w:pPr>
      <w:r/>
      <w:r>
        <w:rPr>
          <w:rFonts w:ascii="Times New Roman" w:hAnsi="Times New Roman" w:eastAsia="宋体"/>
          <w:b/>
          <w:color w:val="000000"/>
          <w:sz w:val="24"/>
        </w:rPr>
        <w:t>基于相机的 3D 语义场景补全中体素稀疏性的多分辨率对齐</w:t>
      </w:r>
    </w:p>
    <w:p>
      <w:r>
        <w:rPr>
          <w:rFonts w:ascii="Times New Roman" w:hAnsi="Times New Roman" w:eastAsia="宋体"/>
          <w:b/>
          <w:color w:val="003264"/>
          <w:sz w:val="24"/>
        </w:rPr>
        <w:t>Multi-Resolution Alignment for Voxel Sparsity in Camera-Based 3D Semantic Scene Completion</w:t>
      </w:r>
    </w:p>
    <w:p>
      <w:r>
        <w:rPr>
          <w:rFonts w:ascii="Times New Roman" w:hAnsi="Times New Roman" w:eastAsia="宋体"/>
          <w:sz w:val="21"/>
        </w:rPr>
        <w:t>作者: Zhiwen Yang, Yuxin Peng</w:t>
        <w:br/>
      </w:r>
      <w:r>
        <w:rPr>
          <w:rFonts w:ascii="Times New Roman" w:hAnsi="Times New Roman" w:eastAsia="宋体"/>
          <w:sz w:val="21"/>
        </w:rPr>
        <w:t xml:space="preserve">时间: 2026 | </w:t>
      </w:r>
      <w:r>
        <w:t xml:space="preserve">链接: </w:t>
      </w:r>
      <w:hyperlink r:id="rId80">
        <w:r>
          <w:rPr>
            <w:rFonts w:ascii="Times New Roman" w:hAnsi="Times New Roman" w:eastAsia="宋体"/>
            <w:color w:val="0000FF"/>
            <w:sz w:val="21"/>
            <w:u w:val="single"/>
          </w:rPr>
          <w:t>https://doi.org/10.1109/tip.2026.3660576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基于摄像头的 3D 语义场景完成 (SSC) 提供了一种经济高效的解决方案，用于通过图像输入评估周围 3D 场景中每个体素的几何占用和语义标签，为感知预测规划自动驾驶系统提供体素级场景感知基础。尽管现有方法取得了重大进展，但其优化仅依赖于体素标签的监督，并且由于自动驾驶场景中大部分体素是空的，因此面临体素稀疏性的挑战，这限制了优化效率和模型性能。为了解决这个问题，我们提出了一种多分辨率对齐（MRA）方法来减轻基于相机的 3D 语义场景完成中的体素稀疏性，该方法利用跨多分辨率 3D 特征的场景和实例级对齐作为辅助监督。具体来说，我们首先提出了多分辨率视图变换器模块，它将 2D 图像特征投影为多分辨率 3D 特征，并通过融合判别性种子特征在场景级别将它们对齐。此外，我们设计了立方语义各向异性模块来识别每个体素的实例级语义重要性，解释立方区域内特定体素与其相邻体素的语义差异。最后，我们设计了一个关键分布对齐模块，该模块在立方语义各向异性的指导下选择关键体素作为实例级锚点，并应用循环损失来辅助监督不同分辨率下关键特征分布的一致性。对 SemanticKITTI 和 SSCBench-KITTI-360 数据集的大量实验表明，我们的 MRA 方法显着优于现有的最先进方法，展示了其在减轻稀疏体素标签影响方面的有效性。该代码可从 https://github.com/PKU-ICST-MIPL/MRA_TIP 获取。</w:t>
      </w:r>
    </w:p>
    <w:p>
      <w:pPr>
        <w:spacing w:before="120"/>
      </w:pPr>
      <w:r>
        <w:rPr>
          <w:rFonts w:ascii="Times New Roman" w:hAnsi="Times New Roman" w:eastAsia="宋体"/>
          <w:b/>
          <w:sz w:val="21"/>
        </w:rPr>
        <w:t>English Abstract:</w:t>
      </w:r>
    </w:p>
    <w:p>
      <w:r>
        <w:rPr>
          <w:rFonts w:ascii="Times New Roman" w:hAnsi="Times New Roman" w:eastAsia="宋体"/>
          <w:sz w:val="21"/>
        </w:rPr>
        <w:t>Camera-based 3D semantic scene completion (SSC) offers a cost-effective solution for assessing the geometric occupancy and semantic labels of each voxel in the surrounding 3D scene with image inputs, providing a voxel-level scene perception foundation for the perception-prediction-planning autonomous driving systems. Although significant progress has been made in existing methods, their optimization rely solely on the supervision from voxel labels and face the challenge of voxel sparsity as a large portion of voxels in autonomous driving scenarios are empty, which limits both optimization efficiency and model performance. To address this issue, we propose a Multi-Resolution Alignment (MRA) approach to mitigate voxel sparsity in camera-based 3D semantic scene completion, which exploits the scene and instance level alignment across multi-resolution 3D features as auxiliary supervision. Specifically, we first propose the Multi-resolution View Transformer module, which projects 2D image features into multi-resolution 3D features and aligns them at the scene level through fusing discriminative seed features. Furthermore, we design the Cubic Semantic Anisotropy module to identify the instance-level semantic significance of each voxel, accounting for the semantic differences of a specific voxel against its neighboring voxels within a cubic area. Finally, we devise a Critical Distribution Alignment module, which selects critical voxels as instance-level anchors with the guidance of cubic semantic anisotropy, and applies a circulated loss for auxiliary supervision on the critical feature distribution consistency across different resolutions. Extensive experiments on the SemanticKITTI and SSCBench-KITTI-360 datasets demonstrate that our MRA approach significantly outperforms existing state-of-the-art methods, showcasing its effectiveness in mitigating the impact of sparse voxel labels. The code is available at https://github.com/PKU-ICST-MIPL/MRA_TIP.</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学习 Retinex Prior 用于压缩高光谱图像重建</w:t>
      </w:r>
    </w:p>
    <w:p>
      <w:r>
        <w:rPr>
          <w:rFonts w:ascii="Times New Roman" w:hAnsi="Times New Roman" w:eastAsia="宋体"/>
          <w:b/>
          <w:color w:val="003264"/>
          <w:sz w:val="24"/>
        </w:rPr>
        <w:t>Learning Retinex Prior for Compressive Hyperspectral Image Reconstruction</w:t>
      </w:r>
    </w:p>
    <w:p>
      <w:r>
        <w:rPr>
          <w:rFonts w:ascii="Times New Roman" w:hAnsi="Times New Roman" w:eastAsia="宋体"/>
          <w:sz w:val="21"/>
        </w:rPr>
        <w:t>作者: Mengzu Liu, Junwei Xu, Weisheng Dong, Le Dong, Guangming Shi</w:t>
        <w:br/>
      </w:r>
      <w:r>
        <w:rPr>
          <w:rFonts w:ascii="Times New Roman" w:hAnsi="Times New Roman" w:eastAsia="宋体"/>
          <w:sz w:val="21"/>
        </w:rPr>
        <w:t xml:space="preserve">时间: 2026 | </w:t>
      </w:r>
      <w:r>
        <w:t xml:space="preserve">链接: </w:t>
      </w:r>
      <w:hyperlink r:id="rId81">
        <w:r>
          <w:rPr>
            <w:rFonts w:ascii="Times New Roman" w:hAnsi="Times New Roman" w:eastAsia="宋体"/>
            <w:color w:val="0000FF"/>
            <w:sz w:val="21"/>
            <w:u w:val="single"/>
          </w:rPr>
          <w:t>https://doi.org/10.1109/tip.2026.3659746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编码孔径快照光谱压缩成像 (CASSI) 中的图像重建旨在从压缩的二维测量中恢复高保真高光谱图像 (HSI)。虽然深度展开网络已显示出良好的性能，但 CASSI 退化模型引起的退化通常会在重建中引入全局照明差异，从而产生与低光图像中类似的伪影。为了应对这些挑战，我们提出了一种新颖的 Retinex 先验驱动展开网络（RPDUN），它将 Retinex 先验作为正则化项合并到多级网络中进行优化。该设计为压缩测量提供全局照明调整，根据物理调制有效补偿空间光谱退化并捕获固有光谱特性。据我们所知，这是 Retinex 先验在高光谱图像重建中的首次应用。此外，为了减轻反射域中的噪声（这些噪声在分解过程中可能会被放大），我们引入了自适应令牌选择变压器（ATST）。该模块在自注意力计算之前自适应地过滤掉弱相关标记，有效减少恢复的反射率图中的噪声和伪影。对模拟和真实数据集的大量实验表明，RPDUN 实现了新的最先进的性能，显着提高了重建质量，同时保持了计算效率。代码可在 https://github.com/ZUGE0312/RPDUN 获取。</w:t>
      </w:r>
    </w:p>
    <w:p>
      <w:pPr>
        <w:spacing w:before="120"/>
      </w:pPr>
      <w:r>
        <w:rPr>
          <w:rFonts w:ascii="Times New Roman" w:hAnsi="Times New Roman" w:eastAsia="宋体"/>
          <w:b/>
          <w:sz w:val="21"/>
        </w:rPr>
        <w:t>English Abstract:</w:t>
      </w:r>
    </w:p>
    <w:p>
      <w:r>
        <w:rPr>
          <w:rFonts w:ascii="Times New Roman" w:hAnsi="Times New Roman" w:eastAsia="宋体"/>
          <w:sz w:val="21"/>
        </w:rPr>
        <w:t>Image reconstruction in coded aperture snapshot spectral compressive imaging (CASSI) aims to recover high-fidelity hyperspectral images (HSIs) from compressed 2D measurements. While deep unfolding networks have shown promising performance, the degradation induced by the CASSI degradation model often introduces global illumination discrepancies in the reconstructions, creating artifacts similar to those in low-light images. To address these challenges, we propose a novel Retinex Prior-Driven Unfolding Network (RPDUN), which unfolds the optimization incorporating the Retinex prior as a regularization term into a multi-stage network. This design provides global illumination adjustment for compressed measurements, effectively compensating for spatial-spectral degradation according to physical modulation and capturing intrinsic spectral characteristics. To the best of our knowledge, this is the first application of the Retinex prior in hyperspectral image reconstruction. Furthermore, to mitigate the noise in the reflectance domain, which can be amplified during decomposition, we introduce an Adaptive Token Selection Transformer (ATST). This module adaptively filters out weakly correlated tokens before the self-attention computation, effectively reducing noise and artifacts within the recovered reflectance map. Extensive experiments on both simulated and real-world datasets demonstrate that RPDUN achieves new state-of-the-art performance, significantly improving reconstruction quality while maintaining computational efficiency. The code is available at https://github.com/ZUGE0312/RPDUN.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FreeStyle：走向风格包容的基于草图的人物检索</w:t>
      </w:r>
    </w:p>
    <w:p>
      <w:r>
        <w:rPr>
          <w:rFonts w:ascii="Times New Roman" w:hAnsi="Times New Roman" w:eastAsia="宋体"/>
          <w:b/>
          <w:color w:val="003264"/>
          <w:sz w:val="24"/>
        </w:rPr>
        <w:t>FreeStyle: Towards Style-Inclusive Sketch-based Person Retrieval</w:t>
      </w:r>
    </w:p>
    <w:p>
      <w:r>
        <w:rPr>
          <w:rFonts w:ascii="Times New Roman" w:hAnsi="Times New Roman" w:eastAsia="宋体"/>
          <w:sz w:val="21"/>
        </w:rPr>
        <w:t>作者: Xinyi Wu, Cuiqun Chen, Hui Zeng, Zhiping Cai, Mang Ye</w:t>
        <w:br/>
      </w:r>
      <w:r>
        <w:rPr>
          <w:rFonts w:ascii="Times New Roman" w:hAnsi="Times New Roman" w:eastAsia="宋体"/>
          <w:sz w:val="21"/>
        </w:rPr>
        <w:t xml:space="preserve">时间: 2026 | </w:t>
      </w:r>
      <w:r>
        <w:t xml:space="preserve">链接: </w:t>
      </w:r>
      <w:hyperlink r:id="rId82">
        <w:r>
          <w:rPr>
            <w:rFonts w:ascii="Times New Roman" w:hAnsi="Times New Roman" w:eastAsia="宋体"/>
            <w:color w:val="0000FF"/>
            <w:sz w:val="21"/>
            <w:u w:val="single"/>
          </w:rPr>
          <w:t>https://doi.org/10.1109/tip.2026.3660575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基于草图的人物检索（SBPR）旨在使用专业草图作为查询，在不重叠的摄像机视图中识别和检索目标个体。在实践中，不同艺术家绘制的素描往往呈现出难以预料的多样绘画风格。草图之间巨大的风格差异对 SBPR 模型的稳定性和通用性提出了重大挑战。先前的作品试图通过风格操纵方法来减轻风格变化，这不可避免地破坏了多个草图特征之间的固有结构关系。这会导致对现有训练风格的过度拟合，并且很难推广到新的、看不见的草图风格。在本文中，我们介绍了 FreeStyle，这是一种基于 CLIP 基础架构的创新型包含样式的 SBPR 框架。 FreeStyle 通过风格一致性增强显式地模拟不同草图风格之间的关系，从而能够动态适应可见和不可见的风格变化。具体来说，多样化风格语义统一首先通过引入客观属性级语义约束来增强每个身份在语义层面的风格一致性。同时，多样化风格特征压缩通过集中身份内空间和分离身份间空间来解决身份之间特征边界不清晰的问题，从而增强特征表示层面的风格一致性。此外，考虑到草图和照片之间的特征分布差异，引入了以身份为中心的跨模态原型对齐机制，以促进身份感知的跨模态关联并促进紧凑的联合嵌入空间。大量的实验验证了 FreeStyle 不仅在可见的样式变化下实现了稳定的性能，而且还展示了对未见的草图样式的强大泛化能力。</w:t>
      </w:r>
    </w:p>
    <w:p>
      <w:pPr>
        <w:spacing w:before="120"/>
      </w:pPr>
      <w:r>
        <w:rPr>
          <w:rFonts w:ascii="Times New Roman" w:hAnsi="Times New Roman" w:eastAsia="宋体"/>
          <w:b/>
          <w:sz w:val="21"/>
        </w:rPr>
        <w:t>English Abstract:</w:t>
      </w:r>
    </w:p>
    <w:p>
      <w:r>
        <w:rPr>
          <w:rFonts w:ascii="Times New Roman" w:hAnsi="Times New Roman" w:eastAsia="宋体"/>
          <w:sz w:val="21"/>
        </w:rPr>
        <w:t>Sketch-based Person Retrieval (SBPR) aims to identify and retrieve a target individual across non-overlapping camera views using professional sketches as queries. In practice, sketches drawn by different artists often present diverse painting styles unpredictably. The substantial style variations among sketches pose significant challenges to the stability and generalizability of SBPR models. Prior works attempt to mitigate style variations through style manipulation methods, which inevitably undermine the inherent structural relations among multiple sketch features. This leads to overfitting on existing training styles and struggles with generalizing to new, unseen sketch styles. In this paper, we introduce FreeStyle, an innovative style-inclusive framework for SBPR, built upon the foundational CLIP architecture. FreeStyle explicitly models the relations across diverse sketch styles via style consistency enhancement, enabling dynamic adaptation to both seen and unseen style variations. Specifically, Diverse Style Semantic Unification is first devised to enhance the style consistency of each identity at the semantic level by introducing objective attribute-level semantic constraints. Meanwhile, Diverse Style Feature Squeezing tackles unclear feature boundaries among identities by concentrating the intra-identity space and separating the inter-identity space, thereby strengthening style consistency at the feature representation level. Additionally, considering the feature distribution discrepancy between sketches and photos, an identity-centric cross-modal prototype alignment mechanism is introduced to facilitate identity-aware cross-modal associations and promote a compact joint embedding space. Extensive experiments validate that FreeStyle not only achieves stable performance under seen style variations but also demonstrates strong generalization to unseen sketch styles.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IEEE Trans. Pattern Anal. Mach. Intell.</w:t>
      </w:r>
    </w:p>
    <w:p>
      <w:pPr>
        <w:jc w:val="center"/>
      </w:pPr>
      <w:r>
        <w:t>--- 更新: 00:33 ---</w:t>
      </w:r>
    </w:p>
    <w:p>
      <w:pPr>
        <w:pStyle w:val="Heading2"/>
      </w:pPr>
      <w:r/>
      <w:r>
        <w:rPr>
          <w:rFonts w:ascii="Times New Roman" w:hAnsi="Times New Roman" w:eastAsia="宋体"/>
          <w:b/>
          <w:color w:val="000000"/>
          <w:sz w:val="24"/>
        </w:rPr>
        <w:t>通过跨域几何一致性校准 VFM 导出的潜在空间中的偏差分布</w:t>
      </w:r>
    </w:p>
    <w:p>
      <w:r>
        <w:rPr>
          <w:rFonts w:ascii="Times New Roman" w:hAnsi="Times New Roman" w:eastAsia="宋体"/>
          <w:b/>
          <w:color w:val="003264"/>
          <w:sz w:val="24"/>
        </w:rPr>
        <w:t>Calibrating Biased Distribution in VFM-derived Latent Space via Cross-Domain Geometric Consistency</w:t>
      </w:r>
    </w:p>
    <w:p>
      <w:r>
        <w:rPr>
          <w:rFonts w:ascii="Times New Roman" w:hAnsi="Times New Roman" w:eastAsia="宋体"/>
          <w:sz w:val="21"/>
        </w:rPr>
        <w:t>作者: Yanbiao Ma, Wei Dai, Zhiwu Lu, Bowei Liu, Jiayi Chen, Wenke Huang, Junchi Yan, Guancheng Wan</w:t>
        <w:br/>
      </w:r>
      <w:r>
        <w:rPr>
          <w:rFonts w:ascii="Times New Roman" w:hAnsi="Times New Roman" w:eastAsia="宋体"/>
          <w:sz w:val="21"/>
        </w:rPr>
        <w:t xml:space="preserve">时间: 2026 | </w:t>
      </w:r>
      <w:r>
        <w:t xml:space="preserve">链接: </w:t>
      </w:r>
      <w:hyperlink r:id="rId83">
        <w:r>
          <w:rPr>
            <w:rFonts w:ascii="Times New Roman" w:hAnsi="Times New Roman" w:eastAsia="宋体"/>
            <w:color w:val="0000FF"/>
            <w:sz w:val="21"/>
            <w:u w:val="single"/>
          </w:rPr>
          <w:t>https://doi.org/10.1109/tpami.2026.3662389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尽管深度学习进展迅速，但一个长期存在的挑战是观察到的训练样本与潜在真实分布之间的差距。造成这种差距的原因有多种，例如采样偏差、噪声等。在基础模型时代，我们表明，当利用现成的（视觉）基础模型（例如 CLIP、DINOv2）进行特征提取时，所得特征分布的几何形状表现出跨领域和数据集的显着可迁移性。为了验证其实用性，我们将几何知识引导的分布校准框架体现在两种流行且具有挑战性的环境中：联邦学习和长尾识别。在联合环境中，我们设计了一种在隐私约束下获取全局几何形状的技术，然后利用这些知识为客户生成新样本，以弥合本地观察和全局观察之间的差距。在长尾学习中，它利用从样本丰富的类别转移的几何知识来恢复样本稀缺的尾类的真实分布。综合实验表明，我们提出的几何知识引导的分布校准有效克服了数据异质性和样本不平衡造成的信息缺陷，并提高了基准测试的性能。代码发布于：https://github.com/WeiDai-David/2025CVPR GGEUR。</w:t>
      </w:r>
    </w:p>
    <w:p>
      <w:pPr>
        <w:spacing w:before="120"/>
      </w:pPr>
      <w:r>
        <w:rPr>
          <w:rFonts w:ascii="Times New Roman" w:hAnsi="Times New Roman" w:eastAsia="宋体"/>
          <w:b/>
          <w:sz w:val="21"/>
        </w:rPr>
        <w:t>English Abstract:</w:t>
      </w:r>
    </w:p>
    <w:p>
      <w:r>
        <w:rPr>
          <w:rFonts w:ascii="Times New Roman" w:hAnsi="Times New Roman" w:eastAsia="宋体"/>
          <w:sz w:val="21"/>
        </w:rPr>
        <w:t>Despite the fast progress of deep learning, one standing challenge is the gap of the observed training samples and the underlying true distribution. There are multiple reasons for the causing of this gap e.g., sampling bias, noise etc. In the era of foundation models, we show that when leveraging the off-the-shelf (vision) foundation models (e.g., CLIP, DINOv2) for feature extraction, the geometric shapes of the resulting feature distributions exhibit remarkable transferability across domains and datasets. To verify its practical usefulness, we embody our geometric knowledge-guided distribution calibration framework in two popular and challenging settings: federated learning and long-tailed recognition. In the federated setting, we devise a technique of acquiring the global geometric shape under privacy constraints, then leverage this knowledge to generate new samples for clients, in the aim of bridging the gap between local and global observations. In long-tailed learning, it utilizes the geometric knowledge transferred from sample-rich categories to recover the true distribution for sample-scarce tail classes. Comprehensive experiments show that our proposed geometric knowledge-guided distribution calibration effectively overcomes information deficits caused by data heterogeneity and sample imbalance, with boosted performance across benchmarks. Code published at: https://github.com/WeiDai-David/2025CVPR GGEUR.</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用于个性化联合学习的神经常微分方程的分层信息嵌入</w:t>
      </w:r>
    </w:p>
    <w:p>
      <w:r>
        <w:rPr>
          <w:rFonts w:ascii="Times New Roman" w:hAnsi="Times New Roman" w:eastAsia="宋体"/>
          <w:b/>
          <w:color w:val="003264"/>
          <w:sz w:val="24"/>
        </w:rPr>
        <w:t>Hierarchical Information Embeddings with Neural ODEs for Personalized Federated Learning</w:t>
      </w:r>
    </w:p>
    <w:p>
      <w:r>
        <w:rPr>
          <w:rFonts w:ascii="Times New Roman" w:hAnsi="Times New Roman" w:eastAsia="宋体"/>
          <w:sz w:val="21"/>
        </w:rPr>
        <w:t>作者: Rui She, Sijie Wang, Qiyu Kang, Kai Zhao, Tianyu Geng, Yanan Zhao, Wenfei Liang, Wee Peng Tay</w:t>
        <w:br/>
      </w:r>
      <w:r>
        <w:rPr>
          <w:rFonts w:ascii="Times New Roman" w:hAnsi="Times New Roman" w:eastAsia="宋体"/>
          <w:sz w:val="21"/>
        </w:rPr>
        <w:t xml:space="preserve">时间: 2026 | </w:t>
      </w:r>
      <w:r>
        <w:t xml:space="preserve">链接: </w:t>
      </w:r>
      <w:hyperlink r:id="rId84">
        <w:r>
          <w:rPr>
            <w:rFonts w:ascii="Times New Roman" w:hAnsi="Times New Roman" w:eastAsia="宋体"/>
            <w:color w:val="0000FF"/>
            <w:sz w:val="21"/>
            <w:u w:val="single"/>
          </w:rPr>
          <w:t>https://doi.org/10.1109/tpami.2026.3662990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个性化联邦学习（PFL）在确保有效的隐私保护和安全的协作学习方面发挥着关键作用。然而，由于数据异构性和设备多样性，PFL 面临着重大挑战。为了增强 PFL 的个性化和稳健性，我们提出了一种名为 FedNODE 的新颖模型，它利用分层嵌入。 FedNODE 结合了个性化、伪通用和融合嵌入来促进分层信息表示。我们在服务器内利用基于神经常微分方程（ODE）的超网络为不同客户端生成主干参数，从而能够创建个性化嵌入。此外，我们引入了基于可学习向量的伪通用嵌入来平衡个性化和通用信息。基于 ODE 的神经网络遵循每个客户端的主干模块，集成个性化和伪通用嵌入。为了验证 FedNODE 的有效性，我们对各种分类数据集进行了广泛的评估，包括不同的统计异构设置和噪声场景。结果表明 FedNODE 实现了最先进的性能。</w:t>
      </w:r>
    </w:p>
    <w:p>
      <w:pPr>
        <w:spacing w:before="120"/>
      </w:pPr>
      <w:r>
        <w:rPr>
          <w:rFonts w:ascii="Times New Roman" w:hAnsi="Times New Roman" w:eastAsia="宋体"/>
          <w:b/>
          <w:sz w:val="21"/>
        </w:rPr>
        <w:t>English Abstract:</w:t>
      </w:r>
    </w:p>
    <w:p>
      <w:r>
        <w:rPr>
          <w:rFonts w:ascii="Times New Roman" w:hAnsi="Times New Roman" w:eastAsia="宋体"/>
          <w:sz w:val="21"/>
        </w:rPr>
        <w:t>Personalized federated learning (PFL) plays a pivotal role in ensuring efficient privacy preservation and secure collaborative learning. However, PFL faces significant challenges due to data heterogeneity and device diversity. To enhance personalization and robustness in PFL, we propose a novel model called FedNODE , which leverages hierarchical embeddings. FedNODE incorporates personalized , pseudo-generic , and fusion embeddings to facilitate hierarchical information representation. We utilize a hypernetwork based on neural ordinary differential equations (ODEs) within the server to generate backbone parameters for different clients, enabling the creation of personalized embeddings. Additionally, we introduce a pseudo-generic embedding based on a learnable vector to balance personalized and generic information. A neural ODE-based network follows the backbone module for each client, integrating personalized and pseudo-generic embeddings. To validate the efficacy of FedNODE, we conduct extensive evaluations across various classification datasets, encompassing diverse statistically heterogeneous settings and noisy scenarios. The results demonstrate that FedNODE achieves state-of-the-art performance.</w:t>
      </w:r>
    </w:p>
    <w:p>
      <w:r>
        <w:rPr>
          <w:rFonts w:ascii="Times New Roman" w:hAnsi="Times New Roman" w:eastAsia="宋体"/>
          <w:sz w:val="21"/>
        </w:rPr>
        <w:t>__________________________________________________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38/s41467-026-69358-4" TargetMode="External"/><Relationship Id="rId11" Type="http://schemas.openxmlformats.org/officeDocument/2006/relationships/hyperlink" Target="https://doi.org/10.1038/s41467-026-69373-5" TargetMode="External"/><Relationship Id="rId12" Type="http://schemas.openxmlformats.org/officeDocument/2006/relationships/hyperlink" Target="https://doi.org/10.1038/s41467-026-69299-y" TargetMode="External"/><Relationship Id="rId13" Type="http://schemas.openxmlformats.org/officeDocument/2006/relationships/hyperlink" Target="https://doi.org/10.1038/s41467-026-68905-3" TargetMode="External"/><Relationship Id="rId14" Type="http://schemas.openxmlformats.org/officeDocument/2006/relationships/hyperlink" Target="https://doi.org/10.1038/s41467-026-69295-2" TargetMode="External"/><Relationship Id="rId15" Type="http://schemas.openxmlformats.org/officeDocument/2006/relationships/hyperlink" Target="https://doi.org/10.1038/s41467-026-69428-7" TargetMode="External"/><Relationship Id="rId16" Type="http://schemas.openxmlformats.org/officeDocument/2006/relationships/hyperlink" Target="https://doi.org/10.1038/s41598-026-37944-7" TargetMode="External"/><Relationship Id="rId17" Type="http://schemas.openxmlformats.org/officeDocument/2006/relationships/hyperlink" Target="https://doi.org/10.1038/s41598-026-38886-w" TargetMode="External"/><Relationship Id="rId18" Type="http://schemas.openxmlformats.org/officeDocument/2006/relationships/hyperlink" Target="https://doi.org/10.1038/s41598-026-38538-z" TargetMode="External"/><Relationship Id="rId19" Type="http://schemas.openxmlformats.org/officeDocument/2006/relationships/hyperlink" Target="https://doi.org/10.1038/s41598-026-38188-1" TargetMode="External"/><Relationship Id="rId20" Type="http://schemas.openxmlformats.org/officeDocument/2006/relationships/hyperlink" Target="https://doi.org/10.1038/s41598-026-38179-2" TargetMode="External"/><Relationship Id="rId21" Type="http://schemas.openxmlformats.org/officeDocument/2006/relationships/hyperlink" Target="https://doi.org/10.1038/s41598-026-39598-x" TargetMode="External"/><Relationship Id="rId22" Type="http://schemas.openxmlformats.org/officeDocument/2006/relationships/hyperlink" Target="https://doi.org/10.1038/s41598-025-33553-y" TargetMode="External"/><Relationship Id="rId23" Type="http://schemas.openxmlformats.org/officeDocument/2006/relationships/hyperlink" Target="https://doi.org/10.1038/s41598-026-38220-4" TargetMode="External"/><Relationship Id="rId24" Type="http://schemas.openxmlformats.org/officeDocument/2006/relationships/hyperlink" Target="https://doi.org/10.1038/s41598-026-38293-1" TargetMode="External"/><Relationship Id="rId25" Type="http://schemas.openxmlformats.org/officeDocument/2006/relationships/hyperlink" Target="https://doi.org/10.1038/s41598-025-34176-z" TargetMode="External"/><Relationship Id="rId26" Type="http://schemas.openxmlformats.org/officeDocument/2006/relationships/hyperlink" Target="https://doi.org/10.1038/s41598-026-36616-w" TargetMode="External"/><Relationship Id="rId27" Type="http://schemas.openxmlformats.org/officeDocument/2006/relationships/hyperlink" Target="https://doi.org/10.1038/s41598-026-37370-9" TargetMode="External"/><Relationship Id="rId28" Type="http://schemas.openxmlformats.org/officeDocument/2006/relationships/hyperlink" Target="https://doi.org/10.1038/s41598-026-39066-6" TargetMode="External"/><Relationship Id="rId29" Type="http://schemas.openxmlformats.org/officeDocument/2006/relationships/hyperlink" Target="https://doi.org/10.1038/s41598-026-38938-1" TargetMode="External"/><Relationship Id="rId30" Type="http://schemas.openxmlformats.org/officeDocument/2006/relationships/hyperlink" Target="https://doi.org/10.1038/s41598-026-39315-8" TargetMode="External"/><Relationship Id="rId31" Type="http://schemas.openxmlformats.org/officeDocument/2006/relationships/hyperlink" Target="https://doi.org/10.1038/s41598-026-39626-w" TargetMode="External"/><Relationship Id="rId32" Type="http://schemas.openxmlformats.org/officeDocument/2006/relationships/hyperlink" Target="https://doi.org/10.1038/s41598-026-38652-y" TargetMode="External"/><Relationship Id="rId33" Type="http://schemas.openxmlformats.org/officeDocument/2006/relationships/hyperlink" Target="https://doi.org/10.1038/s41598-025-33369-w" TargetMode="External"/><Relationship Id="rId34" Type="http://schemas.openxmlformats.org/officeDocument/2006/relationships/hyperlink" Target="https://doi.org/10.1038/s41598-026-38654-w" TargetMode="External"/><Relationship Id="rId35" Type="http://schemas.openxmlformats.org/officeDocument/2006/relationships/hyperlink" Target="https://doi.org/10.1038/s41598-026-35830-w" TargetMode="External"/><Relationship Id="rId36" Type="http://schemas.openxmlformats.org/officeDocument/2006/relationships/hyperlink" Target="https://doi.org/10.1038/s41598-026-39390-x" TargetMode="External"/><Relationship Id="rId37" Type="http://schemas.openxmlformats.org/officeDocument/2006/relationships/hyperlink" Target="https://doi.org/10.1038/s41598-026-39559-4" TargetMode="External"/><Relationship Id="rId38" Type="http://schemas.openxmlformats.org/officeDocument/2006/relationships/hyperlink" Target="https://doi.org/10.1038/s41598-026-38694-2" TargetMode="External"/><Relationship Id="rId39" Type="http://schemas.openxmlformats.org/officeDocument/2006/relationships/hyperlink" Target="https://doi.org/10.1038/s41598-026-39380-z" TargetMode="External"/><Relationship Id="rId40" Type="http://schemas.openxmlformats.org/officeDocument/2006/relationships/hyperlink" Target="https://doi.org/10.1038/s41598-026-36785-8" TargetMode="External"/><Relationship Id="rId41" Type="http://schemas.openxmlformats.org/officeDocument/2006/relationships/hyperlink" Target="https://doi.org/10.1016/j.displa.2026.103389" TargetMode="External"/><Relationship Id="rId42" Type="http://schemas.openxmlformats.org/officeDocument/2006/relationships/hyperlink" Target="https://doi.org/10.1016/j.displa.2026.103391" TargetMode="External"/><Relationship Id="rId43" Type="http://schemas.openxmlformats.org/officeDocument/2006/relationships/hyperlink" Target="https://doi.org/10.1016/j.displa.2026.103357" TargetMode="External"/><Relationship Id="rId44" Type="http://schemas.openxmlformats.org/officeDocument/2006/relationships/hyperlink" Target="https://doi.org/10.1016/j.optlaseng.2026.109680" TargetMode="External"/><Relationship Id="rId45" Type="http://schemas.openxmlformats.org/officeDocument/2006/relationships/hyperlink" Target="https://doi.org/10.1016/j.optcom.2026.132987" TargetMode="External"/><Relationship Id="rId46" Type="http://schemas.openxmlformats.org/officeDocument/2006/relationships/hyperlink" Target="https://doi.org/10.1016/j.optcom.2026.133006" TargetMode="External"/><Relationship Id="rId47" Type="http://schemas.openxmlformats.org/officeDocument/2006/relationships/hyperlink" Target="https://doi.org/10.1364/ao.584283" TargetMode="External"/><Relationship Id="rId48" Type="http://schemas.openxmlformats.org/officeDocument/2006/relationships/hyperlink" Target="https://doi.org/10.1364/ao.574443" TargetMode="External"/><Relationship Id="rId49" Type="http://schemas.openxmlformats.org/officeDocument/2006/relationships/hyperlink" Target="https://doi.org/10.1364/ao.583050" TargetMode="External"/><Relationship Id="rId50" Type="http://schemas.openxmlformats.org/officeDocument/2006/relationships/hyperlink" Target="https://doi.org/10.1364/ao.566829" TargetMode="External"/><Relationship Id="rId51" Type="http://schemas.openxmlformats.org/officeDocument/2006/relationships/hyperlink" Target="https://doi.org/10.1364/ao.575365" TargetMode="External"/><Relationship Id="rId52" Type="http://schemas.openxmlformats.org/officeDocument/2006/relationships/hyperlink" Target="https://doi.org/10.1364/ao.580943" TargetMode="External"/><Relationship Id="rId53" Type="http://schemas.openxmlformats.org/officeDocument/2006/relationships/hyperlink" Target="https://doi.org/10.1364/ao.580426" TargetMode="External"/><Relationship Id="rId54" Type="http://schemas.openxmlformats.org/officeDocument/2006/relationships/hyperlink" Target="https://doi.org/10.1364/ao.586077" TargetMode="External"/><Relationship Id="rId55" Type="http://schemas.openxmlformats.org/officeDocument/2006/relationships/hyperlink" Target="https://doi.org/10.1364/ao.580121" TargetMode="External"/><Relationship Id="rId56" Type="http://schemas.openxmlformats.org/officeDocument/2006/relationships/hyperlink" Target="https://doi.org/10.1364/ao.588474" TargetMode="External"/><Relationship Id="rId57" Type="http://schemas.openxmlformats.org/officeDocument/2006/relationships/hyperlink" Target="https://doi.org/10.1364/ao.580558" TargetMode="External"/><Relationship Id="rId58" Type="http://schemas.openxmlformats.org/officeDocument/2006/relationships/hyperlink" Target="https://doi.org/10.1364/ao.580581" TargetMode="External"/><Relationship Id="rId59" Type="http://schemas.openxmlformats.org/officeDocument/2006/relationships/hyperlink" Target="https://doi.org/10.1364/ao.582540" TargetMode="External"/><Relationship Id="rId60" Type="http://schemas.openxmlformats.org/officeDocument/2006/relationships/hyperlink" Target="https://doi.org/10.1364/ao.581353" TargetMode="External"/><Relationship Id="rId61" Type="http://schemas.openxmlformats.org/officeDocument/2006/relationships/hyperlink" Target="https://doi.org/10.1364/ol.582287" TargetMode="External"/><Relationship Id="rId62" Type="http://schemas.openxmlformats.org/officeDocument/2006/relationships/hyperlink" Target="https://doi.org/10.1364/ol.584847" TargetMode="External"/><Relationship Id="rId63" Type="http://schemas.openxmlformats.org/officeDocument/2006/relationships/hyperlink" Target="https://doi.org/10.1364/ol.585801" TargetMode="External"/><Relationship Id="rId64" Type="http://schemas.openxmlformats.org/officeDocument/2006/relationships/hyperlink" Target="https://doi.org/10.1364/ol.585901" TargetMode="External"/><Relationship Id="rId65" Type="http://schemas.openxmlformats.org/officeDocument/2006/relationships/hyperlink" Target="https://doi.org/10.1364/ol.583394" TargetMode="External"/><Relationship Id="rId66" Type="http://schemas.openxmlformats.org/officeDocument/2006/relationships/hyperlink" Target="https://doi.org/10.1364/ol.586932" TargetMode="External"/><Relationship Id="rId67" Type="http://schemas.openxmlformats.org/officeDocument/2006/relationships/hyperlink" Target="https://doi.org/10.1364/ol.586072" TargetMode="External"/><Relationship Id="rId68" Type="http://schemas.openxmlformats.org/officeDocument/2006/relationships/hyperlink" Target="https://doi.org/10.1364/ol.581283" TargetMode="External"/><Relationship Id="rId69" Type="http://schemas.openxmlformats.org/officeDocument/2006/relationships/hyperlink" Target="https://doi.org/10.1364/josaa.583069" TargetMode="External"/><Relationship Id="rId70" Type="http://schemas.openxmlformats.org/officeDocument/2006/relationships/hyperlink" Target="https://doi.org/10.1364/prj.574200" TargetMode="External"/><Relationship Id="rId71" Type="http://schemas.openxmlformats.org/officeDocument/2006/relationships/hyperlink" Target="https://doi.org/10.1364/prj.574432" TargetMode="External"/><Relationship Id="rId72" Type="http://schemas.openxmlformats.org/officeDocument/2006/relationships/hyperlink" Target="https://doi.org/10.1364/prj.572887" TargetMode="External"/><Relationship Id="rId73" Type="http://schemas.openxmlformats.org/officeDocument/2006/relationships/hyperlink" Target="https://doi.org/10.1117/1.apn.5.2.026005" TargetMode="External"/><Relationship Id="rId74" Type="http://schemas.openxmlformats.org/officeDocument/2006/relationships/hyperlink" Target="https://doi.org/10.1063/5.0323522" TargetMode="External"/><Relationship Id="rId75" Type="http://schemas.openxmlformats.org/officeDocument/2006/relationships/hyperlink" Target="https://doi.org/10.1109/tvcg.2026.3662816" TargetMode="External"/><Relationship Id="rId76" Type="http://schemas.openxmlformats.org/officeDocument/2006/relationships/hyperlink" Target="https://doi.org/10.1109/tvcg.2026.3663050" TargetMode="External"/><Relationship Id="rId77" Type="http://schemas.openxmlformats.org/officeDocument/2006/relationships/hyperlink" Target="https://doi.org/10.1109/tvcg.2026.3662720" TargetMode="External"/><Relationship Id="rId78" Type="http://schemas.openxmlformats.org/officeDocument/2006/relationships/hyperlink" Target="https://doi.org/10.1021/acsphotonics.5c02402" TargetMode="External"/><Relationship Id="rId79" Type="http://schemas.openxmlformats.org/officeDocument/2006/relationships/hyperlink" Target="https://doi.org/10.1021/acsphotonics.5c02612" TargetMode="External"/><Relationship Id="rId80" Type="http://schemas.openxmlformats.org/officeDocument/2006/relationships/hyperlink" Target="https://doi.org/10.1109/tip.2026.3660576" TargetMode="External"/><Relationship Id="rId81" Type="http://schemas.openxmlformats.org/officeDocument/2006/relationships/hyperlink" Target="https://doi.org/10.1109/tip.2026.3659746" TargetMode="External"/><Relationship Id="rId82" Type="http://schemas.openxmlformats.org/officeDocument/2006/relationships/hyperlink" Target="https://doi.org/10.1109/tip.2026.3660575" TargetMode="External"/><Relationship Id="rId83" Type="http://schemas.openxmlformats.org/officeDocument/2006/relationships/hyperlink" Target="https://doi.org/10.1109/tpami.2026.3662389" TargetMode="External"/><Relationship Id="rId84" Type="http://schemas.openxmlformats.org/officeDocument/2006/relationships/hyperlink" Target="https://doi.org/10.1109/tpami.2026.36629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