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使用企业级供应链网络来衡量能源转型的速度</w:t>
      </w:r>
    </w:p>
    <w:p>
      <w:r>
        <w:rPr>
          <w:rFonts w:ascii="Times New Roman" w:hAnsi="Times New Roman" w:eastAsia="宋体"/>
          <w:b/>
          <w:color w:val="003264"/>
          <w:sz w:val="24"/>
        </w:rPr>
        <w:t>Using firm-level supply chain networks to measure the speed of the energy transition</w:t>
      </w:r>
    </w:p>
    <w:p>
      <w:r>
        <w:rPr>
          <w:rFonts w:ascii="Times New Roman" w:hAnsi="Times New Roman" w:eastAsia="宋体"/>
          <w:sz w:val="21"/>
        </w:rPr>
        <w:t>作者: Johannes Stangl, András Borsos, Stefan Thurner</w:t>
        <w:br/>
      </w:r>
      <w:r>
        <w:rPr>
          <w:rFonts w:ascii="Times New Roman" w:hAnsi="Times New Roman" w:eastAsia="宋体"/>
          <w:sz w:val="21"/>
        </w:rPr>
        <w:t xml:space="preserve">时间: 2026-02-09 | </w:t>
      </w:r>
      <w:r>
        <w:t xml:space="preserve">链接: </w:t>
      </w:r>
      <w:hyperlink r:id="rId10">
        <w:r>
          <w:rPr>
            <w:rFonts w:ascii="Times New Roman" w:hAnsi="Times New Roman" w:eastAsia="宋体"/>
            <w:color w:val="0000FF"/>
            <w:sz w:val="21"/>
            <w:u w:val="single"/>
          </w:rPr>
          <w:t>https://doi.org/10.1038/s41467-026-69358-4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国际气候目标依赖于能源转型的成功，但对经济如何采用低碳能源的系统监测仍然不发达。在这里，我们利用全国供应链网络数据重建了 2020 年至 2024 年间 25,000 家匈牙利企业的能源组合，涵盖 75% 的天然气、70% 的电力和 50% 的石油消费。这使我们能够在企业层面量化能源转型（向低碳电力转型）的速度。我们发现脱碳进程存在显着的异质性：一半的企业增加了低碳能源份额，但 50% 的企业减少了低碳能源份额。能源成本结构与转型行为密切相关，表明与技术相关的锁定效应。推断当前趋势，到 2050 年，低碳份额将达到 20%，这凸显了脱碳努力的无效性。如果企业严格采取行业内的脱碳领跑者战略，到2050年低碳份额可以达到70%，气候目标触手可及。</w:t>
      </w:r>
    </w:p>
    <w:p>
      <w:pPr>
        <w:spacing w:before="120"/>
      </w:pPr>
      <w:r>
        <w:rPr>
          <w:rFonts w:ascii="Times New Roman" w:hAnsi="Times New Roman" w:eastAsia="宋体"/>
          <w:b/>
          <w:sz w:val="21"/>
        </w:rPr>
        <w:t>English Abstract:</w:t>
      </w:r>
    </w:p>
    <w:p>
      <w:r>
        <w:rPr>
          <w:rFonts w:ascii="Times New Roman" w:hAnsi="Times New Roman" w:eastAsia="宋体"/>
          <w:sz w:val="21"/>
        </w:rPr>
        <w:t>Abstract International climate targets rely on the success of the energy transition, however systematic monitoring on how the economy adopts low-carbon energy remains underdeveloped. Here we use nationwide supply-chain network data to reconstruct energy portfolios for 25,000 Hungarian firms between 2020 and 2024, covering 75% of gas, 70% of electricity, and 50% of oil consumption. This allows us to quantify the speed of the energy transition -the transition towards low-carbon electricity- on the firm level. We find substantial heterogeneity in decarbonization progress: half of firms increase low-carbon energy shares, but 50% reduce it. Energy cost structures are closely associated with transition behavior, indicating technology-related lock-in effects. Extrapolating current trends yields an aggregate low-carbon share of 20% by 2050, highlighting ineffective decarbonization efforts. If firms strictly adopted strategies of decarbonization frontrunners within their industry sectors, a low-carbon share of 70% could be achieved by 2050, putting climate targets within reach.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纤维素纳米纤维和石灰石填料可实现高性能、可持续且经济高效的可打印混凝土</w:t>
      </w:r>
    </w:p>
    <w:p>
      <w:r>
        <w:rPr>
          <w:rFonts w:ascii="Times New Roman" w:hAnsi="Times New Roman" w:eastAsia="宋体"/>
          <w:b/>
          <w:color w:val="003264"/>
          <w:sz w:val="24"/>
        </w:rPr>
        <w:t>Cellulose nanofibers and limestone filler enable high-performance, sustainable, and cost-efficient printable concrete</w:t>
      </w:r>
    </w:p>
    <w:p>
      <w:r>
        <w:rPr>
          <w:rFonts w:ascii="Times New Roman" w:hAnsi="Times New Roman" w:eastAsia="宋体"/>
          <w:sz w:val="21"/>
        </w:rPr>
        <w:t>作者: Yu Wang, Ala Eddin Douba, Naveenkumar Rajendiran, David L. Cubillos-Gamez, Akshat Verma, Richard D. Bergman, Troy Runge, Jan Olek, Pablo D. Zavattieri, Jeffrey P. Youngblood</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https://doi.org/10.1038/s41467-026-69373-5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该研究开发了一种使用纤维素纳米纤维和石灰石填料的可打印混凝土，在降低水泥含量的同时增强流变学和机械性能。它展示了改进的可建造性和可持续性，具有在建筑中大规模 3D 打印应用的潜力。</w:t>
      </w:r>
    </w:p>
    <w:p>
      <w:pPr>
        <w:spacing w:before="120"/>
      </w:pPr>
      <w:r>
        <w:rPr>
          <w:rFonts w:ascii="Times New Roman" w:hAnsi="Times New Roman" w:eastAsia="宋体"/>
          <w:b/>
          <w:sz w:val="21"/>
        </w:rPr>
        <w:t>English Abstract:</w:t>
      </w:r>
    </w:p>
    <w:p>
      <w:r>
        <w:rPr>
          <w:rFonts w:ascii="Times New Roman" w:hAnsi="Times New Roman" w:eastAsia="宋体"/>
          <w:sz w:val="21"/>
        </w:rPr>
        <w:t>The study develops a printable concrete using cellulose nanofibers and limestone filler, enhancing rheological and mechanical properties while reducing cement content. It demonstrates improved buildability and sustainability, with potential for large-scale 3D printing applications in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神奇的 Floquet-Bloch 带结构中的连续俘获物质波干涉测量</w:t>
      </w:r>
    </w:p>
    <w:p>
      <w:r>
        <w:rPr>
          <w:rFonts w:ascii="Times New Roman" w:hAnsi="Times New Roman" w:eastAsia="宋体"/>
          <w:b/>
          <w:color w:val="003264"/>
          <w:sz w:val="24"/>
        </w:rPr>
        <w:t>Continuously trapped matter-wave interferometry in magic Floquet-Bloch band structures</w:t>
      </w:r>
    </w:p>
    <w:p>
      <w:r>
        <w:rPr>
          <w:rFonts w:ascii="Times New Roman" w:hAnsi="Times New Roman" w:eastAsia="宋体"/>
          <w:sz w:val="21"/>
        </w:rPr>
        <w:t>作者: Xiao Chai, Eber Nolasco-Martinez, Xuanwei Liang, Jeremy L. Tanlimco, E. Quinn Simmons, Eric Zhu, Roshan Sajjad, Hector Mas, S. Nicole Halawani, Alec Cao, David M. Weld</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https://doi.org/10.1038/s41467-026-69299-y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俘获物质波干涉测量技术为紧凑型高精度局部力传感提供了前景。然而，陷阱本身的噪声可能会引入传统自由落体干涉仪中不存在的新系统误差。我们描述并演示了一个本质上耐噪声的 Floquet 设计平台，用于连续捕获原子干涉测量。非相互作用的简并量子气体通过调幅光学晶格经历位置空间布洛赫振荡，其产生的弗洛奎特-布洛赫能带结构包括朗道-齐纳分束器和布拉格镜，形成马赫-曾德干涉力传感器的组件。我们识别、实现并通过实验表征魔能带结构，类似于光学晶格时钟中使用的魔能波长，其中干涉相位对晶格强度噪声不敏感。我们利用 Floquet 能带合成方法的固有可编程性来演示各种干涉仪结构，突出了该技术对于可调谐、紧凑、简单且坚固的量子力传感器的潜力。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Trapped matter-wave interferometry offers the promise of compact high-precision local force sensing. However, noise in the trap itself can introduce new systematic errors which are absent in traditional free-fall interferometers. We describe and demonstrate an intrinsically noise-tolerant Floquet-engineered platform for continuously trapped atom interferometry. A non-interacting degenerate quantum gas undergoes position-space Bloch oscillations through an amplitude-modulated optical lattice, whose resulting Floquet-Bloch band structure includes Landau-Zener beamsplitters and Bragg mirrors, forming the components of a Mach-Zehnder interferometric force sensor. We identify, realize, and experimentally characterize magic band structures, analogous to the magic wavelengths employed in optical lattice clocks, for which the interferometric phase is insensitive to lattice intensity noise. We leverage the intrinsic programmability of the Floquet band synthesis approach to demonstrate a variety of interferometer structures, highlighting the potential of this technique for quantum force sensors which are tunable, compact, simple, and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基于二维材料的光电神经元和铁电突触的均匀集成，用于神经形态视觉</w:t>
      </w:r>
    </w:p>
    <w:p>
      <w:r>
        <w:rPr>
          <w:rFonts w:ascii="Times New Roman" w:hAnsi="Times New Roman" w:eastAsia="宋体"/>
          <w:b/>
          <w:color w:val="003264"/>
          <w:sz w:val="24"/>
        </w:rPr>
        <w:t>Homogeneous integration of two-dimensional material-based optoelectronic neurons and ferroelectric synapses for neuromorphic vision</w:t>
      </w:r>
    </w:p>
    <w:p>
      <w:r>
        <w:rPr>
          <w:rFonts w:ascii="Times New Roman" w:hAnsi="Times New Roman" w:eastAsia="宋体"/>
          <w:sz w:val="21"/>
        </w:rPr>
        <w:t>作者: Jiarong Wang, Keqin Liu, Pek Jun Tiw, Dawei He, Lianfeng Yu, Bowen Wang, Jinxuan Bai, Teng Zhang, Xin Shan, Yang Yang, Yuzhe Wang, Yongsheng Wang, Yaoyu Tao, Xiaoxian Zhang, Yuchao Yang</w:t>
        <w:br/>
      </w:r>
      <w:r>
        <w:rPr>
          <w:rFonts w:ascii="Times New Roman" w:hAnsi="Times New Roman" w:eastAsia="宋体"/>
          <w:sz w:val="21"/>
        </w:rPr>
        <w:t xml:space="preserve">时间: 2026-02-09 | </w:t>
      </w:r>
      <w:r>
        <w:t xml:space="preserve">链接: </w:t>
      </w:r>
      <w:hyperlink r:id="rId13">
        <w:r>
          <w:rPr>
            <w:rFonts w:ascii="Times New Roman" w:hAnsi="Times New Roman" w:eastAsia="宋体"/>
            <w:color w:val="0000FF"/>
            <w:sz w:val="21"/>
            <w:u w:val="single"/>
          </w:rPr>
          <w:t>https://doi.org/10.1038/s41467-026-68905-3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将易失性光学传感与非易失性存储器集成对于神经形态视觉应用至关重要。王等人。提出了一种同质集成方案，将光电神经元和铁电突触结合在单个基板上，用于颜色识别和物体检测任务。</w:t>
      </w:r>
    </w:p>
    <w:p>
      <w:pPr>
        <w:spacing w:before="120"/>
      </w:pPr>
      <w:r>
        <w:rPr>
          <w:rFonts w:ascii="Times New Roman" w:hAnsi="Times New Roman" w:eastAsia="宋体"/>
          <w:b/>
          <w:sz w:val="21"/>
        </w:rPr>
        <w:t>English Abstract:</w:t>
      </w:r>
    </w:p>
    <w:p>
      <w:r>
        <w:rPr>
          <w:rFonts w:ascii="Times New Roman" w:hAnsi="Times New Roman" w:eastAsia="宋体"/>
          <w:sz w:val="21"/>
        </w:rPr>
        <w:t>Integrating volatile optical sensing with non-volatile memory is crucial for neuromorphic vision applications. Wang et al. propose a homogeneous integration scheme that combines optoelectronic neurons and ferroelectric synapses on a single substrate for color recognition and object detection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基于可解释的人工智能的人类胰腺切片分析确定了 2 型糖尿病的特征</w:t>
      </w:r>
    </w:p>
    <w:p>
      <w:r>
        <w:rPr>
          <w:rFonts w:ascii="Times New Roman" w:hAnsi="Times New Roman" w:eastAsia="宋体"/>
          <w:b/>
          <w:color w:val="003264"/>
          <w:sz w:val="24"/>
        </w:rPr>
        <w:t>Explainable AI-based analysis of human pancreas sections identifies traits of type 2 diabetes</w:t>
      </w:r>
    </w:p>
    <w:p>
      <w:r>
        <w:rPr>
          <w:rFonts w:ascii="Times New Roman" w:hAnsi="Times New Roman" w:eastAsia="宋体"/>
          <w:sz w:val="21"/>
        </w:rPr>
        <w:t>作者: Lukas Klein, Sebastian Ziegler, Felicia Gerst, Yanni Morgenroth, Karol Gotkowski, Eyke Schöniger, Martin Heni, Nicole Kipke, Daniela Friedland, Annika Seiler, Ellen Geibelt, Hajime Yamazaki, Hans-Ulrich Häring, Silvia Wagner, Silvio Nadalin, Alfred Königsrainer, Andre L. Mihaljevic, Daniel Hartmann, Falko Fend, Daniela Aust, Jürgen Weitz, Reiner Jumpertz-von Schwartzenberg, Marius Distler, Klaus Maier-Hein, Andreas L. Birkenfeld, Susanne Ullrich, Paul F. Jäger, Fabian Isensee, Michele Solimena, Robert Wagner</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https://doi.org/10.1038/s41467-026-69295-2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 型糖尿病 (T2D) 是一种慢性疾病，目前影响着全球约 5 亿人，通常会造成严重的健康后果。然而，组织病理学分析仍然不足以根据与 T2D 胰岛素分泌受损和 β 细胞衰竭相关的形态学改变来推断一个人的血糖状态。千兆像素显微镜可以捕捉细微的形态变化，但数据复杂性超出了人类的分析能力。作为回应，我们生成了来自活体捐赠者的胰腺全切片图像的数据集，具有多种显色和多重免疫荧光染色，并训练深度学习模型来预测 T2D 状态。使用可解释的人工智能，我们可以解释学到的关系，将它们量化为生物标志物，并评估它们与 T2D 的关联。值得注意的是，通过同时关注胰岛 α 和 δ 细胞以及神经元轴突，以及 T2D 供体中微妙的胰腺变化（例如较大的脂肪细胞簇、改变的胰岛-脂肪细胞接近度和较小的胰岛），可以实现最高的预测性能。这种数据驱动的方法为未来相关诊断和治疗靶点的研究奠定了基础，完善了与 T2D 相关的组织改变的几种假设。</w:t>
      </w:r>
    </w:p>
    <w:p>
      <w:pPr>
        <w:spacing w:before="120"/>
      </w:pPr>
      <w:r>
        <w:rPr>
          <w:rFonts w:ascii="Times New Roman" w:hAnsi="Times New Roman" w:eastAsia="宋体"/>
          <w:b/>
          <w:sz w:val="21"/>
        </w:rPr>
        <w:t>English Abstract:</w:t>
      </w:r>
    </w:p>
    <w:p>
      <w:r>
        <w:rPr>
          <w:rFonts w:ascii="Times New Roman" w:hAnsi="Times New Roman" w:eastAsia="宋体"/>
          <w:sz w:val="21"/>
        </w:rPr>
        <w:t>Abstract Type 2 diabetes (T2D) is a chronic disease currently affecting around 500 million people worldwide with often severe health consequences. Yet, histopathological analyses are still inadequate to infer the glycaemic state of a person based on morphological alterations linked to impaired insulin secretion and β -cell failure in T2D. Giga-pixel microscopy can capture subtle morphological changes, but data complexity exceeds human analysis capabilities. In response, we generate a dataset of pancreas whole-slide images from living donors with multiple chromogenic and multiplex immunofluorescence stainings and train deep learning models to predict the T2D status. Using explainable AI, we make the learned relationships interpretable, quantify them as biomarkers, and assess their association with T2D. Remarkably, the highest prediction performance is achieved by simultaneously focusing on islet α - and δ -cells and neuronal axons, alongside subtle pancreatic alterations in T2D donors such as larger adipocyte clusters, altered islet-adipocyte proximity and smaller islets. This data-driven approach provides a foundation for future research into relevant diagnostic and therapeutic targets, refining several hypotheses regarding tissue alterations associated with T2D.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 位非化学计量 NaNbO3 基陶瓷中钠氧混合离子传导的调控</w:t>
      </w:r>
    </w:p>
    <w:p>
      <w:r>
        <w:rPr>
          <w:rFonts w:ascii="Times New Roman" w:hAnsi="Times New Roman" w:eastAsia="宋体"/>
          <w:b/>
          <w:color w:val="003264"/>
          <w:sz w:val="24"/>
        </w:rPr>
        <w:t>Tailoring sodium and oxygen mixed-ion conduction in the A-site non-stoichiometric NaNbO3-based ceramics</w:t>
      </w:r>
    </w:p>
    <w:p>
      <w:r>
        <w:rPr>
          <w:rFonts w:ascii="Times New Roman" w:hAnsi="Times New Roman" w:eastAsia="宋体"/>
          <w:sz w:val="21"/>
        </w:rPr>
        <w:t>作者: Zhiyong Liu, Chenggong Xiang, Pengrong Ren, Kun Guo, Bing Xie, Pu Mao, Haijun Sun, Huiqing Fan</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https://doi.org/10.1038/s41467-026-69428-7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精确定制固态电解质的电子或离子传导特性对于满足电化学储能和转换技术的功能需求至关重要。这里，Na 0.96 x Ca 0.04 Nb 0.96 Zr 0.04 O 3- δ 导体中Na + 和O 2− 离子传导的协同调节是通过非化学计量比策略实现的。晶体结构和电学性质分析表明所有样品均具有 Pbma 斜方结构。随着Na含量的增加，缺陷特征从空位转变为填隙，NbO 6 八面体经历了从压缩到正常再到倾斜扁平的变化，导致Na-O-Na和Na-O-Nb网络中相应填隙的扩展。通过改变这三种多面体和网络的结构，可以有效调控Na + 和O 2− 离子以及电子的传导通道。 O 2− 离子是Na 缺乏样品的主要载流子，化学计量样品具有混合的O 2− 离子和本征电子，而Na⁺ 离子成为Na 过量样品的主要载流子。这项工作强调了晶格缺陷和氧八面体扭曲/扭曲对电导率的重要作用，为固态离子导体中Na + /O 2− 离子迁移路径的设计提供了见解。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Tailoring the electronic or ionic conduction properties of solid-state electrolytes with precision is essential to fulfilling the functional demands of electrochemical energy storage and conversion technologies. Here, the synergistic regulation of Na + and O 2− ions conduction in the Na 0.96 x Ca 0.04 Nb 0.96 Zr 0.04 O 3- δ conductor is achieved by the non-stoichiometric ratio strategy. Crystal structure and electrical property analyses reveal that all samples feature a Pbma orthorhombic structure. With rising Na content, the defect characteristics shift from vacancies to interstitials, the NbO 6 octahedra experience a change from being compressed to normal and then to being obliquely flattened, which leads to an expansion of the corresponding interstitials in the Na-O-Na and Na-O-Nb networks. By changing the structures of these three types of polyhedron and networks, the conduction channels of Na + and O 2− ions as well as electrons can be effectively regulated. The O 2− ions are the main charge carriers for Na-deficient samples, stoichiometric samples feature the mixed O 2− ions and intrinsic electrons, while Na⁺ ions become the dominant carriers for Na-excess samples. This work highlights the important role of lattice defects and oxygen octahedral distortions/twisting on the conductivity, offering insights into the design of and Na + /O 2− ions migration pathways in solid-state ion conductors.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低温透射电子显微镜揭示了 PEDOT:PSS 的组装和纳米结构</w:t>
      </w:r>
    </w:p>
    <w:p>
      <w:r>
        <w:rPr>
          <w:rFonts w:ascii="Times New Roman" w:hAnsi="Times New Roman" w:eastAsia="宋体"/>
          <w:b/>
          <w:color w:val="003264"/>
          <w:sz w:val="24"/>
        </w:rPr>
        <w:t>Cryogenic transmission electron microscopy reveals assembly and nanostructure of PEDOT:PSS</w:t>
      </w:r>
    </w:p>
    <w:p>
      <w:r>
        <w:rPr>
          <w:rFonts w:ascii="Times New Roman" w:hAnsi="Times New Roman" w:eastAsia="宋体"/>
          <w:sz w:val="21"/>
        </w:rPr>
        <w:t>作者: Masoud Ghasemi, Louis Y. Kirkley, Farshad Nazari, Mohammed K. R. Aldahdooh, Joshua T. Del Mundo, Dhruv Gamdha, Yi-Chen Lan, Po-Hao Lai, Sung Hyun Cho, Baskar Ganapathysubramanian, Esther W. Gomez, Enrique D. Gomez</w:t>
        <w:br/>
      </w:r>
      <w:r>
        <w:rPr>
          <w:rFonts w:ascii="Times New Roman" w:hAnsi="Times New Roman" w:eastAsia="宋体"/>
          <w:sz w:val="21"/>
        </w:rPr>
        <w:t xml:space="preserve">时间: 2026-02-10 | </w:t>
      </w:r>
      <w:r>
        <w:t xml:space="preserve">链接: </w:t>
      </w:r>
      <w:hyperlink r:id="rId85">
        <w:r>
          <w:rPr>
            <w:rFonts w:ascii="Times New Roman" w:hAnsi="Times New Roman" w:eastAsia="宋体"/>
            <w:color w:val="0000FF"/>
            <w:sz w:val="21"/>
            <w:u w:val="single"/>
          </w:rPr>
          <w:t>https://doi.org/10.1038/s41467-026-68890-7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软导电有机材料对于电子设备来说很有前景，尽管由于缺乏这些复杂系统的高分辨率真实间距成像，它们的纳米结构尚未完全被了解。在这里，作者使用低温透射电子显微镜方法来研究 PEDOT:PSS 在添加剂存在下和水合后的形态。</w:t>
      </w:r>
    </w:p>
    <w:p>
      <w:pPr>
        <w:spacing w:before="120"/>
      </w:pPr>
      <w:r>
        <w:rPr>
          <w:rFonts w:ascii="Times New Roman" w:hAnsi="Times New Roman" w:eastAsia="宋体"/>
          <w:b/>
          <w:sz w:val="21"/>
        </w:rPr>
        <w:t>English Abstract:</w:t>
      </w:r>
    </w:p>
    <w:p>
      <w:r>
        <w:rPr>
          <w:rFonts w:ascii="Times New Roman" w:hAnsi="Times New Roman" w:eastAsia="宋体"/>
          <w:sz w:val="21"/>
        </w:rPr>
        <w:t>Soft and conducting organic materials are promising for electronic devices, though their nanostructures are not fully understood, due to the lack of high resolution real spacing imaging of these complex systems. Here the authors use cryogenic transmission electron microscopy methods to investigate the morphology of PEDOT:PSS in the presence of additives and upon hydration.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用于多级光学加密的共晶中的动态光致变色和薄膜中的三态荧光切换</w:t>
      </w:r>
    </w:p>
    <w:p>
      <w:r>
        <w:rPr>
          <w:rFonts w:ascii="Times New Roman" w:hAnsi="Times New Roman" w:eastAsia="宋体"/>
          <w:b/>
          <w:color w:val="003264"/>
          <w:sz w:val="24"/>
        </w:rPr>
        <w:t>Dynamic photochromism in cocrystals and tri-state fluorescence switching in films for multilevel optical encryption</w:t>
      </w:r>
    </w:p>
    <w:p>
      <w:r>
        <w:rPr>
          <w:rFonts w:ascii="Times New Roman" w:hAnsi="Times New Roman" w:eastAsia="宋体"/>
          <w:sz w:val="21"/>
        </w:rPr>
        <w:t>作者: Shuzhen Li, Menghao Xing, Xifan Xu, Wenjing Hu, Hang Zhou, Xiaoyu Cao</w:t>
        <w:br/>
      </w:r>
      <w:r>
        <w:rPr>
          <w:rFonts w:ascii="Times New Roman" w:hAnsi="Times New Roman" w:eastAsia="宋体"/>
          <w:sz w:val="21"/>
        </w:rPr>
        <w:t xml:space="preserve">时间: 2026-02-10 | </w:t>
      </w:r>
      <w:r>
        <w:t xml:space="preserve">链接: </w:t>
      </w:r>
      <w:hyperlink r:id="rId86">
        <w:r>
          <w:rPr>
            <w:rFonts w:ascii="Times New Roman" w:hAnsi="Times New Roman" w:eastAsia="宋体"/>
            <w:color w:val="0000FF"/>
            <w:sz w:val="21"/>
            <w:u w:val="single"/>
          </w:rPr>
          <w:t>https://doi.org/10.1038/s41467-026-69434-9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有机晶体中的光显着效应具有响应材料的潜力，但此类材料的设计具有挑战性。在这里，作者报告了共晶体的发展，这些共晶体在暴露于紫外线时发生固态转变，导致光致变色和光显着行为。</w:t>
      </w:r>
    </w:p>
    <w:p>
      <w:pPr>
        <w:spacing w:before="120"/>
      </w:pPr>
      <w:r>
        <w:rPr>
          <w:rFonts w:ascii="Times New Roman" w:hAnsi="Times New Roman" w:eastAsia="宋体"/>
          <w:b/>
          <w:sz w:val="21"/>
        </w:rPr>
        <w:t>English Abstract:</w:t>
      </w:r>
    </w:p>
    <w:p>
      <w:r>
        <w:rPr>
          <w:rFonts w:ascii="Times New Roman" w:hAnsi="Times New Roman" w:eastAsia="宋体"/>
          <w:sz w:val="21"/>
        </w:rPr>
        <w:t>Photosalient effects in organic crystals have potential for responsive materials, but design of such materials is challenging. Here, the authors report the development of cocrystals that undergo a solid state transformation on exposure to UV, resulting in photochromism and photosalient behaviour.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急性感染后综合征纵向研究的潜在转变分析</w:t>
      </w:r>
    </w:p>
    <w:p>
      <w:r>
        <w:rPr>
          <w:rFonts w:ascii="Times New Roman" w:hAnsi="Times New Roman" w:eastAsia="宋体"/>
          <w:b/>
          <w:color w:val="003264"/>
          <w:sz w:val="24"/>
        </w:rPr>
        <w:t>Latent transition analysis for longitudinal studies of post-acute infection syndromes</w:t>
      </w:r>
    </w:p>
    <w:p>
      <w:r>
        <w:rPr>
          <w:rFonts w:ascii="Times New Roman" w:hAnsi="Times New Roman" w:eastAsia="宋体"/>
          <w:sz w:val="21"/>
        </w:rPr>
        <w:t>作者: Roy Gusinow, Anna Górska, Lorenzo Maria Canziani, Iris Lopes-Rafegas, Carolina Alvarez Garavito, Adriana Tami, Elisa Gentilotti, Elisa Sicuri, Cédric Laouénan, Jade Ghosn, Aline-Marie Florence, Nadhem Lahfej, Fulvia Mazzaferri, Lidia Del Piccolo, Maddalena Giannella, Alice Toschi, Michela Di Chiara, Maria Giulia Caponcello, Zaira R. Palacios-Baena, Karin I. Wold, Elisa Rossi, Evelina Tacconelli, Jan Hasenauer, Elena Addis, Maddalena Armellini, Anna Maria Azzini, Benedetta Barana, Lucia Bonato, Elena Carrara, Alessandro Castelli, Filippo Cioli Puviani, Michela Conti, Raffaella Cordioli, Carmine Cutone, Ruth Joanna Davis, Pasquale De Nardo, Miriam Emiliani, Alessio Esposito, Daniele Fasan, Giada Fasani, Giorgia Franchina, Jacopo Garlasco, Enrico Gibbin, Salvatore Hermes Dall’O’, Chiara Konishi De Toffoli, Lorenza Lambertenghi, Federico Lattanzi, Andrea Leonardi, Francesco Luca, Gaia Maccarrone, Massimo Mirandola, Matteo Morra, Alessandra Nazeri, Matilde Rocchi, Giulia Rosini, Chiara Perlini, Maria Diletta Pezzani, Laura Rovigo, Anna Giulia Salvadori, Andrea Sartori, Alessia Savoldi, Rebecca Scardellato, Marcella Sibani, Erica Sodano, Simona Sorbello, Lorenzo Tavernaro, Giorgia Tomassini, Alessandro Visentin, Stefania Vitali, Andrea Volpe, Chiara Zanchi, Gloria Mazzali, Giovanni Stabile, Gianluca Vantini, Riccardo Cecchetto, Davide Gibellini, Nicolò Cardobi, Debora Calì, Maria Paola Cecchini, Maddalena Marcanti, Anna Mason, Salvatore Monaco, Marco Pattaro Zonta, Cinzia Perlini, Gianluigi Zanusso, Elda Righi, Mariana Nunes Pinho Guedes, Maria Mongardi, Concetta Sciammarella, Claudio Micheletto, Paolo Gisondi, Natascia Caroccia, Cecilia Bonazzetti, Beatrice Tazza, Zeno Igor Adrien Pasquini, Domenico Marzolla, Giacomo Fornaro, Fabio Trapani, Lorenzo Marconi, Luciano Attard, Sara Tedeschi, Silvia Vituliano, Liliana Gabrielli, Tiziana Lazzarotto, Jesús Rodrguez-Baño, Mara Isabel Garcia Sánchez, Ana Belén Hidalgo Céspedes, Aurora Aleman Rodriguez, Lola Cubero Aranda, Paula Olivares Navarro, Sandra De la Rosa Riestra, José M. Bravo-Ferrero, Gerolf de Boer, Bernardina T. F. van der Gun, Mara F. Vincenti-González, Alida C. M. Veloo, Daniele Pantano, Margriet van der Meer, Lilli Gard, Erley F. Lizarazo, Marjolein Knoester, Alex W. Friedrich, Hubert G. M. Niesters, Salvatore Cataudella, Chiara Dellacasa, Manuel Huth, Clemens Peiter</w:t>
        <w:br/>
      </w:r>
      <w:r>
        <w:rPr>
          <w:rFonts w:ascii="Times New Roman" w:hAnsi="Times New Roman" w:eastAsia="宋体"/>
          <w:sz w:val="21"/>
        </w:rPr>
        <w:t xml:space="preserve">时间: 2026-02-10 | </w:t>
      </w:r>
      <w:r>
        <w:t xml:space="preserve">链接: </w:t>
      </w:r>
      <w:hyperlink r:id="rId87">
        <w:r>
          <w:rPr>
            <w:rFonts w:ascii="Times New Roman" w:hAnsi="Times New Roman" w:eastAsia="宋体"/>
            <w:color w:val="0000FF"/>
            <w:sz w:val="21"/>
            <w:u w:val="single"/>
          </w:rPr>
          <w:t>https://doi.org/10.1038/s41467-026-68650-7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急性感染后综合症（PAIS）是指初次感染后持续数月的症状。关于该主题的临床研究通常会收集丰富的多模式数据集。然而，数据集的复杂性和缺乏精确的临床病例定义给创建全面分析带来了困难。在这里，我们提出了一个通用框架，用于使用潜在转移分析 (LTA) 来分析 PAIS 纵向研究的数据。它能够识别疾病表型并在患者层面分析它们之间的转变，而无需依赖预定义的临床分类。此外，我们引入了一种合并协变量信息的方法，该方法可以探索患者特征如何影响疾病轨迹。我们将此方法应用于 ORCHESTRA 数据集，该数据集由来自多个欧洲中心的受 SARS-CoV-2 感染影响的个体组成，用于调查 COVID-19 后状况 (PCC)。收集了 5094 名患者在 SARS-CoV-2 感染时以及随访 6、12、18 和 24 个月时的评估。我们的模型识别了不同的 PCC 表型以及受年龄和性别影响的患者轨迹。我们的结果凸显了 LTA 如何增强复杂、时间分辨临床数据的可解释性，支持个性化患者监测和管理，并加速其他 PAIS 的治疗开发。</w:t>
      </w:r>
    </w:p>
    <w:p>
      <w:pPr>
        <w:spacing w:before="120"/>
      </w:pPr>
      <w:r>
        <w:rPr>
          <w:rFonts w:ascii="Times New Roman" w:hAnsi="Times New Roman" w:eastAsia="宋体"/>
          <w:b/>
          <w:sz w:val="21"/>
        </w:rPr>
        <w:t>English Abstract:</w:t>
      </w:r>
    </w:p>
    <w:p>
      <w:r>
        <w:rPr>
          <w:rFonts w:ascii="Times New Roman" w:hAnsi="Times New Roman" w:eastAsia="宋体"/>
          <w:sz w:val="21"/>
        </w:rPr>
        <w:t>Abstract Post-Acute Infectious Syndromes (PAIS) refer to the symptoms persisting months after initial infection. Clinical research studies on this topic often collect rich, multi-modal datasets. Yet, the complexity of the datasets and the lack of a precise clinical case definition pose difficulties in creating comprehensive analyses. Here, we present a generalisable framework for analysing data from longitudinal studies of PAIS using Latent Transition Analysis (LTA). It enables the identification of disease phenotypes and the patient-level analysis of transitions between them, without relying on predefined clinical categorisations. Furthermore, we introduce a method for incorporating covariate information, which enables exploration of how patient characteristics influence disease trajectories. We apply this methodology to the ORCHESTRA dataset, composed of individuals affected by SARS-CoV-2 infection from multiple European centres, for investigation into Post-COVID-19 condition (PCC). 5094 patient assessments were collected at SARS-CoV-2 infection, and at 6, 12, 18, and 24 months of follow-up. Our model identifies distinct PCC phenotypes with patient trajectories impacted by age and sex. Our results highlight how LTA can enhance the interpretability of complex, time-resolved clinical data, support personalized patient monitoring and management, and accelerate therapeutic development for other PAISs, too.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小鼠视前 Kisspeptin-nNOS-GnRH (KiNG) 神经元网络通过激活抑制调节 LH 节律</w:t>
      </w:r>
    </w:p>
    <w:p>
      <w:r>
        <w:rPr>
          <w:rFonts w:ascii="Times New Roman" w:hAnsi="Times New Roman" w:eastAsia="宋体"/>
          <w:b/>
          <w:color w:val="003264"/>
          <w:sz w:val="24"/>
        </w:rPr>
        <w:t>Preoptic kisspeptin-nNOS-GnRH (KiNG) neuronal network regulates LH rhythmicity through activation-inhibition in mice</w:t>
      </w:r>
    </w:p>
    <w:p>
      <w:r>
        <w:rPr>
          <w:rFonts w:ascii="Times New Roman" w:hAnsi="Times New Roman" w:eastAsia="宋体"/>
          <w:sz w:val="21"/>
        </w:rPr>
        <w:t>作者: Virginia Delli, Marie Moulinier, Anna-Maria Lazaridou, Charles-Antoine Seux, Sooraj Nair, Tori Lhomme, Julien Dehame, Daniela Fernandois, S. Rasika, Damien Lemoine, Alan Carleton, Konstantina Chachlaki</w:t>
        <w:br/>
      </w:r>
      <w:r>
        <w:rPr>
          <w:rFonts w:ascii="Times New Roman" w:hAnsi="Times New Roman" w:eastAsia="宋体"/>
          <w:sz w:val="21"/>
        </w:rPr>
        <w:t xml:space="preserve">时间: 2026-02-10 | </w:t>
      </w:r>
      <w:r>
        <w:t xml:space="preserve">链接: </w:t>
      </w:r>
      <w:hyperlink r:id="rId88">
        <w:r>
          <w:rPr>
            <w:rFonts w:ascii="Times New Roman" w:hAnsi="Times New Roman" w:eastAsia="宋体"/>
            <w:color w:val="0000FF"/>
            <w:sz w:val="21"/>
            <w:u w:val="single"/>
          </w:rPr>
          <w:t>https://doi.org/10.1038/s41467-026-69316-0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LH 分泌节律由下丘脑中的神经元信号协调。在这里，作者表明 Kisspeptin 激活的 nNOS-NO 信号传导抑制 GnRH 神经元，建立双重激活-抑制机制来产生 LH 脉冲和浪涌。</w:t>
      </w:r>
    </w:p>
    <w:p>
      <w:pPr>
        <w:spacing w:before="120"/>
      </w:pPr>
      <w:r>
        <w:rPr>
          <w:rFonts w:ascii="Times New Roman" w:hAnsi="Times New Roman" w:eastAsia="宋体"/>
          <w:b/>
          <w:sz w:val="21"/>
        </w:rPr>
        <w:t>English Abstract:</w:t>
      </w:r>
    </w:p>
    <w:p>
      <w:r>
        <w:rPr>
          <w:rFonts w:ascii="Times New Roman" w:hAnsi="Times New Roman" w:eastAsia="宋体"/>
          <w:sz w:val="21"/>
        </w:rPr>
        <w:t>LH secretion rhythms are coordinated by neuronal signaling in the hypothalamus. Here, authors show that kisspeptin-activated nNOS–NO signaling inhibits GnRH neurons, establishing a dual activation–inhibition mechanism to generate LH pulses and surges.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用于疫苗分析的病毒糖蛋白纳米圆盘平台</w:t>
      </w:r>
    </w:p>
    <w:p>
      <w:r>
        <w:rPr>
          <w:rFonts w:ascii="Times New Roman" w:hAnsi="Times New Roman" w:eastAsia="宋体"/>
          <w:b/>
          <w:color w:val="003264"/>
          <w:sz w:val="24"/>
        </w:rPr>
        <w:t>Virus glycoprotein nanodisc platform for vaccine analytics</w:t>
      </w:r>
    </w:p>
    <w:p>
      <w:r>
        <w:rPr>
          <w:rFonts w:ascii="Times New Roman" w:hAnsi="Times New Roman" w:eastAsia="宋体"/>
          <w:sz w:val="21"/>
        </w:rPr>
        <w:t>作者: Kimmo Rantalainen, Alessia Liguori, Gabriel Ozorowski, Claudia Flynn, Jon M. Steichen, Olivia M. Swanson, Patrick J. Madden, Sabyasachi Baboo, Swastik Phulera, Anant Gharpure, Danny Lu, Oleksandr Kalyuzhniy, Patrick Skog, Sierra Terada, Monolina Shil, Jolene K. Diedrich, Erik Georgeson, Ryan Tingle, Saman Eskandarzadeh, Wen-Hsin Lee, Nushin Alavi, Diana Goodwin, Michael Kubitz, Sonya Amirzehni, Sunny Himansu, Devin Sok, Jeong Hyun Lee, John R. Yates, James C. Paulson, Shane Crotty, Torben Schiffner, Andrew B. Ward, William R. Schief</w:t>
        <w:br/>
      </w:r>
      <w:r>
        <w:rPr>
          <w:rFonts w:ascii="Times New Roman" w:hAnsi="Times New Roman" w:eastAsia="宋体"/>
          <w:sz w:val="21"/>
        </w:rPr>
        <w:t xml:space="preserve">时间: 2026-02-10 | </w:t>
      </w:r>
      <w:r>
        <w:t xml:space="preserve">链接: </w:t>
      </w:r>
      <w:hyperlink r:id="rId89">
        <w:r>
          <w:rPr>
            <w:rFonts w:ascii="Times New Roman" w:hAnsi="Times New Roman" w:eastAsia="宋体"/>
            <w:color w:val="0000FF"/>
            <w:sz w:val="21"/>
            <w:u w:val="single"/>
          </w:rPr>
          <w:t>https://doi.org/10.1038/s41467-026-68985-1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有包膜病毒的跨膜糖蛋白是中和抗体和必需疫苗抗原的靶标。 mRNA-LNP 技术允许体内表达跨膜糖蛋白，但跨膜抗原的体外生物物理表征和免疫后抗体反应的分析通常依赖于可溶性蛋白。在这里，我们提出了一个将跨膜糖蛋白疫苗候选物组装到脂质纳米盘中的平台。我们通过使用表面等离振子共振 (SPR) 的结合分析、荧光激活细胞分选 (FACS) 的离体 B 细胞分选以及通过确定与三种广泛中和抗体 (bnAb)（包括 MPER bnAb 10E8）复合的原型 HIV MPER 靶向免疫原纳米盘的结构，证明了纳米盘在 HIV 膜近端外部区域 (MPER) 靶向疫苗开发中的实用性，其中 MPER bnAb 10E8 为 3.5 Å低温电子显微镜（cryo-EM），为基于结构的免疫原设计提供模板。为了证明普遍适用性，我们对埃博拉病毒糖蛋白纳米圆盘进行了表征。总体而言，该平台提供了加速下一代疫苗开发的工具。</w:t>
      </w:r>
    </w:p>
    <w:p>
      <w:pPr>
        <w:spacing w:before="120"/>
      </w:pPr>
      <w:r>
        <w:rPr>
          <w:rFonts w:ascii="Times New Roman" w:hAnsi="Times New Roman" w:eastAsia="宋体"/>
          <w:b/>
          <w:sz w:val="21"/>
        </w:rPr>
        <w:t>English Abstract:</w:t>
      </w:r>
    </w:p>
    <w:p>
      <w:r>
        <w:rPr>
          <w:rFonts w:ascii="Times New Roman" w:hAnsi="Times New Roman" w:eastAsia="宋体"/>
          <w:sz w:val="21"/>
        </w:rPr>
        <w:t>Abstract Transmembrane glycoproteins of enveloped viruses are targets of neutralizing antibodies and essential vaccine antigens. mRNA-LNP technology allows in vivo expression of transmembrane glycoproteins, but in vitro biophysical characterization of transmembrane antigens and analysis of post-immunization antibody responses typically rely on soluble proteins. Here, we present a platform for assembling transmembrane glycoprotein vaccine candidates into lipid nanodiscs. We demonstrate the utility of nanodiscs in HIV membrane proximal external region (MPER)-targeting vaccine development by binding assays using surface plasmon resonance (SPR), ex vivo B cell sorting with fluorescence-activated cell sorting (FACS), and by determining the structure of a prototypical HIV MPER-targeting immunogen nanodisc in complex with three broadly neutralizing antibodies (bnAbs), including MPER bnAb 10E8, to 3.5 Å by cryogenic electron microscopy (cryo-EM), providing a template for structure-based immunogen design. To demonstrate general applicability we characterize Ebola virus glycoprotein nanodiscs. Overall, the platform offers a tool for accelerating development of next-generation vaccines.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表面空穴极化子位点调节控制 BiVO4 光阳极中的载流子分离</w:t>
      </w:r>
    </w:p>
    <w:p>
      <w:r>
        <w:rPr>
          <w:rFonts w:ascii="Times New Roman" w:hAnsi="Times New Roman" w:eastAsia="宋体"/>
          <w:b/>
          <w:color w:val="003264"/>
          <w:sz w:val="24"/>
        </w:rPr>
        <w:t>Surface hole polaron site tuning governs charge carrier separation in BiVO4 photoanodes</w:t>
      </w:r>
    </w:p>
    <w:p>
      <w:r>
        <w:rPr>
          <w:rFonts w:ascii="Times New Roman" w:hAnsi="Times New Roman" w:eastAsia="宋体"/>
          <w:sz w:val="21"/>
        </w:rPr>
        <w:t>作者: Houjiang Liu, Hongwei Cong, Guijun Yang, Chuangchuag Gong, Jiawei Ding, Yuan yuan Fu, Jin Cui, Kai Song, Biao Chen, Chunnian He, Naiqin Zhao, Jinhua Ye, Fang He</w:t>
        <w:br/>
      </w:r>
      <w:r>
        <w:rPr>
          <w:rFonts w:ascii="Times New Roman" w:hAnsi="Times New Roman" w:eastAsia="宋体"/>
          <w:sz w:val="21"/>
        </w:rPr>
        <w:t xml:space="preserve">时间: 2026-02-10 | </w:t>
      </w:r>
      <w:r>
        <w:t xml:space="preserve">链接: </w:t>
      </w:r>
      <w:hyperlink r:id="rId90">
        <w:r>
          <w:rPr>
            <w:rFonts w:ascii="Times New Roman" w:hAnsi="Times New Roman" w:eastAsia="宋体"/>
            <w:color w:val="0000FF"/>
            <w:sz w:val="21"/>
            <w:u w:val="single"/>
          </w:rPr>
          <w:t>https://doi.org/10.1038/s41467-026-69039-2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载流子的自捕获导致极化子的形成，极大地限制了光电化学系统中载流子的分离和传输。在此，使用钒酸铋作为模型光阳极，我们提出了一种表面选择性策略来调节空穴极化子。密度泛函理论计算预测，用铟离子取代铋离子可以通过削弱电子-声子耦合来抑制空穴极化子的形成。这种取代是通过液相阳离子交换方法实现的，从而实现了精确的表面改性。电子顺磁共振、温度依赖性光致发光光谱、原位辐照X射线光电子能谱和飞秒时间分辨吸收光谱都证实了空穴极化子形成的抑制。负载助催化剂后，优化的光阳极与可逆氢电极相比，在1.23 V电压下实现了6.46 mA cm -2 的水分解光电流密度，施加偏压光电流效率为2.19%。无偏串联系统的太阳能-氢气转化效率为 6%。在这里，我们证明抑制表面空穴极化子形成有利于空穴载流子释放，为增强光电化学性能提供了途径。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self-trapping of charge carriers, resulting in the formation of polarons, significantly restricts the separation and transport of charge carriers in photoelectrochemical systems. Herein, using bismuth vanadate as a model photoanode, we propose a surface-selective strategy to regulate hole polarons. Density functional theory calculations predict that substituting bismuth ions with indium ions suppresses hole polaron formation by weakening electron-phonon coupling. This substitution is achieved through a liquid-phase cation exchange method, enabling precise surface modification. The electron paramagnetic resonance, temperature-dependent photoluminescence spectroscopy, in situ irradiation X-ray photoelectron spectroscopy, and femtosecond time-resolved absorption spectroscopy all confirm the suppression of hole polaron formation. After loading co-catalyst, the optimized photoanode achieves a water-splitting photocurrent density of 6.46 mA cm -2 at 1.23 V versus the reversible hydrogen electrode, with an applied bias photo-to-current efficiency of 2.19%. The unbiased tandem system exhibits a solar-to-hydrogen conversion efficiency of 6%. Here, we show that suppressing surface hole polaron formation facilitates hole carrier release, offering a pathway for enhancing photoelectrochemical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Seq-Scope-eXpanded：超越光学分辨率的空间组学</w:t>
      </w:r>
    </w:p>
    <w:p>
      <w:r>
        <w:rPr>
          <w:rFonts w:ascii="Times New Roman" w:hAnsi="Times New Roman" w:eastAsia="宋体"/>
          <w:b/>
          <w:color w:val="003264"/>
          <w:sz w:val="24"/>
        </w:rPr>
        <w:t>Seq-Scope-eXpanded: spatial omics beyond optical resolution</w:t>
      </w:r>
    </w:p>
    <w:p>
      <w:r>
        <w:rPr>
          <w:rFonts w:ascii="Times New Roman" w:hAnsi="Times New Roman" w:eastAsia="宋体"/>
          <w:sz w:val="21"/>
        </w:rPr>
        <w:t>作者: Angelo Anacleto, Weiqiu Cheng, Qianlu Feng, Anna Park, Chun-Seok Cho, Yongha Hwang, Yongsung Kim, Yichen Si, Jer-En Hsu, Qingyang Zhao, Xiaoya Zhao, Daniel Kim, Mitchell Schrank, Alex William Schrader, Seokjin Yeo, Rosane Teles, Robert L. Modlin, Olesya Plazyo, Johann E. Gudjonsson, Myungjin Kim, Chang H. Kim, Hee-Sun Han, Hyun Min Kang, Jun Hee Lee</w:t>
        <w:br/>
      </w:r>
      <w:r>
        <w:rPr>
          <w:rFonts w:ascii="Times New Roman" w:hAnsi="Times New Roman" w:eastAsia="宋体"/>
          <w:sz w:val="21"/>
        </w:rPr>
        <w:t xml:space="preserve">时间: 2026-02-10 | </w:t>
      </w:r>
      <w:r>
        <w:t xml:space="preserve">链接: </w:t>
      </w:r>
      <w:hyperlink r:id="rId91">
        <w:r>
          <w:rPr>
            <w:rFonts w:ascii="Times New Roman" w:hAnsi="Times New Roman" w:eastAsia="宋体"/>
            <w:color w:val="0000FF"/>
            <w:sz w:val="21"/>
            <w:u w:val="single"/>
          </w:rPr>
          <w:t>https://doi.org/10.1038/s41467-026-69346-8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高空间分辨率对于解析组织中的细胞和亚细胞组织至关重要。在这里，作者提出了 Seq-Scope-X，它将组织扩展与 Seq-Scope 相结合，以实现空间转录组学和蛋白质组学分辨率的数量级提高。</w:t>
      </w:r>
    </w:p>
    <w:p>
      <w:pPr>
        <w:spacing w:before="120"/>
      </w:pPr>
      <w:r>
        <w:rPr>
          <w:rFonts w:ascii="Times New Roman" w:hAnsi="Times New Roman" w:eastAsia="宋体"/>
          <w:b/>
          <w:sz w:val="21"/>
        </w:rPr>
        <w:t>English Abstract:</w:t>
      </w:r>
    </w:p>
    <w:p>
      <w:r>
        <w:rPr>
          <w:rFonts w:ascii="Times New Roman" w:hAnsi="Times New Roman" w:eastAsia="宋体"/>
          <w:sz w:val="21"/>
        </w:rPr>
        <w:t>High spatial resolution is essential for resolving cellular and subcellular organization in tissues. Here, authors present Seq-Scope-X, which integrates tissue expansion with Seq-Scope to achieve an order-of-magnitude improvement in resolution of spatial transcriptomics and proteomics.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III-E 型 CRISPR 核酸酶-蛋白酶的 RNA 响应性焦亡合成系统</w:t>
      </w:r>
    </w:p>
    <w:p>
      <w:r>
        <w:rPr>
          <w:rFonts w:ascii="Times New Roman" w:hAnsi="Times New Roman" w:eastAsia="宋体"/>
          <w:b/>
          <w:color w:val="003264"/>
          <w:sz w:val="24"/>
        </w:rPr>
        <w:t>A synthetic system for RNA-responsive pyroptosis based on type III-E CRISPR nuclease-protease</w:t>
      </w:r>
    </w:p>
    <w:p>
      <w:r>
        <w:rPr>
          <w:rFonts w:ascii="Times New Roman" w:hAnsi="Times New Roman" w:eastAsia="宋体"/>
          <w:sz w:val="21"/>
        </w:rPr>
        <w:t>作者: Mingbin He, Weiwei Wang, Haiwu Zhou, Cong Liu, Chunbei Zhao, Jian Li, Yuewen Han, Yali Qin, Mingzhou Chen</w:t>
        <w:br/>
      </w:r>
      <w:r>
        <w:rPr>
          <w:rFonts w:ascii="Times New Roman" w:hAnsi="Times New Roman" w:eastAsia="宋体"/>
          <w:sz w:val="21"/>
        </w:rPr>
        <w:t xml:space="preserve">时间: 2026-02-10 | </w:t>
      </w:r>
      <w:r>
        <w:t xml:space="preserve">链接: </w:t>
      </w:r>
      <w:hyperlink r:id="rId92">
        <w:r>
          <w:rPr>
            <w:rFonts w:ascii="Times New Roman" w:hAnsi="Times New Roman" w:eastAsia="宋体"/>
            <w:color w:val="0000FF"/>
            <w:sz w:val="21"/>
            <w:u w:val="single"/>
          </w:rPr>
          <w:t>https://doi.org/10.1038/s41467-026-69179-5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细胞焦亡通过消除有害细胞并通过炎症调节免疫反应，在针对感染和内源性威胁的免疫防御中发挥着至关重要的作用。然而，细胞焦亡的自然激活涉及复杂的信号通路，这对其研究和治疗中的人工操纵提出了重大挑战。在此，我们提出了 DAMAGE（D e a th Manipulation Gene），这是一种创新系统，将 Gasdermin 整合到 III-E 型 CRISPR 框架内，能够特异性识别靶标 RNA (tgRNA) 并触发细胞焦亡。这种机制使 DAMAGE 能够选择性地识别和消除病毒感染的细胞、癌细胞和衰老细胞，所有这些细胞都表现出 RNA 转录组的改变。此外，DAMAGE 作为 mRNA-LNP 治疗平台展现出巨大的前景。我们的研究强调了这种基于 CRISPR 的系统在可控诱导细胞焦亡方面的潜力，为治疗 RNA 异质性疾病提供了一种创新的治疗策略。</w:t>
      </w:r>
    </w:p>
    <w:p>
      <w:pPr>
        <w:spacing w:before="120"/>
      </w:pPr>
      <w:r>
        <w:rPr>
          <w:rFonts w:ascii="Times New Roman" w:hAnsi="Times New Roman" w:eastAsia="宋体"/>
          <w:b/>
          <w:sz w:val="21"/>
        </w:rPr>
        <w:t>English Abstract:</w:t>
      </w:r>
    </w:p>
    <w:p>
      <w:r>
        <w:rPr>
          <w:rFonts w:ascii="Times New Roman" w:hAnsi="Times New Roman" w:eastAsia="宋体"/>
          <w:sz w:val="21"/>
        </w:rPr>
        <w:t>Abstract Pyroptosis plays a crucial role in immune defense against infections and endogenous threats by eliminating harmful cells and modulating the immune response through inflammation. However, the natural activation of pyroptosis involves intricate signaling pathways, posing significant challenges for its artificial manipulation in research and therapies. Here, we present DAMAGE ( D e a th Ma nipulation Ge ne), an innovative system that integrates gasdermins within the type III-E CRISPR framework, enabling the specific recognition of target RNA (tgRNA) and triggering pyroptosis. This mechanism allows DAMAGE to selectively identify and eliminate virus-infected, cancerous, and senescent cells, all of which exhibit altered RNA transcriptomes. Additionally, DAMAGE exhibits considerable promise as a platform for mRNA-LNP therapy. Our study highlights the potential of this CRISPR-based system in the controllable induction of pyroptosis, offering an innovative therapeutic strategy for treating RNA-heterogeneous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波罗的海船舶尾流引起的水柱混合和米级海底侵蚀</w:t>
      </w:r>
    </w:p>
    <w:p>
      <w:r>
        <w:rPr>
          <w:rFonts w:ascii="Times New Roman" w:hAnsi="Times New Roman" w:eastAsia="宋体"/>
          <w:b/>
          <w:color w:val="003264"/>
          <w:sz w:val="24"/>
        </w:rPr>
        <w:t>Ship wake-induced water column mixing and meter-scale seabed erosion in the Baltic Sea</w:t>
      </w:r>
    </w:p>
    <w:p>
      <w:r>
        <w:rPr>
          <w:rFonts w:ascii="Times New Roman" w:hAnsi="Times New Roman" w:eastAsia="宋体"/>
          <w:sz w:val="21"/>
        </w:rPr>
        <w:t>作者: Jacob Geersen, Peter Feldens, Luisa Rollwage, Lenya Mara Baumann, Knut Krämer, Patrick Westfeld, Sebastian Krastel, Soeren Ahmerkamp, Franz Tauber, Jens Schneider von Deimling</w:t>
        <w:br/>
      </w:r>
      <w:r>
        <w:rPr>
          <w:rFonts w:ascii="Times New Roman" w:hAnsi="Times New Roman" w:eastAsia="宋体"/>
          <w:sz w:val="21"/>
        </w:rPr>
        <w:t xml:space="preserve">时间: 2026-02-10 | </w:t>
      </w:r>
      <w:r>
        <w:t xml:space="preserve">链接: </w:t>
      </w:r>
      <w:hyperlink r:id="rId93">
        <w:r>
          <w:rPr>
            <w:rFonts w:ascii="Times New Roman" w:hAnsi="Times New Roman" w:eastAsia="宋体"/>
            <w:color w:val="0000FF"/>
            <w:sz w:val="21"/>
            <w:u w:val="single"/>
          </w:rPr>
          <w:t>https://doi.org/10.1038/s41467-026-68875-6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商业航运是全球贸易的基石。然而，其对海洋环境的影响仍未得到充分研究。这项研究结合了水声数据、沉积物样本、螺旋桨引起的剪切应力计算和船舶跟踪信息，以评估波罗的海最繁忙的海域之一基尔湾航运的影响。我们揭示了 10 年来严重的海底侵蚀，包括高达 1.5 m 的水深变化，这显然与船舶交通有关。通过对经过的船只后面的水柱扰动进行成像，我们追踪海底的尾流湍流，并显示强烈分层水柱的分解和内波可能的激发，这可能会增加氧气、营养物和温室气体的混合。虽然这种人为压力源的环境后果尚未量化，但我们的研究结果毫无疑问地表明，它们包括对波罗的海范围内海洋生态系统和元素预算的改变。</w:t>
      </w:r>
    </w:p>
    <w:p>
      <w:pPr>
        <w:spacing w:before="120"/>
      </w:pPr>
      <w:r>
        <w:rPr>
          <w:rFonts w:ascii="Times New Roman" w:hAnsi="Times New Roman" w:eastAsia="宋体"/>
          <w:b/>
          <w:sz w:val="21"/>
        </w:rPr>
        <w:t>English Abstract:</w:t>
      </w:r>
    </w:p>
    <w:p>
      <w:r>
        <w:rPr>
          <w:rFonts w:ascii="Times New Roman" w:hAnsi="Times New Roman" w:eastAsia="宋体"/>
          <w:sz w:val="21"/>
        </w:rPr>
        <w:t>Abstract Commercial shipping is a cornerstone of global trade. Its impact on the marine environment, however, remains underexplored. This study combines hydroacoustic data, sediment samples, propeller-induced shear stress calculations and vessel tracking information to assess the effects of shipping in one of the busiest maritime regions in the Baltic Sea, the Bay of Kiel. We unveil substantial seafloor erosion, including up to 1.5 m variation in water depths, over 10 years that clearly relates to vessel traffic. By imaging water column disturbance behind passing ships, we trace wake turbulence to the seafloor and show the breakdown of a strongly stratified water column and a possible excitement of internal waves, likely increasing the mixing of oxygen, nutrients, and greenhouse gases. While the environmental consequences of this anthropogenic stressor are unquantified, our findings leave little doubt that they include modifications to marine ecosystems and element budgets on a Baltic-wide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病原体载量的变化以及病原体载量与传染性关系扩大了禽疟疾的分布范围</w:t>
      </w:r>
    </w:p>
    <w:p>
      <w:r>
        <w:rPr>
          <w:rFonts w:ascii="Times New Roman" w:hAnsi="Times New Roman" w:eastAsia="宋体"/>
          <w:b/>
          <w:color w:val="003264"/>
          <w:sz w:val="24"/>
        </w:rPr>
        <w:t>Variation in pathogen load and the pathogen load–infectiousness relationship broaden avian malaria’s distribution</w:t>
      </w:r>
    </w:p>
    <w:p>
      <w:r>
        <w:rPr>
          <w:rFonts w:ascii="Times New Roman" w:hAnsi="Times New Roman" w:eastAsia="宋体"/>
          <w:sz w:val="21"/>
        </w:rPr>
        <w:t>作者: Christa M. Seidl, Katy L. Parise, Isaiah J. Ipsaro, Sarah Leach, Delson Hays, Ranger Morimoto, Kelsey Banister, Francisco C. Ferreira, Elizabeth C. Abraham, Jeffrey T. Foster, Eben H. Paxton, A. Marm Kilpatrick</w:t>
        <w:br/>
      </w:r>
      <w:r>
        <w:rPr>
          <w:rFonts w:ascii="Times New Roman" w:hAnsi="Times New Roman" w:eastAsia="宋体"/>
          <w:sz w:val="21"/>
        </w:rPr>
        <w:t xml:space="preserve">时间: 2026-02-10 | </w:t>
      </w:r>
      <w:r>
        <w:t xml:space="preserve">链接: </w:t>
      </w:r>
      <w:hyperlink r:id="rId94">
        <w:r>
          <w:rPr>
            <w:rFonts w:ascii="Times New Roman" w:hAnsi="Times New Roman" w:eastAsia="宋体"/>
            <w:color w:val="0000FF"/>
            <w:sz w:val="21"/>
            <w:u w:val="single"/>
          </w:rPr>
          <w:t>https://doi.org/10.1038/s41467-026-68927-x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宿主传染性的两个方面决定了病原体的传播和分布，但未被充分认识：病原体载量与传染性之间的关系，以及物种内病原体载量的变异性。我们量化了禽类疟疾（残疟原虫）的宿主病原体负荷（寄生虫血症）与金丝雀（Serinus canaria）实验感染的叮咬库蚊的传染性之间的关系。利用这种关系，我们估计了夏威夷 11 个社区 17 种鸟类的传染性，并量化了感染阶段（急性与慢性）对传播的相对贡献。我们发现，蚊子的传染性随着寄生虫血症、温度和喂食时间的增加而增加。这种关系的渐进（低）寄生虫血症斜率导致广泛的寄生虫血症具有部分传染性，而寄生虫血症的宿主物种内高度变异性导致宿主之间传染性的广泛重叠。不成比例的蚊子宿主利用（从相对感染流行率推断）提高了一些宿主物种的重要性，但物种传染性的广泛重叠导致大多数鸟类群落的总传染性相似。尽管宿主社区组合不同，但这种相似性可能导致禽疟疾在整个夏威夷广泛传播。我们的研究结果强调了病原体负荷形状与传染性关系和种内变异在确定病原体的宿主范围、传播强度和空间传播方面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Two aspects of host infectiousness shape pathogen transmission and distribution but are underappreciated: the relationship between pathogen load and infectiousness, and variability in pathogen load within species. We quantified the relationship between host pathogen load (parasitemia) for avian malaria ( Plasmodium relictum ) and infectiousness for biting Culex quinquefasciatus mosquitoes with experimental infections in canaries ( Serinus canaria ). Using this relationship, we estimated the infectiousness of 17 bird species in 11 communities in Hawaiʻi and quantified the relative contributions of infection stage (acute versus chronic) to transmission. We show that infectiousness to mosquitoes increased with parasitemia, temperature, and time since feeding. The relationship’s gradual (low) parasitemia slope resulted in a wide range of parasitemias being partly infectious, and high within-host species variability in parasitemia led to extensive overlap in infectiousness among hosts. Disproportionate mosquito host utilization (inferred from relative infection prevalence) elevated the importance of a few host species, yet broad overlap in species infectiousness resulted in similar total infectiousness across most bird communities. This similarity likely contributed to avian malaria’s widespread distribution throughout Hawaiʻi despite diverse host community assemblages. Our findings highlight the importance of both the shape of the pathogen load–infectiousness relationship and within-species variability in determining a pathogen’s host range, transmission intensity, and spatial spread.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超快闪烁金属有机骨架薄膜</w:t>
      </w:r>
    </w:p>
    <w:p>
      <w:r>
        <w:rPr>
          <w:rFonts w:ascii="Times New Roman" w:hAnsi="Times New Roman" w:eastAsia="宋体"/>
          <w:b/>
          <w:color w:val="003264"/>
          <w:sz w:val="24"/>
        </w:rPr>
        <w:t>Ultrafast scintillating metal-organic framework films</w:t>
      </w:r>
    </w:p>
    <w:p>
      <w:r>
        <w:rPr>
          <w:rFonts w:ascii="Times New Roman" w:hAnsi="Times New Roman" w:eastAsia="宋体"/>
          <w:sz w:val="21"/>
        </w:rPr>
        <w:t>作者: Lorena Dhamo, Jacopo Perego, Irene Villa, Charl X. Bezuidenhout, Ilaria Mattei, Alessia Landella, Silvia Bracco, Angiolina Comotti, Angelo Monguzzi</w:t>
        <w:br/>
      </w:r>
      <w:r>
        <w:rPr>
          <w:rFonts w:ascii="Times New Roman" w:hAnsi="Times New Roman" w:eastAsia="宋体"/>
          <w:sz w:val="21"/>
        </w:rPr>
        <w:t xml:space="preserve">时间: 2026-02-10 | </w:t>
      </w:r>
      <w:r>
        <w:t xml:space="preserve">链接: </w:t>
      </w:r>
      <w:hyperlink r:id="rId95">
        <w:r>
          <w:rPr>
            <w:rFonts w:ascii="Times New Roman" w:hAnsi="Times New Roman" w:eastAsia="宋体"/>
            <w:color w:val="0000FF"/>
            <w:sz w:val="21"/>
            <w:u w:val="single"/>
          </w:rPr>
          <w:t>https://doi.org/10.1038/s41467-026-68546-6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达摩等人。报告了基于金属有机框架的X射线闪烁薄膜，以氧化铪簇作为连接节点，以共轭配体作为发射中心。它揭示了扩散介导的双分子过程导致快速闪烁动力学低至 150 ps，光输出超过 104 ph MeV-1。</w:t>
      </w:r>
    </w:p>
    <w:p>
      <w:pPr>
        <w:spacing w:before="120"/>
      </w:pPr>
      <w:r>
        <w:rPr>
          <w:rFonts w:ascii="Times New Roman" w:hAnsi="Times New Roman" w:eastAsia="宋体"/>
          <w:b/>
          <w:sz w:val="21"/>
        </w:rPr>
        <w:t>English Abstract:</w:t>
      </w:r>
    </w:p>
    <w:p>
      <w:r>
        <w:rPr>
          <w:rFonts w:ascii="Times New Roman" w:hAnsi="Times New Roman" w:eastAsia="宋体"/>
          <w:sz w:val="21"/>
        </w:rPr>
        <w:t>Dhamo et al. report metal-organic framework based X-ray scintillating films with hafnium oxide clusters as linking nodes and conjugated ligands as emitting centres. It reveals that the diffusion-mediated bimolecular processes lead to fast scintillation kinetics down to 150 ps and light yield over 104 ph MeV-1.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作者更正：大 B 细胞淋巴瘤患者在 CD19 定向 CAR T 细胞治疗之前和治疗期间进行全身 CD8+ T 细胞 PET 成像：一项 2 期研究</w:t>
      </w:r>
    </w:p>
    <w:p>
      <w:r>
        <w:rPr>
          <w:rFonts w:ascii="Times New Roman" w:hAnsi="Times New Roman" w:eastAsia="宋体"/>
          <w:b/>
          <w:color w:val="003264"/>
          <w:sz w:val="24"/>
        </w:rPr>
        <w:t>Author Correction: Whole-body CD8+ T-cell PET imaging in patients with large B-cell lymphoma before and during CD19-directed CAR T-cell therapy: a phase 2 study</w:t>
      </w:r>
    </w:p>
    <w:p>
      <w:r>
        <w:rPr>
          <w:rFonts w:ascii="Times New Roman" w:hAnsi="Times New Roman" w:eastAsia="宋体"/>
          <w:sz w:val="21"/>
        </w:rPr>
        <w:t>作者: Janneke W. de Boer, Kylie Keijzer, Jaap A. van Doesum, Nienke A. M. Smit, Adrienne H. Brouwers, Joyce van Sluis, Marjolijn N. Lub-de Hooge, Frank R. Pierik, Gerwin A. Huls, Lisanne V. van Dijk, Lydia Visser, Arjan Diepstra, Walter Noordzij, Simon P. Williams, Alexander Ungewickell, Sjoerd G. Elias, Elisabeth G. E. de Vries, Anne G. H. Niezink, Tom van Meerten</w:t>
        <w:br/>
      </w:r>
      <w:r>
        <w:rPr>
          <w:rFonts w:ascii="Times New Roman" w:hAnsi="Times New Roman" w:eastAsia="宋体"/>
          <w:sz w:val="21"/>
        </w:rPr>
        <w:t xml:space="preserve">时间: 2026-02-10 | </w:t>
      </w:r>
      <w:r>
        <w:t xml:space="preserve">链接: </w:t>
      </w:r>
      <w:hyperlink r:id="rId96">
        <w:r>
          <w:rPr>
            <w:rFonts w:ascii="Times New Roman" w:hAnsi="Times New Roman" w:eastAsia="宋体"/>
            <w:color w:val="0000FF"/>
            <w:sz w:val="21"/>
            <w:u w:val="single"/>
          </w:rPr>
          <w:t>https://doi.org/10.1038/s41467-026-69473-2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体内粘合剂单毫米血管栓塞的超灵敏检测</w:t>
      </w:r>
    </w:p>
    <w:p>
      <w:r>
        <w:rPr>
          <w:rFonts w:ascii="Times New Roman" w:hAnsi="Times New Roman" w:eastAsia="宋体"/>
          <w:b/>
          <w:color w:val="003264"/>
          <w:sz w:val="24"/>
        </w:rPr>
        <w:t>Hypersensitive detection of single millimeter vascular emboli from adhesive in vivo</w:t>
      </w:r>
    </w:p>
    <w:p>
      <w:r>
        <w:rPr>
          <w:rFonts w:ascii="Times New Roman" w:hAnsi="Times New Roman" w:eastAsia="宋体"/>
          <w:sz w:val="21"/>
        </w:rPr>
        <w:t>作者: Ruihan Liu, Shuo Li, Xingyu Gao, Quan Zou, Gang Shu, Cai Zhang, Jinbin Pan, Xiaoyuan Chen, Shao-Kai Sun</w:t>
        <w:br/>
      </w:r>
      <w:r>
        <w:rPr>
          <w:rFonts w:ascii="Times New Roman" w:hAnsi="Times New Roman" w:eastAsia="宋体"/>
          <w:sz w:val="21"/>
        </w:rPr>
        <w:t xml:space="preserve">时间: 2026-02-10 | </w:t>
      </w:r>
      <w:r>
        <w:t xml:space="preserve">链接: </w:t>
      </w:r>
      <w:hyperlink r:id="rId97">
        <w:r>
          <w:rPr>
            <w:rFonts w:ascii="Times New Roman" w:hAnsi="Times New Roman" w:eastAsia="宋体"/>
            <w:color w:val="0000FF"/>
            <w:sz w:val="21"/>
            <w:u w:val="single"/>
          </w:rPr>
          <w:t>https://doi.org/10.1038/s41467-026-68534-w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手术粘合剂在临床实践中广泛使用，但存在严重血管栓塞并发症的显着风险。然而，目前还没有非侵入性的直接方法来精确检测脱落的栓子。在此，我们展示了一种 CT 可视化方法，通过简单地将 BiOCl 掺杂到手术粘合剂中，可对体内粘合剂中的单毫米血管栓塞进行超灵敏检测。作为概念验证，制造了具有出色 CT 成像能力的 BiOCl-BioGlue，并将其应用于修复雄性大鼠破裂的血管和肝脏。通过CT成像可以动态监测BiOCl-BioGlue的位置、形态和降解过程42天，并成功检测出BiOCl-BioGlue引起的肺栓塞，尺寸小至1.2毫米。此外，Bi 的高 K 边缘能够在能谱 CT 成像中精确检测肺栓塞，而不受混杂钙化的影响。所提出的粘连栓塞非侵入性检测策略显着提高了手术粘连的生物安全性。</w:t>
      </w:r>
    </w:p>
    <w:p>
      <w:pPr>
        <w:spacing w:before="120"/>
      </w:pPr>
      <w:r>
        <w:rPr>
          <w:rFonts w:ascii="Times New Roman" w:hAnsi="Times New Roman" w:eastAsia="宋体"/>
          <w:b/>
          <w:sz w:val="21"/>
        </w:rPr>
        <w:t>English Abstract:</w:t>
      </w:r>
    </w:p>
    <w:p>
      <w:r>
        <w:rPr>
          <w:rFonts w:ascii="Times New Roman" w:hAnsi="Times New Roman" w:eastAsia="宋体"/>
          <w:sz w:val="21"/>
        </w:rPr>
        <w:t>Abstract Surgical adhesives are widely used in clinical practice but pose a significant risk of severe vascular embolism complications. Nevertheless, there are currently no non-invasive direct methods for precise detection of detached emboli. Herein, we show a CT-visualized method for hypersensitive detection of single millimeter vascular emboli from adhesive in vivo by simply doping BiOCl into surgical adhesives. As proof of concept, BiOCl-BioGlue with excellent CT imaging capability is fabricated and applied to repair ruptured vessels and liver in male rats. The location, morphology, and degradation process of BiOCl-BioGlue can be dynamically monitored by CT imaging for 42 days, and pulmonary emboli caused by BiOCl-BioGlue, with sizes as small as 1.2 mm, are successfully detected. Additionally, the high K-edge of Bi enables precise detection of pulmonary emboli in spectral CT imaging, unaffected by confounding calcifications. The proposed non-invasive detection strategy for adhesive emboli significantly enhances the biosafety of surgical adhesives.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磁致伸缩 Fe-Co-V 的激光刺激 4D 打印</w:t>
      </w:r>
    </w:p>
    <w:p>
      <w:r>
        <w:rPr>
          <w:rFonts w:ascii="Times New Roman" w:hAnsi="Times New Roman" w:eastAsia="宋体"/>
          <w:b/>
          <w:color w:val="003264"/>
          <w:sz w:val="24"/>
        </w:rPr>
        <w:t>Laser-stimulated 4D printing of magnetostrictive Fe-Co-V</w:t>
      </w:r>
    </w:p>
    <w:p>
      <w:r>
        <w:rPr>
          <w:rFonts w:ascii="Times New Roman" w:hAnsi="Times New Roman" w:eastAsia="宋体"/>
          <w:sz w:val="21"/>
        </w:rPr>
        <w:t>作者: Guiwei Li, Zeyu Yang, Aodu Zheng, Qi Tian, Qi Li, Xin Wang, Wenzheng Wu</w:t>
        <w:br/>
      </w:r>
      <w:r>
        <w:rPr>
          <w:rFonts w:ascii="Times New Roman" w:hAnsi="Times New Roman" w:eastAsia="宋体"/>
          <w:sz w:val="21"/>
        </w:rPr>
        <w:t xml:space="preserve">时间: 2026-02-10 | </w:t>
      </w:r>
      <w:r>
        <w:t xml:space="preserve">链接: </w:t>
      </w:r>
      <w:hyperlink r:id="rId98">
        <w:r>
          <w:rPr>
            <w:rFonts w:ascii="Times New Roman" w:hAnsi="Times New Roman" w:eastAsia="宋体"/>
            <w:color w:val="0000FF"/>
            <w:sz w:val="21"/>
            <w:u w:val="single"/>
          </w:rPr>
          <w:t>https://doi.org/10.1038/s41467-026-69378-0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提出了一种磁致伸缩材料的动态控制打印方法，赋予零件激光响应的宏观应变和磁响应的微观应变，克服了磁致伸缩材料的应变尺度限制。</w:t>
      </w:r>
    </w:p>
    <w:p>
      <w:pPr>
        <w:spacing w:before="120"/>
      </w:pPr>
      <w:r>
        <w:rPr>
          <w:rFonts w:ascii="Times New Roman" w:hAnsi="Times New Roman" w:eastAsia="宋体"/>
          <w:b/>
          <w:sz w:val="21"/>
        </w:rPr>
        <w:t>English Abstract:</w:t>
      </w:r>
    </w:p>
    <w:p>
      <w:r>
        <w:rPr>
          <w:rFonts w:ascii="Times New Roman" w:hAnsi="Times New Roman" w:eastAsia="宋体"/>
          <w:sz w:val="21"/>
        </w:rPr>
        <w:t>A method of dynamically controlled printing of magnetostrictive materials is proposed to endow service parts with laser-responsive macroscopic strain and magnetically responsive microscopic strain, overcoming the strain scale limitations of magnetostrictive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地核氢含量的实验定量</w:t>
      </w:r>
    </w:p>
    <w:p>
      <w:r>
        <w:rPr>
          <w:rFonts w:ascii="Times New Roman" w:hAnsi="Times New Roman" w:eastAsia="宋体"/>
          <w:b/>
          <w:color w:val="003264"/>
          <w:sz w:val="24"/>
        </w:rPr>
        <w:t>Experimental quantification of hydrogen content in the Earth’s core</w:t>
      </w:r>
    </w:p>
    <w:p>
      <w:r>
        <w:rPr>
          <w:rFonts w:ascii="Times New Roman" w:hAnsi="Times New Roman" w:eastAsia="宋体"/>
          <w:sz w:val="21"/>
        </w:rPr>
        <w:t>作者: Dongyang Huang, Motohiko Murakami, Stephan Gerstl, Christian Liebske</w:t>
        <w:br/>
      </w:r>
      <w:r>
        <w:rPr>
          <w:rFonts w:ascii="Times New Roman" w:hAnsi="Times New Roman" w:eastAsia="宋体"/>
          <w:sz w:val="21"/>
        </w:rPr>
        <w:t xml:space="preserve">时间: 2026-02-10 | </w:t>
      </w:r>
      <w:r>
        <w:t xml:space="preserve">链接: </w:t>
      </w:r>
      <w:hyperlink r:id="rId99">
        <w:r>
          <w:rPr>
            <w:rFonts w:ascii="Times New Roman" w:hAnsi="Times New Roman" w:eastAsia="宋体"/>
            <w:color w:val="0000FF"/>
            <w:sz w:val="21"/>
            <w:u w:val="single"/>
          </w:rPr>
          <w:t>https://doi.org/10.1038/s41467-026-68821-6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长期以来，地核一直被认为是地球上最大的氢 (H) 储库。然而，由于在极端条件下量化 H 的挑战，目前对其 H 含量的估计存在很大的不确定性。在这里，我们使用激光加热金刚石砧池对 H 进行超液相线金属硅酸盐分配实验，并将其与原子探针断层扫描相结合。对铁合金中富含硅和氧的纳米结构中氢的直接观察表明，在地核形成过程中，硅、氧和氢被耦合封存到地核中。由于观测到的 Si/H 摩尔比接近于 1，地球核心估计含有 0.07-0.36 wt.% H，相当于 9-45 个海洋的水。这样的数量将要求地球从陆地吸积的主要阶段获取大部分水，而不是在后期添加过程中通过彗星获取。</w:t>
      </w:r>
    </w:p>
    <w:p>
      <w:pPr>
        <w:spacing w:before="120"/>
      </w:pPr>
      <w:r>
        <w:rPr>
          <w:rFonts w:ascii="Times New Roman" w:hAnsi="Times New Roman" w:eastAsia="宋体"/>
          <w:b/>
          <w:sz w:val="21"/>
        </w:rPr>
        <w:t>English Abstract:</w:t>
      </w:r>
    </w:p>
    <w:p>
      <w:r>
        <w:rPr>
          <w:rFonts w:ascii="Times New Roman" w:hAnsi="Times New Roman" w:eastAsia="宋体"/>
          <w:sz w:val="21"/>
        </w:rPr>
        <w:t>Abstract Earth’s core has long been speculated to be the largest reservoir of hydrogen (H) on the planet. However, current estimates of its H content involve substantial uncertainties, due to the challenge of quantifying H under extreme conditions. Here, we perform superliquidus metal-silicate partitioning experiments on H using laser-heated diamond anvil cells, and combine it with atom probe tomography. The direct observation of H at silicon- and oxygen-rich nanostructures in the iron alloy indicates coupled sequestration of silicon, oxygen and hydrogen into Earth’s core during its formation. With the observed molar Si/H ratio close to unity, Earth’s core is estimated to contain 0.07-0.36 wt.% H, equivalent to 9-45 oceans of water. Such an amount would require the Earth to obtain the majority of its water from the main stages of terrestrial accretion, instead of through comets during late addition.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通过多光子激发触发单个神经元的动作电位引发视觉引导行为</w:t>
      </w:r>
    </w:p>
    <w:p>
      <w:r>
        <w:rPr>
          <w:rFonts w:ascii="Times New Roman" w:hAnsi="Times New Roman" w:eastAsia="宋体"/>
          <w:b/>
          <w:color w:val="003264"/>
          <w:sz w:val="24"/>
        </w:rPr>
        <w:t>Triggering action potentials of a single neuron by multiphoton excitation elicits visually guided behavior</w:t>
      </w:r>
    </w:p>
    <w:p>
      <w:r>
        <w:rPr>
          <w:rFonts w:ascii="Times New Roman" w:hAnsi="Times New Roman" w:eastAsia="宋体"/>
          <w:sz w:val="21"/>
        </w:rPr>
        <w:t>作者: Haipeng Wang, Yujie Xiao, Wanyi Tang, Ke Lai, Qiang Ma, Xiaohui Zhao, Bo Li, Haibo Shi, Hao He</w:t>
        <w:br/>
      </w:r>
      <w:r>
        <w:rPr>
          <w:rFonts w:ascii="Times New Roman" w:hAnsi="Times New Roman" w:eastAsia="宋体"/>
          <w:sz w:val="21"/>
        </w:rPr>
        <w:t xml:space="preserve">时间: 2026-02-10 | </w:t>
      </w:r>
      <w:r>
        <w:t xml:space="preserve">链接: </w:t>
      </w:r>
      <w:hyperlink r:id="rId100">
        <w:r>
          <w:rPr>
            <w:rFonts w:ascii="Times New Roman" w:hAnsi="Times New Roman" w:eastAsia="宋体"/>
            <w:color w:val="0000FF"/>
            <w:sz w:val="21"/>
            <w:u w:val="single"/>
          </w:rPr>
          <w:t>https://doi.org/10.1038/s41467-026-69446-5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精确控制单个神经元放电是神经科学的关键。在这里，作者展示了一种新颖的无视蛋白光刺激方法，该方法通过飞秒激光扫描诱导 Ca2+ 流入和动作电位放电来激活体内单个神经元。</w:t>
      </w:r>
    </w:p>
    <w:p>
      <w:pPr>
        <w:spacing w:before="120"/>
      </w:pPr>
      <w:r>
        <w:rPr>
          <w:rFonts w:ascii="Times New Roman" w:hAnsi="Times New Roman" w:eastAsia="宋体"/>
          <w:b/>
          <w:sz w:val="21"/>
        </w:rPr>
        <w:t>English Abstract:</w:t>
      </w:r>
    </w:p>
    <w:p>
      <w:r>
        <w:rPr>
          <w:rFonts w:ascii="Times New Roman" w:hAnsi="Times New Roman" w:eastAsia="宋体"/>
          <w:sz w:val="21"/>
        </w:rPr>
        <w:t>Precise control of individual neuron firing is key for neuroscience. Here, the authors show a novel opsin-free photostimulation method that activates single neurons in vivo by femtosecond laser scanning-induced Ca2+ influx and action potential firing.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自我管理赋权计划对剖腹产母亲一致性感、自我效能感和产后焦虑的评估随机试验</w:t>
      </w:r>
    </w:p>
    <w:p>
      <w:r>
        <w:rPr>
          <w:rFonts w:ascii="Times New Roman" w:hAnsi="Times New Roman" w:eastAsia="宋体"/>
          <w:b/>
          <w:color w:val="003264"/>
          <w:sz w:val="24"/>
        </w:rPr>
        <w:t>Assessment of self-management empowerment program on sense of coherence, self-‌efficacy and postpartum anxiety in cesarean mothers randomized trial</w:t>
      </w:r>
    </w:p>
    <w:p>
      <w:r>
        <w:rPr>
          <w:rFonts w:ascii="Times New Roman" w:hAnsi="Times New Roman" w:eastAsia="宋体"/>
          <w:sz w:val="21"/>
        </w:rPr>
        <w:t>作者: Fariba Najafi ShahaliBegloo, Farahnaz Kamali, Sudabeh Mohamadi, Maryam Ravanipour</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https://doi.org/10.1038/s41598-026-37944-7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接受剖腹产的妇女的相互矛盾的研究结果强调了重复剖腹产与连贯感、自我效能感和焦虑等因素之间的复杂关系，强调需要基于赋权的干预措施来改善母亲的心理健康和养育结果。这项随机对照试验旨在评估基于自我管理赋权模型的教育计划对剖腹产母亲的连贯感、自我效能感和产后焦虑的影响。 2024 年，通过方便抽样选出了 98 名计划在伊朗布什尔 Shohada-ye-Khalij-e-Fars 医院剖腹产的妇女，并通过分块随机化随机分配到干预组 (n = 49) 或对照组 (n = 49)。干预组接受了为期两个月的五步教育计划。在干预前后进行安东诺夫斯基一致性感问卷、谢勒自我效能感量表和斯皮尔伯格焦虑问卷。使用 SPSS 27 版进行数据分析，并进行描述性/推论性统计 (p &lt; 0.05)。平均变化显示出显着的干预效果：自我效能 - 1.58 ± 7.31（对照）与 2.79 ± 6.42（干预，ŋ2 = 0.151，p &lt; 0.001）；连贯感 2.67 ± 8.36（对照）对比 4.81 ± 6.58（干预，ŋ2 = 0.073，p = 0.018）；焦虑 0.02 ± 15.99（对照）对比 − 13.07 ± 13.7（干预，ŋ2 = 0.224，p &lt; 0.001）。自我管理赋权模式显着提高了连贯感和自我效能感，同时减少了产后焦虑，建议将其纳入产后护理计划。试用注册http://www.irct.ir/，IRCTID：IRCT20130422013092N12，注册于2024年7月11日。</w:t>
      </w:r>
    </w:p>
    <w:p>
      <w:pPr>
        <w:spacing w:before="120"/>
      </w:pPr>
      <w:r>
        <w:rPr>
          <w:rFonts w:ascii="Times New Roman" w:hAnsi="Times New Roman" w:eastAsia="宋体"/>
          <w:b/>
          <w:sz w:val="21"/>
        </w:rPr>
        <w:t>English Abstract:</w:t>
      </w:r>
    </w:p>
    <w:p>
      <w:r>
        <w:rPr>
          <w:rFonts w:ascii="Times New Roman" w:hAnsi="Times New Roman" w:eastAsia="宋体"/>
          <w:sz w:val="21"/>
        </w:rPr>
        <w:t>Conflicting study outcomes on women undergoing cesarean sections underscore the complex relationship between repeated cesarean deliveries and factors such as sense of coherence, self-efficacy, and anxiety, highlighting the need for empowerment-based interventions to improve mothers’ mental health and parenting outcomes. This randomized controlled trial aimed to evaluate an educational program based on the self-management empowerment model on sense of coherence, self-efficacy, and postpartum anxiety in cesarean mothers. In 2024, 98 women scheduled for cesarean delivery at Shohada-ye-Khalij-e-Fars Hospital, Bushehr, Iran, were selected by convenience sampling and randomly assigned via block randomization to intervention (n = 49) or control (n = 49) groups. The intervention group received a five-step education program over two months. Antonovsky’s Sense of Coherence Questionnaire, Sherer’s Self-Efficacy Scale, and Spielberger Anxiety Questionnaire were administered pre- and post-intervention. Data were analyzed using SPSS version 27 with descriptive/inferential statistics (p &lt; 0.05). Mean changes showed significant intervention effects: self-efficacy − 1.58 ± 7.31 (control) versus 2.79 ± 6.42 (intervention, ŋ2 = 0.151, p &lt; 0.001); sense of coherence 2.67 ± 8.36 (control) versus 4.81 ± 6.58 (intervention, ŋ2 = 0.073, p = 0.018); anxiety 0.02 ± 15.99 (control) versus − 13.07 ± 13.7 (intervention, ŋ2 = 0.224, p &lt; 0.001). The self-management empowerment model significantly improved sense of coherence and self-efficacy while reducing postpartum anxiety, recommending its integration into postpartum care programs. Trial Registration http://www.irct.ir/, IRCTID: IRCT20130422013092N12 registered July 11, 2024.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内置FRP筋的FRP混凝土缠绕管拱的弯曲性能</w:t>
      </w:r>
    </w:p>
    <w:p>
      <w:r>
        <w:rPr>
          <w:rFonts w:ascii="Times New Roman" w:hAnsi="Times New Roman" w:eastAsia="宋体"/>
          <w:b/>
          <w:color w:val="003264"/>
          <w:sz w:val="24"/>
        </w:rPr>
        <w:t>Bending behavior of concrete-filled FRP wound tubular arches with internal FRP bars</w:t>
      </w:r>
    </w:p>
    <w:p>
      <w:r>
        <w:rPr>
          <w:rFonts w:ascii="Times New Roman" w:hAnsi="Times New Roman" w:eastAsia="宋体"/>
          <w:sz w:val="21"/>
        </w:rPr>
        <w:t>作者: Benben Li, Zhenyuan Yang, Yujun Qi, Zhenglong Zhou, Guowei Wang</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https://doi.org/10.1038/s41598-026-38886-w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传统的钢筋混凝土拱门在地下环境中容易受到腐蚀，导致耐久性降低。本研究提出采用混凝土填充 FRP（纤维增强聚合物）缠绕管拱，内部带有 FRP 筋，以实现优异的耐腐蚀性。对18个FRP管混凝土拱进行跨中集中荷载试验，研究FRP管壁厚和FRP筋配置的影响。实验结果表明，增加FRP管的壁厚显着提高了极限承载能力，在跨中荷载下最大增加了104.7%。 FRP加固的加入还导致极限承载力增加236.3%~279%，位移延性比增加111.11%-119.67%。提出了一种预测内置FRP筋的FRP管混凝土拱极限荷载的简化理论模型，相对误差在10%以内。所提出的混凝土填充玻璃钢管拱在地下工程中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Conventional reinforced concrete arches are susceptible to corrosion in underground environments, leading to reduced durability. This study proposes concrete-filled FRP (Fiber-reinforced polymer) wound tubular arches with internal FRP bars to achieve excellent corrosion resistance. Eighteen concrete-filled FRP tubular arches were tested under mid-span concentrated loading, and the effects of FRP tube wall thickness and FRP reinforcement configuration were investigated. The experimental results demonstrate that increasing the wall thickness of the FRP tube significantly enhances the ultimate load-bearing capacity, with a maximum increase of 104.7% observed under mid-span loading. The incorporation of FRP reinforcement also resulted in 236.3%~279% increase of ultimate capacity and 111.11%-119.67% increase of displacement ductility ratio. A simplified theoretical model for predicting the ultimate load of concrete-filled FRP tubular arches with internal FRP bars was proposed, achieving a relative error within 10%. The proposed concrete-filled FRP tubular arch demonstrates considerable potential for application in underground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C3H/HeJ 小鼠对寒冷的温度调节适应与 ADRB3 信号传导无关</w:t>
      </w:r>
    </w:p>
    <w:p>
      <w:r>
        <w:rPr>
          <w:rFonts w:ascii="Times New Roman" w:hAnsi="Times New Roman" w:eastAsia="宋体"/>
          <w:b/>
          <w:color w:val="003264"/>
          <w:sz w:val="24"/>
        </w:rPr>
        <w:t>Thermoregulatory adaptations to cold in C3H/HeJ mice are independent of ADRB3 signaling</w:t>
      </w:r>
    </w:p>
    <w:p>
      <w:r>
        <w:rPr>
          <w:rFonts w:ascii="Times New Roman" w:hAnsi="Times New Roman" w:eastAsia="宋体"/>
          <w:sz w:val="21"/>
        </w:rPr>
        <w:t>作者: Sarra Beji, Mathilde Mouchiroud, Yves Gélinas, Mathieu Laplante, Andréanne Michaud, Alexandre Caron</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https://doi.org/10.1038/s41598-026-38538-z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饲养条件和小鼠品系显着影响代谢表型，影响临床前研究的转化相关性。尽管 C57BL/6J (C57) 小鼠被广泛使用，但它们的产热和肾上腺素能特征可能无法完全反映人类生理学。本研究比较了雄性 C57 和 C3H/HeJ (C3H) 小鼠对寒冷暴露的产热反应。将动物安置在 Promethion 间接量热系统中并暴露于不同的环境温度。光照阶段的热中性点几乎相同（C57：29.26±0.28°C；C3H：29.46±0.17°C），但C3H小鼠在急性和慢性冷暴露期间表现出显着更高的能量消耗（EE）。基因表达分析显示，C3H 小鼠的棕色脂肪组织 (BAT) 中产热基因的诱导作用更强。值得注意的是，C3H 小鼠的 BAT 和白色脂肪组织 (WAT) 中 β3 肾上腺素受体 ( Adrb3 ) 的表达极少，并且不受冷暴露的影响。与受损的 β3 信号传导一致，β3 激动剂 CL 316,243 显着增加了 C57 小鼠的 EE，但对 C3H 小鼠的影响有限。相比之下，去甲肾上腺素在两种品系中均引发 EE 反应，而普萘洛尔预处理（一种 β1/β2 拮抗剂）消除了这些品系差异，表明 C3H 小鼠依赖于 β1/β2 或非经典途径。总之，C3H 小鼠通过 ADRB3 独立机制表现出增强的冷诱导生热作用。尽管热中性点相似，C3H 和 C57 小鼠表现出不同的代谢和肾上腺素能适应，强调了代谢研究中菌株选择的重要性。 C3H 小鼠可能代表研究适用于人类生理学的替代生热机制的模型。</w:t>
      </w:r>
    </w:p>
    <w:p>
      <w:pPr>
        <w:spacing w:before="120"/>
      </w:pPr>
      <w:r>
        <w:rPr>
          <w:rFonts w:ascii="Times New Roman" w:hAnsi="Times New Roman" w:eastAsia="宋体"/>
          <w:b/>
          <w:sz w:val="21"/>
        </w:rPr>
        <w:t>English Abstract:</w:t>
      </w:r>
    </w:p>
    <w:p>
      <w:r>
        <w:rPr>
          <w:rFonts w:ascii="Times New Roman" w:hAnsi="Times New Roman" w:eastAsia="宋体"/>
          <w:sz w:val="21"/>
        </w:rPr>
        <w:t>Abstract Housing conditions and mouse strain significantly influence metabolic phenotypes, affecting the translational relevance of preclinical studies. Although C57BL/6J (C57) mice are widely used, their thermogenic and adrenergic profiles may not fully reflect human physiology. This study compared thermogenic responses to cold exposure between male C57 and C3H/HeJ (C3H) mice. Animals were housed in a Promethion indirect calorimetry system and exposed to varying ambient temperatures. Thermoneutral points during the light phase were nearly identical (C57: 29.26 ± 0.28 °C; C3H: 29.46 ± 0.17 °C), yet C3H mice exhibited significantly higher energy expenditure (EE) during both acute and chronic cold exposure. Gene expression analysis revealed a stronger induction of thermogenic genes in brown adipose tissue (BAT) of C3H mice. Notably, β3-adrenergic receptor ( Adrb3 ) expression was minimal in BAT and white adipose tissue (WAT) of C3H mice and unaffected by cold exposure. Consistent with impaired β3 signaling, the β3 agonist CL 316,243 markedly increased EE in C57 mice but had only modest effects in C3H mice. In contrast, norepinephrine elicited EE responses in both strains, and propranolol pretreatment (a β1/β2 antagonist) abolished these strain differences, suggesting that C3H mice depend on β1/β2 or non-canonical pathways. In conclusion, C3H mice exhibit enhanced cold-induced thermogenesis through ADRB3-independent mechanisms. Despite similar thermoneutral point, C3H and C57 mice display distinct metabolic and adrenergic adaptations, underscoring the importance of strain selection in metabolic research. C3H mice may represent a model to study alternative thermogenic mechanisms applicable to human physiology.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富含血小板的血浆通过自噬调节促进细胞从尼古丁诱导的毒性中恢复</w:t>
      </w:r>
    </w:p>
    <w:p>
      <w:r>
        <w:rPr>
          <w:rFonts w:ascii="Times New Roman" w:hAnsi="Times New Roman" w:eastAsia="宋体"/>
          <w:b/>
          <w:color w:val="003264"/>
          <w:sz w:val="24"/>
        </w:rPr>
        <w:t>Platelet-rich plasma promotes cellular recovery from nicotine-induced toxicity via autophagy modulation</w:t>
      </w:r>
    </w:p>
    <w:p>
      <w:r>
        <w:rPr>
          <w:rFonts w:ascii="Times New Roman" w:hAnsi="Times New Roman" w:eastAsia="宋体"/>
          <w:sz w:val="21"/>
        </w:rPr>
        <w:t>作者: Julie Vérièpe-Salerno, José Antonio Cancela, Solange Vischer, Antoine Turzi, Muriel Cuendet, Catherine Giannopoulou, Sarah Berndt</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https://doi.org/10.1038/s41598-026-38188-1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接触尼古丁会诱导牙龈成纤维细胞自噬和炎症等细胞过程，从而显着加剧牙周炎（一种常见的炎症性疾病）。目前的疗法往往无法完全解决吸烟者的这些细胞改变，这凸显了对创新治疗和再生方法的需求。本研究探讨了富含血小板血浆（PRP）（一种血液衍生产品）调节尼古丁诱导的初级牙龈成纤维细胞生物活性的治疗潜力，特别是在吸烟者的牙周炎情况下。用增加浓度的尼古丁处理牙龈成纤维细胞，导致衰老和自噬。高浓度的尼古丁会引发细胞空泡化，并降低新陈代谢、活力和增殖。同时用 10% PRP 进行细胞处理可逆转尼古丁效应并显着增加细胞迁移潜力。在秀丽隐杆线虫中，PRP 降低了尼古丁诱导的自噬活性。对牙龈成纤维细胞分泌组的筛选揭示了尼古丁和/或 PRP 对自噬相关细胞因子的调节作用。研究结果表明，PRP 可以有效抑制尼古丁诱导的牙龈成纤维细胞自噬，为其作为治疗吸烟者牙周炎的治疗工具提供了见解。该研究强调了 PRP 通过调节受吸烟影响的关键细胞过程来改变疾病进展的潜力。</w:t>
      </w:r>
    </w:p>
    <w:p>
      <w:pPr>
        <w:spacing w:before="120"/>
      </w:pPr>
      <w:r>
        <w:rPr>
          <w:rFonts w:ascii="Times New Roman" w:hAnsi="Times New Roman" w:eastAsia="宋体"/>
          <w:b/>
          <w:sz w:val="21"/>
        </w:rPr>
        <w:t>English Abstract:</w:t>
      </w:r>
    </w:p>
    <w:p>
      <w:r>
        <w:rPr>
          <w:rFonts w:ascii="Times New Roman" w:hAnsi="Times New Roman" w:eastAsia="宋体"/>
          <w:sz w:val="21"/>
        </w:rPr>
        <w:t>Abstract Chronic exposure to nicotine significantly exacerbates periodontitis, a prevalent inflammatory disease, by inducing cellular processes such as autophagy and inflammation in gingival fibroblasts. Current therapies often fail to fully address these cellular alterations in smokers, highlighting a need for innovative therapeutic and regenerative approaches. This study explores the therapeutic potential of Platelet-Rich Plasma (PRP), a blood-derived product, to modulate nicotine-induced biological activities in primary gingival fibroblasts, particularly in the case of periodontitis in smokers. Gingival fibroblasts were treated with increasing concentrations of nicotine, which led to senescence and autophagy. Nicotine at high concentrations triggered cellular vacuolization, and a decrease in metabolism, viability and proliferation. Concomitant cell treatment with 10% PRP reversed nicotine effects and significantly increased cell migration potential. In Caenorhabditis elegans, PRP reduced the nicotine-induced autophagic activity. A screening of the gingival fibroblast secretome revealed a modulation of autophagy-related cytokines in response to nicotine and/or PRP. The findings demonstrate that PRP could effectively inhibit nicotine-induced autophagy in gingival fibroblasts, offering insights into its possible use as a therapeutic tool for managing periodontitis in smokers. The study underscores the potential of PRP in altering disease progression by modulating key cellular processes affected by smoking.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通过类人提示和感知可靠性，建立用户对人工智能聊天机器人的客户服务信任</w:t>
      </w:r>
    </w:p>
    <w:p>
      <w:r>
        <w:rPr>
          <w:rFonts w:ascii="Times New Roman" w:hAnsi="Times New Roman" w:eastAsia="宋体"/>
          <w:b/>
          <w:color w:val="003264"/>
          <w:sz w:val="24"/>
        </w:rPr>
        <w:t>Building user trust in AI chatbots for customer service through human-like cues and perceived reliability</w:t>
      </w:r>
    </w:p>
    <w:p>
      <w:r>
        <w:rPr>
          <w:rFonts w:ascii="Times New Roman" w:hAnsi="Times New Roman" w:eastAsia="宋体"/>
          <w:sz w:val="21"/>
        </w:rPr>
        <w:t>作者: Sheng Wang, Noor Fatima, Muhammad Shahbaz, Muhammad Asif</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https://doi.org/10.1038/s41598-026-38179-2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这项定性研究探讨了类人线索和系统能力如何塑造用户对人工智能驱动的聊天机器人客户服务的信任和可靠性感知。通过在巴基斯坦和中国进行的半结构化访谈收集了 28 名参与者的数据。该研究利用 NVivo 15 支持的主题分析，确定了用户信任和交互体验形成的关键模式。出现了两个主题：类人交互和情感联系，以及感知可靠性和系统能力。第一个强调对话的自然性、同理心、个性化和社会存在感作为情感信任的驱动力。相比之下，第二个强调准确性、透明度、响应性和数据安全性作为认知信任的核心要素。这些维度共同说明了情感和功能因素如何共同影响用户对聊天机器人的信心和满意度。除了重申已建立的信任结构之外，该研究还提供了针对具体情况的定性见解，加深了对发展中市场中的用户如何解释和协商人工智能介导的服务交互中的信任的理解。</w:t>
      </w:r>
    </w:p>
    <w:p>
      <w:pPr>
        <w:spacing w:before="120"/>
      </w:pPr>
      <w:r>
        <w:rPr>
          <w:rFonts w:ascii="Times New Roman" w:hAnsi="Times New Roman" w:eastAsia="宋体"/>
          <w:b/>
          <w:sz w:val="21"/>
        </w:rPr>
        <w:t>English Abstract:</w:t>
      </w:r>
    </w:p>
    <w:p>
      <w:r>
        <w:rPr>
          <w:rFonts w:ascii="Times New Roman" w:hAnsi="Times New Roman" w:eastAsia="宋体"/>
          <w:sz w:val="21"/>
        </w:rPr>
        <w:t>This qualitative study explores how human-like cues and system competence shape users’ trust and perceptions of reliability in AI-driven chatbot customer service. Data were collected from 28 participants through semi-structured interviews conducted in Pakistan and China. Using thematic analysis supported by NVivo 15, the study identifies key patterns in the formation of user trust and interaction experiences. Two main themes emerged: human-like interaction and emotional connection, and perceived reliability and system competence. The first highlights conversational naturalness, empathy, personalisation, and social presence as drivers of affective trust. In contrast, the second emphasises accuracy, transparency, responsiveness, and data security as core elements of cognitive trust. Together, these dimensions illustrate how emotional and functional factors jointly influence user confidence and satisfaction with chatbots. Beyond reaffirming established trust constructs, the study offers context-specific qualitative insights that deepen understanding of how users in a developing market interpret and negotiate trust in AI-mediated service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硫氢化钠和L-半胱氨酸提高赤字施肥条件下草莓的产量和果实品质</w:t>
      </w:r>
    </w:p>
    <w:p>
      <w:r>
        <w:rPr>
          <w:rFonts w:ascii="Times New Roman" w:hAnsi="Times New Roman" w:eastAsia="宋体"/>
          <w:b/>
          <w:color w:val="003264"/>
          <w:sz w:val="24"/>
        </w:rPr>
        <w:t>Enhancement of yield and fruit quality of strawberry under deficit fertigation via sodium hydrosulfide and L-cysteine</w:t>
      </w:r>
    </w:p>
    <w:p>
      <w:r>
        <w:rPr>
          <w:rFonts w:ascii="Times New Roman" w:hAnsi="Times New Roman" w:eastAsia="宋体"/>
          <w:sz w:val="21"/>
        </w:rPr>
        <w:t>作者: Anmar Mohammed Abdulazeez, Hamid Hassanpour, Karim Manda-Hakki</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https://doi.org/10.1038/s41598-026-39598-x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草莓（Fragaria × ananassa）是一种高价值作物，其产量和果实品质极易受到水和养分限制的影响，特别是在温室和无土栽培中。因此，制定在减少灌溉施肥条件下保持生产力的策略至关重要。本研究调查了是否将硫相关化合物，特别是硫氢化钠 (NaHS) 和 L-半胱氨酸 (Cys) 应用于草莓品种。塞布丽娜可以抵消营养供应减少的不利影响。在两种灌溉施肥水平（100 mL 和 140 mL 作为对照）下用 NaHS（500 和 1000 µM）或 Cys（500 和 1000 µM）处理植物。单独减少灌溉施肥会导致生理限制，而与未经处理的植物相比，NaHS和Cys显着提高了产量，改善了果实品质性状，并增强了抗氧化能力。此外，苯丙氨酸解氨酶、过氧化氢酶和抗坏血酸过氧化物酶的活性显着增加。这些改善与较高水平的酚类、花青素和维生素 C 相关，表明酶促和非酶促防御系统的协调增强。总体而言，在减少灌溉施肥计划的情况下叶面喷施 1000 µM NaHS 和 1000 µM Cys 对于提高草莓生产力和果实品质最为有效。这项研究强调了硫基诱导子作为实用、环保工具的潜力，可提高受控栽培系统中的抗逆性、保持营养价值以及优化水和养分的利用。</w:t>
      </w:r>
    </w:p>
    <w:p>
      <w:pPr>
        <w:spacing w:before="120"/>
      </w:pPr>
      <w:r>
        <w:rPr>
          <w:rFonts w:ascii="Times New Roman" w:hAnsi="Times New Roman" w:eastAsia="宋体"/>
          <w:b/>
          <w:sz w:val="21"/>
        </w:rPr>
        <w:t>English Abstract:</w:t>
      </w:r>
    </w:p>
    <w:p>
      <w:r>
        <w:rPr>
          <w:rFonts w:ascii="Times New Roman" w:hAnsi="Times New Roman" w:eastAsia="宋体"/>
          <w:sz w:val="21"/>
        </w:rPr>
        <w:t>Strawberry (Fragaria × ananassa) is a high-value crop whose yield and fruit quality are extremely susceptible to water and nutrient limitations, especially in greenhouse and soilless cultivation. Developing strategies to maintain productivity under reduced fertigation is therefore crucial. This study investigated whether applying sulfur-related compounds, specifically sodium hydrosulfide (NaHS) and L-cysteine (Cys), to the strawberry cv. Sabrina could counteract the detrimental effects of reduced nutrient supply. Plants were treated with NaHS (500 and 1000 µM) or Cys (500 and 1000 µM) under two fertigation levels (100 mL and 140 mL as control). Applying reduced fertigation alone resulted in physiological constraints, whereas NaHS and Cys significantly increased yield, improved fruit quality traits, and enhanced antioxidant capacity compared with untreated plants. Also, activities of phenylalanine ammonia lyase, catalase, and ascorbate peroxidase were significantly increased. The improvements were associated with higher levels of phenolics, anthocyanins, and vitamin C, indicating a coordinated strengthening of the enzymatic and non-enzymatic defense systems. Overall, foliar applications of 1000 µM NaHS and 1000 µM Cys under reduced fertigation schedules were most effective in improving strawberry productivity and fruit quality. This study highlights the potential of sulfur-based elicitors as practical, eco-friendly tools to improve stress tolerance, preserve nutritional value, and optimize water and nutrient use in controlled cultivation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利用分子描述符和可解释的机器学习来预测光诱导电子转移-可逆加成-断裂链转移聚合中的单体转化率</w:t>
      </w:r>
    </w:p>
    <w:p>
      <w:r>
        <w:rPr>
          <w:rFonts w:ascii="Times New Roman" w:hAnsi="Times New Roman" w:eastAsia="宋体"/>
          <w:b/>
          <w:color w:val="003264"/>
          <w:sz w:val="24"/>
        </w:rPr>
        <w:t>Leveraging molecular descriptors and explainable machine learning for monomer conversion prediction in photoinduced electron transfer-reversible addition-fragmentation chain transfer polymerization</w:t>
      </w:r>
    </w:p>
    <w:p>
      <w:r>
        <w:rPr>
          <w:rFonts w:ascii="Times New Roman" w:hAnsi="Times New Roman" w:eastAsia="宋体"/>
          <w:sz w:val="21"/>
        </w:rPr>
        <w:t>作者: Berna Alemdag, Azra Kocaarslan, Gözde Kabay</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https://doi.org/10.1038/s41598-025-33553-y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分子描述符的机器学习（ML）架构，用于预测光诱导电子转移-可逆加成-断裂链转移（PET-RAFT）聚合系统中的单体转化。与将聚合物视为单个单元或对反应组分使用单热编码的传统聚合物信息学方法不同，我们将每个 PET-RAFT 系统分解为单独的部分：单体、RAFT 试剂和光催化剂。接下来，使用源自 SMILES 的 2D 分子描述符单独编码每个元素。使用 152 个 PET-RAFT 系统的文献来源数据集，我们系统地训练（通过五重交叉验证，CV）并评估了 10 种 ML 算法。 CatBoost 在 CV 倍数上表现出更高的稳定性 (SD = ± 0.07)，并被确定为单体转化预测的最佳表现者 (R2 = 0.84；RMSE = 10.04 pps；MAE = 8.16 pps)。 SHapley Additive exPlanations (SHAP) 分析揭示了机械上可解释的结构-性能-性能关系，强调单体拓扑复杂性、电子极化和分子量共同占模型预测能力的 60% 以上。外部验证证实了 CatBoost 能够泛化到看不见的（甲基）丙烯酸酯和（甲基）丙烯酰胺 (MAE = 8.03)，其性能与训练集相当。在实践中，学习到的描述符转换映射可以实现快速的计算机筛选和组件排序，突出显示可操作的描述符范围，并有可能加速高转换 PET-RAFT 的设计-构建-测试周期。</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molecular descriptor-based machine learning (ML) architecture for predicting monomer conversion in photoinduced electron transfer-reversible addition-fragmentation chain transfer (PET-RAFT) polymerization systems. Unlike traditional polymer informatics approaches that treat polymers as single units or use one-hot encoding for reaction components, we decompose each PET-RAFT system into its individual parts: monomer, RAFT agent, and photocatalyst. Next, each element was separately encoded using 2D molecular descriptors derived from SMILES. Using a literature-sourced dataset of 152 PET-RAFT systems, we systematically trained (with fivefold cross-validation, CV) and evaluated 10 ML algorithms. CatBoost showed greater stability across CV-folds (SD = ± 0.07) and was identified as the top performer for monomer conversion prediction (R2 = 0.84; RMSE = 10.04 pps; MAE = 8.16 pps). SHapley Additive exPlanations (SHAP) analysis revealed mechanistically interpretable structure–property-performance relationships, highlighting that monomer topological complexity, electronic polarization, and molecular weight together account for over 60% of the model’s predictive power. External validation confirmed CatBoost’s ability to generalize to unseen (meth)acrylates and (meth)acrylamides (MAE = 8.03), with comparable performance to that of the training set. In practice, the learned descriptor-conversion mapping enables fast in silico screening and component ranking, highlighting actionable descriptor ranges and potentially accelerating design-build-test cycles for high-conversion PET-RAFT.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评估阿尔茨海默病 MRI 图像中海马体体积分割的深度学习模型</w:t>
      </w:r>
    </w:p>
    <w:p>
      <w:r>
        <w:rPr>
          <w:rFonts w:ascii="Times New Roman" w:hAnsi="Times New Roman" w:eastAsia="宋体"/>
          <w:b/>
          <w:color w:val="003264"/>
          <w:sz w:val="24"/>
        </w:rPr>
        <w:t>Evaluation of deep learning models for segmentation of hippocampus volumes from MRI images in Alzheimer’s disease</w:t>
      </w:r>
    </w:p>
    <w:p>
      <w:r>
        <w:rPr>
          <w:rFonts w:ascii="Times New Roman" w:hAnsi="Times New Roman" w:eastAsia="宋体"/>
          <w:sz w:val="21"/>
        </w:rPr>
        <w:t>作者: Yori Pusparani, Chih-Yang Lin, Yih-Kuen Jan, Ben-Yi Liau, Fu-Yu Lin, Elvin Nur Furqon, Muhammad Talal, Sheena Christabel Pravin, Zhi-Ren Tsai, Chi-Wen Lung</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https://doi.org/10.1038/s41598-026-38220-4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海马体是与阿尔茨海默病 (AD) 相关的重要大脑结构。精确分割对于使用深度学习研究 AD 进展至关重要。本研究旨在评估深度学习模型在分割 MRI 图像中左右海马体方面的性能。我们假设基于深度学习的方法可以实现左右海马体的精确分割。我们提出使用阿尔茨海默病神经影像计划 (ADNI) 数据集的 U-Net、You Only Look Once version 8 (YOLO-v8) 和 DeepLab-v3 模型。这项研究使用了 300 名受试者，其中包括 100 名受试者 (AD)、100 名轻度认知障碍 (MCI) 受试者和 100 名正常对照 (NC) 受试者，总共产生 7859 个图像切片。结果表明，U-Net 模型表现出最好的交并集 (IoU)，它是 AD (0.639)、MCI (0.801) 和 NC (0.751) 三个类别中的关键性能指标。相比之下，YOLO-v8 在 AD (0.342)、MCI (0.465) 和 NC (0.550) 方面表现出较低的 IoU 性能，这些模型被认为不适合分割左右海马。我们获得了 AD (1557.5 mm3)、MCI (1863.3 mm3) 和 NC (2089.2 mm3) 的左侧海马体积。 AD (1593.4 mm3)、MCI (1918.7 mm3) 和 NC (2280.2 mm3) 的右侧海马体积。 U-Net模型表现出最好的性能。我们期望基于深度学习的方法通过提供准确的海马体分割来协助临床决策。</w:t>
      </w:r>
    </w:p>
    <w:p>
      <w:pPr>
        <w:spacing w:before="120"/>
      </w:pPr>
      <w:r>
        <w:rPr>
          <w:rFonts w:ascii="Times New Roman" w:hAnsi="Times New Roman" w:eastAsia="宋体"/>
          <w:b/>
          <w:sz w:val="21"/>
        </w:rPr>
        <w:t>English Abstract:</w:t>
      </w:r>
    </w:p>
    <w:p>
      <w:r>
        <w:rPr>
          <w:rFonts w:ascii="Times New Roman" w:hAnsi="Times New Roman" w:eastAsia="宋体"/>
          <w:sz w:val="21"/>
        </w:rPr>
        <w:t>The hippocampus is a crucial brain structure associated with Alzheimer’s disease (AD). Precise segmentation is crucial for studying AD progression using deep learning. This study aimed to evaluate the performance of deep learning models in segmenting the left and right hippocampus in MRI images. We hypothesized that deep learning-based approaches would enable precise and accurate segmentation of the left and right hippocampus. We propose U-Net, You Only Look Once version 8 (YOLO-v8), and DeepLab-v3 models using the Alzheimer’s Disease Neuroimaging Initiative (ADNI) dataset. This study used 300 subjects, comprising 100 subjects (AD), 100 subjects with mild cognitive impairment (MCI), and 100 subjects with normal control (NC), resulting in a total of 7859 image slices. The results showed that the U-Net model exhibited the best Intersection over Union (IoU), which served as a key performance indicator among the three classes: AD (0.639), MCI (0.801), and NC (0.751). In contrast, YOLO-v8 demonstrated lower IoU performance for AD (0.342), MCI (0.465), and NC (0.550), which are considered inappropriate models to segment the left and right hippocampus. We obtained the left hippocampus volume of AD (1557.5 mm³), MCI (1863.3 mm3), and NC (2089.2 mm3). The right hippocampus volumes of AD (1593.4 mm³), MCI (1918.7 mm3), and NC (2280.2 mm3). The U-Net model exhibited the best performance. We expect deep learning-based methods to assist in clinical decisions by providing accurate hippocampus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熊去氧胆酸通过 TGR5/NF-κB 信号通路减轻 α-酪蛋白诱导的牛奶蛋白过敏</w:t>
      </w:r>
    </w:p>
    <w:p>
      <w:r>
        <w:rPr>
          <w:rFonts w:ascii="Times New Roman" w:hAnsi="Times New Roman" w:eastAsia="宋体"/>
          <w:b/>
          <w:color w:val="003264"/>
          <w:sz w:val="24"/>
        </w:rPr>
        <w:t>Ursodeoxycholic acid alleviates α-Casein-induced cow’s milk protein allergy via the TGR5/NF-κB signaling pathway</w:t>
      </w:r>
    </w:p>
    <w:p>
      <w:r>
        <w:rPr>
          <w:rFonts w:ascii="Times New Roman" w:hAnsi="Times New Roman" w:eastAsia="宋体"/>
          <w:sz w:val="21"/>
        </w:rPr>
        <w:t>作者: Zhidan Yu, Zihui Wang, Lingling Yue, Yuesheng Wang, Bo Sun, Ruifeng Wang, Xiangzhan Zhu, Lifeng Li, Wancun Zhang, Xiaoqin Li</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https://doi.org/10.1038/s41598-026-38293-1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牛奶蛋白过敏（CMPA）是婴儿最常见的食物过敏之一，主要表现为胃肠道症状，与肠道菌群失调密切相关。熊去氧胆酸 (UDCA) 是一种肠道微生物群衍生的次级胆汁酸，在患有 CMPA 的婴儿中显着减少。然而，UDCA在CMPA结肠炎中的作用和机制尚不清楚。我们的分析表明，在 α-酪蛋白诱导的 CMPA 小鼠模型中，UDCA 给药可减轻全身过敏症状，改善体重增加，并减轻肝脏和结肠组织的组织病理学损伤。 UDCA 通过增加杯状细胞数量和增强结肠组织中紧密连接基因的表达来恢复肠道屏障的完整性。在α-酪蛋白致敏的RAW264.7细胞中，UDCA促进愈合和迁移。此外，UDCA 显着下调关键促炎因子（IL-1β、TNF-α、IL-6）的分泌和 mRNA 水平以及炎症介质（NO、ROS）的产生。从机制上讲，UDCA 增加 cAMP 水平，上调 G 蛋白偶联受体 (TGR5) 表达，并抑制 NF-κB 信号通路，体内和体外 p65 磷酸化和核转位的减少证明了这一点。 SBI-115 的药理学拮抗作用证实 UDCA 主要通过靶向 TGR5 来抑制 α-酪蛋白诱导的 NF-κB p65 激活。这项研究表明，UDCA 可能通过靶向 TGR5 来增强肠道屏障功能并通过 NF-κB 信号调节免疫反应来缓解 CMPA，凸显了其作为过敏性疾病治疗策略的潜力。</w:t>
      </w:r>
    </w:p>
    <w:p>
      <w:pPr>
        <w:spacing w:before="120"/>
      </w:pPr>
      <w:r>
        <w:rPr>
          <w:rFonts w:ascii="Times New Roman" w:hAnsi="Times New Roman" w:eastAsia="宋体"/>
          <w:b/>
          <w:sz w:val="21"/>
        </w:rPr>
        <w:t>English Abstract:</w:t>
      </w:r>
    </w:p>
    <w:p>
      <w:r>
        <w:rPr>
          <w:rFonts w:ascii="Times New Roman" w:hAnsi="Times New Roman" w:eastAsia="宋体"/>
          <w:sz w:val="21"/>
        </w:rPr>
        <w:t>Cow’s milk protein allergy (CMPA), one of the most common food allergies in infant, is primarily manifesting gastrointestinal symptoms and closely associated to the disorders of gut microbiota. Ursodeoxycholic acid (UDCA), a gut microbiota derived secondary bile acid, is significantly decreased in infant with CMPA. However, the effect and mechanism of UDCA in colitis of CMPA is unknown. Our analysis demonstrated that UDCA administration alleviated the systemic allergic symptoms, improved body weight gain, and mitigated histopathological damage in both liver and colon tissues in a mouse model of α-Casein-induced CMPA. UDCA restored intestinal barrier integrity by increasing goblet cell numbers and enhancing the expression of the tight junction gene in colonic tissue. In α-Casein-sensitized RAW264.7 cells, UDCA promoted the healing and migration. Additionally, UDCA significantly down-regulated the secretion and mRNA levels of key pro-inflammatory factors (IL-1β, TNF-α, IL-6) and the production of inflammatory mediators (NO, ROS). Mechanistically, UDCA increased the cAMP level and up-regulated G-protein coupled receptors (TGR5) expression and inhibited the NF-κB signaling pathway, as evidenced by reduced phosphorylation and nuclear translocation of p65 in vivo and in vitro. Pharmacological antagonism with SBI-115 confirmed that UDCA suppressed α-Casein-induced NF-κB p65 activation primarily by targeting TGR5. This study suggested that UDCA may alleviate CMPA by targeting TGR5 to enhance intestinal barrier function and modulate immune response via NF-κB signaling, highlighting its potential as a therapeutic strategy for allergic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使用定制深度 CNN 架构对遥感图像进行高性能场景分类</w:t>
      </w:r>
    </w:p>
    <w:p>
      <w:r>
        <w:rPr>
          <w:rFonts w:ascii="Times New Roman" w:hAnsi="Times New Roman" w:eastAsia="宋体"/>
          <w:b/>
          <w:color w:val="003264"/>
          <w:sz w:val="24"/>
        </w:rPr>
        <w:t>High-performance scene classification in remote sensing imagery using a custom deep CNN architecture</w:t>
      </w:r>
    </w:p>
    <w:p>
      <w:r>
        <w:rPr>
          <w:rFonts w:ascii="Times New Roman" w:hAnsi="Times New Roman" w:eastAsia="宋体"/>
          <w:sz w:val="21"/>
        </w:rPr>
        <w:t>作者: Ahmed M. Abdelmonem, Mohamed Maher Ata, Abdelhamied A. Atey, A. A. Shaalan, Rania A. El-Sayed</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https://doi.org/10.1038/s41598-025-34176-z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摘要：本研究提出了一种深度新颖的卷积神经网络（CNN）架构，专为遥感数据中的多类图像分类而设计。所提出的模型使用 NWPU-RESISC45 和 UC Merced 土地利用数据集进行评估，每个数据集包含 10 个类别：港口、丛林、网球场、工业区、停车场、森林、海滩、立交桥、飞机和棒球场。广泛的测试表明，所提出的 CNN 架构在准确性和效率方面优于五种流行的预训练 CNN 模型。定量结果表明，该模型在 NWPU-RESISC45 数据集上的准确率达到 0.9428，在 UC Merced 数据集上的准确率达到 0.93。召回率分别为 0.94 和 0.93，准确率分别达到 0.95 和 0.94。此外，交并集 (IoU) 分数为 0.89 和 0.86，而 F1 分数为 0.94 和 0.93，证实了模型在数据集中的稳健性。在计算效率方面，该模型展示了具有竞争力的训练时间：NWPU-RESISC45 的训练时间为 3,692 秒（跨 10 个类别的 5,057 张图像），GPU 内存使用量为 12.7 GB；UC Merced 数据集的训练时间为 559 秒（跨 10 个类别的 722 张图像）。为了确保和增强模型预测的可解释性和可解释性，引入了两种可解释性技术：Shapley Additive Explanations (SHAP) 和 Class Activation Mapping (CAM)。该手稿的主要新颖之处包括：混合 CNN 框架，不仅可以提高分类性能，还可以通过 SHAP 和 CAM 实现可解释性，同时保持高效的训练时间和强大的泛化能力，使其成为遥感图像理解的一个引人注目的解决方案。总的来说，我们的方法的关键新颖之处是： 轻量级和高效的架构：我们提出的 CNN 设计在性能和计算效率之间取得了平衡，使其非常适合实时或资源受限的环境，而不会影响准确性。集成的可解释性：通过结合 SHAP（沙普利附加解释）和 CAM（类激活映射），我们的框架提供了强大的预测性能。跨数据集的通用性：我们在两个具有挑战性和多样化的数据集上展示了模型的稳健性和通用性，确认了其对不同领域场景的适应性。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 deep novel Convolutional Neural Network (CNN) architecture specifically designed for multi-class image categorization in remote sensing data. The proposed model is evaluated using both the NWPU-RESISC45 and UC Merced Land Use datasets, each containing 10 class categories: harbor, chaparral, tennis court, industrial area, parking lot, forest, beach, overpass, airplane, and baseball diamond. Extensive testing demonstrates that the proposed CNN architecture outperforms five popular pre-trained CNN models in terms of accuracy and efficiency. Quantitative results show that the proposed model achieves an accuracy of 0.9428 on the NWPU-RESISC45 dataset and 0.93 on the UC Merced dataset. The recall scores are 0.94 and 0.93, while precision values reach 0.95 and 0.94, respectively. Furthermore, the Intersection over Union (IoU) scores are 0.89 and 0.86, while the F1-scores are 0.94 and 0.93, confirming the robustness of the model across the datasets. In terms of computational efficiency, the model demonstrates competitive training times: 3,692 s for NWPU-RESISC45 (5,057 images across 10 classes) with GPU memory usage of 12.7 gigabytes (GB) and 559 s for the UC Merced dataset (722 images across 10 classes ). To ensure and enhance the interpretability and explainability of the model’s predictions, two interpretability techniques were incorporated: Shapley Additive Explanations (SHAP) and Class Activation Mapping (CAM). The key novelties of this manuscript include: a hybrid CNN framework that not only advances classification performance but also incorporates explainability via SHAP and CAM, while maintaining efficient training times and strong generalization, making it a compelling solution for remote sensing image understanding. In general, the key novel aspects of our approach are: Lightweight and efficient architecture: Our proposed CNN design strikes a balance between performance and computational efficiency, making it highly suitable for real-time or resource-constrained environments without compromising accuracy. Integrated interpretability: By incorporating both SHAP (Shapley Additive explanations) and CAM (Class Activation Mapping), our framework delivers strong predictive performance. Generalizability across datasets: We demonstrate the model’s robustness and generalizability across two challenging and diverse datasets, confirming its adaptability to different domain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新型掺钇和掺钕锂锌磷酸盐玻璃的结构、机械、电学和辐射屏蔽性能</w:t>
      </w:r>
    </w:p>
    <w:p>
      <w:r>
        <w:rPr>
          <w:rFonts w:ascii="Times New Roman" w:hAnsi="Times New Roman" w:eastAsia="宋体"/>
          <w:b/>
          <w:color w:val="003264"/>
          <w:sz w:val="24"/>
        </w:rPr>
        <w:t>The structural, mechanical, electrical, and radiation-shielding properties of newly yttrium and neodymium-doped lithium-zinc-phosphate glasses</w:t>
      </w:r>
    </w:p>
    <w:p>
      <w:r>
        <w:rPr>
          <w:rFonts w:ascii="Times New Roman" w:hAnsi="Times New Roman" w:eastAsia="宋体"/>
          <w:sz w:val="21"/>
        </w:rPr>
        <w:t>作者: Gharam A. Alharshan, Shaaban M. Shaaban, R.A. Elsad, A.A. Demewez, Mohamed Elsafi</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https://doi.org/10.1038/s41598-026-36616-w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本文研究了通过熔融淬火制备的新型掺钇锂锌磷酸盐玻璃，并表征了其电气、机械、屏蔽、结构和物理性能，重点关注不同钇浓度对这些方面的影响。较重的 Y2O3 逐渐取代较轻的 P2O5 单元，密度从 3.0265 g.cm− 3 增加到 3.136 g.cm− 3。FTIR 结果清楚地表明，Y2O3 的添加通过引入 Y-O 键、产生非桥接氧和扰乱 P-O-P 网络来改变其磷酸盐玻璃结构。随着频率的升高，相对介电常数在低频下迅速下降，在高频下变为半常数。一般来说，相对介电常数和交流电导率随 Y2O3 数量的增加而增加。由于杨氏模量从 72.688 GPa 提高到 74.663 GPa，更换后的玻璃的机械和辐射屏蔽特性得到了改善。曝光累积因子 (EBF) 是在不同的 mfp 下计算的。在非常低的能量（如0.015 MeV）下，EBF值非常接近1，并且随着能量的提高而增加。结果发现，所制备的钇含量较高的玻璃的辐射吸收性能略有改善。</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novel yttrium-doped lithium-zinc-phosphate glass prepared via melt-quenching and characterizes their electrical, mechanical, shielding, structural, and physical properties, with a focus on the impact of varying yttrium concentrations on these aspects. The heavier Y2O3 gradually replaces the lighter P2O5 units, increasing density from 3.0265 g.cm− 3 towards 3.136 g.cm− 3. The FTIR results clearly show that the addition of Y2O3 alters its phosphate glass structures by introducing Y–O bonds, producing non-bridging oxygens, and upsetting the P–O–P network. With rising frequency, relative permittivity decreases rapidly at low frequencies and becomes semi-constant at high frequencies. In general, the relative permittivity and ac conductivity rose in tandem with the Y2O3 quantity. The replacing improved the mechanical and radiation shielding characteristics of the glass, since the Young’s modulus improved from 72.688 GPa to 74.663 GPa. The exposure buildup factor (EBF) was calculated at different mfp’s. At very low energies (such as 0.015 MeV), the EBF values ​​are very close to 1 and increased with raising the energy. It was found that some slight improvement in the radiation absorption performance of the prepared glasses with higher yttrium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任务时间的功能成像以及多巴胺能和胆碱能底物在认知努力和奖励中的参与</w:t>
      </w:r>
    </w:p>
    <w:p>
      <w:r>
        <w:rPr>
          <w:rFonts w:ascii="Times New Roman" w:hAnsi="Times New Roman" w:eastAsia="宋体"/>
          <w:b/>
          <w:color w:val="003264"/>
          <w:sz w:val="24"/>
        </w:rPr>
        <w:t>Functional imaging of time on task and the involvement of dopaminergic and cholinergic substrates in cognitive effort and reward</w:t>
      </w:r>
    </w:p>
    <w:p>
      <w:r>
        <w:rPr>
          <w:rFonts w:ascii="Times New Roman" w:hAnsi="Times New Roman" w:eastAsia="宋体"/>
          <w:sz w:val="21"/>
        </w:rPr>
        <w:t>作者: Chiara Orsini, Julia E. Bosch, Karin Labek, Roberto Viviani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https://doi.org/10.1038/s41598-026-37370-9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影像学研究已经确定了与持续认知努力和控制及其通过奖励的调节相关的神经基质。不同的证据表明前额叶皮层（特别是前扣带皮层，ACC）、多巴胺能和胆碱能底物参与了这种调节。我们在这里研究了在具有不同奖励水平的区块内的试验中，随着任务时间的增加（需要增加认知努力水平）这些底物的活性。在皮质中，虽然 ACC 达到峰值，但与任务时间相关的活动非常广泛，还包括默认模式网络之外的活动减少，主要涉及运动和体感区域。有关奖励水平的信息由腹侧纹状体携带，与其激励作用一致，但并未反映在任务期间增加努力的权衡。相反，与胆碱能 Ch4 核相对应的腹侧被盖区和基底前脑 (BF) 部分的活动随着任务时间的延长而增加，并且对奖励水平敏感。这种 BF 活动与驱动由奖励水平调节的补偿努力的胆碱能作用一致。这些发现将 BF 确定为与维持任务集和认知努力相关的神经影像表型。</w:t>
      </w:r>
    </w:p>
    <w:p>
      <w:pPr>
        <w:spacing w:before="120"/>
      </w:pPr>
      <w:r>
        <w:rPr>
          <w:rFonts w:ascii="Times New Roman" w:hAnsi="Times New Roman" w:eastAsia="宋体"/>
          <w:b/>
          <w:sz w:val="21"/>
        </w:rPr>
        <w:t>English Abstract:</w:t>
      </w:r>
    </w:p>
    <w:p>
      <w:r>
        <w:rPr>
          <w:rFonts w:ascii="Times New Roman" w:hAnsi="Times New Roman" w:eastAsia="宋体"/>
          <w:sz w:val="21"/>
        </w:rPr>
        <w:t>Neuroimaging studies have identified the neural substrates associated with sustained cognitive efforts and control and their modulation by rewards. Different lines of evidence implicate the prefrontal cortex (especially the anterior cingulate cortex, ACC), dopaminergic, and cholinergic substrates in this modulation. We studied here the activity of these substrates at increasing time on task (requiring increasing levels of cognitive effort) in trials within blocks with differing reward levels. In the cortex, while peaking in the ACC, activity associated with time on task was extensive, also including activity decrements outside the default mode network, primarily involving motor and somatosensory regions. Information about reward levels was carried in the ventral striatum, consistent with its motivational role, but did not reflect trade-offs with increasing efforts during time on task. Instead, the ventral tegmental area and parts of the basal forebrain (BF) corresponding to the cholinergic Ch4 nuclei increased in activity with time on task and were sensitive to reward levels. This BF activity is consistent with a cholinergic role in driving compensatory efforts modulated by reward levels. These findings identify the BF as a neuroimaging phenotype associated with sustaining task sets and cognitive efforts.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对具有改善骨骼肌退化潜力的新型天然 HDAC6 抑制剂进行集成虚拟筛选、ADMET 分析和分子动力学模拟</w:t>
      </w:r>
    </w:p>
    <w:p>
      <w:r>
        <w:rPr>
          <w:rFonts w:ascii="Times New Roman" w:hAnsi="Times New Roman" w:eastAsia="宋体"/>
          <w:b/>
          <w:color w:val="003264"/>
          <w:sz w:val="24"/>
        </w:rPr>
        <w:t>Integrated virtual screening, ADMET profiling, and molecular dynamics simulations of novel natural HDAC6 inhibitors with the potential to ameliorate skeletal muscle degeneration</w:t>
      </w:r>
    </w:p>
    <w:p>
      <w:r>
        <w:rPr>
          <w:rFonts w:ascii="Times New Roman" w:hAnsi="Times New Roman" w:eastAsia="宋体"/>
          <w:sz w:val="21"/>
        </w:rPr>
        <w:t>作者: Khurshid Ahmad, Syed Sayeed Ahmad, Inho Choi</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https://doi.org/10.1038/s41598-026-39066-6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组蛋白脱乙酰酶 6 (HDAC6) 有助于维持肌肉健康并调节蛋白质平衡。在萎缩的肌肉中，HDAC6 活性增加会破坏微管的稳定性并加剧蛋白质降解。因此，选择性 HDAC6 抑制是保持肌肉健康的一种有前途的方法。在这项研究中，我们进行了全面的计算分析，包括对 SuperNatural 3.0 数据库中的 449,058 种天然化合物进行虚拟筛选，以鉴定新型天然 HDAC6 抑制剂。对最佳候选药物进行药物相似性和 ADMET 特性筛选，然后进行分子对接和分子动力学模拟 (MDS)，以评估结合稳定性和能量分布。对 20 个得分最高的化合物（LibDock 得分范围：120.54 至 167.81）的对接姿势进行了视觉分析，并选择排名最高的化合物 SN0000021 和 SN0000043 进行评估。两种天然化合物 SN0000021 和 SN0000043 在整个 200 ns MDS 中始终表现出强烈的预测结合、良好的药代动力学特征以及与 HDAC6 催化袋的稳定相互作用。 SN0000021 具有中等溶解度、高 Caco-2 渗透性和约 93% 的肠道吸收，而 SN0000043 显示稍高的溶解度、中等渗透性和约 75% 的吸收。两者均是 AMES 无毒且可合成。自由能计算进一步证实了它们的结合潜力。这些结果表明SN0000021和SN0000043是用于开发选择性HDAC6抑制剂的合理的天然支架。需要在 HDAC6 酶测定和 SM 模型中进行实验验证，以确认其抗萎缩作用。</w:t>
      </w:r>
    </w:p>
    <w:p>
      <w:pPr>
        <w:spacing w:before="120"/>
      </w:pPr>
      <w:r>
        <w:rPr>
          <w:rFonts w:ascii="Times New Roman" w:hAnsi="Times New Roman" w:eastAsia="宋体"/>
          <w:b/>
          <w:sz w:val="21"/>
        </w:rPr>
        <w:t>English Abstract:</w:t>
      </w:r>
    </w:p>
    <w:p>
      <w:r>
        <w:rPr>
          <w:rFonts w:ascii="Times New Roman" w:hAnsi="Times New Roman" w:eastAsia="宋体"/>
          <w:sz w:val="21"/>
        </w:rPr>
        <w:t>Histone deacetylase 6 (HDAC6) helps maintain muscle health and regulates protein balance. In atrophic muscle, increased HDAC6 activity destabilizes microtubules and intensifies protein degradation. Therefore, selective HDAC6 inhibition is a promising approach to preserving muscle health. In this study, we conducted a comprehensive computational analysis, including virtual screening of 449,058 natural compounds from the SuperNatural 3.0 database, to identify novel natural HDAC6 inhibitors. The top candidates were filtered for drug-likeness and ADMET properties, then subjected to molecular docking and molecular dynamics simulations (MDS) to evaluate binding stability and energy profiles. The 20 best-scoring compounds (range of LibDock score: 120.54 to 167.81) were visually analyzed for their docking poses, and top-ranked compounds, SN0000021 and SN0000043, were selected for evaluation. Two natural compounds, SN0000021 and SN0000043, consistently showed strong predicted binding, favorable pharmacokinetic features, and stable interaction with the HDAC6 catalytic pocket throughout a 200-ns MDS. SN0000021 has moderate solubility, high Caco-2 permeability, and ~ 93% intestinal absorption, while SN0000043 shows slightly higher solubility, moderate permeability, and ~ 75% absorption. Both are AMES non-toxic and synthetically accessible. Free-energy calculations further confirmed their binding potential. These results indicate that SN0000021 and SN0000043 are plausible natural scaffolds for the development of selective HDAC6 inhibitors. Experimental validation in HDAC6 enzyme assays and SM models is required to confirm their anti-atrophic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自发荧光和傅里叶变换红外分析追踪膳食荧光团并揭示蚊子幼虫肠道中的塑料污染</w:t>
      </w:r>
    </w:p>
    <w:p>
      <w:r>
        <w:rPr>
          <w:rFonts w:ascii="Times New Roman" w:hAnsi="Times New Roman" w:eastAsia="宋体"/>
          <w:b/>
          <w:color w:val="003264"/>
          <w:sz w:val="24"/>
        </w:rPr>
        <w:t>Autofluorescence and Fourier transform infrared analyses trace dietary fluorophores and reveal plastic contamination in the gut of mosquito larvae</w:t>
      </w:r>
    </w:p>
    <w:p>
      <w:r>
        <w:rPr>
          <w:rFonts w:ascii="Times New Roman" w:hAnsi="Times New Roman" w:eastAsia="宋体"/>
          <w:sz w:val="21"/>
        </w:rPr>
        <w:t>作者: Sara Soldano, Maduka L. Weththimuni, Amanda Oldani, Alessandro Girella, Andrea Moyano, Anna C. Croce, Maurizio Licchelli, Ludvik M. Gomulski, Francesca Scolari</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https://doi.org/10.1038/s41598-026-38938-1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蚊子幼虫的营养生理学对于优化大规模饲养实践和改进控制策略至关重要。在这里，我们结合了互补的光学和光谱技术，包括荧光显微镜、共焦光谱成像和衰减全反射（ATR）傅里叶变换红外（FTIR）光谱，来追踪白纹伊蚊幼虫的食物摄入情况。在聚苯乙烯（PS）或玻璃（GL）容器中饲养的幼虫肠道中观察到自发荧光（AF）信号强度和空间分布的差异，表明AF可以作为评估摄入效率的相对指标。在幼虫体内的肠道外检测到叶绿素衍生的 AF，表明食物衍生的荧光团的全身分布。对幼体发育前后饲养水的光谱分析揭示了黄素相关荧光谱的变化，这与黄素代谢一致。此外，幼虫肠道样本的 ATR-FTIR 光谱揭示了在 PS 或 GL 容器中饲养的幼虫之间化学官能团的差异，表明摄入了从饲养容器中释放的 PS 衍生物质。尽管在饲养条件之间观察到光谱差异，但没有检测到对标准蚊子生活史特征的明显影响。总而言之，这些发现凸显了基于荧光和 ATR-FTIR 的技术作为探索蚊子幼虫生物学和营养的敏感工具的潜力。这些方法可以揭示饲养环境的微妙但与生物学相关的影响，这是病媒控制计划的关键因素。</w:t>
      </w:r>
    </w:p>
    <w:p>
      <w:pPr>
        <w:spacing w:before="120"/>
      </w:pPr>
      <w:r>
        <w:rPr>
          <w:rFonts w:ascii="Times New Roman" w:hAnsi="Times New Roman" w:eastAsia="宋体"/>
          <w:b/>
          <w:sz w:val="21"/>
        </w:rPr>
        <w:t>English Abstract:</w:t>
      </w:r>
    </w:p>
    <w:p>
      <w:r>
        <w:rPr>
          <w:rFonts w:ascii="Times New Roman" w:hAnsi="Times New Roman" w:eastAsia="宋体"/>
          <w:sz w:val="21"/>
        </w:rPr>
        <w:t>Understanding the nutritional physiology of mosquito larvae is crucial for optimizing mass-rearing practices and improving control strategies. Here we combined complementary optical and spectroscopic techniques, including fluorescence microscopy, confocal spectral imaging and Attenuated Total Reflectance (ATR) Fourier transform infrared (FTIR) spectroscopy, to trace food ingestion in Aedes albopictus larvae. Differences in autofluorescence (AF) signal intensity and spatial distribution were observed in the gut of larvae reared in polystyrene (PS) or glass (GL) containers, suggesting that AF may serve as a relative proxy for evaluating ingestion efficiency. Chlorophyll-derived AF was detected outside the gut within the larval body, indicating systemic distribution of food-derived fluorophores. Spectral analysis of rearing water before and after larval development revealed changes in flavin-associated fluorescence profiles, consistent with flavin metabolism. Moreover, ATR-FTIR spectroscopy of larval gut samples revealed differences in chemical functional groups between larvae reared in PS or GL containers, suggesting ingestion of PS-derived material released from rearing containers. Despite the spectroscopic differences observed between rearing conditions, no clear effects were detected on standard mosquito life-history traits. Taken together, these findings highlight the potential of fluorescence- and ATR-FTIR-based techniques as sensitive tools to explore mosquito larval biology and nutrition. These approaches can reveal subtle yet biologically relevant effects of the rearing environment, a key factor in vector control programmes.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基于视频的便携式脑电图设备的情绪识别</w:t>
      </w:r>
    </w:p>
    <w:p>
      <w:r>
        <w:rPr>
          <w:rFonts w:ascii="Times New Roman" w:hAnsi="Times New Roman" w:eastAsia="宋体"/>
          <w:b/>
          <w:color w:val="003264"/>
          <w:sz w:val="24"/>
        </w:rPr>
        <w:t>Video-dominant emotion recognition for portable EEG-based devices</w:t>
      </w:r>
    </w:p>
    <w:p>
      <w:r>
        <w:rPr>
          <w:rFonts w:ascii="Times New Roman" w:hAnsi="Times New Roman" w:eastAsia="宋体"/>
          <w:sz w:val="21"/>
        </w:rPr>
        <w:t>作者: Xinyi Wen, Wei Xu, Lei Tian, Cuijuan Guo, Jinjun Bai</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https://doi.org/10.1038/s41598-026-39315-8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脑电图 (EEG) 信号为检测视频观看期间的情绪反应提供了一种有前景的途径，从而能够自动识别视频引发的情绪并提供客观的评估方法。然而，当前的方法面临两个主要限制。首先，情绪标签通常依赖于引入个人偏见的主观自我报告。其次，大多数系统需要高密度电极阵列，这对于便携式应用来说成本高昂且不切实际。为了应对这些挑战，本研究探索使用轻量级脑电图设置进行视频情感识别。我们引入了三种互补策略：（i）动态分层标签校准方法，通过一致性建模和边界细化减少标签主观性； (ii) 多维能量比分析，在保留区分信息的同时压缩信道需求； (iii) 显着性引导的特征选择方法以提高泛化能力。通过从原始数据集中减少 65% 的通道，我们的方法仅使用 11 个通道即可在四类主导视频情感预测中实现 45% 的准确率，同时在跨主题条件下保持有意义的判别性能。除了技术进步之外，这些结果还证明了基于脑电图的系统在捕捉对视频内容的集体情绪反应方面的潜力。该功能支持受众情绪分析、媒体内容评估和情感感知推荐系统的实际应用。</w:t>
      </w:r>
    </w:p>
    <w:p>
      <w:pPr>
        <w:spacing w:before="120"/>
      </w:pPr>
      <w:r>
        <w:rPr>
          <w:rFonts w:ascii="Times New Roman" w:hAnsi="Times New Roman" w:eastAsia="宋体"/>
          <w:b/>
          <w:sz w:val="21"/>
        </w:rPr>
        <w:t>English Abstract:</w:t>
      </w:r>
    </w:p>
    <w:p>
      <w:r>
        <w:rPr>
          <w:rFonts w:ascii="Times New Roman" w:hAnsi="Times New Roman" w:eastAsia="宋体"/>
          <w:sz w:val="21"/>
        </w:rPr>
        <w:t>Electroencephalography (EEG) signals offer a promising avenue for detecting emotional responses during video viewing, enabling the automated recognition of video-induced emotions and providing an objective assessment approach. However, current approaches face two main limitations. First, emotion labels often rely on subjective self-reports that introduce personal bias. Second, most systems require high-density electrode arrays that are costly and impractical for portable applications. To address these challenges, this study explores video emotion recognition using a lightweight EEG setup. We introduce three complementary strategies: (i) a dynamic hierarchical label calibration approach that reduces labeling subjectivity through consistency modeling and boundary refinement; (ii) a multi-dimensional energy ratio analysis that compresses channel requirements while preserving discriminative information; and (iii) a saliency-guided feature selection method to improve generalization capability. By reducing 65% of the channels from the original dataset, our approach achieves 45% accuracy in four-class dominant video emotion prediction using only 11 channels, while maintaining meaningful discriminative performance under cross-subject conditions. Beyond technical advancements, these results demonstrate the potential of EEG-based systems to capture collective emotional responses to video content. This capability supports practical applications in audience sentiment analysis, media content evaluation, and emotion-aware recommendation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基于创新功率转换器的技术，用于自然辐照度下的现场光伏 I-V 表征</w:t>
      </w:r>
    </w:p>
    <w:p>
      <w:r>
        <w:rPr>
          <w:rFonts w:ascii="Times New Roman" w:hAnsi="Times New Roman" w:eastAsia="宋体"/>
          <w:b/>
          <w:color w:val="003264"/>
          <w:sz w:val="24"/>
        </w:rPr>
        <w:t>An innovative power converter based technique for on-site photovoltaic I-V characterization under natural irradiance</w:t>
      </w:r>
    </w:p>
    <w:p>
      <w:r>
        <w:rPr>
          <w:rFonts w:ascii="Times New Roman" w:hAnsi="Times New Roman" w:eastAsia="宋体"/>
          <w:sz w:val="21"/>
        </w:rPr>
        <w:t>作者: Mohammed Rhiat, Firyal Latrache, Mustapha Melhaoui, Ilias Atmane, Imane Ihsane, Mostafa El Ouariachi, Kamal Hirech, Mourad Yessef, Z. M.S. El-Barbary, Saad A. Alqahtani, Badre Bossoufi</w:t>
        <w:br/>
      </w:r>
      <w:r>
        <w:rPr>
          <w:rFonts w:ascii="Times New Roman" w:hAnsi="Times New Roman" w:eastAsia="宋体"/>
          <w:sz w:val="21"/>
        </w:rPr>
        <w:t xml:space="preserve">时间: 2026-02-09 | </w:t>
      </w:r>
      <w:r>
        <w:t xml:space="preserve">链接: </w:t>
      </w:r>
      <w:hyperlink r:id="rId31">
        <w:r>
          <w:rPr>
            <w:rFonts w:ascii="Times New Roman" w:hAnsi="Times New Roman" w:eastAsia="宋体"/>
            <w:color w:val="0000FF"/>
            <w:sz w:val="21"/>
            <w:u w:val="single"/>
          </w:rPr>
          <w:t>https://doi.org/10.1038/s41598-026-39626-w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本文提出了一种独立的 PV 曲线追踪器，旨在提取电流-电压 (I-V) 和功率-电压 (P-V) 特性，以及具有相同二极管的多二极管模型 (MDM) 的五个参数，有效地将其简化为单二极管模型，以便在真实阳光条件下进行参数提取。该系统由一个作为可编程电子负载运行的定制同步升压转换器组成，其中 PWM 信号的占空比可调节等效电阻。该系统与电压和电流传感器以及外部太阳辐照度和温度传感器集成，可自动提取功率高达 300 W 的光伏电池板的 I-V 和 P-V 曲线。实验在 12 节电池 ET-M53630WW 光伏电池板（VOC = 21.52 V、ISC = 1.8 A、VMP = 17.72 V、IMP = 1.69 A 和 PMP = 30）上进行。 W），展示了系统在实际操作条件下的性能。基于Levenberg-Marquardt方法的非线性最小二乘拟合算法处理提取的曲线，以高精度确定光伏电池板的五个关键参数。实验验证表明，估计和测量的 I-V 曲线几乎相同，最坏情况下的电流偏差仅为 41.5 mA。在标准测试条件（G = 1000 W/m²，T = 298.15 K）下重建的 P-V 曲线与制造商的数据表非常匹配，与额定 30 W 相比，产生的最大功率为 27 W。这些结果突出了所提出的参数提取方法的准确性及其在光伏性能监测、退化分析和教育用途中的潜在应用。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standalone PV curve tracer designed to extract current-voltage (I-V) and power-voltage (P-V) characteristics, as well as the five parameters of a Multiple-Diode Model (MDM) with identical diodes, effectively reducing it to a single-diode model for parameter extraction, under real sunlight conditions. The system consists of a custom-built synchronous boost converter operating as a programmable electronic load, where the duty cycle of the PWM signal regulates the equivalent resistance. Integrated with voltage and current sensors, along with external solar irradiance and temperature sensors, the system enables the automatic extraction of I-V and P-V curves for PV panels up to 300 W. Experiments were conducted on a 12-cell ET-M53630WW PV panel (VOC = 21.52 V, ISC = 1.8 A, VMP = 17.72 V, IMP = 1.69 A and PMP = 30 W), demonstrating the system’s performance under realistic operating conditions. A nonlinear least squares fitting algorithm based on the Levenberg-Marquardt method processes the extracted curves to determine the five key parameters of the PV panel with high precision. Experimental validation demonstrated that the estimated and measured I-V curves are nearly identical, with a worst-case current deviation of only 41.5 mA. The reconstructed P-V curve at standard test conditions (G = 1000 W/m², T = 298.15 K) closely matched the manufacturer’s datasheet, yielding a maximum power of 27 W compared to the rated 30 W. These results highlight the accuracy of the proposed methodology in parameter extraction and its potential application in PV performance monitoring, degradation analysis, and educational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扎格罗斯山脉中部半干旱牧场的地表现象测定及其对气候变量的响应</w:t>
      </w:r>
    </w:p>
    <w:p>
      <w:r>
        <w:rPr>
          <w:rFonts w:ascii="Times New Roman" w:hAnsi="Times New Roman" w:eastAsia="宋体"/>
          <w:b/>
          <w:color w:val="003264"/>
          <w:sz w:val="24"/>
        </w:rPr>
        <w:t>Land surface phenometrics and their responses to climatic variables in the semi-arid rangelands of the central Zagros mountains</w:t>
      </w:r>
    </w:p>
    <w:p>
      <w:r>
        <w:rPr>
          <w:rFonts w:ascii="Times New Roman" w:hAnsi="Times New Roman" w:eastAsia="宋体"/>
          <w:sz w:val="21"/>
        </w:rPr>
        <w:t>作者: Fatemeh Pordel, Reza Jafari, Mostafa Tarkesh Esfahani, Mohsen Ahmadi, Geoffrey M. Henebry, Ataollah Ebrahimi, Adrià Descals, Josep Penuelas</w:t>
        <w:br/>
      </w:r>
      <w:r>
        <w:rPr>
          <w:rFonts w:ascii="Times New Roman" w:hAnsi="Times New Roman" w:eastAsia="宋体"/>
          <w:sz w:val="21"/>
        </w:rPr>
        <w:t xml:space="preserve">时间: 2026-02-09 | </w:t>
      </w:r>
      <w:r>
        <w:t xml:space="preserve">链接: </w:t>
      </w:r>
      <w:hyperlink r:id="rId32">
        <w:r>
          <w:rPr>
            <w:rFonts w:ascii="Times New Roman" w:hAnsi="Times New Roman" w:eastAsia="宋体"/>
            <w:color w:val="0000FF"/>
            <w:sz w:val="21"/>
            <w:u w:val="single"/>
          </w:rPr>
          <w:t>https://doi.org/10.1038/s41598-026-38652-y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气候变化的加速，人们对脆弱的半干旱生态系统的物候变化仍知之甚少，但其重要性却日益凸显。确定牧场生态系统的物候阶段，并量化气候变化如何随时间影响每个阶段，对于有效的牧场管理至关重要。本研究旨在调查 2000 年至 2023 年伊朗 Chaharmahal-Va-Bakhtiari (CVB) 省半干旱牧场地表物候 (LSP) 的长期趋势以及气候变化对 LSP 的影响。利用 MODIS NDVI 卫星数据，分析了关键的 LSP 指标，包括生长季开始 (SOS)、生长季高峰 (POS)、生长季结束。 (EOS)、生长季长度 (LOS) 和最大植被绿度 (maxNDVI)。研究结果表明了重大变化：SOS、POS 和 EOS 发生得更早，导致许多地区的生长季节缩短。这些变化与降水、温度和潜在蒸散量等气候变量有很强的相关性，其中温度与 SOS 的变化关系最为显着。 Sen 斜率趋势分析显示，25.74% 的研究区域在 SOS 方面取得了进步，23.2% 在 POS 方面取得了进步，在 EOS 方面取得了 32.3% 的进步。此外，70% 的像素的 LOS 有所下降，且变化显着。这项研究表明，CVB 半干旱牧场的物候模式正在因气候变化而发生变化。这些发现强调需要实施适应性管理策略以维持这些脆弱生态系统的可持续性。</w:t>
      </w:r>
    </w:p>
    <w:p>
      <w:pPr>
        <w:spacing w:before="120"/>
      </w:pPr>
      <w:r>
        <w:rPr>
          <w:rFonts w:ascii="Times New Roman" w:hAnsi="Times New Roman" w:eastAsia="宋体"/>
          <w:b/>
          <w:sz w:val="21"/>
        </w:rPr>
        <w:t>English Abstract:</w:t>
      </w:r>
    </w:p>
    <w:p>
      <w:r>
        <w:rPr>
          <w:rFonts w:ascii="Times New Roman" w:hAnsi="Times New Roman" w:eastAsia="宋体"/>
          <w:sz w:val="21"/>
        </w:rPr>
        <w:t>As climate change accelerates, phenological shifts in vulnerable semi-arid ecosystems remain poorly understood yet are of increasingly critical. Identifying the phenological stages of rangeland ecosystems, and quantifying how climate change affects each stage over time, is essential for effective rangeland management. This study aimed to investigate the long-term trends in land surface phenology (LSP) and the impact of climate variations on LSP in the semi-arid rangelands of Chaharmahal-Va-Bakhtiari (CVB) Province, Iran, from 2000 to 2023. Utilizing satellite data from MODIS NDVI, key LSP metrics were analyzed, including the start of the growing season (SOS), peak of the growing season (POS), end of the growing season (EOS), length of the growing season (LOS), and maximum vegetation greenness (maxNDVI). The findings indicate significant shifts: SOS, POS and EOS are occurring earlier, resulting in shorter growing season in many regions. These changes show strong correlations with climatic variables such as precipitation, temperature, and potential evapotranspiration, with temperature exhibiting the most significant relationship to changes in SOS. The Sen’s slope trend analysis showed that 25.74% of the study area experienced advancements in SOS, 23.2% % in POS, and 32.3% in EOS. Additionally, LOS has decreased in 70% of pixels with significant change. This study demonstrates that phenological patterns in the semi-arid rangelands of CVB are shifting in response to climate change. These findings highlight the need to implement adaptive management strategies to maintain the sustainability of these fragile ecosystems.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静电纺大麻/聚丙烯腈复合纤维膜及染料吸附能力探讨</w:t>
      </w:r>
    </w:p>
    <w:p>
      <w:r>
        <w:rPr>
          <w:rFonts w:ascii="Times New Roman" w:hAnsi="Times New Roman" w:eastAsia="宋体"/>
          <w:b/>
          <w:color w:val="003264"/>
          <w:sz w:val="24"/>
        </w:rPr>
        <w:t>Exploration of electrospinning hemp/polyacrylonitrile composite fiber membrane and dye adsorption capabilities</w:t>
      </w:r>
    </w:p>
    <w:p>
      <w:r>
        <w:rPr>
          <w:rFonts w:ascii="Times New Roman" w:hAnsi="Times New Roman" w:eastAsia="宋体"/>
          <w:sz w:val="21"/>
        </w:rPr>
        <w:t>作者: Ying Sun, Jiayi Wang, Weishuai Kong, Yucan Jia</w:t>
        <w:br/>
      </w:r>
      <w:r>
        <w:rPr>
          <w:rFonts w:ascii="Times New Roman" w:hAnsi="Times New Roman" w:eastAsia="宋体"/>
          <w:sz w:val="21"/>
        </w:rPr>
        <w:t xml:space="preserve">时间: 2026-02-09 | </w:t>
      </w:r>
      <w:r>
        <w:t xml:space="preserve">链接: </w:t>
      </w:r>
      <w:hyperlink r:id="rId33">
        <w:r>
          <w:rPr>
            <w:rFonts w:ascii="Times New Roman" w:hAnsi="Times New Roman" w:eastAsia="宋体"/>
            <w:color w:val="0000FF"/>
            <w:sz w:val="21"/>
            <w:u w:val="single"/>
          </w:rPr>
          <w:t>https://doi.org/10.1038/s41598-025-33369-w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印染废水水质复杂，危害极大。阳离子亚甲蓝染料作为一种常见污染物，对健康有害。因此，吸附技术在废水处理中起着至关重要的作用。为了研究大麻/聚丙烯腈纳米复合纤维膜在染料吸附中的应用，本研究采用静电纺丝技术。本研究采用静电纺丝法制备用于染料吸附的大麻/聚丙烯腈纳米复合纤维膜。将大麻纤维溶解在LiCl/DMAc中，与聚丙烯腈溶液共混，经过单因素优化后进行静电纺丝。结果表明，大麻/聚丙烯腈复合纤维膜直径分布均匀，亲水性良好，具有优异的机械物理性能。颗粒物过滤测试表明，该膜的过滤效率可达99.97%。大麻/聚丙烯腈复合纤维膜对亚甲基蓝的吸附更符合准二级动力学模型和Langmuir吸附等温线模型，表明其主要以化学吸附为主。吸附过程是自发吸热反应，温度越高越有利于吸附，吸附量可达75.85 mg/g。这种简单的方法产生了具有优异的染料吸附和颗粒过滤性能的膜。</w:t>
      </w:r>
    </w:p>
    <w:p>
      <w:pPr>
        <w:spacing w:before="120"/>
      </w:pPr>
      <w:r>
        <w:rPr>
          <w:rFonts w:ascii="Times New Roman" w:hAnsi="Times New Roman" w:eastAsia="宋体"/>
          <w:b/>
          <w:sz w:val="21"/>
        </w:rPr>
        <w:t>English Abstract:</w:t>
      </w:r>
    </w:p>
    <w:p>
      <w:r>
        <w:rPr>
          <w:rFonts w:ascii="Times New Roman" w:hAnsi="Times New Roman" w:eastAsia="宋体"/>
          <w:sz w:val="21"/>
        </w:rPr>
        <w:t>Textile printing and dyeing wastewater has complex water quality and causes great harm. As a common pollutant, the cationic methylene blue dye is harmful to health. Therefore, adsorption technology plays a crucial role in wastewater treatment. To study the application of hemp/polyacrylonitrile nanocomposite fiber membranes in dye adsorption, this study employed electrospinning technology. This study used electrospinning to prepare hemp/polyacrylonitrile nanocomposite fiber membranes for dye adsorption. Hemp fibers were dissolved in LiCl/DMAc, blended with polyacrylonitrile solution, and electrospun after single-factor optimization. The results show that the hemp/polyacrylonitrile composite fiber membrane has a uniform diameter distribution, good hydrophilicity, and excellent mechanical and physical properties. The particulate matter filtration test reveals that the membrane’s filtration efficiency can reach 99.97%. The adsorption of methylene blue by the hemp/polyacrylonitrile composite fiber membrane is more consistent with the pseudo-second-order kinetic model and the Langmuir adsorption isotherm model, indicating that it is mainly dominated by chemical adsorption. The adsorption process is a spontaneous endothermic reaction, and a higher temperature is more conducive to adsorption, with an adsorption capacity of up to 75.85 mg/g. The simple method yielded membranes with excellent dye adsorption and particulate filtration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MM-GradCAM：一种改进的多模式 GradCAM 方法，具有 1D 和 2D ECG 数据，用于检测心律失常</w:t>
      </w:r>
    </w:p>
    <w:p>
      <w:r>
        <w:rPr>
          <w:rFonts w:ascii="Times New Roman" w:hAnsi="Times New Roman" w:eastAsia="宋体"/>
          <w:b/>
          <w:color w:val="003264"/>
          <w:sz w:val="24"/>
        </w:rPr>
        <w:t>MM-GradCAM: an improved multimodal GradCAM method with 1D and 2D ECG data for detection of cardiac arrhythmia</w:t>
      </w:r>
    </w:p>
    <w:p>
      <w:r>
        <w:rPr>
          <w:rFonts w:ascii="Times New Roman" w:hAnsi="Times New Roman" w:eastAsia="宋体"/>
          <w:sz w:val="21"/>
        </w:rPr>
        <w:t>作者: Fatma Murat Duranay, Ender Murat, Özal Yıldırım, Yakup Demir, Ru-San Tan, Niranjana Sampathila, U. Rajendra Acharya</w:t>
        <w:br/>
      </w:r>
      <w:r>
        <w:rPr>
          <w:rFonts w:ascii="Times New Roman" w:hAnsi="Times New Roman" w:eastAsia="宋体"/>
          <w:sz w:val="21"/>
        </w:rPr>
        <w:t xml:space="preserve">时间: 2026-02-09 | </w:t>
      </w:r>
      <w:r>
        <w:t xml:space="preserve">链接: </w:t>
      </w:r>
      <w:hyperlink r:id="rId34">
        <w:r>
          <w:rPr>
            <w:rFonts w:ascii="Times New Roman" w:hAnsi="Times New Roman" w:eastAsia="宋体"/>
            <w:color w:val="0000FF"/>
            <w:sz w:val="21"/>
            <w:u w:val="single"/>
          </w:rPr>
          <w:t>https://doi.org/10.1038/s41598-026-38654-w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由于心律失常仍然是全世界死亡的主要原因之一，心律失常的早期、准确诊断对于改善患者的预后至关重要。心电图 (ECG) 分析在这些疾病的诊断中发挥着至关重要的作用，深度学习的最新进展导致自动心电图解读方面取得了重大进展。然而，这些模型的“黑匣子”性质限制了临床信心，并凸显了对可解释的人工智能方法的需求。本研究提出了一种创新的 MM-GradCAM 方法，该方法结合了两种不同的数据格式，为 1D ECG 信号和 2D ECG 图像数据提供了可解释性。使用超过 10,000 名患者的数据集，开发了能够进行四级心律失常检测的 17 层 CNN 模型，并为每种数据形式获得了单独的可解释性输出。心脏病专家对所得的可解释性图进行了评估，并验证了模型的可解释性和临床意义。信号形式的准确率达到93.07%，图像形式的准确率达到97.44%。作为医疗诊断可解释性的开创性方法，MM-GradCAM 有潜力提高医疗 AI 应用的可靠性和透明度。</w:t>
      </w:r>
    </w:p>
    <w:p>
      <w:pPr>
        <w:spacing w:before="120"/>
      </w:pPr>
      <w:r>
        <w:rPr>
          <w:rFonts w:ascii="Times New Roman" w:hAnsi="Times New Roman" w:eastAsia="宋体"/>
          <w:b/>
          <w:sz w:val="21"/>
        </w:rPr>
        <w:t>English Abstract:</w:t>
      </w:r>
    </w:p>
    <w:p>
      <w:r>
        <w:rPr>
          <w:rFonts w:ascii="Times New Roman" w:hAnsi="Times New Roman" w:eastAsia="宋体"/>
          <w:sz w:val="21"/>
        </w:rPr>
        <w:t>Abstract As cardiac arrhythmia remains one of the leading causes of death worldwide, early and accurate diagnosis of cardiac arrhythmia is critical to improving patient outcomes. Electrocardiogram (ECG) analysis plays a critical role in the diagnosis of these diseases, and recent advances in deep learning have led to significant advances in automated ECG interpretation. However, the “black box” nature of these models limits clinical confidence and highlights the need for explainable artificial intelligence methods. This study presents an innovative MM-GradCAM method that combines two different data formats, providing explainability for both 1D ECG signal and 2D ECG image data. Using a dataset of more than 10,000 patients, a 17-layer CNN model capable of four-class arrhythmia detection was developed and separate explainability outputs were obtained for each data form. The resulting explainability maps were evaluated by a cardiologist and the interpretability and clinical significance of the model were verified. The signal form achieved 93.07% accuracy, while the image form achieved 97.44% accuracy. As a pioneering approach for explainability in medical diagnosis, MM-GradCAM has the potential to increase reliability and transparency in medical AI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集成的单细胞和机器学习框架揭示了预后成纤维细胞亚型并构建了肺腺癌中成纤维细胞相关的风险特征</w:t>
      </w:r>
    </w:p>
    <w:p>
      <w:r>
        <w:rPr>
          <w:rFonts w:ascii="Times New Roman" w:hAnsi="Times New Roman" w:eastAsia="宋体"/>
          <w:b/>
          <w:color w:val="003264"/>
          <w:sz w:val="24"/>
        </w:rPr>
        <w:t>Integrative single-cell and machine learning framework reveals prognostic fibroblast subtypes and constructs a fibroblast-related risk signature in lung adenocarcinoma</w:t>
      </w:r>
    </w:p>
    <w:p>
      <w:r>
        <w:rPr>
          <w:rFonts w:ascii="Times New Roman" w:hAnsi="Times New Roman" w:eastAsia="宋体"/>
          <w:sz w:val="21"/>
        </w:rPr>
        <w:t>作者: Shizhao Cheng, Han Zhang, Qiuqiao Mu, Hao Zhang, Lin Tan, Daqiang Sun</w:t>
        <w:br/>
      </w:r>
      <w:r>
        <w:rPr>
          <w:rFonts w:ascii="Times New Roman" w:hAnsi="Times New Roman" w:eastAsia="宋体"/>
          <w:sz w:val="21"/>
        </w:rPr>
        <w:t xml:space="preserve">时间: 2026-02-09 | </w:t>
      </w:r>
      <w:r>
        <w:t xml:space="preserve">链接: </w:t>
      </w:r>
      <w:hyperlink r:id="rId35">
        <w:r>
          <w:rPr>
            <w:rFonts w:ascii="Times New Roman" w:hAnsi="Times New Roman" w:eastAsia="宋体"/>
            <w:color w:val="0000FF"/>
            <w:sz w:val="21"/>
            <w:u w:val="single"/>
          </w:rPr>
          <w:t>https://doi.org/10.1038/s41598-026-35830-w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肺腺癌（LUAD）是非小细胞肺癌的主要亚型，并且继续对全球癌症死亡率产生重大影响。在肿瘤生态系统中，癌症相关成纤维细胞 (CAF) 是显着影响 LUAD 进展的关键基质成分。然而，它们的表型多样性和临床意义仍未完全阐明。我们整合了两个单细胞 RNA 测序数据集（GSE171145 和 GSE189357）来描绘 LUAD 中成纤维细胞的转录景观和发育轨迹。通过将成纤维细胞特异性标记物与 TCGA-LUAD 队列中的差异表达基因交叉，然后进行单变量 Cox 分析和机器学习建模，开发了成纤维细胞相关特征 (FRS)。总共评估了 10 种机器学习算法的 101 种组合。 FRS 的预后价值在多个 GEO 数据集上得到了验证。我们进一步研究了它与免疫浸润、基因组改变和治疗反应的关联。核心基因TIMP1经过体外和临床验证。我们在 LUAD 中发现了明显的成纤维细胞异质性，通过伪时间分析揭示了不同的分化轨迹。构建的 FRS 在各队列中表现出强大的预后性能，并且与免疫抑制特征、肿瘤突变负担和预测的免疫治疗结果显着相关。临床上，FRS 作为独立的预后指标，与列线图中的 TNM 分期结合时显示出良好的校准效果。 TIMP1 是单变量 Cox 分析中排名最高的风险基因之一，被证实在肿瘤样本中表达上调，并在体外促进细胞侵袭和增殖，支持其在 LUAD 进展中的功能作用。这项研究通过综合单细胞和批量转录组分析开发了基于成纤维细胞的预后特征。 FRS 有效对 LUAD 患者进行分层，并强调成纤维细胞在塑造肿瘤进展中的动态作用，提供潜在的生物标志物和治疗靶点。</w:t>
      </w:r>
    </w:p>
    <w:p>
      <w:pPr>
        <w:spacing w:before="120"/>
      </w:pPr>
      <w:r>
        <w:rPr>
          <w:rFonts w:ascii="Times New Roman" w:hAnsi="Times New Roman" w:eastAsia="宋体"/>
          <w:b/>
          <w:sz w:val="21"/>
        </w:rPr>
        <w:t>English Abstract:</w:t>
      </w:r>
    </w:p>
    <w:p>
      <w:r>
        <w:rPr>
          <w:rFonts w:ascii="Times New Roman" w:hAnsi="Times New Roman" w:eastAsia="宋体"/>
          <w:sz w:val="21"/>
        </w:rPr>
        <w:t>Lung adenocarcinoma (LUAD) is a major subtype of non-small cell lung cancer and continues to contribute substantially to global cancer mortality. Within the tumor ecosystem, cancer-associated fibroblasts (CAFs) are key stromal components that significantly influence LUAD progression. However, their phenotypic diversity and clinical implications remain incompletely elucidated. We integrated two single-cell RNA sequencing datasets (GSE171145 and GSE189357) to delineate the transcriptional landscape and developmental trajectory of fibroblasts in LUAD. A fibroblast-related signature (FRS) was developed by intersecting fibroblast-specific markers with differentially expressed genes from the TCGA-LUAD cohort, followed by univariate Cox analysis and machine learning modeling. A total of 101 combinations of ten machine learning algorithms were evaluated. The prognostic value of the FRS was validated across multiple GEO datasets. We further investigated its associations with immune infiltration, genomic alterations, and therapeutic response. The core gene TIMP1 was subjected to in vitro and clinical validation. We identified pronounced fibroblast heterogeneity in LUAD, with distinct differentiation trajectories revealed by pseudotime analysis. The constructed FRS exhibited robust prognostic performance across cohorts and was significantly correlated with immunosuppressive features, tumor mutation burden, and predicted immunotherapy outcomes. Clinically, the FRS served as an independent prognostic indicator and showed favorable calibration when combined with TNM stage in a nomogram. TIMP1, one of the top-ranked risk genes in univariate Cox analysis, was confirmed to be upregulated in tumor samples and to promote cell invasion and proliferation in vitro, supporting its functional role in LUAD progression. This study developed a fibroblast-based prognostic signature through integrative single-cell and bulk transcriptomic analyses. The FRS effectively stratifies LUAD patients and highlights the dynamic roles of fibroblasts in shaping tumor progression, providing potential biomarkers and therapeutic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研究膨胀珍珠岩和石灰泥对含纸浆污泥的水泥粘结复合材料的影响</w:t>
      </w:r>
    </w:p>
    <w:p>
      <w:r>
        <w:rPr>
          <w:rFonts w:ascii="Times New Roman" w:hAnsi="Times New Roman" w:eastAsia="宋体"/>
          <w:b/>
          <w:color w:val="003264"/>
          <w:sz w:val="24"/>
        </w:rPr>
        <w:t>Investigating the influence of expanded perlite and lime mud on cement-bonded composites containing pulp sludge</w:t>
      </w:r>
    </w:p>
    <w:p>
      <w:r>
        <w:rPr>
          <w:rFonts w:ascii="Times New Roman" w:hAnsi="Times New Roman" w:eastAsia="宋体"/>
          <w:sz w:val="21"/>
        </w:rPr>
        <w:t>作者: Stephen O. Amiandamhen, Carsten Mai, Joran van Blokland, Geoffrey Daniel, Stergios Adamopoulos</w:t>
        <w:br/>
      </w:r>
      <w:r>
        <w:rPr>
          <w:rFonts w:ascii="Times New Roman" w:hAnsi="Times New Roman" w:eastAsia="宋体"/>
          <w:sz w:val="21"/>
        </w:rPr>
        <w:t xml:space="preserve">时间: 2026-02-09 | </w:t>
      </w:r>
      <w:r>
        <w:t xml:space="preserve">链接: </w:t>
      </w:r>
      <w:hyperlink r:id="rId36">
        <w:r>
          <w:rPr>
            <w:rFonts w:ascii="Times New Roman" w:hAnsi="Times New Roman" w:eastAsia="宋体"/>
            <w:color w:val="0000FF"/>
            <w:sz w:val="21"/>
            <w:u w:val="single"/>
          </w:rPr>
          <w:t>https://doi.org/10.1038/s41598-026-39390-x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文对含有纸浆污泥（PS）的轻质水泥复合材料进行了综合研究。该研究的目的是评估珍珠岩（一种轻质火山玻璃骨料）和石灰泥（一种纸浆厂残渣）的结合如何影响复合材料的性能，包括机械强度、绝缘性和耐火性。高达 50% 的水泥粘结剂被 PS 替代（按质量计），小部分水泥 (5-15%) 被珍珠岩或石灰泥替代。采用了一套分析技术、材料表征和机械测试以及用于应变分析的数字图像相关 (DIC)。 X 射线分析表明，骨料由于其粒径和与水泥形成水合凝胶的能力，在很大程度上影响了复合材料的性能。添加 5% 的珍珠岩或石灰泥可在不影响重量减轻的情况下产生最佳强度，而较高的骨料含量 (15%) 会导致强度降低。 DIC 系统提供了对加载过程中应变分布的深入了解，证实了纤维 PS 的韧性增强。该复合材料明显更轻（732-749 kg/m 3 ），并且导热系数（0.17 W/mK）比纯水泥复合材料（0.25 W/mK）低约30%。由于其结构致密，复合材料的中高频法向入射吸声率约为0.3。该复合材料显示出作为可持续、轻质建筑材料的潜力，具有良好的隔音和隔热性能，以及基于 EN 634-1/-2 对水泥粘合刨花板的要求的非结构应用可接受的承载能力。</w:t>
      </w:r>
    </w:p>
    <w:p>
      <w:pPr>
        <w:spacing w:before="120"/>
      </w:pPr>
      <w:r>
        <w:rPr>
          <w:rFonts w:ascii="Times New Roman" w:hAnsi="Times New Roman" w:eastAsia="宋体"/>
          <w:b/>
          <w:sz w:val="21"/>
        </w:rPr>
        <w:t>English Abstract:</w:t>
      </w:r>
    </w:p>
    <w:p>
      <w:r>
        <w:rPr>
          <w:rFonts w:ascii="Times New Roman" w:hAnsi="Times New Roman" w:eastAsia="宋体"/>
          <w:sz w:val="21"/>
        </w:rPr>
        <w:t>Abstract This paper presents a comprehensive study on lightweight cement-bonded composites containing pulp sludge (PS). The objective of the study was to evaluate how the incorporation of perlite (a lightweight volcanic glass aggregate) and lime mud (a pulp mill residue) influences composites’ properties including mechanical strength, insulation and fire resistance. Up to 50% of the cement binder was replaced with PS (by mass), and small fractions of cement (5–15%) were replaced with perlite or lime mud. A suite of analytical techniques, material characterization and mechanical tests with digital image correlation (DIC) for strain analysis were employed. X-ray analysis showed that the aggregates influenced the composite properties to a considerable extent due to their particle sizes and ability to form hydrated gels with cement. Adding 5% of perlite or lime mud yields optimal strength without compromising weight reduction whereas higher aggregate content (15%) led to reduced strength. The DIC system provided insights into strain distribution during loading, confirming enhanced toughness from the fibrous PS. The composites were significantly lighter (732–749 kg/m 3 ) and showed about 30% lower thermal conductivity (0.17 W/mK) than pure cement composites (0.25 W/mK). The normal incidence sound absorption of the composites was about 0.3 at mid-high frequencies due to their compact structure. The composites demonstrated potential for use as sustainable, lightweight construction materials with good acoustic and thermal insulation, as well as acceptable load-bearing capacity for non-structural applications based on EN 634-1/-2 requirements for cement-bonded particleboards.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碳化硅纳米颗粒对碳玻璃环氧杂化复合材料机械和振动特性的影响</w:t>
      </w:r>
    </w:p>
    <w:p>
      <w:r>
        <w:rPr>
          <w:rFonts w:ascii="Times New Roman" w:hAnsi="Times New Roman" w:eastAsia="宋体"/>
          <w:b/>
          <w:color w:val="003264"/>
          <w:sz w:val="24"/>
        </w:rPr>
        <w:t>Effects of silicon carbide nanoparticles on mechanical and vibrational characteristics of carbon glass epoxy hybrid composites</w:t>
      </w:r>
    </w:p>
    <w:p>
      <w:r>
        <w:rPr>
          <w:rFonts w:ascii="Times New Roman" w:hAnsi="Times New Roman" w:eastAsia="宋体"/>
          <w:sz w:val="21"/>
        </w:rPr>
        <w:t>作者: K. S. Suhas, Vamsi Krishna Reddy, Yeturi Thirumanas Reddy, Yogeesha Pai</w:t>
        <w:br/>
      </w:r>
      <w:r>
        <w:rPr>
          <w:rFonts w:ascii="Times New Roman" w:hAnsi="Times New Roman" w:eastAsia="宋体"/>
          <w:sz w:val="21"/>
        </w:rPr>
        <w:t xml:space="preserve">时间: 2026-02-09 | </w:t>
      </w:r>
      <w:r>
        <w:t xml:space="preserve">链接: </w:t>
      </w:r>
      <w:hyperlink r:id="rId37">
        <w:r>
          <w:rPr>
            <w:rFonts w:ascii="Times New Roman" w:hAnsi="Times New Roman" w:eastAsia="宋体"/>
            <w:color w:val="0000FF"/>
            <w:sz w:val="21"/>
            <w:u w:val="single"/>
          </w:rPr>
          <w:t>https://doi.org/10.1038/s41598-026-39559-4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摘要：本研究对嵌入不同重量百分比的碳化硅 (SiC) 纳米颗粒的碳/玻璃纤维增​​强环氧混合层压板的机械、振动和声学性能进行了实验研究。层压板采用压缩成型工艺制造，采用碳纤维和玻璃纤维的六层交替堆叠顺序。进行了一系列全面的测试，以评估弯曲强度、拉伸性能、抗冲击性、自由振动特性和吸音性能。机械测试表明，含有 3 wt% SiC 的层压板达到了最高的拉伸强度 258.8 MPa、弯曲强度 292.6 MPa、杨氏模量 19.13 GPa 和冲击强度 67.9 kJ/m 2 ，表明由于均匀的纳米颗粒分散而实现了最佳的增强和有效的应力传递。与未增强（0 wt%）复合材料相比，这些值分别对应于约 19.05%、15.22%、15.37% 和 7.65% 的改进。 SEM 分析证实了最佳填料含量下纤维-基体相互作用的改善和微观结构缺陷的最小化。相反，5 wt% SiC 样品表现出机械性能下降，这归因于颗粒团聚和界面结合减弱。振动分析表明，SiC 含量为 3 wt% 时，刚度和固有频率达到峰值，而阻尼性能则随着填料用量的增加而下降。声学测试表明，随着 SiC 含量的增加，传输损耗也会增加，其中 5 wt% 可产生最佳的声音衰减性能。研究得出的结论是，当填料含量优化时，将 SiC 纳米颗粒纳入碳/玻璃混合复合材料中可显着提高其多功能性能，其中 3 wt% 的 SiC 成分可在强度、刚度和声学效率之间实现最佳平衡。通过开发用于可持续航空航天/运输基础设施的弹性轻质复合材料，通过提高效率减少排放，从而推进 SDG 9（工业、创新和基础设施）。</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presents an experimental investigation into the mechanical, vibrational, and acoustic properties of carbon/glass fibre-reinforced epoxy hybrid laminates embedded with varying weight percentages of silicon carbide (SiC) nanoparticles. The laminates were fabricated using compression moulding, with a six-layer alternating stacking sequence of carbon and glass fibres. A comprehensive series of tests was conducted to assess flexural strength, tensile behaviour, impact resistance, free-vibration characteristics, and sound-absorption performance. Mechanical tests revealed that the laminate with 3 wt% SiC achieved the highest tensile strength of 258.8 MPa, flexural strength of 292.6 MPa, Young’s modulus of 19.13 GPa, and impact strength of 67.9 kJ/m 2 , indicating optimal reinforcement and efficient stress transfer due to uniform nanoparticle dispersion. These values correspond to improvements of approximately 19.05%, 15.22%, 15.37%, and 7.65%, respectively, compared to the unreinforced (0 wt%) composite. SEM analysis substantiated the improved fibre–matrix interaction and the minimal microstructural defects at the optimal filler content. Conversely, the 5 wt% SiC specimens exhibited reduced mechanical performance, attributed to particle agglomeration and weakened interfacial bonding. Vibration analysis indicated a peak in stiffness and natural frequency at 3 wt% SiC, while damping behaviour declined with increasing filler loading. Acoustic testing showed enhanced transmission loss with increasing SiC content, with 5 wt% yielding the best sound-attenuation performance. The study concludes that incorporating SiC nanoparticles into carbon/glass hybrid composites significantly improves their multifunctional performance when the filler content is optimized, with the 3 wt% SiC composition offering the best balance between strength, stiffness, and acoustic efficiency.This advances SDG 9 (Industry, Innovation and Infrastructure) by developing resilient, lightweight composites for sustainable aerospace/transport infrastructure, reducing emissions via efficiency gains.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2D DPS-OCDMA 的高容量、安全的星间光无线通信</w:t>
      </w:r>
    </w:p>
    <w:p>
      <w:r>
        <w:rPr>
          <w:rFonts w:ascii="Times New Roman" w:hAnsi="Times New Roman" w:eastAsia="宋体"/>
          <w:b/>
          <w:color w:val="003264"/>
          <w:sz w:val="24"/>
        </w:rPr>
        <w:t>High-capacity and secure inter-satellite optical wireless communication using 2D DPS-OCDMA</w:t>
      </w:r>
    </w:p>
    <w:p>
      <w:r>
        <w:rPr>
          <w:rFonts w:ascii="Times New Roman" w:hAnsi="Times New Roman" w:eastAsia="宋体"/>
          <w:sz w:val="21"/>
        </w:rPr>
        <w:t>作者: Ammar Armghan, Somia A. Abd El-Mottaleb, Sultan S. Aldkeelalah, Slim Chaoui, Ahmed Emara, Mehtab Singh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https://doi.org/10.1038/s41598-026-38694-2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卫星间光无线通信 (IsOWC) 已成为下一代卫星网络中高容量和安全链路的一项有前景的技术。然而，整体系统效率高度依赖于几个设计因素，包括接收器孔径尺寸、指向误差、光学效率和额外传播损耗，必须仔细解决这些因素，以确保在长距离卫星间可靠运行。本文提出了一种增强的 IsOWC 模型，该模型采用基于对角置换移位 (DPS) 码的二维光码分多址 (2D-OCDMA) 来增强链路容量，同时保持安全传输。通过改变卫星间链路（ISL）、接收孔径直径、指向误差、光传输效率，在不同的信道场景下对所提出的系统进行评估。使用误码率 (BER)、Q 因子和目视检查等指标来评估系统性能。结果表明，采用2D-OCDMA显着提高了传输质量，实现了长达16,000公里的可靠通信。此外，使用 2D DPS 代码提供了固有的安全性，因为数据只能由配备适当代码序列的接收器解码。此外，所提出的系统支持 120 Gbps 的总体数据速率，在实际条件下，BER 值远低于前向纠错 (FEC) 阈值 (3.8 × 10−3)。</w:t>
      </w:r>
    </w:p>
    <w:p>
      <w:pPr>
        <w:spacing w:before="120"/>
      </w:pPr>
      <w:r>
        <w:rPr>
          <w:rFonts w:ascii="Times New Roman" w:hAnsi="Times New Roman" w:eastAsia="宋体"/>
          <w:b/>
          <w:sz w:val="21"/>
        </w:rPr>
        <w:t>English Abstract:</w:t>
      </w:r>
    </w:p>
    <w:p>
      <w:r>
        <w:rPr>
          <w:rFonts w:ascii="Times New Roman" w:hAnsi="Times New Roman" w:eastAsia="宋体"/>
          <w:sz w:val="21"/>
        </w:rPr>
        <w:t>Inter-satellite optical wireless communication (IsOWC) has emerged as a promising technology for high-capacity and secure links in next-generation satellite networks. The overall system efficiency, however, is highly dependent on several design factors, including the receiver aperture size, pointing error, optical efficiency, and additional propagation losses, which must be carefully addressed to ensure reliable operation over long inter-satellite distances. This paper proposes an enhanced IsOWC model that employs two-dimensional optical code division multiple access (2D-OCDMA) based on diagonal permutation shift (DPS) codes to enhance link capacity while maintaining secure transmission. The proposed system is assessed under diverse channel scenarios by altering the inter-satellite link (ISL), the diameter of the receiving aperture, pointing inaccuracies, optical transmission efficiency. System performance is evaluated using metrics including bit error rate (BER), Q-factor, and visual inspection. The results demonstrate that the adoption of 2D-OCDMA significantly improves transmission quality, achieving reliable communication over ranges up to 16,000 km. Furthermore, using 2D DPS code provides inherent security, since data can only be decoded by receivers equipped with the proper code sequence. Additionally, the proposed system supports an overall data rate of 120 Gbps with BER values well below the forward error correction (FEC) threshold (3.8 × 10−3) under realistic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通过生物炭和腐殖酸种子引发提高扁豆的种子质量和生理生化参数</w:t>
      </w:r>
    </w:p>
    <w:p>
      <w:r>
        <w:rPr>
          <w:rFonts w:ascii="Times New Roman" w:hAnsi="Times New Roman" w:eastAsia="宋体"/>
          <w:b/>
          <w:color w:val="003264"/>
          <w:sz w:val="24"/>
        </w:rPr>
        <w:t>Enhanced seed quality and physio-biochemical parameters in lentil through biochar and humic acid- based seed priming</w:t>
      </w:r>
    </w:p>
    <w:p>
      <w:r>
        <w:rPr>
          <w:rFonts w:ascii="Times New Roman" w:hAnsi="Times New Roman" w:eastAsia="宋体"/>
          <w:sz w:val="21"/>
        </w:rPr>
        <w:t>作者: Sumit Chauhan, Karthik Bhardwaj, Deepak Rao, Narender Pal, Rajneesh Kumar, Ajaz Ahmed Lone, Mehdi Rahimi</w:t>
        <w:br/>
      </w:r>
      <w:r>
        <w:rPr>
          <w:rFonts w:ascii="Times New Roman" w:hAnsi="Times New Roman" w:eastAsia="宋体"/>
          <w:sz w:val="21"/>
        </w:rPr>
        <w:t xml:space="preserve">时间: 2026-02-09 | </w:t>
      </w:r>
      <w:r>
        <w:t xml:space="preserve">链接: </w:t>
      </w:r>
      <w:hyperlink r:id="rId39">
        <w:r>
          <w:rPr>
            <w:rFonts w:ascii="Times New Roman" w:hAnsi="Times New Roman" w:eastAsia="宋体"/>
            <w:color w:val="0000FF"/>
            <w:sz w:val="21"/>
            <w:u w:val="single"/>
          </w:rPr>
          <w:t>https://doi.org/10.1038/s41598-026-39380-z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小扁豆 (Lens culinaris Medik.) 是一种营养价值很高的豆类作物，可通过生物固氮提高粮食安全和土壤肥力。然而，其生产力往往受到发芽不良和幼苗生长不均匀的限制。这项研究调查了生物炭和腐殖酸作为可持续的种子引发剂来改善扁豆种子的性能。经过初步优化后，在受控实验室条件下评估了两种药物的最有效浓度。评估发芽率、幼苗长度、活力指数、叶绿素含量和氧化应激反应（DAB 测定）。与未处理的对照相比，两种处理均显着增强了种子和幼苗的性状（p &lt; 0.05）。与对照相比，生物炭引发使发芽率提高了 14.7%，幼苗长度提高了 26.3%，活力指数提高了 32.5%，同时叶绿素含量更高，过氧化氢积累减少，表明生理效率和胁迫缓解得到改善。腐植酸也提高了性能，但程度较小。结果表明，生物炭和腐植酸引发剂通过促进应激调节和有效的能量利用来增强种子活力和代谢活性。总体而言，生物炭成为改善扁豆发芽和早期生长的优质且环保的选择，为可持续豆类生产和气候适应型农业提供了实用方法。</w:t>
      </w:r>
    </w:p>
    <w:p>
      <w:pPr>
        <w:spacing w:before="120"/>
      </w:pPr>
      <w:r>
        <w:rPr>
          <w:rFonts w:ascii="Times New Roman" w:hAnsi="Times New Roman" w:eastAsia="宋体"/>
          <w:b/>
          <w:sz w:val="21"/>
        </w:rPr>
        <w:t>English Abstract:</w:t>
      </w:r>
    </w:p>
    <w:p>
      <w:r>
        <w:rPr>
          <w:rFonts w:ascii="Times New Roman" w:hAnsi="Times New Roman" w:eastAsia="宋体"/>
          <w:sz w:val="21"/>
        </w:rPr>
        <w:t>Lentil (Lens culinaris Medik.) is a nutritionally valuable pulse crop that enhances food security and soil fertility through biological nitrogen fixation. However, its productivity is often constrained by poor germination and uneven seedling establishment. This study investigated biochar and humic acid as sustainable seed-priming agents to improve lentil seed performance. After preliminary optimization, the most effective concentrations of both agents were evaluated under controlled laboratory conditions. Germination percentage, seedling length, vigour indices, chlorophyll content, and oxidative stress response (DAB assay) were assessed. Both treatments significantly enhanced seed and seedling traits compared with unprimed controls (p &lt; 0.05). Biochar priming increased germination by 14.7%, seedling length by 26.3%, and vigour index by 32.5% over control, alongside higher chlorophyll content and reduced hydrogen peroxide accumulation, indicating improved physiological efficiency and stress mitigation. Humic acid also improved performance, though to a lesser degree. The results demonstrate that biochar and humic acid priming enhance seed vigour and metabolic activity by promoting stress regulation and efficient energy utilization. Overall, biochar emerged as the superior and eco-friendly option for improving germination and early growth in lentil, offering a practical approach for sustainable pulse production and climate-resilient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 RUNOFF01 模型的性能和微流域设计潜力</w:t>
      </w:r>
    </w:p>
    <w:p>
      <w:r>
        <w:rPr>
          <w:rFonts w:ascii="Times New Roman" w:hAnsi="Times New Roman" w:eastAsia="宋体"/>
          <w:b/>
          <w:color w:val="003264"/>
          <w:sz w:val="24"/>
        </w:rPr>
        <w:t>Evaluating the RUNOFF01 model’s performance and potential for micro-catchment design</w:t>
      </w:r>
    </w:p>
    <w:p>
      <w:r>
        <w:rPr>
          <w:rFonts w:ascii="Times New Roman" w:hAnsi="Times New Roman" w:eastAsia="宋体"/>
          <w:sz w:val="21"/>
        </w:rPr>
        <w:t>作者: Ali Shabani, Artemis Roodari, Ali Reza Sepaskhah</w:t>
        <w:br/>
      </w:r>
      <w:r>
        <w:rPr>
          <w:rFonts w:ascii="Times New Roman" w:hAnsi="Times New Roman" w:eastAsia="宋体"/>
          <w:sz w:val="21"/>
        </w:rPr>
        <w:t xml:space="preserve">时间: 2026-02-09 | </w:t>
      </w:r>
      <w:r>
        <w:t xml:space="preserve">链接: </w:t>
      </w:r>
      <w:hyperlink r:id="rId40">
        <w:r>
          <w:rPr>
            <w:rFonts w:ascii="Times New Roman" w:hAnsi="Times New Roman" w:eastAsia="宋体"/>
            <w:color w:val="0000FF"/>
            <w:sz w:val="21"/>
            <w:u w:val="single"/>
          </w:rPr>
          <w:t>https://doi.org/10.1038/s41598-026-36785-8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 RUNOFF01 模型在整个流域都会产生径流、规模效应可以忽略不计的情况下模拟霍顿地表径流的性能。该模型针对三个不同的数据集进行了验证：(1) 在经过各种表面处理（砾石、波纹和化学改良剂）的壤土上进行的降雨模拟器实验，(2) 在不同坡度和降雨强度下对砂壤土和粉质粘土进行的水槽实验，以及 (3) 来自 4.83 公顷农业流域的数据。使用归一化均方根误差 (NRMSE &lt; 0.2)、一致性指数 (d &gt; 0.96) 和 F 检验进行的统计分析表明，所有情景中的模拟径流和测量径流之间具有很强的一致性。结果证实，对于小于 350 m 的坡长和延长的降雨持续时间（在干旱地区微流域中常见），可以快速达到平衡时间 (tₑ)，并且该模型使用降雨强度、入渗率和坡度等关键输入准确预测径流量。 RUNOFF01 模型可用作设计未计量农业流域的集水系统和土壤保持策略的可靠工具。</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the performance of the RUNOFF01 model for simulating Hortonian overland flow under conditions where the entire watershed contributes to runoff, rendering scale effects negligible. The model was validated against three distinct datasets: (1) rainfall simulator experiments on a loam soil with various surface treatments (gravel, corrugations, and chemical amendments), (2) flume experiments on sandy loam and silty clay soils under different slopes and rainfall intensities, and (3) data from a 4.83-hectare agricultural catchment. Statistical analysis, using normalized root mean square error (NRMSE &lt; 0.2), index of agreement (d &gt; 0.96), and F-tests, demonstrated strong agreement between simulated and measured runoff across all scenarios. The results confirm that for slope lengths under ~ 350 m and extended rainfall duration—common in arid-region micro-catchments—the time to equilibrium (tₑ) is rapidly achieved, and the model accurately predicts runoff volume using key inputs like rainfall intensity, infiltration rate, and slope. The RUNOFF01 model can be used as a reliable tool for designing water harvesting systems and soil conservation strategies in ungauged agricultural basins.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 壳线发射观察到的中带电离子的等离子体筛选</w:t>
      </w:r>
    </w:p>
    <w:p>
      <w:r>
        <w:rPr>
          <w:rFonts w:ascii="Times New Roman" w:hAnsi="Times New Roman" w:eastAsia="宋体"/>
          <w:b/>
          <w:color w:val="003264"/>
          <w:sz w:val="24"/>
        </w:rPr>
        <w:t>Plasma screening in mid-charged ions observed by K-shell line emission</w:t>
      </w:r>
    </w:p>
    <w:p>
      <w:r>
        <w:rPr>
          <w:rFonts w:ascii="Times New Roman" w:hAnsi="Times New Roman" w:eastAsia="宋体"/>
          <w:sz w:val="21"/>
        </w:rPr>
        <w:t>作者: M. Šmíd, O. S. Humphries, C. Baehtz, V. Bouffetier, E. Brambrink, T. Burian, V. Cerantola, M. S. Cho, T. E. Cowan, L. Gaus, M. F. Gu, V. Hájková, L. Juha, J. Kaa, Z. Konopkova, M. Kozlová, H. P. Le, M. Makita, X. Pan, T. R. Preston, A. Schropp, J.-P. Schwinkendorf, H. A. Scott, R. Štefaníková, J. Vorberger, W. Wang, U. Zastrau, K. Falk</w:t>
        <w:br/>
      </w:r>
      <w:r>
        <w:rPr>
          <w:rFonts w:ascii="Times New Roman" w:hAnsi="Times New Roman" w:eastAsia="宋体"/>
          <w:sz w:val="21"/>
        </w:rPr>
        <w:t xml:space="preserve">时间: 2026-02-10 | </w:t>
      </w:r>
      <w:r>
        <w:t xml:space="preserve">链接: </w:t>
      </w:r>
      <w:hyperlink r:id="rId101">
        <w:r>
          <w:rPr>
            <w:rFonts w:ascii="Times New Roman" w:hAnsi="Times New Roman" w:eastAsia="宋体"/>
            <w:color w:val="0000FF"/>
            <w:sz w:val="21"/>
            <w:u w:val="single"/>
          </w:rPr>
          <w:t>https://doi.org/10.1038/s41598-026-39041-1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稠密等离子体环境通过微观电场的变化影响离子的电子结构，也称为等离子体屏蔽。这种效应可以通过简化的分析模型来估计，也可以通过计算量大且迄今为止未经验证的数值计算来估计。我们通过 X 射线自由电子激光器 (XFEL) 驱动的物质中束缚跃迁的能量变化，通过实验量化了等离子体筛选。这是通过识别观察到的 K $$\upalpha$$ α 、 K $$\upbeta$$ β 和 K $$\upgamma$$ γ 线的详细电子配置来实现的。这项工作为改进等离子体筛选模型铺平了道路，包括电离势抑制和连续介质降低等相关效应，这将增进对热稠密物质体系中原子物理学的理解。</w:t>
      </w:r>
    </w:p>
    <w:p>
      <w:pPr>
        <w:spacing w:before="120"/>
      </w:pPr>
      <w:r>
        <w:rPr>
          <w:rFonts w:ascii="Times New Roman" w:hAnsi="Times New Roman" w:eastAsia="宋体"/>
          <w:b/>
          <w:sz w:val="21"/>
        </w:rPr>
        <w:t>English Abstract:</w:t>
      </w:r>
    </w:p>
    <w:p>
      <w:r>
        <w:rPr>
          <w:rFonts w:ascii="Times New Roman" w:hAnsi="Times New Roman" w:eastAsia="宋体"/>
          <w:sz w:val="21"/>
        </w:rPr>
        <w:t>Abstract Dense plasma environment affects the electronic structure of ions via variations of the microscopic electrical fields, also known as plasma screening . This effect can be either estimated by simplified analytical models, or by computationally expensive and to date unverified numerical calculations. We have experimentally quantified plasma screening from the energy shifts of the bound-bound transitions in matter driven by the x-ray free electron laser (XFEL). This was enabled by identification of detailed electronic configurations of the observed K $$\upalpha$$ α , K $$\upbeta$$ β and K $$\upgamma$$ γ lines. This work paves the way for improving plasma screening models including connected effects like ionization potential depression and continuum lowering, which will advance the understanding of atomic physics in the Warm Dense Matter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微型柔性皮肤湿度传感器，具有优化线圈，可提高无线电源效率</w:t>
      </w:r>
    </w:p>
    <w:p>
      <w:r>
        <w:rPr>
          <w:rFonts w:ascii="Times New Roman" w:hAnsi="Times New Roman" w:eastAsia="宋体"/>
          <w:b/>
          <w:color w:val="003264"/>
          <w:sz w:val="24"/>
        </w:rPr>
        <w:t>Miniaturized flexible skin moisture sensor with optimized coil for enhanced wireless power efficiency</w:t>
      </w:r>
    </w:p>
    <w:p>
      <w:r>
        <w:rPr>
          <w:rFonts w:ascii="Times New Roman" w:hAnsi="Times New Roman" w:eastAsia="宋体"/>
          <w:sz w:val="21"/>
        </w:rPr>
        <w:t>作者: Jeonghyun Kim, Seongu Kim, Changyu Yeo, Minkyung Kim, Weonho Shin, Jeonghyun Kim</w:t>
        <w:br/>
      </w:r>
      <w:r>
        <w:rPr>
          <w:rFonts w:ascii="Times New Roman" w:hAnsi="Times New Roman" w:eastAsia="宋体"/>
          <w:sz w:val="21"/>
        </w:rPr>
        <w:t xml:space="preserve">时间: 2026-02-10 | </w:t>
      </w:r>
      <w:r>
        <w:t xml:space="preserve">链接: </w:t>
      </w:r>
      <w:hyperlink r:id="rId102">
        <w:r>
          <w:rPr>
            <w:rFonts w:ascii="Times New Roman" w:hAnsi="Times New Roman" w:eastAsia="宋体"/>
            <w:color w:val="0000FF"/>
            <w:sz w:val="21"/>
            <w:u w:val="single"/>
          </w:rPr>
          <w:t>https://doi.org/10.1038/s41598-026-38764-5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效的无线电力传输对于无电池可穿戴传感器的稳定运行至关重要。特别是对于基于近场通信（NFC）的传感器，天线线圈的性能是决定电力接收效率和数据通信可靠性的关键因素。然而，随着传感器变得越来越小，减小线圈尺寸会大大降低通信灵敏度，因此设计在有限区域内提供最佳性能的线圈至关重要。这项研究的重点是用于能够测量皮肤水合作用的可穿戴传感器的微型天线线圈的优化设计。考虑到可穿戴设备的特点，进行了设计和实验验证，即使在机械变形（例如皮肤表面弯曲）下也能保持稳定的谐振频率和稳健的功率接收和数据通信。因此，紧凑、无电池的传感器平台与优化的天线线圈集成，可以实时监测患者皮肤的水合作用，其耐用性已通过严格的环境测试得到证明。此外，聚二甲基硅氧烷 (PDMS) 封装可确保机械耐用性和长期稳定性。这项研究强调了线圈优化在下一代可穿戴医疗设备开发中的重要性，并为微型传感器系统提供了基本设计框架。</w:t>
      </w:r>
    </w:p>
    <w:p>
      <w:pPr>
        <w:spacing w:before="120"/>
      </w:pPr>
      <w:r>
        <w:rPr>
          <w:rFonts w:ascii="Times New Roman" w:hAnsi="Times New Roman" w:eastAsia="宋体"/>
          <w:b/>
          <w:sz w:val="21"/>
        </w:rPr>
        <w:t>English Abstract:</w:t>
      </w:r>
    </w:p>
    <w:p>
      <w:r>
        <w:rPr>
          <w:rFonts w:ascii="Times New Roman" w:hAnsi="Times New Roman" w:eastAsia="宋体"/>
          <w:sz w:val="21"/>
        </w:rPr>
        <w:t>Abstract Efficient wireless power transfer is essential for the stable operation of battery-free wearable sensors. Especially for Near Field Communication (NFC)-based sensors, the performance of the antenna coil is a critical factor in determining power reception efficiency and data communication reliability. However, as sensors become smaller, reducing coil size drastically reduces communication sensitivity, making it crucial to design a coil that delivers optimal performance within a limited area. This study focuses on the optimal design of a miniature antenna coil for a wearable sensor capable of measuring skin hydration. Considering the characteristics of wearable devices, the design and experimental validation were conducted to maintain a stable resonant frequency and robust power reception and data communication even under mechanical deformation, such as bending of the skin surface. Consequently, a compact, battery-free sensor platform integrated with the optimized antenna coil enables real-time monitoring of patient skin hydration, and its durability has been proven through rigorous environmental testing. Furthermore, polydimethylsiloxane (PDMS) encapsulation ensures mechanical durability and long-term stability. This study highlights the importance of coil optimization in the development of next-generation wearable healthcare devices and provides a basic design framework for miniature sensor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开发坚固的双功能 PPy 光热膜，用于同时收集淡水和盐</w:t>
      </w:r>
    </w:p>
    <w:p>
      <w:r>
        <w:rPr>
          <w:rFonts w:ascii="Times New Roman" w:hAnsi="Times New Roman" w:eastAsia="宋体"/>
          <w:b/>
          <w:color w:val="003264"/>
          <w:sz w:val="24"/>
        </w:rPr>
        <w:t>Development of robust dual functioning PPy-based photothermal membranes for simultaneous freshwater and salt harvesting</w:t>
      </w:r>
    </w:p>
    <w:p>
      <w:r>
        <w:rPr>
          <w:rFonts w:ascii="Times New Roman" w:hAnsi="Times New Roman" w:eastAsia="宋体"/>
          <w:sz w:val="21"/>
        </w:rPr>
        <w:t>作者: Mahmoud Taha Mahmoud, Hamdy Maamoun Abdel-Ghafar, Ahmed Abdou El-Sherif, Mohamed Saada El-Deab</w:t>
        <w:br/>
      </w:r>
      <w:r>
        <w:rPr>
          <w:rFonts w:ascii="Times New Roman" w:hAnsi="Times New Roman" w:eastAsia="宋体"/>
          <w:sz w:val="21"/>
        </w:rPr>
        <w:t xml:space="preserve">时间: 2026-02-10 | </w:t>
      </w:r>
      <w:r>
        <w:t xml:space="preserve">链接: </w:t>
      </w:r>
      <w:hyperlink r:id="rId103">
        <w:r>
          <w:rPr>
            <w:rFonts w:ascii="Times New Roman" w:hAnsi="Times New Roman" w:eastAsia="宋体"/>
            <w:color w:val="0000FF"/>
            <w:sz w:val="21"/>
            <w:u w:val="single"/>
          </w:rPr>
          <w:t>https://doi.org/10.1038/s41598-026-35812-y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太阳能驱动的光热膜代表了一种有前景的可持续且具有成本效益的海水淡化和废水处理方法。太阳能的可再生性和低环境影响推动了其在海水淡化技术中的采用。在这项工作中，化学气相沉积聚合（CVDP）用于在两种不同的织物类型（机织织物和非织造织物）上沉积高性能聚吡咯（PPy）涂层，从而实现广谱太阳光吸收和高效热转换，从而增强水蒸发。本研究研究了不同氧化剂在引发 CVDP 过程和在基材表面沉积 PPy 层方面的功效，以用作光热膜从不同含盐废水样品中收集淡水和盐。目标是实现高效聚合，目标吡咯用量低至 15 μL，以实现完美的 PPy 沉积。在所研究的氧化剂中，氯化铜和过硫酸铵在生产 PPy 涂层光热膜方面表现出最有效的性能。这些膜表现出优异的光吸收性，在模拟 1 个太阳光照 (1 kW m − 2 ) 下，表面温度达到 63 °C 和 60 °C，显示出促进的水蒸发率分别为 0.95 和 0.93 kg m − 2 h − 1 。同时，在3个太阳光照下，水蒸发率为2.91 kg m - 2 h - 1。此外，开发的坚固的光热膜针对不同的盐溶液（包括 NaCl、CuSO 4 .5H 2 O 和 FeCl 3）进行了测试，以便在太阳模拟器下同时进行水蒸发和盐收集。使用实际盐水样品在自然阳光下对开发的 A4 尺寸无纺布光热膜进行一周的测试。使用的光热膜在测试中显示出可回收性和耐用性。</w:t>
      </w:r>
    </w:p>
    <w:p>
      <w:pPr>
        <w:spacing w:before="120"/>
      </w:pPr>
      <w:r>
        <w:rPr>
          <w:rFonts w:ascii="Times New Roman" w:hAnsi="Times New Roman" w:eastAsia="宋体"/>
          <w:b/>
          <w:sz w:val="21"/>
        </w:rPr>
        <w:t>English Abstract:</w:t>
      </w:r>
    </w:p>
    <w:p>
      <w:r>
        <w:rPr>
          <w:rFonts w:ascii="Times New Roman" w:hAnsi="Times New Roman" w:eastAsia="宋体"/>
          <w:sz w:val="21"/>
        </w:rPr>
        <w:t>Abstract Photothermal membranes driven by solar energy represent a promising approach for sustainable and cost-effective desalination and wastewater treatment. Solar energy’s renewability and low environmental impact drive its adoption in desalination technologies. In this work, chemical vapor deposition polymerization (CVDP) is used to deposit high-performance polypyrrole (PPy) coatings on two different fabric types: woven and nonwoven, enabling broad-spectrum solar light absorption and efficient thermal conversion for enhanced water evaporation. This study investigated the efficacy of different oxidizing agents in initiating the CVDP process and in depositing PPy layer on the substrate surface, for use as a photothermal membrane to harvest freshwater and salt from different saline wastewater samples. The goal is to achieve efficient polymerization, targeting pyrrole usage as low as 15 μL for perfect PPy deposition. Among the investigated oxidizing agents, copper chloride and ammonium persulfate yielded the most effective performance in producing PPy-coated photothermal membranes. These membranes demonstrated superior light absorption and achieved surface temperatures of 63 °C and 60 °C under simulated 1 sun illumination (1 kW m − 2 ), showing facilitated enhanced water evaporation rates of 0.95 and 0.93 kg m − 2 h − 1 , respectively. Meanwhile, a a water evaporation rate of 2.91 kg m − 2 h − 1 under 3 sun illumination was obtained. Furthermore, the developed robust photothermal membranes tested against different saline solutions, including NaCl, CuSO 4 .5H 2 O, and FeCl 3 for simultaneous water evaporation and salt harvesting under solar simulator. A developed A4-size photothermal membrane from non-woven fabric was tested using actual brine water sample under natural sunlight for one week. The used photothermal membranes showed the recyclability and durability during the tests.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摩洛哥青年的心理困扰和社交媒体使用问题是由于害怕错过和社交媒体参与而造成的</w:t>
      </w:r>
    </w:p>
    <w:p>
      <w:r>
        <w:rPr>
          <w:rFonts w:ascii="Times New Roman" w:hAnsi="Times New Roman" w:eastAsia="宋体"/>
          <w:b/>
          <w:color w:val="003264"/>
          <w:sz w:val="24"/>
        </w:rPr>
        <w:t>Psychological distress and problematic social media use among Moroccan youth mediated by fear of missing out and social media engagement</w:t>
      </w:r>
    </w:p>
    <w:p>
      <w:r>
        <w:rPr>
          <w:rFonts w:ascii="Times New Roman" w:hAnsi="Times New Roman" w:eastAsia="宋体"/>
          <w:sz w:val="21"/>
        </w:rPr>
        <w:t>作者: Samira Abbouyi, Samira Bouazza, Btissame Zarrouq</w:t>
        <w:br/>
      </w:r>
      <w:r>
        <w:rPr>
          <w:rFonts w:ascii="Times New Roman" w:hAnsi="Times New Roman" w:eastAsia="宋体"/>
          <w:sz w:val="21"/>
        </w:rPr>
        <w:t xml:space="preserve">时间: 2026-02-10 | </w:t>
      </w:r>
      <w:r>
        <w:t xml:space="preserve">链接: </w:t>
      </w:r>
      <w:hyperlink r:id="rId104">
        <w:r>
          <w:rPr>
            <w:rFonts w:ascii="Times New Roman" w:hAnsi="Times New Roman" w:eastAsia="宋体"/>
            <w:color w:val="0000FF"/>
            <w:sz w:val="21"/>
            <w:u w:val="single"/>
          </w:rPr>
          <w:t>https://doi.org/10.1038/s41598-026-39206-y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有问题的社交媒体使用 (PSMU) 日益受到全球关注，尤其是在青少年和年轻人中，因为它与抑郁、焦虑和压力等不良心理健康结果有关。尽管在西方背景下进行了大量研究，但人们对中东和北非 (MENA) 地区（尤其是摩洛哥）的 PSMU 知之甚少。这项研究估计了摩洛哥青少年和年轻人中 PSMU 的患病率，并检查了其社会心理相关性，重点关注心理困扰（抑郁、焦虑、压力），并测试了对错过的恐惧 (FoMO) 和社交媒体参与度 (SME) 是否会调节这些关系。对 2202 名青少年和年轻人（1298 名女性（58.95%），904 名男性（41.05%）；年龄 14-23 岁）进行了一项横断面调查。使用经过验证的工具来评估 PSMU (BSMAS)、抑郁、焦虑和压力 (DASS-21)、FoMO 和 SME。统计分析包括描述性分析、相关性和多重中介模型。 PSMU 患病率为 25.5%（95% CI [23.7%, 27.3%]），在女性、老年青少年和年轻人、城市居民以及社会经济地位较低的参与者中较高。心理困扰与 PSMU 症状（BSMAS 总计）呈正相关，FoMO 和 SME 部分介导了这些关联。 SEM 模型解释了 PSMU 中 35% 的方差 (R² = 0.35)。 PSMU 在摩洛哥青少年和年轻人中非常普遍，并且与心理困扰、社会人口特征以及 FoMO 和 SME 等行为中介因素相关。这些发现强调需要制定适合文化的预防和干预计划，以促进更健康的社交媒体行为并增强青少年的福祉。</w:t>
      </w:r>
    </w:p>
    <w:p>
      <w:pPr>
        <w:spacing w:before="120"/>
      </w:pPr>
      <w:r>
        <w:rPr>
          <w:rFonts w:ascii="Times New Roman" w:hAnsi="Times New Roman" w:eastAsia="宋体"/>
          <w:b/>
          <w:sz w:val="21"/>
        </w:rPr>
        <w:t>English Abstract:</w:t>
      </w:r>
    </w:p>
    <w:p>
      <w:r>
        <w:rPr>
          <w:rFonts w:ascii="Times New Roman" w:hAnsi="Times New Roman" w:eastAsia="宋体"/>
          <w:sz w:val="21"/>
        </w:rPr>
        <w:t>Problematic social media use (PSMU) is an increasing global concern, especially among adolescents and young adults, because of its associations with adverse mental health outcomes such as depression, anxiety, and stress. While much research has been conducted in Western contexts, little is known about PSMU in the Middle East and North Africa (MENA) region, particularly in Morocco. This study estimated PSMU prevalence among Moroccan adolescents and young adults and examined its psychosocial correlates, focusing on psychological distress (depression, anxiety, stress), and tested whether fear of missing out (FoMO) and social media engagement (SME) mediate these relationships. A cross-sectional survey was conducted with N = 2202 adolescents and young adults (1298 females (58.95%), 904 males (41.05%) ; aged 14–23 years). Validated instruments were used to assess PSMU (BSMAS), depression, anxiety, and stress (DASS-21), FoMO, and SME. Statistical analyses included descriptive analyses, correlations, and multiple mediation models. PSMU prevalence was 25.5%, (95% CI [23.7%, 27.3%]) and was higher among females, older adolescents and young adults, urban residents, and participants with lower socioeconomic status. Psychological distress positively associated with PSMU symptoms (BSMAS total), and FoMO and SME partially mediated these associations. The SEM model explained 35% of the variance in PSMU (R² = 0.35). PSMU is highly prevalent among Moroccan adolescents and young adults and was associated with psychological distress, sociodemographic characteristics, and behavioral mediators such as FoMO and SME. These findings highlight the need for culturally tailored prevention and intervention programs to promote healthier social media behaviors and enhance adolescent well-being.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SAT：用于视频去噪的移位对齐变压器，无需流量估计</w:t>
      </w:r>
    </w:p>
    <w:p>
      <w:r>
        <w:rPr>
          <w:rFonts w:ascii="Times New Roman" w:hAnsi="Times New Roman" w:eastAsia="宋体"/>
          <w:b/>
          <w:color w:val="003264"/>
          <w:sz w:val="24"/>
        </w:rPr>
        <w:t>SAT: shift alignment transformer for video denoising without flow estimation</w:t>
      </w:r>
    </w:p>
    <w:p>
      <w:r>
        <w:rPr>
          <w:rFonts w:ascii="Times New Roman" w:hAnsi="Times New Roman" w:eastAsia="宋体"/>
          <w:sz w:val="21"/>
        </w:rPr>
        <w:t>作者: Xing Zhang, Siyuan Fan, Haikun Zhang, Yongji Gao, Yueli Hu</w:t>
        <w:br/>
      </w:r>
      <w:r>
        <w:rPr>
          <w:rFonts w:ascii="Times New Roman" w:hAnsi="Times New Roman" w:eastAsia="宋体"/>
          <w:sz w:val="21"/>
        </w:rPr>
        <w:t xml:space="preserve">时间: 2026-02-10 | </w:t>
      </w:r>
      <w:r>
        <w:t xml:space="preserve">链接: </w:t>
      </w:r>
      <w:hyperlink r:id="rId105">
        <w:r>
          <w:rPr>
            <w:rFonts w:ascii="Times New Roman" w:hAnsi="Times New Roman" w:eastAsia="宋体"/>
            <w:color w:val="0000FF"/>
            <w:sz w:val="21"/>
            <w:u w:val="single"/>
          </w:rPr>
          <w:t>https://doi.org/10.1038/s41598-026-38431-9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去噪旨在从时间相关的噪声帧中恢复具有丰富结构细节的干净视频序列，其核心挑战在于在复杂运动条件下有效聚合长距离时间信息。现有的滑动窗口和基于循环的方法受到有限的感受野或受限的并行性的影响，而最近基于 Transformer 的方法虽然能够建模远程依赖关系，但受到固定窗口设计的限制，阻碍了大规模运动处理。在本文中，我们提出了一种新颖且高效的视频去噪移位对齐变换器（SAT），它能够在扩展时空区域上进行隐式特征对齐和聚合，而无需依赖光流估计。所提出的框架引入了两种互补机制：时间段移位（Time Segment Shift）和局部窗口移位（Local Window Shift），前者通过动态移位时间窗口来建立帧间相关性，后者通过空间窗口位移来增强帧内上下文建模。这些设计共同实现了灵活的感受野扩展，同时保持了计算效率。对 RGB 域中的合成高斯噪声去除和 RAW 域中的真实视频去噪进行的大量实验表明，SAT 在去噪精度方面始终优于或匹配最先进的方法，同时在性能和计算成本之间实现了良好的平衡。这些结果表明，所提出的 SAT 为视频去噪中的远程时空建模提供了有效且实用的解决方案，为显式运动估计和固定窗口 Transformer 架构提供了稳健的替代方案。</w:t>
      </w:r>
    </w:p>
    <w:p>
      <w:pPr>
        <w:spacing w:before="120"/>
      </w:pPr>
      <w:r>
        <w:rPr>
          <w:rFonts w:ascii="Times New Roman" w:hAnsi="Times New Roman" w:eastAsia="宋体"/>
          <w:b/>
          <w:sz w:val="21"/>
        </w:rPr>
        <w:t>English Abstract:</w:t>
      </w:r>
    </w:p>
    <w:p>
      <w:r>
        <w:rPr>
          <w:rFonts w:ascii="Times New Roman" w:hAnsi="Times New Roman" w:eastAsia="宋体"/>
          <w:sz w:val="21"/>
        </w:rPr>
        <w:t>Video denoising aims to recover clean video sequences with rich structural details from temporally correlated noisy frames, where the core challenge lies in effectively aggregating long-range temporal information under complex motion conditions. Existing sliding-window and recurrent-based approaches suffer from limited receptive fields or restricted parallelism, while recent Transformer-based methods, although capable of modeling long-range dependencies, are constrained by fixed-window designs that hinder large-scale motion handling. In this paper, we propose a novel and efficient Shift Alignment Transformer (SAT) for video denoising, which enables implicit feature alignment and aggregation over extended spatiotemporal regions without relying on optical flow estimation. The proposed framework introduces two complementary mechanisms: Time Segment Shift, which establishes inter-frame correlations by dynamically shifting temporal windows, and Local Window Shift, which enhances intra-frame contextual modeling through spatial window displacement. Together, these designs enable flexible receptive field expansion while maintaining computational efficiency. Extensive experiments conducted on both synthetic Gaussian noise removal in the RGB domain and real-world video denoising in the RAW domain demonstrate that SAT consistently outperforms or matches state-of-the-art methods in terms of denoising accuracy, while achieving a favorable balance between performance and computational cost. These results indicate that the proposed SAT provides an effective and practical solution for long-range spatiotemporal modeling in video denoising, offering a robust alternative to explicit motion estimation and fixed-window Transformer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GIS 的步行规划，促进伊朗历史悠久的萨里城的可持续城市旅游业</w:t>
      </w:r>
    </w:p>
    <w:p>
      <w:r>
        <w:rPr>
          <w:rFonts w:ascii="Times New Roman" w:hAnsi="Times New Roman" w:eastAsia="宋体"/>
          <w:b/>
          <w:color w:val="003264"/>
          <w:sz w:val="24"/>
        </w:rPr>
        <w:t>Promoting sustainable urban tourism in Historic Sari, Iran through GIS-based walkability planning</w:t>
      </w:r>
    </w:p>
    <w:p>
      <w:r>
        <w:rPr>
          <w:rFonts w:ascii="Times New Roman" w:hAnsi="Times New Roman" w:eastAsia="宋体"/>
          <w:sz w:val="21"/>
        </w:rPr>
        <w:t>作者: Omid Mansourihanis, Ali Soltani, Mohsen RoohaniQadikolaei</w:t>
        <w:br/>
      </w:r>
      <w:r>
        <w:rPr>
          <w:rFonts w:ascii="Times New Roman" w:hAnsi="Times New Roman" w:eastAsia="宋体"/>
          <w:sz w:val="21"/>
        </w:rPr>
        <w:t xml:space="preserve">时间: 2026-02-10 | </w:t>
      </w:r>
      <w:r>
        <w:t xml:space="preserve">链接: </w:t>
      </w:r>
      <w:hyperlink r:id="rId106">
        <w:r>
          <w:rPr>
            <w:rFonts w:ascii="Times New Roman" w:hAnsi="Times New Roman" w:eastAsia="宋体"/>
            <w:color w:val="0000FF"/>
            <w:sz w:val="21"/>
            <w:u w:val="single"/>
          </w:rPr>
          <w:t>https://doi.org/10.1038/s41598-024-63807-0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尽管有珍贵的历史建筑和轴线等旅游景点，萨里城的历史街区却未能吸引游客。本文旨在通过利用 GIS 路线优化和专属步行网络建模，提高步行适宜性并促进旅游业发展。本研究重点关注伊朗城市萨里，强调城市规划中的可持续城市发展和旅游业。通过将每个网络边缘的逆需求指数作为成本因素，创建一条优化的旅游路线，在有效连接历史地点的同时连接和保护文化遗产。该研究证明了该方法对于具有可比特征的历史城市的适用性，为人行道建模和可达性分析提供了一种创新方法。根据该文章的研究结果，利用基于 GIS 的多标准方法可显着增强历史城市环境中的步行性。该研究的结论强调了在伊朗萨里创建一条更高效的旅游路线，及其在促进其他历史地区旅游业和促进可持续城市社区的潜力。</w:t>
      </w:r>
    </w:p>
    <w:p>
      <w:pPr>
        <w:spacing w:before="120"/>
      </w:pPr>
      <w:r>
        <w:rPr>
          <w:rFonts w:ascii="Times New Roman" w:hAnsi="Times New Roman" w:eastAsia="宋体"/>
          <w:b/>
          <w:sz w:val="21"/>
        </w:rPr>
        <w:t>English Abstract:</w:t>
      </w:r>
    </w:p>
    <w:p>
      <w:r>
        <w:rPr>
          <w:rFonts w:ascii="Times New Roman" w:hAnsi="Times New Roman" w:eastAsia="宋体"/>
          <w:sz w:val="21"/>
        </w:rPr>
        <w:t>Despite tourist attractions such as valuable historical buildings and axes, the historical district of Sari City has failed to attract visitors. By utilizing GIS route optimization and modeling exclusive pedestrian networks, this article seeks to improve walkability and promote tourism. This study concentrates on the Iranian city of Sari and emphasises sustainable urban development and tourism in urban planning. By incorporating the inverse desirability index of each network edge as a cost factor, an optimised tourist route is created that connects and preserves cultural heritage while efficiently connecting historical locations. The research demonstrates the applicability of this methodology to historical cities with comparable characteristics, providing an innovative approach to sidewalk modeling and accessibility analysis. Utilizing a multi-criteria GIS-based approach substantially enhances walkability in historic urban environments, according to the article's findings. The conclusion of the study highlights the creation of a more efficient tourist route in Sari, Iran, as well as its potential for boosting tourism and promoting sustainable urban communities in other historical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异氟烷通过抑制线粒体健康来加剧成虫线虫中已有的蛋白质毒性</w:t>
      </w:r>
    </w:p>
    <w:p>
      <w:r>
        <w:rPr>
          <w:rFonts w:ascii="Times New Roman" w:hAnsi="Times New Roman" w:eastAsia="宋体"/>
          <w:b/>
          <w:color w:val="003264"/>
          <w:sz w:val="24"/>
        </w:rPr>
        <w:t>Isoflurane aggravates pre-existing proteotoxicity in adult nematodes by suppressing mitochondrial fitness</w:t>
      </w:r>
    </w:p>
    <w:p>
      <w:r>
        <w:rPr>
          <w:rFonts w:ascii="Times New Roman" w:hAnsi="Times New Roman" w:eastAsia="宋体"/>
          <w:sz w:val="21"/>
        </w:rPr>
        <w:t>作者: Tayir Elami, Huadong Zhu, Reut Bruck-Haimson, Vijigisha Srivastava, Adam Zaretsky, Irit Cohen, Einav Gross, Ehud Cohen</w:t>
        <w:br/>
      </w:r>
      <w:r>
        <w:rPr>
          <w:rFonts w:ascii="Times New Roman" w:hAnsi="Times New Roman" w:eastAsia="宋体"/>
          <w:sz w:val="21"/>
        </w:rPr>
        <w:t xml:space="preserve">时间: 2026-02-10 | </w:t>
      </w:r>
      <w:r>
        <w:t xml:space="preserve">链接: </w:t>
      </w:r>
      <w:hyperlink r:id="rId107">
        <w:r>
          <w:rPr>
            <w:rFonts w:ascii="Times New Roman" w:hAnsi="Times New Roman" w:eastAsia="宋体"/>
            <w:color w:val="0000FF"/>
            <w:sz w:val="21"/>
            <w:u w:val="single"/>
          </w:rPr>
          <w:t>https://doi.org/10.1038/s41598-026-38591-8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术后谵妄 (POD) 是一种急性并发症，其特点是注意力波动和意识混​​乱，可能发展并持续导致认知能力下降。 POD 最常见于老年患者，特别是那些已有认知障碍的患者。异氟烷是一种广泛使用的挥发性麻醉剂，与 POD 有关。然而。暴露于异氟烷如何影响蛋白质组的完整性在很大程度上尚不清楚。利用线虫秀丽隐杆线虫，我们发现异氟醚会导致成年动物的蛋白质稳态（蛋白质稳态）长期下降，这些成年动物表达引起神经变性的异常长的聚谷氨酰胺延伸。异氟烷诱导的蛋白质稳态损伤依赖于衰老调节转录因子 DAF-16/FOXO 和 SKN-1/NRF，并且可以通过敲低线粒体自噬机制的某些成分来缓解。因此，线粒体生物发生的诱导可以保护受到蛋白质聚集挑战的蠕虫免受异氟烷诱导的蛋白质毒性。我们的观察结果为异氟烷、蛋白质毒性和 POD 之间的联系机制提供了新的见解，并强调了线粒体自噬调节剂作为 POD 缓解剂的潜力。</w:t>
      </w:r>
    </w:p>
    <w:p>
      <w:pPr>
        <w:spacing w:before="120"/>
      </w:pPr>
      <w:r>
        <w:rPr>
          <w:rFonts w:ascii="Times New Roman" w:hAnsi="Times New Roman" w:eastAsia="宋体"/>
          <w:b/>
          <w:sz w:val="21"/>
        </w:rPr>
        <w:t>English Abstract:</w:t>
      </w:r>
    </w:p>
    <w:p>
      <w:r>
        <w:rPr>
          <w:rFonts w:ascii="Times New Roman" w:hAnsi="Times New Roman" w:eastAsia="宋体"/>
          <w:sz w:val="21"/>
        </w:rPr>
        <w:t>Post operative delirium (POD) is an acute complication, characterized by fluctuating attention and confusion, which may develop and persist into cognitive decline. POD is most commonly observed in elderly patients, particularly those with preexisting cognitive impairments. Isoflurane, a widely used volatile anesthetic, is associated with POD. However. how exposure to isoflurane affects the integrity of the proteome is largely obscure. Utilizing the nematode C. elegans, we found that isoflurane leads to a long-lasting decline in protein homeostasis (proteostasis) of adult animals that express neurodegeneration-causing, abnormally long poly-glutamine stretches. Isoflurane-induced proteostasis impairments are dependent on the aging-regulating transcription factors DAF-16/FOXO and SKN-1/NRF, and can be alleviated by the knockdown of certain components of the mitophagy mechanism. Accordingly, induction of mitochondrial biogenesis protects worms that are challenged by protein aggregation from isoflurane-induced proteotoxicity. Our observations provide novel insights into the mechanism that links isoflurane, proteotoxicity and POD, and highlight the potential of mitophagy modulators as alleviators of POD.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使用基于奇异值分解的优化来主动减少厚板振动的方向调制压电片</w:t>
      </w:r>
    </w:p>
    <w:p>
      <w:r>
        <w:rPr>
          <w:rFonts w:ascii="Times New Roman" w:hAnsi="Times New Roman" w:eastAsia="宋体"/>
          <w:b/>
          <w:color w:val="003264"/>
          <w:sz w:val="24"/>
        </w:rPr>
        <w:t>Orientation modulated piezoelectric patches for active vibration reduction of thick plates using a singular value decomposition-based optimization</w:t>
      </w:r>
    </w:p>
    <w:p>
      <w:r>
        <w:rPr>
          <w:rFonts w:ascii="Times New Roman" w:hAnsi="Times New Roman" w:eastAsia="宋体"/>
          <w:sz w:val="21"/>
        </w:rPr>
        <w:t>作者: Azin Nadi, Mojtaba Mahzoon, Ehsan Azadi Yazdi</w:t>
        <w:br/>
      </w:r>
      <w:r>
        <w:rPr>
          <w:rFonts w:ascii="Times New Roman" w:hAnsi="Times New Roman" w:eastAsia="宋体"/>
          <w:sz w:val="21"/>
        </w:rPr>
        <w:t xml:space="preserve">时间: 2026-02-10 | </w:t>
      </w:r>
      <w:r>
        <w:t xml:space="preserve">链接: </w:t>
      </w:r>
      <w:hyperlink r:id="rId108">
        <w:r>
          <w:rPr>
            <w:rFonts w:ascii="Times New Roman" w:hAnsi="Times New Roman" w:eastAsia="宋体"/>
            <w:color w:val="0000FF"/>
            <w:sz w:val="21"/>
            <w:u w:val="single"/>
          </w:rPr>
          <w:t>https://doi.org/10.1038/s41598-026-36203-z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厚板的主动减振仍然是结构控制中的重大挑战。本研究提出了一种优化压电传感器/执行器对的方向以增强振动抑制的新方法。使用 Mindlin 板理论对厚板的动力学进行建模，并使用有限差分法进行求解。使用二进制编码遗传算法解决优化问题，以修改后的控制矩阵的奇异值分解（SVD）作为目标函数。对悬臂厚板的数值模拟表明，优化贴片方向和位置可显着改善减振效果。与仅位置优化相比，所提出的方法实现了平均闭环 dB 增益降低高达 25.85%，并且显着优于随机配置和基于薄板的配置。这些结果强调，压电贴片与局部应变方向的对齐对于最大化机电耦合和控制有效性至关重要。本框架提供了一种稳健而有效的方法，用于设计厚板结构中的高性能主动振动控制系统，强调了空间布局和方向对准对于实现卓越性能和资源效率的综合重要性。</w:t>
      </w:r>
    </w:p>
    <w:p>
      <w:pPr>
        <w:spacing w:before="120"/>
      </w:pPr>
      <w:r>
        <w:rPr>
          <w:rFonts w:ascii="Times New Roman" w:hAnsi="Times New Roman" w:eastAsia="宋体"/>
          <w:b/>
          <w:sz w:val="21"/>
        </w:rPr>
        <w:t>English Abstract:</w:t>
      </w:r>
    </w:p>
    <w:p>
      <w:r>
        <w:rPr>
          <w:rFonts w:ascii="Times New Roman" w:hAnsi="Times New Roman" w:eastAsia="宋体"/>
          <w:sz w:val="21"/>
        </w:rPr>
        <w:t>Active vibration reduction in thick plates remains a significant challenge in structural control. This study proposes a novel method for optimizing the orientation of piezoelectric sensor/actuator pairs to enhance vibration suppression. The dynamics of thick plates are modeled using Mindlin plate theory and solved using the finite difference method. The optimization problem is addressed using a binary-coded genetic algorithm, with Singular Value Decomposition (SVD) of the modified control matrix as the objective function. Numerical simulations on a cantilever thick plate demonstrate that optimizing both patch orientation and location significantly improves vibration reduction. The proposed method achieves an average closed-loop dB gain reduction of up to 25.85% compared to location-only optimization and substantially outperforms both random and thin-plate-based configurations. These results highlight that alignment of piezoelectric patches with local strain directions is critical for maximizing electromechanical coupling and control effectiveness. The present framework offers a robust and efficient approach for designing high-performance active vibration control systems in thick plate structures, highlighting the combined importance of spatial placement and directional alignment for achieving superior performance and resource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对虚拟化身的神经反应是由用户偏好和个性特征决定的</w:t>
      </w:r>
    </w:p>
    <w:p>
      <w:r>
        <w:rPr>
          <w:rFonts w:ascii="Times New Roman" w:hAnsi="Times New Roman" w:eastAsia="宋体"/>
          <w:b/>
          <w:color w:val="003264"/>
          <w:sz w:val="24"/>
        </w:rPr>
        <w:t>Neural responses to virtual avatars are shaped by user preference and personality traits</w:t>
      </w:r>
    </w:p>
    <w:p>
      <w:r>
        <w:rPr>
          <w:rFonts w:ascii="Times New Roman" w:hAnsi="Times New Roman" w:eastAsia="宋体"/>
          <w:sz w:val="21"/>
        </w:rPr>
        <w:t>作者: Ayumi Takemoto, Motoaki Sugiura</w:t>
        <w:br/>
      </w:r>
      <w:r>
        <w:rPr>
          <w:rFonts w:ascii="Times New Roman" w:hAnsi="Times New Roman" w:eastAsia="宋体"/>
          <w:sz w:val="21"/>
        </w:rPr>
        <w:t xml:space="preserve">时间: 2026-02-10 | </w:t>
      </w:r>
      <w:r>
        <w:t xml:space="preserve">链接: </w:t>
      </w:r>
      <w:hyperlink r:id="rId109">
        <w:r>
          <w:rPr>
            <w:rFonts w:ascii="Times New Roman" w:hAnsi="Times New Roman" w:eastAsia="宋体"/>
            <w:color w:val="0000FF"/>
            <w:sz w:val="21"/>
            <w:u w:val="single"/>
          </w:rPr>
          <w:t>https://doi.org/10.1038/s41598-026-39704-z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调查个体差异对选定和未选定的重新参与化身的大脑活动的影响。过去十年中，一些人机交互应用程序的发展加速了。为了在不失去用户兴趣和注意力的情况下开发使用虚拟化身的人机通信系统，本研究揭示了用户想要再次交谈的化身（选定的化身）和用户不想与之交谈的化身（非选择的化身）之间虚拟化身感知背后的神经机制的差异。招募了四十二人；他们依次观看了两个视频，其中每个虚拟化身都向他们打招呼，然后他们报告了他们想再次与哪些化身交谈。同时，通过功能磁共振成像（fMRI）记录大脑活动。功能磁共振成像记录后，对有关人格特征和头像印象的问卷回答进行了评分。将大脑活动与每个人格问卷的得分进行比较。结果表明，与未选择的化身相比，选择的化身中的左侧颞中回（MTG）更加活跃。此外，在选定的化身中，右额上回（SFG）和左中扣带回（MCG）的大脑活动与十项人格量表（TIPI）中的开放性得分在统计上呈负相关。这些发现表明，简短的化身评估过程中的神经反应与化身选择结果和个体性格差异相关。虽然这些结果不允许直接推断特定的心理过程，但它们提供了对人机交互中早期化身偏好形成的神经关联的深入了解。</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individual differences’ effects on brain activity in selected and non-selected avatars for re-engagement. The development of some applications for human–computer interaction has accelerated over the past decade. To develop a human–computer communication system using virtual avatars without losing the user’s interest and attention, this study revealed differences in the neural mechanisms underlying the perception of virtual avatars between avatars with which users want to converse again (selected avatars) and those with which they do not (non-selected avatars). Forty-two individuals were recruited; they watched two videos in sequence in which each virtual avatar greeted them, and they then reported which avatars they wanted to talk to again. Meanwhile, brain activities were recorded by functional magnetic resonance imaging (fMRI). After the fMRI recording, the responses to the questionnaires regarding personality traits and avatar impressions were rated. Brain activities were compared along with the score of each personality questionnaire. The results indicated that the left middle temporal gyrus (MTG) was more active in selected compared to non-selected avatars. Furthermore, the brain activities of right superior frontal gyrus (SFG) and the left middle cingulate gyrus (MCG) had a statistically negative correlation with the score of openness in the Ten-Item Personality Inventory (TIPI) in selected avatars. These findings indicate that neural responses during brief avatar evaluation are associated with both avatar selection outcomes and individual personality differences. While these results do not permit direct inferences about specific psychological processes, they provide an insight into the neural correlates of early-stage avatar preference formation in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类风湿性关节炎 mRNA COVID-19 疫苗接种后的自身抗体和疾病控制稳定性：一项观察性队列研究</w:t>
      </w:r>
    </w:p>
    <w:p>
      <w:r>
        <w:rPr>
          <w:rFonts w:ascii="Times New Roman" w:hAnsi="Times New Roman" w:eastAsia="宋体"/>
          <w:b/>
          <w:color w:val="003264"/>
          <w:sz w:val="24"/>
        </w:rPr>
        <w:t>Autoantibody and disease control stability following mRNA COVID-19 vaccination in rheumatoid arthritis: an observational cohort study</w:t>
      </w:r>
    </w:p>
    <w:p>
      <w:r>
        <w:rPr>
          <w:rFonts w:ascii="Times New Roman" w:hAnsi="Times New Roman" w:eastAsia="宋体"/>
          <w:sz w:val="21"/>
        </w:rPr>
        <w:t>作者: Takayuki Fujii, Koichi Murata, Shuichiro Nakabo, Akira Onishi, Kosaku Murakami, Masao Tanaka, Akio Morinobu, Shuichi Matsuda</w:t>
        <w:br/>
      </w:r>
      <w:r>
        <w:rPr>
          <w:rFonts w:ascii="Times New Roman" w:hAnsi="Times New Roman" w:eastAsia="宋体"/>
          <w:sz w:val="21"/>
        </w:rPr>
        <w:t xml:space="preserve">时间: 2026-02-10 | </w:t>
      </w:r>
      <w:r>
        <w:t xml:space="preserve">链接: </w:t>
      </w:r>
      <w:hyperlink r:id="rId110">
        <w:r>
          <w:rPr>
            <w:rFonts w:ascii="Times New Roman" w:hAnsi="Times New Roman" w:eastAsia="宋体"/>
            <w:color w:val="0000FF"/>
            <w:sz w:val="21"/>
            <w:u w:val="single"/>
          </w:rPr>
          <w:t>https://doi.org/10.1038/s41598-026-38988-5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评估基于 mRNA 的 COVID-19 疫苗接种对自身抗体滴度、类风湿因子 (RF) 和抗瓜氨酸蛋白抗体 (ACPA) 以及类风湿性关节炎 (RA) 疾病控制的长期影响。在开始接种 COVID-19 疫苗之前至少就诊过 5 次的 RA 患者被纳入其中，并按其疫苗接种状况进行分类。使用广义线性混合模型分析 RF 和 ACPA 滴度的变化，以评估最多七剂疫苗剂量的患者内部趋势。使用加权广义线性模型与倾向评分重叠加权来比较已接种疫苗和未接种疫苗的患者之间的自身抗体滴度、血清转化率和疾病发作，以调整混杂因素。在 427 名患者中（359 名接种疫苗的患者，68 名未接种疫苗的患者），重复 mRNA 疫苗接种后，RF 显示出轻微但具有统计学意义的下降 (p &lt; 0.001)，而 ACPA 保持稳定 (p = 0.325)。协变量调整后，接种疫苗和未接种疫苗的患者之间未观察到 RF 或 ACPA 存在显着差异。 RF阴性疫苗接种患者中19.1%发生RF血清转化，未接种疫苗患者中11.8%发生ACPA血清转化，ACPA阴性疫苗接种患者中8.2%发生ACPA血清转化，未接种疫苗患者中ACPA血清转化发生率13.3%，无统计学差异。疾病发作数量没有发现显着差异（接种疫苗的患者为 3.82 ± 4.05，未接种疫苗的患者为 4.73 ± 5.38）。基于 mRNA 的 COVID-19 疫苗接种不会导致自身抗体滴度、血清转化率或疾病发作增加。相反，连续的疫苗剂量导致 RF 显着降低，这表明 mRNA 疫苗具有潜在有益的免疫调节作用，并支持 RA 中重复加强免疫的安全性。</w:t>
      </w:r>
    </w:p>
    <w:p>
      <w:pPr>
        <w:spacing w:before="120"/>
      </w:pPr>
      <w:r>
        <w:rPr>
          <w:rFonts w:ascii="Times New Roman" w:hAnsi="Times New Roman" w:eastAsia="宋体"/>
          <w:b/>
          <w:sz w:val="21"/>
        </w:rPr>
        <w:t>English Abstract:</w:t>
      </w:r>
    </w:p>
    <w:p>
      <w:r>
        <w:rPr>
          <w:rFonts w:ascii="Times New Roman" w:hAnsi="Times New Roman" w:eastAsia="宋体"/>
          <w:sz w:val="21"/>
        </w:rPr>
        <w:t>To evaluate the long-term impact of mRNA-based COVID-19 vaccination on autoantibody titers, rheumatoid factor (RF) and anti-citrullinated protein antibodies (ACPA), and disease control in rheumatoid arthritis (RA). RA patients with at least five visits before COVID-19 vaccination started were included and categorized by their vaccination status. Changes in RF and ACPA titers were analyzed using generalized linear mixed models to assess intra-patient trends over up to seven vaccine doses. Comparisons of autoantibody titers, seroconversion rates, and disease flares between vaccinated and non-vaccinated patients were performed using weighted generalized linear models with propensity score overlap weighting to adjust for confounding. Among 427 patients (359 vaccinated, 68 non-vaccinated), RF showed a slight but statistically significant decrease after repeated mRNA vaccinations (p &lt; 0.001), while ACPA remained stable (p = 0.325). No significant differences in RF or ACPA were observed between the vaccinated and non-vaccinated patients after covariate adjustment. RF seroconversion occurred in 19.1% of RF-negative vaccinated patients and 11.8% of non-vaccinated patients and ACPA seroconversion occurred in 8.2% of ACPA-negative vaccinated patients and 13.3% of non-vaccinated patients, showing no statistically significant difference. No significant differences were found in the number of disease flares (3.82 ± 4.05 in vaccinated, 4.73 ± 5.38 in non-vaccinated). mRNA-based COVID-19 vaccination did not lead to increased autoantibody titers, seroconversion rates, or disease flare. Instead, successive vaccine doses led to a significant RF decrease, suggesting that the mRNA vaccine has a potentially beneficial immunomodulatory effect and support the safety of repeated boosters in 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脑电图的年龄相关变化引起对倾斜表面上的平衡扰动的反应</w:t>
      </w:r>
    </w:p>
    <w:p>
      <w:r>
        <w:rPr>
          <w:rFonts w:ascii="Times New Roman" w:hAnsi="Times New Roman" w:eastAsia="宋体"/>
          <w:b/>
          <w:color w:val="003264"/>
          <w:sz w:val="24"/>
        </w:rPr>
        <w:t>Age related alteration in EEG evoked responses to balance perturbations on an inclined surface</w:t>
      </w:r>
    </w:p>
    <w:p>
      <w:r>
        <w:rPr>
          <w:rFonts w:ascii="Times New Roman" w:hAnsi="Times New Roman" w:eastAsia="宋体"/>
          <w:sz w:val="21"/>
        </w:rPr>
        <w:t>作者: Yu Chin Lim, Ananda Sidarta, Pablo Cruz Gonzalez, Jack Jiaqi Zhang, Patrick Wai Hang Kwong, Karen Sui Geok Chua</w:t>
        <w:br/>
      </w:r>
      <w:r>
        <w:rPr>
          <w:rFonts w:ascii="Times New Roman" w:hAnsi="Times New Roman" w:eastAsia="宋体"/>
          <w:sz w:val="21"/>
        </w:rPr>
        <w:t xml:space="preserve">时间: 2026-02-10 | </w:t>
      </w:r>
      <w:r>
        <w:t xml:space="preserve">链接: </w:t>
      </w:r>
      <w:hyperlink r:id="rId111">
        <w:r>
          <w:rPr>
            <w:rFonts w:ascii="Times New Roman" w:hAnsi="Times New Roman" w:eastAsia="宋体"/>
            <w:color w:val="0000FF"/>
            <w:sz w:val="21"/>
            <w:u w:val="single"/>
          </w:rPr>
          <w:t>https://doi.org/10.1038/s41598-026-39139-6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老年人的跌倒往往会因环境挑战而恶化，例如倾斜的地形，这增加了对直立稳定性控制的要求。研究这种条件下扰动引起的皮层活动可以帮助阐明姿势控制背后的神经机制。这项研究调查了皮层对斜坡引起的向前扰动的反应与年龄相关的差异，以及这些反应是否主要反映了恢复平衡的反应性运动控制。十名老年人和十名年轻人在斜坡上经历倾斜和释放扰动，同时在反应性踏步和非踏步块期间记录脑电图（EEG），并以平衡顺序呈现。分析包括事件相关电位、谱动力学和图论方法。与年轻人相比，老年人的 N100 反应延迟且降低，但迈步条件之间没有差异。与事件相关的光谱扰动表明，老年人扰动后 θ 和 β 功率同步性降低。网络分析表明，与年轻人相比，老年人具有更高的聚类系数和更高的整体效率，特别是在 θ 波段。不同条件下类似的早期皮质活动表明，扰动诱发的反应主要是由不平衡的检测驱动的。这些实证结果强调了与年龄相关的姿势调整变化的神经基础，为有针对性的干预措施提供了潜在的结果衡量标准。</w:t>
      </w:r>
    </w:p>
    <w:p>
      <w:pPr>
        <w:spacing w:before="120"/>
      </w:pPr>
      <w:r>
        <w:rPr>
          <w:rFonts w:ascii="Times New Roman" w:hAnsi="Times New Roman" w:eastAsia="宋体"/>
          <w:b/>
          <w:sz w:val="21"/>
        </w:rPr>
        <w:t>English Abstract:</w:t>
      </w:r>
    </w:p>
    <w:p>
      <w:r>
        <w:rPr>
          <w:rFonts w:ascii="Times New Roman" w:hAnsi="Times New Roman" w:eastAsia="宋体"/>
          <w:sz w:val="21"/>
        </w:rPr>
        <w:t>Falls in older adults are often worsened by environmental challenges, such as sloped terrain, which increase the demands on the control of upright stability. Studying cortical activities evoked by perturbations under such conditions can help elucidate the neural mechanisms underlying postural control. This study investigated age-related differences in cortical responses to slope-induced forward perturbations and whether these responses primarily reflect reactive motor control to regain balance. Ten older and ten young adults underwent lean-and-release perturbations on a slope while electroencephalography (EEG) was recorded during reactive stepping and non-stepping blocks, presented in a counterbalanced order. Analyses included event-related potentials, spectral dynamics, and graph theory approaches. Older adults showed delayed and reduced N100 responses compared to younger adults, with no differences between stepping conditions. Event-related spectral perturbations showed reduced post-perturbation theta and beta power synchronization in older adults. Network analysis indicated higher clustering coefficients and greater global efficiency in older adults compared to younger adults, particularly in the theta band. Similar early cortical activities across conditions suggest that perturbation-evoked responses are mainly driven by the detection of imbalance. These empirical results highlight the neural basis of age-related changes in postural adjustment, offering a potential outcome measure for targeted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O-RAID：用于超弹性全局数据备份的卫星星座架构</w:t>
      </w:r>
    </w:p>
    <w:p>
      <w:r>
        <w:rPr>
          <w:rFonts w:ascii="Times New Roman" w:hAnsi="Times New Roman" w:eastAsia="宋体"/>
          <w:b/>
          <w:color w:val="003264"/>
          <w:sz w:val="24"/>
        </w:rPr>
        <w:t>O-RAID: a satellite constellation architecture for ultra-resilient global data backup</w:t>
      </w:r>
    </w:p>
    <w:p>
      <w:r>
        <w:rPr>
          <w:rFonts w:ascii="Times New Roman" w:hAnsi="Times New Roman" w:eastAsia="宋体"/>
          <w:sz w:val="21"/>
        </w:rPr>
        <w:t>作者: R. G. N. Meegama</w:t>
        <w:br/>
      </w:r>
      <w:r>
        <w:rPr>
          <w:rFonts w:ascii="Times New Roman" w:hAnsi="Times New Roman" w:eastAsia="宋体"/>
          <w:sz w:val="21"/>
        </w:rPr>
        <w:t xml:space="preserve">时间: 2026-02-10 | </w:t>
      </w:r>
      <w:r>
        <w:t xml:space="preserve">链接: </w:t>
      </w:r>
      <w:hyperlink r:id="rId112">
        <w:r>
          <w:rPr>
            <w:rFonts w:ascii="Times New Roman" w:hAnsi="Times New Roman" w:eastAsia="宋体"/>
            <w:color w:val="0000FF"/>
            <w:sz w:val="21"/>
            <w:u w:val="single"/>
          </w:rPr>
          <w:t>https://doi.org/10.1038/s41598-026-38784-1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量的不断增长以及气候相关和地缘政治威胁的日益频繁，凸显了对超弹性备份基础设施的需求。本文提出了一种新颖的卫星RAID架构，称为O-RAID，其中卫星集群作为独立磁盘的分布式冗余阵列（RAID）运行，从而实现地球轨道上的大规模冷热备份存储。与之前的天基计算或卫星云中继工作不同，这项研究提出了轨道存储冗余、卫星间奇偶校验交换、耐延迟 RAID 协议和使用对地静止太阳能光束供电的正式设计。为了建立量化系统弹性的基础，我们开发了一个基于连续时间马尔可夫链 (CTMC) 模型的可靠性框架，定义了轨道 RAID 等效项未来生存性分析的状态和转换率。本文对系统架构、核心组件以及纠删码和通信的数学基础进行了全面分析。对系统可行性、生存性模拟、关键约束和通信开销进行了深入研究，得出的结论是，轨道备份存储为国家档案、抗灾存储和长期科学数据保存提供了一种可行且有前途的范例，预计到 2035 年技术准备就绪。</w:t>
      </w:r>
    </w:p>
    <w:p>
      <w:pPr>
        <w:spacing w:before="120"/>
      </w:pPr>
      <w:r>
        <w:rPr>
          <w:rFonts w:ascii="Times New Roman" w:hAnsi="Times New Roman" w:eastAsia="宋体"/>
          <w:b/>
          <w:sz w:val="21"/>
        </w:rPr>
        <w:t>English Abstract:</w:t>
      </w:r>
    </w:p>
    <w:p>
      <w:r>
        <w:rPr>
          <w:rFonts w:ascii="Times New Roman" w:hAnsi="Times New Roman" w:eastAsia="宋体"/>
          <w:sz w:val="21"/>
        </w:rPr>
        <w:t>Growing global data volumes and the increasing frequency of climate-related and geopolitical threats highlight the need for ultra-resilient backup infrastructures. This paper proposes a novel Satellite-RAID architecture, named O-RAID, in which clusters of satellites operate as a distributed redundant array of independent disks (RAID), enabling large-scale cold and warm backup storage in Earth’s orbit. Unlike previous work on space-based computing or satellite cloud relays, this research presents a formal design for orbital storage redundancy, inter-satellite parity exchange, latency-tolerant RAID protocols and power provisioning using a geostationary solar-energy beam. To establish a foundation for quantifying system resilience, we develop a reliability framework based on a Continuous-Time Markov Chain (CTMC) model, defining the states and transition rates for future survivability analysis of an orbital RAID equivalent. The paper provides a comprehensive analysis of the system architecture, its core components and the mathematical underpinnings for erasure coding and communication. An in-depth examination of system feasibility, survivability simulations, key constraints and communication overhead is presented, concluding that orbital backup storage presents a viable and promising paradigm for national archives, disaster-resilient storage and long-term scientific data preservation with technical readiness projected by 2035.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潮湿大气中火山云的湍流和粒子动力学</w:t>
      </w:r>
    </w:p>
    <w:p>
      <w:r>
        <w:rPr>
          <w:rFonts w:ascii="Times New Roman" w:hAnsi="Times New Roman" w:eastAsia="宋体"/>
          <w:b/>
          <w:color w:val="003264"/>
          <w:sz w:val="24"/>
        </w:rPr>
        <w:t>Turbulence and particle dynamics in volcanic clouds in humid atmospheres</w:t>
      </w:r>
    </w:p>
    <w:p>
      <w:r>
        <w:rPr>
          <w:rFonts w:ascii="Times New Roman" w:hAnsi="Times New Roman" w:eastAsia="宋体"/>
          <w:sz w:val="21"/>
        </w:rPr>
        <w:t>作者: Florencia Zapata, Pablo D. Mininni, S. Ravichandran, Corrado Cimarelli, Mie Ichihara</w:t>
        <w:br/>
      </w:r>
      <w:r>
        <w:rPr>
          <w:rFonts w:ascii="Times New Roman" w:hAnsi="Times New Roman" w:eastAsia="宋体"/>
          <w:sz w:val="21"/>
        </w:rPr>
        <w:t xml:space="preserve">时间: 2026-02-10 | </w:t>
      </w:r>
      <w:r>
        <w:t xml:space="preserve">链接: </w:t>
      </w:r>
      <w:hyperlink r:id="rId113">
        <w:r>
          <w:rPr>
            <w:rFonts w:ascii="Times New Roman" w:hAnsi="Times New Roman" w:eastAsia="宋体"/>
            <w:color w:val="0000FF"/>
            <w:sz w:val="21"/>
            <w:u w:val="single"/>
          </w:rPr>
          <w:t>https://doi.org/10.1038/s41598-026-39193-0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洪加汤加-洪加哈派 (HTHH) 喷发于世界标准时间 2022 年 1 月 15 日凌晨 04:00 左右开始，向平流层上方注入了大量水蒸气。随后的爆炸发生在异常潮湿的环境中。尽管最初爆炸产生的巨大伞云遮蔽了直接观察，但火山闪电提供了有关后来事件的信息。这促使人们重新评估大气和喷发驱动的水分如何影响火山云内的羽流动力学和湍流粒子碰撞，特别是在远远超出先前假设的湿度条件下。我们使用非静水、稳定分层的潮湿大气模型与惯性粒子相结合进行了高分辨率模拟。我们的模型采用了一种新颖的配方，可以独立控制大气和羽流源湿度。模拟再现了 HTHH 喷发脉冲期间观察到的闪电环形式的环形湍流区域，并表明湿度的增加将湍流区域向内压缩并增强了向上传输。此外，该模型还捕获与湿度调制的重力波相关的振荡羽流高度行为。这些发现揭示了火山喷发中水分、湍流和颗粒之间以前未探索过的耦合。它们还提供了一个框架，用于推断被预先存在的火山云遮蔽的连续喷发中的内部羽流特性和源参数。</w:t>
      </w:r>
    </w:p>
    <w:p>
      <w:pPr>
        <w:spacing w:before="120"/>
      </w:pPr>
      <w:r>
        <w:rPr>
          <w:rFonts w:ascii="Times New Roman" w:hAnsi="Times New Roman" w:eastAsia="宋体"/>
          <w:b/>
          <w:sz w:val="21"/>
        </w:rPr>
        <w:t>English Abstract:</w:t>
      </w:r>
    </w:p>
    <w:p>
      <w:r>
        <w:rPr>
          <w:rFonts w:ascii="Times New Roman" w:hAnsi="Times New Roman" w:eastAsia="宋体"/>
          <w:sz w:val="21"/>
        </w:rPr>
        <w:t>The eruption of Hunga Tonga–Hunga Ha’apai (HTHH), which began around 04:00 UTC on January 15, 2022, injected substantial amounts of water vapor above the stratosphere. The subsequent explosions occurred in an exceptionally humid environment. Although the massive umbrella cloud produced by the initial explosion obscured direct observation, volcanic lightning provided information about the later events. This prompts a reevaluation of how atmospheric and eruption-driven moisture affect plume dynamics and turbulent particle collisions within volcanic clouds, particularly under humidity conditions that greatly exceed those previously assumed. We conducted high-resolution simulations using a non-hydrostatic, stably stratified moist atmospheric model coupled with inertial particles. Our model incorporates a novel formulation that enables independent control of atmospheric and plume-source moisture. The simulations reproduce ring-shaped turbulent regions observed as lightning rings during the HTHH eruption pulses, and show that increased humidity compresses the turbulent regions inward and enhances upward transport. Additionally, the model captures oscillatory plume height behavior associated with gravity waves modulated by moisture. These findings shed light on a previously unexplored coupling between moisture, turbulence, and particles in volcanic eruptions. They also offer a framework for inferring internal plume properties and source parameters in successive eruptions obscured by pre-existing volcanic clouds.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较短和长时间运动时血浆胶质纤维酸性蛋白和泛素羧基末端水解酶同工酶 L1 的近距离检测</w:t>
      </w:r>
    </w:p>
    <w:p>
      <w:r>
        <w:rPr>
          <w:rFonts w:ascii="Times New Roman" w:hAnsi="Times New Roman" w:eastAsia="宋体"/>
          <w:b/>
          <w:color w:val="003264"/>
          <w:sz w:val="24"/>
        </w:rPr>
        <w:t>Near-care assay of plasma glial fibrillary acid protein and ubiquitin carboxyl-terminal hydrolase isozyme L1 with shorter and prolonged duration exercise</w:t>
      </w:r>
    </w:p>
    <w:p>
      <w:r>
        <w:rPr>
          <w:rFonts w:ascii="Times New Roman" w:hAnsi="Times New Roman" w:eastAsia="宋体"/>
          <w:sz w:val="21"/>
        </w:rPr>
        <w:t>作者: Michael John Stacey, Amanda Barden, Daniel Snape, Barney Wainwright, Iain Parsons, Todd Leckie, Daniel Fitzpatrick, Gerasimos Grivas, Yannis Pitsiladis, Tom Palin, John O’Hara, David Woods</w:t>
        <w:br/>
      </w:r>
      <w:r>
        <w:rPr>
          <w:rFonts w:ascii="Times New Roman" w:hAnsi="Times New Roman" w:eastAsia="宋体"/>
          <w:sz w:val="21"/>
        </w:rPr>
        <w:t xml:space="preserve">时间: 2026-02-10 | </w:t>
      </w:r>
      <w:r>
        <w:t xml:space="preserve">链接: </w:t>
      </w:r>
      <w:hyperlink r:id="rId114">
        <w:r>
          <w:rPr>
            <w:rFonts w:ascii="Times New Roman" w:hAnsi="Times New Roman" w:eastAsia="宋体"/>
            <w:color w:val="0000FF"/>
            <w:sz w:val="21"/>
            <w:u w:val="single"/>
          </w:rPr>
          <w:t>https://doi.org/10.1038/s41598-026-38768-1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外周血中测量的神经生物标志物可以补充创伤性脑损伤 (TBI) 后的治疗策略。胶质纤维酸性蛋白 (GFAP) 和泛素羧基末端水解酶同工酶 L1 (UCHL1) 的双重检测已获得 FDA 批准，可为 TBI 后神经影像学的决策阈值方法（GFAP &gt; 30 µg.L - 1 和/或 UCHL1 &gt; 360 µg.L - 1）提供信息。由于体力活动和热应变通常伴随着容易发生 TBI 的活动，因此我们研究了每个分子的量化（以及由此延伸的临床决策）是否会受到运动热应激的影响。在连续监测身体核心温度 (Tc) 的健康志愿者中，我们使用 i-STAT Alinity 评估血浆 GFAP 和 UCHL1 对实验室（四名女性、十八名男性受训参与者，在 32 °C 下骑自行车 45 分钟）和现场（三名女性和 22 名男性休闲马拉松运动员，完成时间 231 ± 34 分钟，峰值环境温度 11 °C）运动的反应。各自的总体 ΔTc 分别为 1.42 ± 0.37 °C 和 1.87 [1.53, 2.31] °C。通过实验室测试，GFAP 和 UCHL1 没有超过制造商的决策阈值。在整个马拉松比赛中，GFAP 保持稳定，而 UCH-L1 增加了一倍多（200 [200, 200] vs. 462 [310, 782] µg.L-1，P &lt; 0.0001），突破了 18/25 跑步者神经影像学的决策阈值。在解释用于 TBI 管理的 UCHL1 近护理检测时，应考虑更严重的运动热应激带来的混淆。</w:t>
      </w:r>
    </w:p>
    <w:p>
      <w:pPr>
        <w:spacing w:before="120"/>
      </w:pPr>
      <w:r>
        <w:rPr>
          <w:rFonts w:ascii="Times New Roman" w:hAnsi="Times New Roman" w:eastAsia="宋体"/>
          <w:b/>
          <w:sz w:val="21"/>
        </w:rPr>
        <w:t>English Abstract:</w:t>
      </w:r>
    </w:p>
    <w:p>
      <w:r>
        <w:rPr>
          <w:rFonts w:ascii="Times New Roman" w:hAnsi="Times New Roman" w:eastAsia="宋体"/>
          <w:sz w:val="21"/>
        </w:rPr>
        <w:t>Abstract Neurobiomarkers measured in peripheral blood can supplement management strategies following traumatic brain injury (TBI). Dual-assay of glial fibrillary acid protein (GFAP) and ubiquitin carboxyl-terminal hydrolase isozyme L1 (UCHL1) is FDA-approved to inform a decision threshold approach (GFAP &gt; 30 µg.L − 1 and/or UCHL1 &gt; 360 µg.L − 1 ) for post-TBI neuroimaging. As physical activity and thermal strain often accompany TBI-prone activities, we investigated whether each molecule’s quantification - and, by extension, clinical decisions - could be influenced by exercise-heat stress. In healthy volunteers monitored continuously for body core temperature (Tc), we used the i-STAT Alinity to assess plasma GFAP and UCHL1 responses to exercise in the laboratory (four female, eighteen male trained participants, cycling for 45 min in 32 °C) and field (three female and 22 male recreational marathon runners, finishing time 231 ± 34 min, peak ambient temperature 11 °C). Respective ΔTc overall were 1.42 ± 0.37 °C and 1.87 [1.53, 2.31] °C. With laboratory exercise, GFAP and UCHL1 did not exceed the manufacturer’s decision threshold. Across the marathon, GFAP was stable, whereas UCH-L1 more than doubled (200 [200, 200] vs. 462 [310, 782] µg.L-1, P &lt; 0.0001), breaching the decision threshold for neuroimaging in 18/25 runners. Confounding from more severe exercise-heat stress should be considered when interpreting near-care assay of UCHL1 for TBI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通过基于核苷酸富集的 MALDI-TOF MS 测定法对甲状腺癌的体细胞突变进行高灵敏度分析</w:t>
      </w:r>
    </w:p>
    <w:p>
      <w:r>
        <w:rPr>
          <w:rFonts w:ascii="Times New Roman" w:hAnsi="Times New Roman" w:eastAsia="宋体"/>
          <w:b/>
          <w:color w:val="003264"/>
          <w:sz w:val="24"/>
        </w:rPr>
        <w:t>Highly sensitive profiling somatic mutations of thyroid cancer by nucleotide-enrichment-based MALDI-TOF MS assay</w:t>
      </w:r>
    </w:p>
    <w:p>
      <w:r>
        <w:rPr>
          <w:rFonts w:ascii="Times New Roman" w:hAnsi="Times New Roman" w:eastAsia="宋体"/>
          <w:sz w:val="21"/>
        </w:rPr>
        <w:t>作者: Huili Bai, Ying Li, Jia Li, Ting Liu, Jun Xiao, Lihui Xia, Xueqin Sun, Wei Cheng</w:t>
        <w:br/>
      </w:r>
      <w:r>
        <w:rPr>
          <w:rFonts w:ascii="Times New Roman" w:hAnsi="Times New Roman" w:eastAsia="宋体"/>
          <w:sz w:val="21"/>
        </w:rPr>
        <w:t xml:space="preserve">时间: 2026-02-10 | </w:t>
      </w:r>
      <w:r>
        <w:t xml:space="preserve">链接: </w:t>
      </w:r>
      <w:hyperlink r:id="rId115">
        <w:r>
          <w:rPr>
            <w:rFonts w:ascii="Times New Roman" w:hAnsi="Times New Roman" w:eastAsia="宋体"/>
            <w:color w:val="0000FF"/>
            <w:sz w:val="21"/>
            <w:u w:val="single"/>
          </w:rPr>
          <w:t>https://doi.org/10.1038/s41598-026-39755-2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突变检测对于甲状腺癌的诊断、治疗决策和预后评估的临床应用越来越重要，特别是对于有限的甲状腺细针抽吸（FNA）样本。然而，目前缺乏能够同时实现甲状腺癌高灵敏度和高通量的经济有效的方法。在此，我们提出了一种新型多重突变检测技术，将核苷酸富集（NE）辅助的变异等位基因特异性识别与基质辅助激光解吸/电离飞行时间质谱（MALDI-TOF MS）相结合，称为NE-MS，能够同时识别甲状腺癌中的26种体细胞热点突变。该方法通过在单碱基延伸反应期间从核苷酸混合物中去除与野生型匹配的质量修饰双脱氧核苷酸 (ddNTP) 来增强灵敏度，从而使突变等位基因可用于分析。与常规 MS 方法相比，NE-MS 的 LOD 低 8 倍。该策略为甲状腺癌提供了出色的诊断性能，揭示了多种突变与甲状腺癌患者的不良预后相关。因此，本研究表明，NE-MS检测是一种高度灵敏且可靠的体细胞突变检测初步筛选方法，也是甲状腺结节的诊断和预后工具。</w:t>
      </w:r>
    </w:p>
    <w:p>
      <w:pPr>
        <w:spacing w:before="120"/>
      </w:pPr>
      <w:r>
        <w:rPr>
          <w:rFonts w:ascii="Times New Roman" w:hAnsi="Times New Roman" w:eastAsia="宋体"/>
          <w:b/>
          <w:sz w:val="21"/>
        </w:rPr>
        <w:t>English Abstract:</w:t>
      </w:r>
    </w:p>
    <w:p>
      <w:r>
        <w:rPr>
          <w:rFonts w:ascii="Times New Roman" w:hAnsi="Times New Roman" w:eastAsia="宋体"/>
          <w:sz w:val="21"/>
        </w:rPr>
        <w:t>Multiple mutation detection is increasingly essential for clinical applications targeting the diagnosis, treatment decision-making, and prognosis assessment of thyroid cancer, especially for the limited amount of thyroid fine-needle aspiration (FNA) samples. However, there is a lack of cost-effective methods that can simultaneously achieve high sensitivity and high throughput for thyroid cancer. Herein, we present a novel multiplex mutation detection technology that integrates nucleotide enrichment (NE)-assisted specific identification of variant alleles with matrix-assisted laser desorption/ionization time-of-flight mass spectrometry (MALDI-TOF MS), termed NE-MS, enabling the simultaneous identification of 26 somatic hotspot mutations in thyroid cancer. This method enhances sensitivity by removing the mass-modified dideoxynucleotide (ddNTP) matching the wild-type from the nucleotide mixture during the single-base extension reaction, leaving the mutant alleles available for analysis. NE-MS exhibits an 8-fold lower LOD compared to the regular MS method. This strategy provided an excellent diagnostic performance for thyroid cancer, revealing that multiple mutations are associated with poor prognosis in thyroid cancer patients. Accordingly, this study demonstrated that the NE-MS assay is a highly sensitive and reliable initial screening method for somatic mutation detection, as well as a diagnostic and prognostic tool for thyroid nodules.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归一化 Caputo–Fabrizio SVIR 建模和分岔分析</w:t>
      </w:r>
    </w:p>
    <w:p>
      <w:r>
        <w:rPr>
          <w:rFonts w:ascii="Times New Roman" w:hAnsi="Times New Roman" w:eastAsia="宋体"/>
          <w:b/>
          <w:color w:val="003264"/>
          <w:sz w:val="24"/>
        </w:rPr>
        <w:t>Normalized Caputo–Fabrizio SVIR modeling and bifurcation analysis</w:t>
      </w:r>
    </w:p>
    <w:p>
      <w:r>
        <w:rPr>
          <w:rFonts w:ascii="Times New Roman" w:hAnsi="Times New Roman" w:eastAsia="宋体"/>
          <w:sz w:val="21"/>
        </w:rPr>
        <w:t>作者: Ramsha Shafqat, Ashraf Al-Quran, Ateq Alsaadi, Abdelhamid Mohammed Djaouti</w:t>
        <w:br/>
      </w:r>
      <w:r>
        <w:rPr>
          <w:rFonts w:ascii="Times New Roman" w:hAnsi="Times New Roman" w:eastAsia="宋体"/>
          <w:sz w:val="21"/>
        </w:rPr>
        <w:t xml:space="preserve">时间: 2026-02-10 | </w:t>
      </w:r>
      <w:r>
        <w:t xml:space="preserve">链接: </w:t>
      </w:r>
      <w:hyperlink r:id="rId116">
        <w:r>
          <w:rPr>
            <w:rFonts w:ascii="Times New Roman" w:hAnsi="Times New Roman" w:eastAsia="宋体"/>
            <w:color w:val="0000FF"/>
            <w:sz w:val="21"/>
            <w:u w:val="single"/>
          </w:rPr>
          <w:t>https://doi.org/10.1038/s41598-026-38301-4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本研究采用归一化 Caputo–Fabrizio (NCF) 导数对分数阶 SVIR 流行病模型进行了全面的表述、理论分析和数值研究。 NCF 算子通过标准化的非奇异内核引入记忆效应，确保过去状态的物理一致权重。明确纳入疫苗接种动态，从而能够对流行病控制策略进行现实建模。我们建立了模型的关键数学属性，包括总人口的存在性、唯一性、正性、有界性和守恒性，并为其模拟提出了有效的数值方案。通过数值实验探讨了分数阶和核归一化的影响，强调了它们对流行病峰值幅度、瞬态动态和疫苗接种有效性的影响。严格的平衡和分岔分析表明，对于恒定疫苗接种的封闭SVIR结构，即使存在饱和发生率，也不会发生后向分岔和Hopf分岔。数值观察到的任何振荡行为都是瞬态的，并且是由分数记忆效应而不是持续的周期解引起的。这些结果阐明了封闭式 NCF-SVIR 框架的动力学局限性，并强调了部分记忆在塑造流行病轨迹中的作用。所提出的模型为未来的扩展提供了坚实的基础，包括人口流动或不完善的疫苗接种，其中可能会出现更丰富的分叉现象。</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formulation, theoretical analysis, and numerical investigation of a fractional-order SVIR epidemic model employing the normalized Caputo–Fabrizio (NCF) derivative. The NCF operator introduces memory effects through a normalized, non-singular kernel, ensuring physically consistent weighting of past states. Vaccination dynamics are explicitly incorporated, enabling realistic modeling of epidemic control strategies. We establish key mathematical properties of the model, including existence, uniqueness, positivity, boundedness, and conservation of the total population, and propose an efficient numerical scheme for its simulation. The influence of the fractional order and kernel normalization is explored through numerical experiments, highlighting their impact on epidemic peak magnitude, transient dynamics, and vaccination effectiveness. A rigorous equilibrium and bifurcation analysis shows that, for the closed SVIR structure with constant vaccination, neither backward bifurcation nor Hopf bifurcation can occur, even in the presence of saturated incidence. Any oscillatory behavior observed numerically is transient and induced by fractional memory effects rather than sustained periodic solutions. These results clarify the dynamical limitations of the closed NCF–SVIR framework and highlight the role of fractional memory in shaping epidemic trajectories. The proposed model provides a robust foundation for future extensions incorporating demographic turnover or imperfect vaccination, where richer bifurcation phenomena may arise.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当法学硕士谈论 ZigBee：探索网络流量生成的低延迟和推理模型</w:t>
      </w:r>
    </w:p>
    <w:p>
      <w:r>
        <w:rPr>
          <w:rFonts w:ascii="Times New Roman" w:hAnsi="Times New Roman" w:eastAsia="宋体"/>
          <w:b/>
          <w:color w:val="003264"/>
          <w:sz w:val="24"/>
        </w:rPr>
        <w:t>When LLMs speak ZigBee: exploring low-latency and reasoning models for network traffic generation</w:t>
      </w:r>
    </w:p>
    <w:p>
      <w:r>
        <w:rPr>
          <w:rFonts w:ascii="Times New Roman" w:hAnsi="Times New Roman" w:eastAsia="宋体"/>
          <w:sz w:val="21"/>
        </w:rPr>
        <w:t>作者: Nur Keleşoğlu, Łukasz Sobczak, Joanna Domańska</w:t>
        <w:br/>
      </w:r>
      <w:r>
        <w:rPr>
          <w:rFonts w:ascii="Times New Roman" w:hAnsi="Times New Roman" w:eastAsia="宋体"/>
          <w:sz w:val="21"/>
        </w:rPr>
        <w:t xml:space="preserve">时间: 2026-02-10 | </w:t>
      </w:r>
      <w:r>
        <w:t xml:space="preserve">链接: </w:t>
      </w:r>
      <w:hyperlink r:id="rId117">
        <w:r>
          <w:rPr>
            <w:rFonts w:ascii="Times New Roman" w:hAnsi="Times New Roman" w:eastAsia="宋体"/>
            <w:color w:val="0000FF"/>
            <w:sz w:val="21"/>
            <w:u w:val="single"/>
          </w:rPr>
          <w:t>https://doi.org/10.1038/s41598-026-37246-y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生成真实的网络流量是基于 ZigBee 的物联网系统中测试、模拟和安全评估的关键要求。在本研究中，我们提出了一种新颖的框架，该框架提取示例 ZigBee 流量数据包，并使用 GPT-4.1 和 GPT-5 等大型语言模型 (LLM) 生成语义有意义且符合协议的合成流量。与传统的基于规则或统计生成器不同，我们的方法是数据驱动的，并结合了基于样本的小样本学习、提示工程和人机交互反馈机制。为了评估所提出框架的有效性，我们进行了两组实验。第一个侧重于生成单向流量以模拟典型的设备到集线器通信，而第二个将此设置扩展到双向交换，捕获真实的请求响应动态和交互模式。使用多维评估框架评估生成流量的真实性，该框架包括统计相似性度量，例如 Jensen-Shannon Divergence，以及协议合规性、语义正确性、时间一致性和多样性度量。此外，我们还将基于 LLM 的生成器的性能与经典深度学习基线（包括循环神经网络（RNN）和生成对抗网络（GAN））进行了比较。我们通过系统地评估不同的 GPT-5 推理配置，进一步分析计算成本以及内部推理工作对流量生成的影响。实验结果表明，GPT-4.1 和 GPT-5 都成功学习了 ZigBee 流量的时间和结构依赖性，并且在语义正确性和长时间生成方面显着优于 RNN 和 GAN 基线。在所有实验中，GPT-4.1 始终生成更接近真实 ZigBee 流量的流量，同时所需的计算资源显着降低。这些发现强调，低延迟、非推理的 LLM 特别适合高度结构化、协议约束的网络流量生成任务，并展示了基于 LLM 的方法在研究和安全评估中用于实际物联网流量生成的潜力。</w:t>
      </w:r>
    </w:p>
    <w:p>
      <w:pPr>
        <w:spacing w:before="120"/>
      </w:pPr>
      <w:r>
        <w:rPr>
          <w:rFonts w:ascii="Times New Roman" w:hAnsi="Times New Roman" w:eastAsia="宋体"/>
          <w:b/>
          <w:sz w:val="21"/>
        </w:rPr>
        <w:t>English Abstract:</w:t>
      </w:r>
    </w:p>
    <w:p>
      <w:r>
        <w:rPr>
          <w:rFonts w:ascii="Times New Roman" w:hAnsi="Times New Roman" w:eastAsia="宋体"/>
          <w:sz w:val="21"/>
        </w:rPr>
        <w:t>The generation of realistic network traffic is a critical requirement for testing, simulation, and security evaluation in ZigBee-based IoT systems. In this study, we propose a novel framework that extracts sample ZigBee traffic packets and generates semantically meaningful and protocol-compliant synthetic traffic using Large Language Models (LLMs) such as GPT-4.1 and GPT-5. Unlike traditional rule-based or statistical generators, our approach is data-driven and incorporates sample-based few-shot learning, prompt engineering, and a human-in-the-loop feedback mechanism. To evaluate the effectiveness of the proposed framework, we conduct two sets of experiments. The first focuses on generating unidirectional traffic to emulate typical device-to-hub communication, while the second extends this setup to bidirectional exchanges, capturing realistic request–response dynamics and interaction patterns. The realism of the generated traffic is assessed using a multi-dimensional evaluation framework that includes statistical similarity measures, such as Jensen–Shannon Divergence, as well as protocol compliance, semantic correctness, temporal consistency, and diversity metrics. In addition, we compare the performance of LLM-based generators with classical deep learning baselines, including recurrent neural networks (RNNs) and generative adversarial networks (GANs). We further analyze the computational cost and the impact of internal reasoning effort on traffic generation by systematically evaluating different GPT-5 reasoning configurations. Experimental results show that both GPT-4.1 and GPT-5 successfully learn the temporal and structural dependencies of ZigBee traffic and significantly outperform RNN and GAN baselines in terms of semantic correctness and long-duration generation. Across all experiments, GPT-4.1 consistently generates traffic that more closely resembles real ZigBee traffic while requiring substantially lower computational resources. These findings highlight that low-latency, non-reasoning LLMs can be particularly well suited for highly structured, protocol-constrained network traffic generation tasks, and demonstrate the potential of LLM-based approaches for realistic IoT traffic generation in research and security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鉴定泛素化相关特征基因以预测肾移植排斥</w:t>
      </w:r>
    </w:p>
    <w:p>
      <w:r>
        <w:rPr>
          <w:rFonts w:ascii="Times New Roman" w:hAnsi="Times New Roman" w:eastAsia="宋体"/>
          <w:b/>
          <w:color w:val="003264"/>
          <w:sz w:val="24"/>
        </w:rPr>
        <w:t>Identification of ubiquitination-related signature genes for predicting kidney transplant rejection</w:t>
      </w:r>
    </w:p>
    <w:p>
      <w:r>
        <w:rPr>
          <w:rFonts w:ascii="Times New Roman" w:hAnsi="Times New Roman" w:eastAsia="宋体"/>
          <w:sz w:val="21"/>
        </w:rPr>
        <w:t>作者: Zhengfei Shan, Shengqiang Yu, Jiantao Wang, Jianxin Cui, Haijian Wei, Xiaohua Fu, Chen Zhang, Chengjun Zhang</w:t>
        <w:br/>
      </w:r>
      <w:r>
        <w:rPr>
          <w:rFonts w:ascii="Times New Roman" w:hAnsi="Times New Roman" w:eastAsia="宋体"/>
          <w:sz w:val="21"/>
        </w:rPr>
        <w:t xml:space="preserve">时间: 2026-02-10 | </w:t>
      </w:r>
      <w:r>
        <w:t xml:space="preserve">链接: </w:t>
      </w:r>
      <w:hyperlink r:id="rId118">
        <w:r>
          <w:rPr>
            <w:rFonts w:ascii="Times New Roman" w:hAnsi="Times New Roman" w:eastAsia="宋体"/>
            <w:color w:val="0000FF"/>
            <w:sz w:val="21"/>
            <w:u w:val="single"/>
          </w:rPr>
          <w:t>https://doi.org/10.1038/s41598-026-38022-8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肾移植排斥（KTR）对移植物的长期存活构成重大挑战，因为泛素化相关基因（URG）参与免疫调节。本研究旨在确定与 KTR 相关的关键 URG，并开发排斥风险的预测模型。分析来自 Gene Expression Omnibus 的 mRNA 阵列数据，以发现 GSE98320 中差异表达的基因，将其与 URG 相交以产生 16 个 DE-URG。基因本体论和 KEGG 富集分析强调了 NF-kappa B 和 TNF 信号通路。 URGScore 模型对患者进行分层，揭示了免疫细胞浸润的显着差异，尤其是 Treg 细胞，在发现队列中表现出强大的预测性能（AUC = 0.774，95% CI 0.747-0.800）。鉴定出 6 个特征基因（DTX3L、MARCH1、NCF4、RNF125、TRIM21、TRIM22），其表达呈现亚型依赖性梯度，从抗体介导的排斥增加到 T 细胞介导的排斥，并在混合排斥中达到最高水平。这些基因被纳入列线图，其 AUC 为 0.771 (95% CI 0.745–0.798)。独立数据集的验证证实了该模型的可靠性。在两例移植排斥病例中，MARCH1和RNF125的表达高于其他活检样本，而在IgA肾病患者中观察到所有标记基因普遍高表达。总之，这些发现证明了 KTR 中基于 URG 的生物标志物的临床相关性，并为免疫介导的排斥提供了分子洞察。</w:t>
      </w:r>
    </w:p>
    <w:p>
      <w:pPr>
        <w:spacing w:before="120"/>
      </w:pPr>
      <w:r>
        <w:rPr>
          <w:rFonts w:ascii="Times New Roman" w:hAnsi="Times New Roman" w:eastAsia="宋体"/>
          <w:b/>
          <w:sz w:val="21"/>
        </w:rPr>
        <w:t>English Abstract:</w:t>
      </w:r>
    </w:p>
    <w:p>
      <w:r>
        <w:rPr>
          <w:rFonts w:ascii="Times New Roman" w:hAnsi="Times New Roman" w:eastAsia="宋体"/>
          <w:sz w:val="21"/>
        </w:rPr>
        <w:t>Kidney transplant rejection (KTR) poses significant challenges to long-term graft survival, with involvement from ubiquitination-related genes (URGs) in immune modulation. This study aimed to identify key URGs linked to KTR and develop a predictive model for rejection risk. mRNA array data from the Gene Expression Omnibus were analyzed to find differentially expressed genes in GSE98320, which were intersected with URGs to yield 16 DE-URGs. Gene Ontology and KEGG enrichment analysis highlighted the NF-kappa B and TNF signaling pathways. A URGScore model stratified patients and revealed significant differences in immune cell infiltration, especially among Treg cells, demonstrating strong predictive performance in the discovery cohort (AUC = 0.774, 95% CI 0.747–0.800). Six signature genes (DTX3L, MARCH1, NCF4, RNF125, TRIM21, TRIM22) were identified, and their expression displayed a subtype-dependent gradient, increasing from antibody-mediated rejection to T cell-mediated rejection and reaching the highest levels in mixed rejection. These genes were incorporated into a nomogram, which achieved an AUC of 0.771 (95% CI 0.745–0.798). Validation in independent datasets confirmed the model’s reliability. In the two transplant rejection cases, MARCH1 and RNF125 showed higher expression than the other biopsy samples, while generalized high expression of all marker genes was observed in an IgA nephropathy patient. Together, these findings demonstrate the clinical relevance of URG-based biomarkers in KTR and provide molecular insight into immune-mediated rejection.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无线衰落信道中发射机辅助联合数据辅助信道估计和 PAPR 降低方案</w:t>
      </w:r>
    </w:p>
    <w:p>
      <w:r>
        <w:rPr>
          <w:rFonts w:ascii="Times New Roman" w:hAnsi="Times New Roman" w:eastAsia="宋体"/>
          <w:b/>
          <w:color w:val="003264"/>
          <w:sz w:val="24"/>
        </w:rPr>
        <w:t>Transmitter-assisted joint data-aided channel estimation and PAPR reduction scheme in wireless fading channels</w:t>
      </w:r>
    </w:p>
    <w:p>
      <w:r>
        <w:rPr>
          <w:rFonts w:ascii="Times New Roman" w:hAnsi="Times New Roman" w:eastAsia="宋体"/>
          <w:sz w:val="21"/>
        </w:rPr>
        <w:t>作者: Inaamullah Khan, Mohammad Mahmudul Hasan, Michael Cheffena</w:t>
        <w:br/>
      </w:r>
      <w:r>
        <w:rPr>
          <w:rFonts w:ascii="Times New Roman" w:hAnsi="Times New Roman" w:eastAsia="宋体"/>
          <w:sz w:val="21"/>
        </w:rPr>
        <w:t xml:space="preserve">时间: 2026-02-10 | </w:t>
      </w:r>
      <w:r>
        <w:t xml:space="preserve">链接: </w:t>
      </w:r>
      <w:hyperlink r:id="rId119">
        <w:r>
          <w:rPr>
            <w:rFonts w:ascii="Times New Roman" w:hAnsi="Times New Roman" w:eastAsia="宋体"/>
            <w:color w:val="0000FF"/>
            <w:sz w:val="21"/>
            <w:u w:val="single"/>
          </w:rPr>
          <w:t>https://doi.org/10.1038/s41598-025-33617-z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本文提出了一种新颖的发射机辅助联合方案，该方案同时解决了现代无线通信系统中的两个关键挑战：峰均功率比（PAPR）降低和准确的信道估计。所提出的解决方案将修改伽马校正命令 (MGCC) 与数据辅助信道估计 (DACE) 集成在一起，适用于单输入单输出 (SISO) 和多输入多输出 (MIMO) 正交频分复用 (OFDM) 无线系统。关键的新颖之处在于独特的双功能方法，其中高峰值功率载波（传统上由于高 PAPR 导致的失真源）被重新用作接收器处的附加导频信号，以改进信道估计。 MGCC 的这种创新使用不仅优化了这些载体的识别和利用，而且确保了可靠数据载体的选择不受影响。通过将高 PAPR 问题转化为性能优势，该方案显着降低了通常与单独的 PAPR 降低和信道估计过程相关的计算复杂性，使其特别适合低复杂性无线设备。所提出的方法完全根据发射信号确定峰值功率子载波，消除了接收器到发射器反馈的需要，从而在不影响性能的情况下简化了系统设计。此外，该研究还确定了最佳压扩参数，以实现误码性能和 PAPR 降低之间的有效平衡。在具有不同抽头配置的瑞利和莱斯衰落信道下进行的广泛模拟证明了所提出方案的鲁棒性和多功能性。性能评估（包括均方误差和误码率分析）证实了所提出的方法与最小二乘和线性最小均方误差信道估计器配合使用时的优越性。还分析了接收天线相关性对误码性能的影响，揭示了一种非线性趋势，其中低相关水平的影响最小，而相关性的变化会影响系统行为。结果强调了在不同衰落环境下的一致和可靠的性能，强调了所提出的方案在提高下一代无线通信系统的效率和可靠性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transmitter-assisted joint scheme that simultaneously addresses two critical challenges in modern wireless communication systems: peak-to-average power ratio (PAPR) reduction and accurate channel estimation. The proposed solution integrates modified gamma correction commanding (MGCC) with data-aided channel estimation (DACE) for both single-input single-output (SISO) and multiple-input multiple-output (MIMO) orthogonal frequency-division multiplexing (OFDM) wireless systems. The key novelty lies in the unique dual-functionality approach, where high-peak power carriers, traditionally a source of distortion due to high PAPR, are repurposed as additional pilot signals at the receiver for improved channel estimation. This innovative use of MGCC not only optimizes the identification and utilization of these carriers but also ensures that the selection of reliable data carriers remains unaffected. By transforming the high PAPR problem into a performance advantage, the scheme significantly reduces the computational complexity typically associated with separate PAPR reduction and channel estimation processes, making it particularly suitable for low-complexity wireless devices. The proposed approach determines peak-powered subcarriers entirely from the transmitted signal, eliminating the need for receiver-to-transmitter feedback and thereby simplifying system design without compromising performance. Furthermore, the study identifies optimal companding parameters to achieve an effective balance between error performance and PAPR reduction. Extensive simulations under Rayleigh and Rician fading channels with varying tap configurations demonstrate the robustness and versatility of the proposed scheme. Performance evaluations, including mean square error and bit-error-rate analyses, confirm the superiority of the proposed approach when paired with least square and linear minimum mean square error channel estimators. The impact of receive antenna correlation on error performance is also analyzed, revealing a nonlinear trend where low correlation levels have minimal effect, while variation in correlation influences system behavior. The results highlight consistent and reliable performance across diverse fading environments, underscoring the potential of the proposed scheme to enhance the efficiency and reliability of next-generation wireless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微观洞察 PVDF 在改善纳米复合材料中锡衍生钙钛矿的光电子性能方面的作用</w:t>
      </w:r>
    </w:p>
    <w:p>
      <w:r>
        <w:rPr>
          <w:rFonts w:ascii="Times New Roman" w:hAnsi="Times New Roman" w:eastAsia="宋体"/>
          <w:b/>
          <w:color w:val="003264"/>
          <w:sz w:val="24"/>
        </w:rPr>
        <w:t>Microscopic insight into the role of PVDF in improving the phototronic properties of a tin-derived perovskite in their nanocomposite</w:t>
      </w:r>
    </w:p>
    <w:p>
      <w:r>
        <w:rPr>
          <w:rFonts w:ascii="Times New Roman" w:hAnsi="Times New Roman" w:eastAsia="宋体"/>
          <w:sz w:val="21"/>
        </w:rPr>
        <w:t>作者: Abbas Heshmati Jannat Magham, Afsaneh Rezaei, Davood Ajloo</w:t>
        <w:br/>
      </w:r>
      <w:r>
        <w:rPr>
          <w:rFonts w:ascii="Times New Roman" w:hAnsi="Times New Roman" w:eastAsia="宋体"/>
          <w:sz w:val="21"/>
        </w:rPr>
        <w:t xml:space="preserve">时间: 2026-02-10 | </w:t>
      </w:r>
      <w:r>
        <w:t xml:space="preserve">链接: </w:t>
      </w:r>
      <w:hyperlink r:id="rId120">
        <w:r>
          <w:rPr>
            <w:rFonts w:ascii="Times New Roman" w:hAnsi="Times New Roman" w:eastAsia="宋体"/>
            <w:color w:val="0000FF"/>
            <w:sz w:val="21"/>
            <w:u w:val="single"/>
          </w:rPr>
          <w:t>https://doi.org/10.1038/s41598-026-39421-7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在这项研究中，我们利用密度泛函理论（DFT）研究了聚偏二氟乙烯（PVDF）和钙钛矿Cs2SnF3I3形成纳米复合材料的可能性。在配合物形成过程中观察到的吉布斯自由能变化约为−23 kcal/mol，表明该过程在热力学上是可行的。 NBO 和 AIM 结果还证实，PVDF 和这种钙钛矿之间多个点上物理性质的相互作用导致了这种有利的相互作用。 Cs2SnF3I3及其复合物的带隙能量值为3.629 eV，为3.255 eV，这表明它们的光学激发发生在短波长的光，即近紫外和紫蓝色光下。对这种钙钛矿及其与 PVDF 的复合物的紫外-可见光谱的研究表明，复合材料的创建除了将吸收峰的波长改变为可见光外，还可以增加吸收强度。极性研究还表明，由于Cs2SnF3I3与PVDF复合，其偶极矩从10.28增加到14.71德拜。此外，极化系数和第一超极化系数也随着复合材料中钙钛矿单元数量的增加而增加，从而改善了其光学性能。</w:t>
      </w:r>
    </w:p>
    <w:p>
      <w:pPr>
        <w:spacing w:before="120"/>
      </w:pPr>
      <w:r>
        <w:rPr>
          <w:rFonts w:ascii="Times New Roman" w:hAnsi="Times New Roman" w:eastAsia="宋体"/>
          <w:b/>
          <w:sz w:val="21"/>
        </w:rPr>
        <w:t>English Abstract:</w:t>
      </w:r>
    </w:p>
    <w:p>
      <w:r>
        <w:rPr>
          <w:rFonts w:ascii="Times New Roman" w:hAnsi="Times New Roman" w:eastAsia="宋体"/>
          <w:sz w:val="21"/>
        </w:rPr>
        <w:t>In this study, we investigated the possibility of nanocomposite formation between polyvinylidene fluoride (PVDF) and perovskite Cs2SnF3I3 using density functional theory (DFT). The Gibbs free energy changes of about − 23 kcal/mol observed during the formation of the complexes indicates that this process is thermodynamically feasible. The NBO and AIM results also confirmed that the interactions of a physical nature at several points between PVDF and this perovskite cause this favorable interaction. The gap energy value of Cs2SnF3I3 3.629 eV and its composites were obtained 3.255 eV, which indicates that their optical excitation occurs at short wavelengths of light, namely near ultraviolet and violet-blue. The study of UV-vis spectra of this perovskite and its complexes with PVDF showed that the creation of composites, in addition to changing the wavelength of absorption peaks towards visible light, can also increase the absorption intensity. The polarity study also showed that due to the composite of Cs2SnF3I3 with PVDF, its dipole moment increased from 10.28 to 14.71 Debye. In addition, the polarizability coefficient and the first hyperpolarizability coefficient also increased with the increase in the number of perovskite units in the composites, improving their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与健康老年人眼中心凹无血管区大小相关的参数</w:t>
      </w:r>
    </w:p>
    <w:p>
      <w:r>
        <w:rPr>
          <w:rFonts w:ascii="Times New Roman" w:hAnsi="Times New Roman" w:eastAsia="宋体"/>
          <w:b/>
          <w:color w:val="003264"/>
          <w:sz w:val="24"/>
        </w:rPr>
        <w:t>Parameters associated with the size of the foveal avascular zone in healthy elderly eyes</w:t>
      </w:r>
    </w:p>
    <w:p>
      <w:r>
        <w:rPr>
          <w:rFonts w:ascii="Times New Roman" w:hAnsi="Times New Roman" w:eastAsia="宋体"/>
          <w:sz w:val="21"/>
        </w:rPr>
        <w:t>作者: Taiji Hasegawa, Kyosuke Nonaka, Tasuku Onishi, Ichiro Maruko</w:t>
        <w:br/>
      </w:r>
      <w:r>
        <w:rPr>
          <w:rFonts w:ascii="Times New Roman" w:hAnsi="Times New Roman" w:eastAsia="宋体"/>
          <w:sz w:val="21"/>
        </w:rPr>
        <w:t xml:space="preserve">时间: 2026-02-10 | </w:t>
      </w:r>
      <w:r>
        <w:t xml:space="preserve">链接: </w:t>
      </w:r>
      <w:hyperlink r:id="rId121">
        <w:r>
          <w:rPr>
            <w:rFonts w:ascii="Times New Roman" w:hAnsi="Times New Roman" w:eastAsia="宋体"/>
            <w:color w:val="0000FF"/>
            <w:sz w:val="21"/>
            <w:u w:val="single"/>
          </w:rPr>
          <w:t>https://doi.org/10.1038/s41598-026-39865-x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确定与健康老年人眼中心凹无血管区 (FAZ) 大小相关的参数。我们回顾了 101 名正常老年眼睛的医疗记录，平均年龄为 64.2 ± 10.1 岁。在光学相干断层扫描血管造影图像中分析以中央凹为中心的 3 × 3 mm 区域。确定 FAZ 中心和中心凹感光器中心，并测量两个中心点之间的错位。 FAZ 平均尺寸为 0.35 ± 0.12 mm2。 FAZ 中心与中心凹感光器中心之间的距离为 41.6 ± 21.1 μm。 FAZ 中心与中心凹感光器中心之间的错位距离与 FAZ 大小没有显着相关性（r = 0.091，P = 0.3656）。另一方面，从中心凹感光器中心到 FAZ 中心的水平和垂直错位的方向性与 FAZ 大小之间存在显着相关性（水平方向 r = -0.264，P = 0.0076；垂直方向 r = 0.212，P = 0.0335）。这些结果表明，FAZ的中心与中央凹光感受器的中心在时间方向和上方方向上的错位越大，FAZ趋向于越大。总之，对健康老年人眼睛 FAZ 大小相关参数的分析可能为黄斑微循环的年龄相关变化和患有视网膜疾病的眼睛的早期病理提供线索。</w:t>
      </w:r>
    </w:p>
    <w:p>
      <w:pPr>
        <w:spacing w:before="120"/>
      </w:pPr>
      <w:r>
        <w:rPr>
          <w:rFonts w:ascii="Times New Roman" w:hAnsi="Times New Roman" w:eastAsia="宋体"/>
          <w:b/>
          <w:sz w:val="21"/>
        </w:rPr>
        <w:t>English Abstract:</w:t>
      </w:r>
    </w:p>
    <w:p>
      <w:r>
        <w:rPr>
          <w:rFonts w:ascii="Times New Roman" w:hAnsi="Times New Roman" w:eastAsia="宋体"/>
          <w:sz w:val="21"/>
        </w:rPr>
        <w:t>To determine parameters related to the size of the foveal avascular zone (FAZ) in healthy elderly eyes. We reviewed the medical records of 101 normal elderly eyes with a mean age of 64.2 ± 10.1 years. A 3 × 3 mm area centered on the fovea was analyzed in optical coherence tomography angiographic images. The center of FAZ and the center of foveal photoreceptors were identified, and the misalignment between the two center points was measured. The mean FAZ size was 0.35 ± 0.12 mm2. The distance between the center of the FAZ and the center of the foveal photoreceptors was 41.6 ± 21.1 μm. The misalignment distance between the center of the FAZ and the center of the foveal photoreceptors was not significantly correlated with the size of the FAZ (r = 0.091, P = 0.3656). On the other hand, there was a significant correlation between the directionality of horizontal and vertical misalignments from the center of the foveal photoreceptors to the center of the FAZ and the FAZ size (r = -0.264, P = 0.0076 horizontal; r = 0.212, P = 0.0335, vertical). These results indicate that the larger the misalignment of the center of the FAZ from the center of the foveal photoreceptors in the temporal and superior directions, the larger the FAZ tended to be. In conclusion, analysis of parameters related to FAZ size in healthy elderly eyes may provide clues to age-related changes in macular microcirculation and early pathology in eyes with retinal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通过耦合景观模式指标和电路理论来设计多源蓝绿冷却网络</w:t>
      </w:r>
    </w:p>
    <w:p>
      <w:r>
        <w:rPr>
          <w:rFonts w:ascii="Times New Roman" w:hAnsi="Times New Roman" w:eastAsia="宋体"/>
          <w:b/>
          <w:color w:val="003264"/>
          <w:sz w:val="24"/>
        </w:rPr>
        <w:t>Designing multisource blue–green cooling networks by coupling landscape pattern metrics and circuit theory</w:t>
      </w:r>
    </w:p>
    <w:p>
      <w:r>
        <w:rPr>
          <w:rFonts w:ascii="Times New Roman" w:hAnsi="Times New Roman" w:eastAsia="宋体"/>
          <w:sz w:val="21"/>
        </w:rPr>
        <w:t>作者: Yuting Xu, Majing Jiang, Qinglin Li, Benfeng Yu, Khai Ern Lee</w:t>
        <w:br/>
      </w:r>
      <w:r>
        <w:rPr>
          <w:rFonts w:ascii="Times New Roman" w:hAnsi="Times New Roman" w:eastAsia="宋体"/>
          <w:sz w:val="21"/>
        </w:rPr>
        <w:t xml:space="preserve">时间: 2026-02-10 | </w:t>
      </w:r>
      <w:r>
        <w:t xml:space="preserve">链接: </w:t>
      </w:r>
      <w:hyperlink r:id="rId122">
        <w:r>
          <w:rPr>
            <w:rFonts w:ascii="Times New Roman" w:hAnsi="Times New Roman" w:eastAsia="宋体"/>
            <w:color w:val="0000FF"/>
            <w:sz w:val="21"/>
            <w:u w:val="single"/>
          </w:rPr>
          <w:t>https://doi.org/10.1038/s41598-026-39813-9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城市化进程加快和气候变化，地表城市热岛效应成为日益严重的环境问题，对可持续发展和公众健康构成重大威胁。虽然城市绿地被认为可以有效缓解城市地表热岛效应，但大多数研究都集中在孤立的斑块或局部干预措施上，因此缺乏系统的、基于网络的冷却策略。本研究提出了“冷源识别-通风走廊-网络集成”的综合框架，结合多源遥感数据（2003-2022）、地理探测器模型、形态空间格局分析和回路理论，评估地表城市热岛动态并构建城市绿色冷却网络。以南昌中心城区为研究对象，结果表明，2003年至2022年，低温区所占比重由41.69%下降至19.67%，高温区所占比重由8.69%上升至19.89%；相应地，地表热岛不平衡指数从-0.491上升至0.005。归一化差异植被指数与土地利用之间的相互作用解释了 60% 以上的地表温度变化。建立了由56条一级通风廊道和60条二级通风廊道组成的绿色生态网络，显着增强了连通性和散热潜力。在之前的研究基础上，该网络展示了在建筑密集地区将白天温度降低 1-3°C 的能力。研究结果强调，优化绿色空间的空间配置和连通性可以在土地限制下最大限度地提高冷却效益。这种蓝绿通风综合方法为潮湿、平坦和快速城市化的地区提供了可转移的见解。</w:t>
      </w:r>
    </w:p>
    <w:p>
      <w:pPr>
        <w:spacing w:before="120"/>
      </w:pPr>
      <w:r>
        <w:rPr>
          <w:rFonts w:ascii="Times New Roman" w:hAnsi="Times New Roman" w:eastAsia="宋体"/>
          <w:b/>
          <w:sz w:val="21"/>
        </w:rPr>
        <w:t>English Abstract:</w:t>
      </w:r>
    </w:p>
    <w:p>
      <w:r>
        <w:rPr>
          <w:rFonts w:ascii="Times New Roman" w:hAnsi="Times New Roman" w:eastAsia="宋体"/>
          <w:sz w:val="21"/>
        </w:rPr>
        <w:t>The surface urban heat island effect is a growing environmental concern amid accelerating urbanisation and climate change, posing significant threats to sustainable development and public health. While urban green spaces are recognised as effective in mitigating the surface urban heat island effect, most studies focused on isolated patches or local interventions, and thus lack a systematic, network-based cooling strategy. This study proposes an integrated framework of “cool-source identification–ventilation corridors–network integration”, combining multi-source remote sensing data (2003–2022), the geographic detector model, morphological spatial pattern analysis, and circuit theory to assess surface urban heat island dynamics and construct an urban green cooling network. Focusing on Nanchang’s central urban area, results indicate that from 2003 to 2022, the proportion of low-temperature zones decreased from 41.69% to 19.67%, while high-temperature zones increased from 8.69% to 19.89%; correspondingly, the surface heat island imbalance index rose from − 0.491 to 0.005. The interaction between the normalised difference vegetation index and land use explained over 60% of the surface temperature variation. A green ecological network comprising 56 primary and 60 secondary ventilation corridors was established, significantly enhancing connectivity and heat dissipation potential. Building on previous studies, this network demonstrates the capacity to reduce daytime temperatures by 1–3 °C in densely built-up areas. The findings highlight that optimising the spatial configuration and connectivity of green spaces can maximise cooling benefits under land constraints. This blue–green ventilation integrated approach provides transferable insights for humid, flat and rapidly urbanising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Genomic and in vitro characterization of two lytic bacteriophages infecting multidrug-resistant Erwinia sp.菌株AnSW2-5</w:t>
      </w:r>
    </w:p>
    <w:p>
      <w:r>
        <w:rPr>
          <w:rFonts w:ascii="Times New Roman" w:hAnsi="Times New Roman" w:eastAsia="宋体"/>
          <w:b/>
          <w:color w:val="003264"/>
          <w:sz w:val="24"/>
        </w:rPr>
        <w:t>Genomic and in vitro characterization of two lytic bacteriophages infecting multidrug-resistant Erwinia sp. strain AnSW2-5</w:t>
      </w:r>
    </w:p>
    <w:p>
      <w:r>
        <w:rPr>
          <w:rFonts w:ascii="Times New Roman" w:hAnsi="Times New Roman" w:eastAsia="宋体"/>
          <w:sz w:val="21"/>
        </w:rPr>
        <w:t>作者: Kiwoon Baek, Jaeduk Goh, Ahoung Choi</w:t>
        <w:br/>
      </w:r>
      <w:r>
        <w:rPr>
          <w:rFonts w:ascii="Times New Roman" w:hAnsi="Times New Roman" w:eastAsia="宋体"/>
          <w:sz w:val="21"/>
        </w:rPr>
        <w:t xml:space="preserve">时间: 2026-02-10 | </w:t>
      </w:r>
      <w:r>
        <w:t xml:space="preserve">链接: </w:t>
      </w:r>
      <w:hyperlink r:id="rId123">
        <w:r>
          <w:rPr>
            <w:rFonts w:ascii="Times New Roman" w:hAnsi="Times New Roman" w:eastAsia="宋体"/>
            <w:color w:val="0000FF"/>
            <w:sz w:val="21"/>
            <w:u w:val="single"/>
          </w:rPr>
          <w:t>https://doi.org/10.1038/s41598-026-39563-8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多重耐药（MDR）欧文氏菌病原体对全球作物健康和农业可持续发展构成严重威胁。在这项研究中，我们鉴定了两种新型裂解性噬菌体：AnSW2-5-P-A（自写病毒科）和 AnSW2-5-P-K（Caudoviricetes 类），针对 MDR 欧文氏菌。菌株AnSW2-5。比较基因组学和 TEM 分析揭示了不同的病毒体结构，并确认了溶原相关基因的不存在，确保了它们作为生物防治剂的安全性。一步生长测定表明，P-A 具有较短的潜伏期（约 20 分钟），而 P-K 表现出明显更大的爆发大小（约 110 PFU/细胞）。在共培养测定中，双噬菌体混合物表现出深远的协同效应，实现了 &gt; 80% 的细菌减少 (p &lt; 0.05) 并维持对宿主的持续抑制达 72 小时。值得注意的是，该混合物有效地防止了耐药突变体的出现，将耐药频率（FoR）降低到检测限以下（&lt; 10⁻⁸）。这些发现强调了使用具有互补裂解活性的遗传多样性噬菌体对作为针对 MDR 植物病原体的强大的、抗性抑制生物防治策略的潜力。</w:t>
      </w:r>
    </w:p>
    <w:p>
      <w:pPr>
        <w:spacing w:before="120"/>
      </w:pPr>
      <w:r>
        <w:rPr>
          <w:rFonts w:ascii="Times New Roman" w:hAnsi="Times New Roman" w:eastAsia="宋体"/>
          <w:b/>
          <w:sz w:val="21"/>
        </w:rPr>
        <w:t>English Abstract:</w:t>
      </w:r>
    </w:p>
    <w:p>
      <w:r>
        <w:rPr>
          <w:rFonts w:ascii="Times New Roman" w:hAnsi="Times New Roman" w:eastAsia="宋体"/>
          <w:sz w:val="21"/>
        </w:rPr>
        <w:t>Abstract Multidrug-resistant (MDR) Erwinia pathogens present a critical threat to global crop health and agricultural sustainability. In this study, we characterized two novel lytic bacteriophages, AnSW2-5-P-A (family Autographiviridae ) and AnSW2-5-P-K (class Caudoviricetes ), targeting the MDR Erwinia sp. strain AnSW2-5. Comparative genomics and TEM analysis revealed distinct virion architectures and confirmed the absence of lysogeny-associated genes, ensuring their safety as biocontrol agents. One-step growth assays demonstrated that P-A has a shorter latent period (~ 20 min), while P-K exhibits a significantly larger burst size (~ 110 PFU/cell). In co-culture assays, the dual-phage cocktail demonstrated a profound synergistic effect, achieving &gt; 80% bacterial reduction ( p &lt; 0.05) and maintaining sustained suppression of the host for 72 h. Notably, the cocktail effectively prevented the emergence of resistant mutants, reducing the frequency of resistance ( FoR ) to below the limit of detection (&lt; 10⁻⁸). These findings highlight the potential of using genetically diverse phage pairs with complementary lytic activities as a robust, resistance-suppressive biocontrol strategy against MDR phytopathogens.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用ECC壳体加固的钢筋混凝土梁柱接头的抗震性能</w:t>
      </w:r>
    </w:p>
    <w:p>
      <w:r>
        <w:rPr>
          <w:rFonts w:ascii="Times New Roman" w:hAnsi="Times New Roman" w:eastAsia="宋体"/>
          <w:b/>
          <w:color w:val="003264"/>
          <w:sz w:val="24"/>
        </w:rPr>
        <w:t>Seismic performance of reinforced concrete beam column joints strengthened with ECC shells</w:t>
      </w:r>
    </w:p>
    <w:p>
      <w:r>
        <w:rPr>
          <w:rFonts w:ascii="Times New Roman" w:hAnsi="Times New Roman" w:eastAsia="宋体"/>
          <w:sz w:val="21"/>
        </w:rPr>
        <w:t>作者: Ziwang Xiao, Lifeng Wang, Rikang Huang</w:t>
        <w:br/>
      </w:r>
      <w:r>
        <w:rPr>
          <w:rFonts w:ascii="Times New Roman" w:hAnsi="Times New Roman" w:eastAsia="宋体"/>
          <w:sz w:val="21"/>
        </w:rPr>
        <w:t xml:space="preserve">时间: 2026-02-10 | </w:t>
      </w:r>
      <w:r>
        <w:t xml:space="preserve">链接: </w:t>
      </w:r>
      <w:hyperlink r:id="rId124">
        <w:r>
          <w:rPr>
            <w:rFonts w:ascii="Times New Roman" w:hAnsi="Times New Roman" w:eastAsia="宋体"/>
            <w:color w:val="0000FF"/>
            <w:sz w:val="21"/>
            <w:u w:val="single"/>
          </w:rPr>
          <w:t>https://doi.org/10.1038/s41598-026-39753-4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钢筋混凝土梁柱节点由于变形能力有限，在地震作用下容易发生脆性破坏，对RC框架的整体安全构成威胁。为了解决这个问题，本研究提出并评估了一种使用工程水泥复合材料 (ECC) 壳的 RC 节点新型加固策略，形成带有 ECC 壳的梁柱节点 (BCJES)。通过精细的有限元 (FE) 模型研究了 BCJES 在循环载荷下的机械行为。有限元模型根据测试结果进行验证，可进行系统参数研究，以量化 ECC 壳体高度和厚度、纵向配筋率（梁区域）和轴压比对抗震性能的影响。结果表明，所提出的 ECC 壳体显着增强了 RC 节点的抗震能力。将纵向钢筋比例从 0.05% 增加到 0.2%，峰值载荷从 33.87 kN 提高到 85.58 kN (152%)，同时壳体厚度从 30 mm 增加到 90 mm，峰值载荷提高了 11.9%。然而，观察到饱和效应，进一步将壳加厚至 150 毫米仅导致 2.46% 的增益。基于参数化结果，本研究首次利用多元线性回归建立了BCJES极限承载力的定量预测模型（R²= 0.943）。此外，还开发了一种新的理论剪切能力模型，该模型结合了主斜支撑机构和侧斜支撑机构。理论预测与有限元模拟和实验结果吻合良好，最大偏差分别仅为 7.5% 和 7.9%，证实了该方法的可靠性。这些发现凸显了 ECC 壳体作为 RC 接头有效且实用的抗震加固解决方案的潜力，为基于性能的设计和改造策略提供了新的见解。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Reinforced concrete (RC) beam–column joints are vulnerable to brittle failure under seismic actions due to their limited deformation capacity, posing a threat to the overall safety of RC frames. To address this issue, this study proposes and evaluates a novel strengthening strategy for RC joints using an engineered cementitious composite (ECC) shell, forming a beam–column joint with an ECC shell (BCJES). The mechanical behavior of the BCJES under cyclic loading was investigated through a refined finite element (FE) model. The FE model, validated against test results, enabled a systematic parametric study to quantify the effects of ECC shell height and thickness, longitudinal reinforcement ratio (at the beam region), and axial compression ratio on seismic performance. Results demonstrate that the proposed ECC shell markedly enhances the seismic capacity of RC joints. Increasing the longitudinal reinforcement ratio from 0.05% to 0.2% improved peak load from 33.87 to 85.58 kN (152%), while increasing shell thickness from 30 to 90 mm enhanced peak load by 11.9%. However, a saturation effect was observed, as further thickening the shell to 150 mm resulted in only a 2.46% gain. Based on the parametric results, this study, for the first time, establishes a quantitative predictive model for the ultimate bearing capacity of BCJES using multiple linear regression (R²= 0.943). Furthermore, a new theoretical shear–capacity model incorporating both main and lateral diagonal bracing mechanisms is developed. Theoretical predictions agree well with FE simulations and experimental results, with maximum deviations of only 7.5% and 7.9%, respectively, confirming the reliability of the proposed approach. These findings highlight the potential of the ECC shell as an effective and practical seismic-strengthening solution for RC joints, offering new insights for performance-based design and retrofit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复杂运行工况下牵引网避雷器漏电流演化特性</w:t>
      </w:r>
    </w:p>
    <w:p>
      <w:r>
        <w:rPr>
          <w:rFonts w:ascii="Times New Roman" w:hAnsi="Times New Roman" w:eastAsia="宋体"/>
          <w:b/>
          <w:color w:val="003264"/>
          <w:sz w:val="24"/>
        </w:rPr>
        <w:t>The evolution characteristics of leakage current in traction network surge arresters under complex operating conditions</w:t>
      </w:r>
    </w:p>
    <w:p>
      <w:r>
        <w:rPr>
          <w:rFonts w:ascii="Times New Roman" w:hAnsi="Times New Roman" w:eastAsia="宋体"/>
          <w:sz w:val="21"/>
        </w:rPr>
        <w:t>作者: Wang Pengxiong, Feng Lifeng, Gao Yongqiang, Tian Fuqiang</w:t>
        <w:br/>
      </w:r>
      <w:r>
        <w:rPr>
          <w:rFonts w:ascii="Times New Roman" w:hAnsi="Times New Roman" w:eastAsia="宋体"/>
          <w:sz w:val="21"/>
        </w:rPr>
        <w:t xml:space="preserve">时间: 2026-02-10 | </w:t>
      </w:r>
      <w:r>
        <w:t xml:space="preserve">链接: </w:t>
      </w:r>
      <w:hyperlink r:id="rId125">
        <w:r>
          <w:rPr>
            <w:rFonts w:ascii="Times New Roman" w:hAnsi="Times New Roman" w:eastAsia="宋体"/>
            <w:color w:val="0000FF"/>
            <w:sz w:val="21"/>
            <w:u w:val="single"/>
          </w:rPr>
          <w:t>https://doi.org/10.1038/s41598-026-39185-0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重载铁路负荷波动频繁、影响大、谐波畸变大，避雷器监测的漏电流变化较大。这会导致操作异常，导致雷电计数器发生变化并影响避雷器的维护计划。为有效监测重载铁路避雷器的运行状态，结合铁路实际运行情况，分析避雷器常见运行工况下的跳闸特性。建立了基于PSCAD的重载铁路仿真模型，表明在谐波过电压条件下，远离负载的避雷器的有效跳闸电流明显较低，通常比靠近负载的避雷器有效跳闸电流低一半或更少。无论列车负载位置如何，两侧漏电流的大小几乎保持恒定。当网侧故障通过牵引变压器流入接触网系统时，短路故障不会影响避雷器漏电流。然而，开路故障会导致避雷器工作电流呈现出接近 20 Hz 的周期性电流，峰值工作电流对应于过压峰值。工作过压会产生约 1100μA 的短时工作电流，是正常工作水平的 2.5 倍，持续数毫秒。雷电过电压工作特性类似于操作过电压，但表现出更高的幅度和更短的持续时间。此外，本文从数学、频率、功耗等角度对避雷器漏电流进行分析，区分避雷器的运行状态，从而提高避雷器在线监测的准确性和智能性。</w:t>
      </w:r>
    </w:p>
    <w:p>
      <w:pPr>
        <w:spacing w:before="120"/>
      </w:pPr>
      <w:r>
        <w:rPr>
          <w:rFonts w:ascii="Times New Roman" w:hAnsi="Times New Roman" w:eastAsia="宋体"/>
          <w:b/>
          <w:sz w:val="21"/>
        </w:rPr>
        <w:t>English Abstract:</w:t>
      </w:r>
    </w:p>
    <w:p>
      <w:r>
        <w:rPr>
          <w:rFonts w:ascii="Times New Roman" w:hAnsi="Times New Roman" w:eastAsia="宋体"/>
          <w:sz w:val="21"/>
        </w:rPr>
        <w:t>Due to frequent load fluctuations, significant impacts, and substantial harmonic distortion on heavy-load railways, leakage currents monitored by surge arresters exhibit considerable variation. This leads to abnormal operations, causing changes in lightning counters and affecting maintenance scheduling for surge arresters. To effectively monitor the operational status of surge arresters on heavy-load railways, this paper analyzes their tripping characteristics under common operating conditions based on actual railway operations. A PSCAD-based simulation model for heavy-load railways was established, revealing that under harmonic overvoltage conditions, the effective tripping current of arresters farther from the load is significantly lower—often half or less than that of arresters closer to the load. The magnitude of leakage currents on both sides remains nearly constant regardless of train load position. When grid-side faults flow through traction transformers into the catenary system, short-circuit faults do not affect surge arrester leakage currents. However, open-circuit faults cause surge arrester operating currents to exhibit periodic currents near 20 Hz, with peak operating currents corresponding to overvoltage peaks. Operational overvoltage generates a short-duration operating current of approximately 1100µA, 2.5 times the normal operating level, lasting milliseconds. Lightning overvoltage operating characteristics resemble operational overvoltage but exhibit higher amplitudes and shorter durations. Furthermore, this paper analyzes the leakage current of surge arresters from mathematical, frequency, and power consumption perspectives to distinguish their operational states, thereby enhancing the accuracy and intelligence of online monitoring for surge arresters.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增强点云特征提取以实现有效的机器人感知</w:t>
      </w:r>
    </w:p>
    <w:p>
      <w:r>
        <w:rPr>
          <w:rFonts w:ascii="Times New Roman" w:hAnsi="Times New Roman" w:eastAsia="宋体"/>
          <w:b/>
          <w:color w:val="003264"/>
          <w:sz w:val="24"/>
        </w:rPr>
        <w:t>Enhancing point cloud feature extraction for effective robot perception</w:t>
      </w:r>
    </w:p>
    <w:p>
      <w:r>
        <w:rPr>
          <w:rFonts w:ascii="Times New Roman" w:hAnsi="Times New Roman" w:eastAsia="宋体"/>
          <w:sz w:val="21"/>
        </w:rPr>
        <w:t>作者: Qihui Li, Qiliang Du, Lianfang Tian, Guoyu Lu</w:t>
        <w:br/>
      </w:r>
      <w:r>
        <w:rPr>
          <w:rFonts w:ascii="Times New Roman" w:hAnsi="Times New Roman" w:eastAsia="宋体"/>
          <w:sz w:val="21"/>
        </w:rPr>
        <w:t xml:space="preserve">时间: 2026-07-01 | </w:t>
      </w:r>
      <w:r>
        <w:t xml:space="preserve">链接: </w:t>
      </w:r>
      <w:hyperlink r:id="rId41">
        <w:r>
          <w:rPr>
            <w:rFonts w:ascii="Times New Roman" w:hAnsi="Times New Roman" w:eastAsia="宋体"/>
            <w:color w:val="0000FF"/>
            <w:sz w:val="21"/>
            <w:u w:val="single"/>
          </w:rPr>
          <w:t>https://doi.org/10.1016/j.displa.2026.103389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重建的场景复杂度动态感知</w:t>
      </w:r>
    </w:p>
    <w:p>
      <w:r>
        <w:rPr>
          <w:rFonts w:ascii="Times New Roman" w:hAnsi="Times New Roman" w:eastAsia="宋体"/>
          <w:b/>
          <w:color w:val="003264"/>
          <w:sz w:val="24"/>
        </w:rPr>
        <w:t>Scene complexity dynamic perception for 3D reconstruction</w:t>
      </w:r>
    </w:p>
    <w:p>
      <w:r>
        <w:rPr>
          <w:rFonts w:ascii="Times New Roman" w:hAnsi="Times New Roman" w:eastAsia="宋体"/>
          <w:sz w:val="21"/>
        </w:rPr>
        <w:t>作者: Jia Liu, Ao Zhang, Kun Zhang</w:t>
        <w:br/>
      </w:r>
      <w:r>
        <w:rPr>
          <w:rFonts w:ascii="Times New Roman" w:hAnsi="Times New Roman" w:eastAsia="宋体"/>
          <w:sz w:val="21"/>
        </w:rPr>
        <w:t xml:space="preserve">时间: 2026-02-01 | </w:t>
      </w:r>
      <w:r>
        <w:t xml:space="preserve">链接: </w:t>
      </w:r>
      <w:hyperlink r:id="rId42">
        <w:r>
          <w:rPr>
            <w:rFonts w:ascii="Times New Roman" w:hAnsi="Times New Roman" w:eastAsia="宋体"/>
            <w:color w:val="0000FF"/>
            <w:sz w:val="21"/>
            <w:u w:val="single"/>
          </w:rPr>
          <w:t>https://doi.org/10.1016/j.displa.2026.103391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具有语义失真集成和动态全局局部细化的双重感知感知盲图像质量评估</w:t>
      </w:r>
    </w:p>
    <w:p>
      <w:r>
        <w:rPr>
          <w:rFonts w:ascii="Times New Roman" w:hAnsi="Times New Roman" w:eastAsia="宋体"/>
          <w:b/>
          <w:color w:val="003264"/>
          <w:sz w:val="24"/>
        </w:rPr>
        <w:t>Dual perception-aware blind image quality assessment with semantic-distortion integration and dynamic global–local refinement</w:t>
      </w:r>
    </w:p>
    <w:p>
      <w:r>
        <w:rPr>
          <w:rFonts w:ascii="Times New Roman" w:hAnsi="Times New Roman" w:eastAsia="宋体"/>
          <w:sz w:val="21"/>
        </w:rPr>
        <w:t>作者: Yun Liang, Yuting Xiao, Zihan Zhou, Hongyu Wang, Jiabin Zhang, Jing Li, Yong Xu, Patrick Le Callet</w:t>
        <w:br/>
      </w:r>
      <w:r>
        <w:rPr>
          <w:rFonts w:ascii="Times New Roman" w:hAnsi="Times New Roman" w:eastAsia="宋体"/>
          <w:sz w:val="21"/>
        </w:rPr>
        <w:t xml:space="preserve">时间: 2026-07-01 | </w:t>
      </w:r>
      <w:r>
        <w:t xml:space="preserve">链接: </w:t>
      </w:r>
      <w:hyperlink r:id="rId43">
        <w:r>
          <w:rPr>
            <w:rFonts w:ascii="Times New Roman" w:hAnsi="Times New Roman" w:eastAsia="宋体"/>
            <w:color w:val="0000FF"/>
            <w:sz w:val="21"/>
            <w:u w:val="single"/>
          </w:rPr>
          <w:t>https://doi.org/10.1016/j.displa.2026.103357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使用智能眼镜帮助盲人够取日常物品</w:t>
      </w:r>
    </w:p>
    <w:p>
      <w:r>
        <w:rPr>
          <w:rFonts w:ascii="Times New Roman" w:hAnsi="Times New Roman" w:eastAsia="宋体"/>
          <w:b/>
          <w:color w:val="003264"/>
          <w:sz w:val="24"/>
        </w:rPr>
        <w:t>Assisting the blind to reach daily objects using smart glasses</w:t>
      </w:r>
    </w:p>
    <w:p>
      <w:r>
        <w:rPr>
          <w:rFonts w:ascii="Times New Roman" w:hAnsi="Times New Roman" w:eastAsia="宋体"/>
          <w:sz w:val="21"/>
        </w:rPr>
        <w:t>作者: Aditya Singh, Meet Anil Bhanushali, Jingwu Luo, Gang Luo, Shrinivas Pundlik</w:t>
        <w:br/>
      </w:r>
      <w:r>
        <w:rPr>
          <w:rFonts w:ascii="Times New Roman" w:hAnsi="Times New Roman" w:eastAsia="宋体"/>
          <w:sz w:val="21"/>
        </w:rPr>
        <w:t xml:space="preserve">时间: 2026-02-01 | </w:t>
      </w:r>
      <w:r>
        <w:t xml:space="preserve">链接: </w:t>
      </w:r>
      <w:hyperlink r:id="rId132">
        <w:r>
          <w:rPr>
            <w:rFonts w:ascii="Times New Roman" w:hAnsi="Times New Roman" w:eastAsia="宋体"/>
            <w:color w:val="0000FF"/>
            <w:sz w:val="21"/>
            <w:u w:val="single"/>
          </w:rPr>
          <w:t>https://doi.org/10.1016/j.displa.2026.103390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00:30 ---</w:t>
      </w:r>
    </w:p>
    <w:p>
      <w:pPr>
        <w:pStyle w:val="Heading2"/>
      </w:pPr>
      <w:r/>
      <w:r>
        <w:rPr>
          <w:rFonts w:ascii="Times New Roman" w:hAnsi="Times New Roman" w:eastAsia="宋体"/>
          <w:b/>
          <w:color w:val="000000"/>
          <w:sz w:val="24"/>
        </w:rPr>
        <w:t>基于偏振转换超表面的超宽带消色差超透镜</w:t>
      </w:r>
    </w:p>
    <w:p>
      <w:r>
        <w:rPr>
          <w:rFonts w:ascii="Times New Roman" w:hAnsi="Times New Roman" w:eastAsia="宋体"/>
          <w:b/>
          <w:color w:val="003264"/>
          <w:sz w:val="24"/>
        </w:rPr>
        <w:t>Ultra-broadband achromatic metalens based on polarization conversion metasurface</w:t>
      </w:r>
    </w:p>
    <w:p>
      <w:r>
        <w:rPr>
          <w:rFonts w:ascii="Times New Roman" w:hAnsi="Times New Roman" w:eastAsia="宋体"/>
          <w:sz w:val="21"/>
        </w:rPr>
        <w:t>作者: Mustafa Kirlar, Mustafa Turkmen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https://doi.org/10.1016/j.optlaseng.2026.109680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ZnSe 的 2D 光子晶体生物传感器支持机器学习，用于关键血液成分检测和低纤维蛋白原血症诊断</w:t>
      </w:r>
    </w:p>
    <w:p>
      <w:r>
        <w:rPr>
          <w:rFonts w:ascii="Times New Roman" w:hAnsi="Times New Roman" w:eastAsia="宋体"/>
          <w:b/>
          <w:color w:val="003264"/>
          <w:sz w:val="24"/>
        </w:rPr>
        <w:t>ZnSe based 2D photonic crystal biosensor supported with machine learning for critical blood component detection and diagnosis of hypofibrinogenemia</w:t>
      </w:r>
    </w:p>
    <w:p>
      <w:r>
        <w:rPr>
          <w:rFonts w:ascii="Times New Roman" w:hAnsi="Times New Roman" w:eastAsia="宋体"/>
          <w:sz w:val="21"/>
        </w:rPr>
        <w:t>作者: Harikrishnan N, Sangeetha A</w:t>
        <w:br/>
      </w:r>
      <w:r>
        <w:rPr>
          <w:rFonts w:ascii="Times New Roman" w:hAnsi="Times New Roman" w:eastAsia="宋体"/>
          <w:sz w:val="21"/>
        </w:rPr>
        <w:t xml:space="preserve">时间: 2026-06-01 | </w:t>
      </w:r>
      <w:r>
        <w:t xml:space="preserve">链接: </w:t>
      </w:r>
      <w:hyperlink r:id="rId152">
        <w:r>
          <w:rPr>
            <w:rFonts w:ascii="Times New Roman" w:hAnsi="Times New Roman" w:eastAsia="宋体"/>
            <w:color w:val="0000FF"/>
            <w:sz w:val="21"/>
            <w:u w:val="single"/>
          </w:rPr>
          <w:t>https://doi.org/10.1016/j.optlaseng.2026.109678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00:30 ---</w:t>
      </w:r>
    </w:p>
    <w:p>
      <w:pPr>
        <w:pStyle w:val="Heading2"/>
      </w:pPr>
      <w:r/>
      <w:r>
        <w:rPr>
          <w:rFonts w:ascii="Times New Roman" w:hAnsi="Times New Roman" w:eastAsia="宋体"/>
          <w:b/>
          <w:color w:val="000000"/>
          <w:sz w:val="24"/>
        </w:rPr>
        <w:t>使用光纤进行语音声学传感的可能性和局限性：干涉测量方法和分布式方法的比较</w:t>
      </w:r>
    </w:p>
    <w:p>
      <w:r>
        <w:rPr>
          <w:rFonts w:ascii="Times New Roman" w:hAnsi="Times New Roman" w:eastAsia="宋体"/>
          <w:b/>
          <w:color w:val="003264"/>
          <w:sz w:val="24"/>
        </w:rPr>
        <w:t>Possibilities and limitations of speech acoustic sensing using fiber optics: Comparison of interferometric and distributed approaches</w:t>
      </w:r>
    </w:p>
    <w:p>
      <w:r>
        <w:rPr>
          <w:rFonts w:ascii="Times New Roman" w:hAnsi="Times New Roman" w:eastAsia="宋体"/>
          <w:sz w:val="21"/>
        </w:rPr>
        <w:t>作者: Ondřej Mokrý, Petr Dejdar, Martin Čížek, Pavel Rajmic, JiříSchimmel, Tomáš Horváth, Petr Münster, Ondřej Číp</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基于二次游标效应的超高灵敏度温度应变传感器</w:t>
      </w:r>
    </w:p>
    <w:p>
      <w:r>
        <w:rPr>
          <w:rFonts w:ascii="Times New Roman" w:hAnsi="Times New Roman" w:eastAsia="宋体"/>
          <w:b/>
          <w:color w:val="003264"/>
          <w:sz w:val="24"/>
        </w:rPr>
        <w:t>Temperature and strain sensor with ultra-high sensitivity based on the secondary Vernier effect</w:t>
      </w:r>
    </w:p>
    <w:p>
      <w:r>
        <w:rPr>
          <w:rFonts w:ascii="Times New Roman" w:hAnsi="Times New Roman" w:eastAsia="宋体"/>
          <w:sz w:val="21"/>
        </w:rPr>
        <w:t>作者: Xiaoxiang Liu, Qianhao Xia, Wenlong Sun, Cui Liang, Yilan Zhou, Tengchao Huang</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https://doi.org/10.1016/j.optcom.2026.133006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具有优异色域和高亮度的电致变色双层硼烯纳米光栅等离激元结构色彩系统</w:t>
      </w:r>
    </w:p>
    <w:p>
      <w:r>
        <w:rPr>
          <w:rFonts w:ascii="Times New Roman" w:hAnsi="Times New Roman" w:eastAsia="宋体"/>
          <w:b/>
          <w:color w:val="003264"/>
          <w:sz w:val="24"/>
        </w:rPr>
        <w:t>An electrochromic dual-layer borophene nanogratings plasmonic structure color system with excellent color gamut and high brightness</w:t>
      </w:r>
    </w:p>
    <w:p>
      <w:r>
        <w:rPr>
          <w:rFonts w:ascii="Times New Roman" w:hAnsi="Times New Roman" w:eastAsia="宋体"/>
          <w:sz w:val="21"/>
        </w:rPr>
        <w:t>作者: Yizhao Pan, Fang Chen, Wenxing Yang</w:t>
        <w:br/>
      </w:r>
      <w:r>
        <w:rPr>
          <w:rFonts w:ascii="Times New Roman" w:hAnsi="Times New Roman" w:eastAsia="宋体"/>
          <w:sz w:val="21"/>
        </w:rPr>
        <w:t xml:space="preserve">时间: 2026-02-01 | </w:t>
      </w:r>
      <w:r>
        <w:t xml:space="preserve">链接: </w:t>
      </w:r>
      <w:hyperlink r:id="rId153">
        <w:r>
          <w:rPr>
            <w:rFonts w:ascii="Times New Roman" w:hAnsi="Times New Roman" w:eastAsia="宋体"/>
            <w:color w:val="0000FF"/>
            <w:sz w:val="21"/>
            <w:u w:val="single"/>
          </w:rPr>
          <w:t>https://doi.org/10.1016/j.optcom.2026.132997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用于智能手机生物传感的多色多孔硅 RGB 梳状滤光片</w:t>
      </w:r>
    </w:p>
    <w:p>
      <w:r>
        <w:rPr>
          <w:rFonts w:ascii="Times New Roman" w:hAnsi="Times New Roman" w:eastAsia="宋体"/>
          <w:b/>
          <w:color w:val="003264"/>
          <w:sz w:val="24"/>
        </w:rPr>
        <w:t>Multichromatic porous silicon RGB rugate filters for use in smartphone biosensing</w:t>
      </w:r>
    </w:p>
    <w:p>
      <w:r>
        <w:rPr>
          <w:rFonts w:ascii="Times New Roman" w:hAnsi="Times New Roman" w:eastAsia="宋体"/>
          <w:sz w:val="21"/>
        </w:rPr>
        <w:t>作者: Zachary D. Martin, Sharon M. Weiss</w:t>
        <w:br/>
      </w:r>
      <w:r>
        <w:rPr>
          <w:rFonts w:ascii="Times New Roman" w:hAnsi="Times New Roman" w:eastAsia="宋体"/>
          <w:sz w:val="21"/>
        </w:rPr>
        <w:t xml:space="preserve">时间: 2026-02-04 | </w:t>
      </w:r>
      <w:r>
        <w:t xml:space="preserve">链接: </w:t>
      </w:r>
      <w:hyperlink r:id="rId47">
        <w:r>
          <w:rPr>
            <w:rFonts w:ascii="Times New Roman" w:hAnsi="Times New Roman" w:eastAsia="宋体"/>
            <w:color w:val="0000FF"/>
            <w:sz w:val="21"/>
            <w:u w:val="single"/>
          </w:rPr>
          <w:t>https://doi.org/10.1364/ao.584283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在这项工作中，我们报告了一种基于多孔硅的多色梳状滤光片，可以从智能手机提供的白光照明中选择红色 (R)、绿色 (G) 和蓝色 (B) 波长。所有三个色带的半峰全宽均低于 30 nm。使用光谱仪进行光谱表征，并对滤波器的智能手机图像进行色彩分析，以验证所需的性能。将智能手机 LED 闪光灯的白光转换为多色 RGB 照明可用于基于智能手机的生物传感，以提高检测限。</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a porous silicon-based multichromatic rugate filter to select red (R), green (G), and blue (B) wavelengths from white light illumination provided by a smartphone. The full width at half-maximum values for all three color bands are below 30 nm. Spectral characterization was carried out with a spectrometer, and chromatic analysis was applied to smartphone images of the filter to verify the desired performance. Conversion of white light from the LED flash of a smartphone to multichromatic RGB illumination can be used in smartphone-based biosensing for improved limit of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用于海底光通信的多通道混合量子密码</w:t>
      </w:r>
    </w:p>
    <w:p>
      <w:r>
        <w:rPr>
          <w:rFonts w:ascii="Times New Roman" w:hAnsi="Times New Roman" w:eastAsia="宋体"/>
          <w:b/>
          <w:color w:val="003264"/>
          <w:sz w:val="24"/>
        </w:rPr>
        <w:t>Multichannel hybrid quantum cryptography for submarine optical communications</w:t>
      </w:r>
    </w:p>
    <w:p>
      <w:r>
        <w:rPr>
          <w:rFonts w:ascii="Times New Roman" w:hAnsi="Times New Roman" w:eastAsia="宋体"/>
          <w:sz w:val="21"/>
        </w:rPr>
        <w:t>作者: Jesús Liñares, Xesús Prieto-Blanco, Alexandre Vázquez-Martínez, Eduardo F. Mateo</w:t>
        <w:br/>
      </w:r>
      <w:r>
        <w:rPr>
          <w:rFonts w:ascii="Times New Roman" w:hAnsi="Times New Roman" w:eastAsia="宋体"/>
          <w:sz w:val="21"/>
        </w:rPr>
        <w:t xml:space="preserve">时间: 2026-02-02 | </w:t>
      </w:r>
      <w:r>
        <w:t xml:space="preserve">链接: </w:t>
      </w:r>
      <w:hyperlink r:id="rId48">
        <w:r>
          <w:rPr>
            <w:rFonts w:ascii="Times New Roman" w:hAnsi="Times New Roman" w:eastAsia="宋体"/>
            <w:color w:val="0000FF"/>
            <w:sz w:val="21"/>
            <w:u w:val="single"/>
          </w:rPr>
          <w:t>https://doi.org/10.1364/ao.574443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我们提出了一种多通道混合量子加密方法，旨在用于 Alice 和 Bob 之间的海底量子光通信，两者之间的距离超出了当前 QKD 可能性，每个都位于海岸线上。它是基于同时接入M个光海底通道的难度。从海岸线（理想情况下到大陆架末端）的光路由自动补偿高维离散调制连续变量 QKD 协议下的光的量子特性控制。混合方法包括组合 M 通道的多个密钥，并在位于大陆架以外的非量子光线路上引入额外的安全层（无源和/或有源）。</w:t>
      </w:r>
    </w:p>
    <w:p>
      <w:pPr>
        <w:spacing w:before="120"/>
      </w:pPr>
      <w:r>
        <w:rPr>
          <w:rFonts w:ascii="Times New Roman" w:hAnsi="Times New Roman" w:eastAsia="宋体"/>
          <w:b/>
          <w:sz w:val="21"/>
        </w:rPr>
        <w:t>English Abstract:</w:t>
      </w:r>
    </w:p>
    <w:p>
      <w:r>
        <w:rPr>
          <w:rFonts w:ascii="Times New Roman" w:hAnsi="Times New Roman" w:eastAsia="宋体"/>
          <w:sz w:val="21"/>
        </w:rPr>
        <w:t>We present a multichannel hybrid quantum cryptography approach intended for submarine quantum optical communications between Alice and Bob separated by a distance beyond the current QKD possibilities, each located on a coastline. It is based on the difficulty of simultaneous access to M optical submarine channels. The optical lines from the coastline, and ideally to the end of the continental shelf, are governed by the quantum properties of the light under an autocompensating high-dimensional discrete-modulation continuous variable QKD protocol. The hybrid approach consists of combining several secret keys of M channels and introducing extra layers of security, passive and/or active, on the non-quantum optical lines located beyond the continental shelf.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具有集成光回收功能的紧凑型四透镜准直系统的设计</w:t>
      </w:r>
    </w:p>
    <w:p>
      <w:r>
        <w:rPr>
          <w:rFonts w:ascii="Times New Roman" w:hAnsi="Times New Roman" w:eastAsia="宋体"/>
          <w:b/>
          <w:color w:val="003264"/>
          <w:sz w:val="24"/>
        </w:rPr>
        <w:t>Design of a compact four-lens collimation system with integrated light recycling</w:t>
      </w:r>
    </w:p>
    <w:p>
      <w:r>
        <w:rPr>
          <w:rFonts w:ascii="Times New Roman" w:hAnsi="Times New Roman" w:eastAsia="宋体"/>
          <w:sz w:val="21"/>
        </w:rPr>
        <w:t>作者: Shutao Zheng, Yiqin Xu, Zhiqing Zhang, Zhongrui Qu, Zhiliang Gu, Shuwen Zheng</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https://doi.org/10.1364/ao.583050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利用非相干光源的高亮度 LED 照明系统通常受到可实现的亮度和整个系统体积之间固有权衡的限制。为了克服这一限制，我们设计并制造了一种具有集成光回收（ILRC）功能的紧凑型四透镜准直系统，该系统将自由曲面透镜组与反射环结构相结合，以有效地重新分配和重新捕获发散光。通过三个离散波长（385、430 和 475 nm）进行光线追踪分析，以评估关键系统参数，包括孔径、反射率、散射行为和 LED 芯片面积。与市售替代品相比，ILRC 系统的总体积减少了近 50%，同时 385 nm 的辐射强度增加了约 65%。当在光学显微镜中实施时，该系统在样品平面上提供了显着增强的有效辐射度并改善了图像对比度，证实了其作为紧凑、节能和高辐射度照明解决方案的实用性。</w:t>
      </w:r>
    </w:p>
    <w:p>
      <w:pPr>
        <w:spacing w:before="120"/>
      </w:pPr>
      <w:r>
        <w:rPr>
          <w:rFonts w:ascii="Times New Roman" w:hAnsi="Times New Roman" w:eastAsia="宋体"/>
          <w:b/>
          <w:sz w:val="21"/>
        </w:rPr>
        <w:t>English Abstract:</w:t>
      </w:r>
    </w:p>
    <w:p>
      <w:r>
        <w:rPr>
          <w:rFonts w:ascii="Times New Roman" w:hAnsi="Times New Roman" w:eastAsia="宋体"/>
          <w:sz w:val="21"/>
        </w:rPr>
        <w:t>High-radiance LED illumination systems utilizing incoherent light sources are typically limited by an inherent trade-off between achievable radiance and overall system volume. To overcome this constraint, we designed and fabricated a compact four-lens collimation system with integrated light recycling (ILRC) that combines a freeform surface lens group with a reflective ring structure to efficiently redistribute and recapture divergent light. Ray tracing analysis was performed by three discrete wavelengths (385, 430, and 475 nm) to evaluate key system parameters, including aperture, reflectivity, scattering behavior, and LED chip area. Compared to commercially available alternatives, the ILRC system achieves a reduction in total volume by nearly 50% while increasing the radiant intensity at 385 nm by approximately 65%. When implemented in optical microscopy, the system provided significantly enhanced effective radiance at the sample plane and improved image contrast, confirming its utility as a compact, energy-efficient, and high-radiance illumination 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基于剪切散斑干涉的复合材料内部缺陷检测设备研制</w:t>
      </w:r>
    </w:p>
    <w:p>
      <w:r>
        <w:rPr>
          <w:rFonts w:ascii="Times New Roman" w:hAnsi="Times New Roman" w:eastAsia="宋体"/>
          <w:b/>
          <w:color w:val="003264"/>
          <w:sz w:val="24"/>
        </w:rPr>
        <w:t>Development of internal defect detection equipment for composite materials based on shear speckle interference</w:t>
      </w:r>
    </w:p>
    <w:p>
      <w:r>
        <w:rPr>
          <w:rFonts w:ascii="Times New Roman" w:hAnsi="Times New Roman" w:eastAsia="宋体"/>
          <w:sz w:val="21"/>
        </w:rPr>
        <w:t>作者: ZhiYong Peng, Biao Gu, JiaHao Zhao, Qilin Zeng, YuLong Qiao</w:t>
        <w:br/>
      </w:r>
      <w:r>
        <w:rPr>
          <w:rFonts w:ascii="Times New Roman" w:hAnsi="Times New Roman" w:eastAsia="宋体"/>
          <w:sz w:val="21"/>
        </w:rPr>
        <w:t xml:space="preserve">时间: 2026-02-06 | </w:t>
      </w:r>
      <w:r>
        <w:t xml:space="preserve">链接: </w:t>
      </w:r>
      <w:hyperlink r:id="rId50">
        <w:r>
          <w:rPr>
            <w:rFonts w:ascii="Times New Roman" w:hAnsi="Times New Roman" w:eastAsia="宋体"/>
            <w:color w:val="0000FF"/>
            <w:sz w:val="21"/>
            <w:u w:val="single"/>
          </w:rPr>
          <w:t>https://doi.org/10.1364/ao.566829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传统复合材料缺陷检测系统相移速度慢和硬件集成度低的限制，开发了一种集成了沃拉斯顿棱镜剪切模块和高速液晶相位延迟器的便携式设备。这项工作的主要贡献是改进了剪切散斑干涉测量的实时相位展开过程，通过将梯度自适应平滑与图割优化相结合并将其部署在嵌入式 GPU 平台上来实现。结合嵌入式软件和 GPU 加速算法来提高处理效率。提出了一种结合梯度自适应平滑和图割优化的改进算法来抑制相位展开中的噪声，在混合噪声条件下将均方根误差（RMSE）降低了27.34%至33.20%，并在0.36 s内完成单帧分析。使用铝盘和复合试件进行的实验验证表明，在热载荷下可靠检测直径≥2mm的内部缺陷，准确率达到97%。该系统的集成硬件软件设计实现了亚毫米分辨率，同时保持了现场部署的便携性，满足航空航天应用中高速、高灵敏度无损检测的关键要求。</w:t>
      </w:r>
    </w:p>
    <w:p>
      <w:pPr>
        <w:spacing w:before="120"/>
      </w:pPr>
      <w:r>
        <w:rPr>
          <w:rFonts w:ascii="Times New Roman" w:hAnsi="Times New Roman" w:eastAsia="宋体"/>
          <w:b/>
          <w:sz w:val="21"/>
        </w:rPr>
        <w:t>English Abstract:</w:t>
      </w:r>
    </w:p>
    <w:p>
      <w:r>
        <w:rPr>
          <w:rFonts w:ascii="Times New Roman" w:hAnsi="Times New Roman" w:eastAsia="宋体"/>
          <w:sz w:val="21"/>
        </w:rPr>
        <w:t>To address the limitations of slow phase-shifting speed and low hardware integration in traditional composite defect detection systems, a portable device was developed that integrates a Wollaston prism shearing module with a high-speed liquid crystal phase retarder. The main contribution of this work is an improved real-time phase unwrapping process for shear speckle interferometry measurements, achieved by combining gradient-adaptive smoothing with graph-cut optimization and deploying it on an embedded GPU platform. Embedded software and GPU-accelerated algorithms were incorporated to enhance processing efficiency. An improved algorithm combining gradient-adaptive smoothing and graph-cut optimization was proposed for noise suppression in phase unwrapping, reducing the root mean square error (RMSE) by 27.34% to 33.20% under hybrid noise conditions and completing single-frame analysis within 0.36 s. Experimental validation using aluminum discs and composite specimens showed that the reliable detection of internal defects with a diameter of ≥2mm under heat loading achieved 97% accuracy. The system’s integrated hardware–software design achieves submillimeter resolution while maintaining field-deployable portability, fulfilling critical requirements for high-speed, high-sensitivity nondestructive testing in aerospace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采用各种改进的奥夫纳结构和自由曲面光栅棱镜色散元件的紧凑型成像光谱仪与长缝设计的比较</w:t>
      </w:r>
    </w:p>
    <w:p>
      <w:r>
        <w:rPr>
          <w:rFonts w:ascii="Times New Roman" w:hAnsi="Times New Roman" w:eastAsia="宋体"/>
          <w:b/>
          <w:color w:val="003264"/>
          <w:sz w:val="24"/>
        </w:rPr>
        <w:t>Comparison of a compact imaging spectrometer with long-slit designs utilizing various modified Offner structures and freeform surface grating-prism dispersion elements</w:t>
      </w:r>
    </w:p>
    <w:p>
      <w:r>
        <w:rPr>
          <w:rFonts w:ascii="Times New Roman" w:hAnsi="Times New Roman" w:eastAsia="宋体"/>
          <w:sz w:val="21"/>
        </w:rPr>
        <w:t>作者: Chen Zhang, Xianglong Mao, Jiadong Yu, Junming Chen, Ruitong Wu</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https://doi.org/10.1364/ao.575365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长缝、高光谱分辨率和紧凑系统设计的应用需求，传统的奥夫纳型自由曲面成像光谱仪面临光栅线密度过高和制造复杂性的挑战。本文提出了一种离轴三镜成像光谱仪的创新设计，该光谱仪具有光栅棱镜组合和色散校正自由曲面。基于改进的奥夫纳结构，次镜采用自由曲面光栅，而棱镜系统地集成到光路中以共享色散并协同校正像差。通过在三个关键位置（输入臂、次镜和输出臂）配置不同数量 (1-3) 的棱镜（只有一个是自由曲面棱镜），可实现 12 种不同的设计配置。同时设计了光栅成像光谱仪进行比较。最终的设计与要求进行了严格比较：波长范围从 400 纳米到 1000 纳米，光谱分辨率为 3 纳米，狭缝长度为 60 毫米，F 数为 3。在这些设计中，特定配置证明在全波长 34 lp/mm 的奈奎斯特频率下调制传递（MTF 值）超过 0.7，同时保持微笑和梯形失真小于像素尺寸的十分之一。公差分析证实这些自由曲面可以有效制造。该设计满足长狭缝功能和紧凑架构的标准。</w:t>
      </w:r>
    </w:p>
    <w:p>
      <w:pPr>
        <w:spacing w:before="120"/>
      </w:pPr>
      <w:r>
        <w:rPr>
          <w:rFonts w:ascii="Times New Roman" w:hAnsi="Times New Roman" w:eastAsia="宋体"/>
          <w:b/>
          <w:sz w:val="21"/>
        </w:rPr>
        <w:t>English Abstract:</w:t>
      </w:r>
    </w:p>
    <w:p>
      <w:r>
        <w:rPr>
          <w:rFonts w:ascii="Times New Roman" w:hAnsi="Times New Roman" w:eastAsia="宋体"/>
          <w:sz w:val="21"/>
        </w:rPr>
        <w:t>To address application demands for long slits, high spectral resolution, and compact system design, traditional Offner-type freeform surface imaging spectrometers face challenges of excessively high grating line density and manufacturing complexity. This paper proposes an innovative design for an off-axis three-mirror imaging spectrometer featuring a grating-prism combination with dispersion-corrected freeform surfaces. Building upon a modified Offner structure, the secondary mirror employs a freeform surface grating while prisms are systematically integrated into the optical path to share dispersion and synergistically correct aberrations. By configuring varying numbers (1–3) of prisms (only one being a freeform surface prism) at three critical locations—the input arm, secondary mirror, and output arm—12 distinct design configurations are achieved. A grating imaging spectrometer was concurrently designed for comparison. The resulting designs were rigorously compared against requirements: a wavelength range spanning from 400 to 1000 nm, a spectral resolution of 3 nm, a slit length of 60 mm, and an F-number of 3. Among these designs, a particular configuration demonstrated modulation transfer (MTF values) surpassing 0.7 at the Nyquist frequency of 34 lp/mm in full wavelengths while maintaining the smile and keystone less than one-tenth that of the pixel size. Tolerance analysis confirms that these freeform surfaces can be manufactured effectively. This design fulfills the criteria for both long slit functionality and compact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晴朗暮色中紫光颜色和光谱的分布</w:t>
      </w:r>
    </w:p>
    <w:p>
      <w:r>
        <w:rPr>
          <w:rFonts w:ascii="Times New Roman" w:hAnsi="Times New Roman" w:eastAsia="宋体"/>
          <w:b/>
          <w:color w:val="003264"/>
          <w:sz w:val="24"/>
        </w:rPr>
        <w:t>Distributions of purple-light colors and spectra in clear twilights</w:t>
      </w:r>
    </w:p>
    <w:p>
      <w:r>
        <w:rPr>
          <w:rFonts w:ascii="Times New Roman" w:hAnsi="Times New Roman" w:eastAsia="宋体"/>
          <w:sz w:val="21"/>
        </w:rPr>
        <w:t>作者: Raymond L. Lee</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https://doi.org/10.1364/ao.580943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澈的民用暮光通常会呈现出一系列柔和的紫色，但这种紫色光的组合角度和时间分布尚不清楚。现在可以使用配备鱼眼镜头的高光谱相机来测量这种分布，这为普通（即非火山）晴朗暮光期间紫色光谱和颜色的传播和演变提供了新的见解。由于紫色光缺乏清晰的边界，因此第一步是对其角度范围制定基于感知的定义。令人惊讶的是，这导致了以下发现：（1）有时会在太阳和反太阳天空中出现色度不同的紫色；（2）随着太阳高度的变化以明显不同的方式变化。</w:t>
      </w:r>
    </w:p>
    <w:p>
      <w:pPr>
        <w:spacing w:before="120"/>
      </w:pPr>
      <w:r>
        <w:rPr>
          <w:rFonts w:ascii="Times New Roman" w:hAnsi="Times New Roman" w:eastAsia="宋体"/>
          <w:b/>
          <w:sz w:val="21"/>
        </w:rPr>
        <w:t>English Abstract:</w:t>
      </w:r>
    </w:p>
    <w:p>
      <w:r>
        <w:rPr>
          <w:rFonts w:ascii="Times New Roman" w:hAnsi="Times New Roman" w:eastAsia="宋体"/>
          <w:sz w:val="21"/>
        </w:rPr>
        <w:t>Clear civil twilights often exhibit a range of pastel purples, but the combined angular and temporal distributions of this purple light are unknown. Such distributions can now be measured by using a hyperspectral camera fitted with a fisheye lens, which gives new insights into the spread and evolution of purple-light spectra and colors during ordinary (i.e., nonvolcanic) clear twilights. Because the purple light lacks clear-cut borders, a first step is to develop a perceptually based definition of its angular extent. Surprisingly, this leads to the discovery that colorimetrically distinct purples (1) sometimes appear in both the solar and antisolar skies and (2) change in markedly different ways with sun elevation.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使用和不使用超声波的各种小孔径工具研磨过程中熔融石英玻璃的亚表面机械损伤</w:t>
      </w:r>
    </w:p>
    <w:p>
      <w:r>
        <w:rPr>
          <w:rFonts w:ascii="Times New Roman" w:hAnsi="Times New Roman" w:eastAsia="宋体"/>
          <w:b/>
          <w:color w:val="003264"/>
          <w:sz w:val="24"/>
        </w:rPr>
        <w:t>Subsurface mechanical damage of fused silica glass during grinding by various sub-aperture tools with and without ultrasonics</w:t>
      </w:r>
    </w:p>
    <w:p>
      <w:r>
        <w:rPr>
          <w:rFonts w:ascii="Times New Roman" w:hAnsi="Times New Roman" w:eastAsia="宋体"/>
          <w:sz w:val="21"/>
        </w:rPr>
        <w:t>作者: T. Suratwala, W. Steele, G. Tham, J. Ross, J. Johnson, O. Herrera, M. Cahill, D. Bechtold, M. Bechtold, R. Bechtold, F. Ravizza</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https://doi.org/10.1364/ao.580426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使用一整套小孔径固定磨料磨具 [杯、轮、带、垫和旋转面铣刀（带和不带超声波）] 磨削熔融石英玻璃后的亚表面机械损伤 (SSD) 深度和工艺参数已使用锥度楔块技术进行统计测量和评估。与先前报道的研磨模型一致[J. Non-Cryst。 Solids 352 , 5601 –5617 ( 2006 ) 10.1016/j.jnoncrysol.2006.09.012 , 材料科学与光学制造技术 (Wiley &amp; Sons, 2018 ) ]，基于滑动颗粒或粗糙体的滑动压痕断裂，其中每个颗粒的法向载荷决定断裂深度（最终决定整体 SSD 深度），研究发现，无论刀具类型和工艺条件如何，控制 SSD 深度的主导因素是磨料尺寸。与全孔径研磨方法相比，使用子孔径工具的整体 SSD 深度更高，这可能是由于更高的有效压力和每颗粒分布的更高负载。除了磨料尺寸外，SSD 深度的显着减小还通过以下方式实现：(1) 通过增加接触面积和/或减少机械载荷来减少磨料颗粒上的载荷分布； (2)使用更兼容的宿主工具介质； (3) 我们认为这是一种更新颖的方式，即使用超声波。泡沫垫上的树脂基体 (Trizact) 中的 6 µm 金刚石结合了较小的磨料尺寸、较大的接触面积和兼容的主体，可实现非常低的 SSD 深度 (∼4.6µm)、相对较快的研磨速率 (186mm 3 /h) 以及很少或没有形状退化。这种研磨工具/工艺对于最终研磨来说是一个有吸引力的选择，可显着减少抛光（即“灰化”）时间。通过旋转面铣刀，超声波的使用始终导致 SSD 深度减少（范围为 17%–34%）。据我们所知，已经开发出一种新的基于断裂力学的模型，其中相关法向载荷平行于进给方向，用于解释超声波如何导致较低的 SSD 深度。由有限元应力分析和载荷测量支持的关键因素是（1）在工具的超声波垂直振荡期间，在较高的 z 高度处开始断裂，从而传播到工件的深度较小； (2) 由于刀具-工件进给方向接触面积较小（同样是由相对于切削深度的较高 z 高度引起），负载减少（从而减少断裂扩展距离）； (3) 工具在振荡过程中向上运动导致破裂向地表而不是向深处破裂；最后（4）在工具振荡周期的最低点，可能没有足够的时间让裂缝扩展至其全长。</w:t>
      </w:r>
    </w:p>
    <w:p>
      <w:pPr>
        <w:spacing w:before="120"/>
      </w:pPr>
      <w:r>
        <w:rPr>
          <w:rFonts w:ascii="Times New Roman" w:hAnsi="Times New Roman" w:eastAsia="宋体"/>
          <w:b/>
          <w:sz w:val="21"/>
        </w:rPr>
        <w:t>English Abstract:</w:t>
      </w:r>
    </w:p>
    <w:p>
      <w:r>
        <w:rPr>
          <w:rFonts w:ascii="Times New Roman" w:hAnsi="Times New Roman" w:eastAsia="宋体"/>
          <w:sz w:val="21"/>
        </w:rPr>
        <w:t>The subsurface mechanical damage (SSD) depth after grinding fused silica glass with a comprehensive set of sub-aperture fixed abrasive grinding tools [cup, wheel, belt, pad, and rotary face mill (with and without ultrasonics)] and process parameters has been statistically measured using the taper wedge technique and evaluated. Consistent with a previously reported grinding model [ J. Non-Cryst. Solids 352 , 5601 –5617 ( 2006 ) 10.1016/j.jnoncrysol.2006.09.012 , Materials Science and Technology of Optical Fabrication (Wiley &amp; Sons, 2018 ) ], based on the sliding indentation fracture by sliding particles or asperities where the normal load per particle determines the depth of the fracture (and ultimately the overall SSD depth), the dominant factor controlling SSD depth was found to be the abrasive size regardless of the tool type and process conditions. Compared to full aperture grinding methods, the overall SSD depth was higher using the sub-aperture tools, likely due to the higher effective pressure and higher load per particle distribution. In addition to abrasive size, a significant reduction in SSD depth was achieved by: (1) reducing the load distribution on the abrasive particles via increase in contact area and/or decrease in mechanical loading; (2) using a more compliant host tool medium; and (3) in what we believe is a more novel way, using ultrasonics. Combining low abrasive size, larger contact area, and a compliant host, the 6 µm diamond in a resin matrix (Trizact) on a foam pad led to very low SSD depth (∼4.6µm), relatively fast grinding rate (186mm 3 /h), and little or no figure degradation. This grinding tool/process is an attractive choice for final grind, resulting in significantly reduced polish out (i.e., “grey out”) times. With the rotary face mill tool, the use of ultrasonics consistently led to a SSD depth reduction (ranging from 17%–34%). A new fracture mechanics-based model, to the best of our knowledge, where the relevant normal load is parallel to the feed direction, has been developed to explain how ultrasonics leads to lower SSD depth. The key factors, supported by finite element stress analysis and load measurements, are (1) the initiation of fractures at higher z heights during the tool’s ultrasonic vertical oscillations, thus propagating less deep into workpiece; (2) reduction in load (and therefore reduction in fracture propagation distance) due to smaller tool-workpiece feed direction contact area (again caused by higher z heights relative to depth of cut); (3) upward movement of the tool during oscillation leads to fracturing toward the surface instead into the depth; and finally (4) at tool’s lowest point of oscillation cycle, there may not be enough time for the fracture to propagate to its full 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3D-DeepZern：基于 Zernike 多项式的断层扫描重建深度卷积神经网络</w:t>
      </w:r>
    </w:p>
    <w:p>
      <w:r>
        <w:rPr>
          <w:rFonts w:ascii="Times New Roman" w:hAnsi="Times New Roman" w:eastAsia="宋体"/>
          <w:b/>
          <w:color w:val="003264"/>
          <w:sz w:val="24"/>
        </w:rPr>
        <w:t>3D-DeepZern: a deep convolutional neural network for tomographic reconstruction based on Zernike polynomials</w:t>
      </w:r>
    </w:p>
    <w:p>
      <w:r>
        <w:rPr>
          <w:rFonts w:ascii="Times New Roman" w:hAnsi="Times New Roman" w:eastAsia="宋体"/>
          <w:sz w:val="21"/>
        </w:rPr>
        <w:t>作者: Quang Trieu, Dominick Rizk, George Nehmetallah</w:t>
        <w:br/>
      </w:r>
      <w:r>
        <w:rPr>
          <w:rFonts w:ascii="Times New Roman" w:hAnsi="Times New Roman" w:eastAsia="宋体"/>
          <w:sz w:val="21"/>
        </w:rPr>
        <w:t xml:space="preserve">时间: 2026-02-09 | </w:t>
      </w:r>
      <w:r>
        <w:t xml:space="preserve">链接: </w:t>
      </w:r>
      <w:hyperlink r:id="rId54">
        <w:r>
          <w:rPr>
            <w:rFonts w:ascii="Times New Roman" w:hAnsi="Times New Roman" w:eastAsia="宋体"/>
            <w:color w:val="0000FF"/>
            <w:sz w:val="21"/>
            <w:u w:val="single"/>
          </w:rPr>
          <w:t>https://doi.org/10.1364/ao.586077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断层扫描编码的传统分析泽尼克方法需要乘以大型泽尼克多项式矩阵，这会导致大量的计算开销。此外，逆泽尼克矩阵必须预先计算和存储，导致显着的内存消耗——随着泽尼克阶数或断层图像分辨率的增长，这个问题变得越来越严重。为了解决这些限制，我们提出了 3D-DeepZern，这是一种基于深度学习的 Zernike 多项式，用神经网络代替基于矩阵的编码。该方法有效地将 3D 断层图映射到其 1D Zernike 描述符向量，并根据该编码重建断层图。与分析方法相比，3D-DeepZern 提供了显着更快的编码、显着降低的内存使用量以及相当的重建精度。这些改进在更高的泽尼克阶数或更大的体素网格下变得更加明显，证明了所提出的方法对于高分辨率断层摄影应用的可扩展性和实用性。</w:t>
      </w:r>
    </w:p>
    <w:p>
      <w:pPr>
        <w:spacing w:before="120"/>
      </w:pPr>
      <w:r>
        <w:rPr>
          <w:rFonts w:ascii="Times New Roman" w:hAnsi="Times New Roman" w:eastAsia="宋体"/>
          <w:b/>
          <w:sz w:val="21"/>
        </w:rPr>
        <w:t>English Abstract:</w:t>
      </w:r>
    </w:p>
    <w:p>
      <w:r>
        <w:rPr>
          <w:rFonts w:ascii="Times New Roman" w:hAnsi="Times New Roman" w:eastAsia="宋体"/>
          <w:sz w:val="21"/>
        </w:rPr>
        <w:t>Traditional analytical Zernike methods for tomographic encoding require multiplying large Zernike polynomial matrices, which leads to substantial computational overhead. Moreover, the inverse Zernike matrices must be precomputed and stored, resulting in significant memory consumption—an issue that becomes increasingly severe as the Zernike order or tomogram resolution grows. To address these limitations, we propose 3D-DeepZern, a deep learning-based Zernike polynomials that replaces the matrix-based encoding with neural networks. The method efficiently maps a 3D tomogram to its 1D Zernike descriptor vector and reconstructs the tomogram from this encoding. Compared with the analytical approach, 3D-DeepZern provides dramatically faster encoding, substantially lower memory usage, and comparable reconstruction accuracy. The improvements become even more pronounced at higher Zernike orders or larger voxel grids, demonstrating the scalability and practicality of the proposed method for high-resolution tomographic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用于高峰值功率纳秒脉冲放大的 40 µm 纤芯直径掺镱 VLMA 光纤</w:t>
      </w:r>
    </w:p>
    <w:p>
      <w:r>
        <w:rPr>
          <w:rFonts w:ascii="Times New Roman" w:hAnsi="Times New Roman" w:eastAsia="宋体"/>
          <w:b/>
          <w:color w:val="003264"/>
          <w:sz w:val="24"/>
        </w:rPr>
        <w:t>40 µm core diameter ytterbium-doped VLMA fiber for high-peak-power nanosecond pulse amplification</w:t>
      </w:r>
    </w:p>
    <w:p>
      <w:r>
        <w:rPr>
          <w:rFonts w:ascii="Times New Roman" w:hAnsi="Times New Roman" w:eastAsia="宋体"/>
          <w:sz w:val="21"/>
        </w:rPr>
        <w:t>作者: A. Chervet, B. Leconte, K. Wondraczek, J. Didierjean, R. Jamier, P. Roy</w:t>
        <w:br/>
      </w:r>
      <w:r>
        <w:rPr>
          <w:rFonts w:ascii="Times New Roman" w:hAnsi="Times New Roman" w:eastAsia="宋体"/>
          <w:sz w:val="21"/>
        </w:rPr>
        <w:t xml:space="preserve">时间: 2026-02-03 | </w:t>
      </w:r>
      <w:r>
        <w:t xml:space="preserve">链接: </w:t>
      </w:r>
      <w:hyperlink r:id="rId55">
        <w:r>
          <w:rPr>
            <w:rFonts w:ascii="Times New Roman" w:hAnsi="Times New Roman" w:eastAsia="宋体"/>
            <w:color w:val="0000FF"/>
            <w:sz w:val="21"/>
            <w:u w:val="single"/>
          </w:rPr>
          <w:t>https://doi.org/10.1364/ao.580121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微电子加工应用中，开发具有高峰值和平均功率的纳秒红外脉冲激光源对于支持不断提高加工生产率的努力至关重要。在本文中，我们提出了一种主振荡器光纤功率放大器（MOFPA），其特点是保偏（PM）超大模式面积（VLMA）掺镱光纤放大器的创新设计。该光纤的模场直径 (MFD) 为 38±2μm，并表现出显着的泵浦吸收，这些特性的组合可以有效地推迟峰值功率方面非线性效应的出现。</w:t>
      </w:r>
    </w:p>
    <w:p>
      <w:pPr>
        <w:spacing w:before="120"/>
      </w:pPr>
      <w:r>
        <w:rPr>
          <w:rFonts w:ascii="Times New Roman" w:hAnsi="Times New Roman" w:eastAsia="宋体"/>
          <w:b/>
          <w:sz w:val="21"/>
        </w:rPr>
        <w:t>English Abstract:</w:t>
      </w:r>
    </w:p>
    <w:p>
      <w:r>
        <w:rPr>
          <w:rFonts w:ascii="Times New Roman" w:hAnsi="Times New Roman" w:eastAsia="宋体"/>
          <w:sz w:val="21"/>
        </w:rPr>
        <w:t>In the context of microelectronic processing applications, the development of nanosecond infrared pulsed laser sources with high peak and average power is essential to support the ongoing effort to improve machining productivity. In this paper, we propose a master oscillator fiber power amplifier (MOFPA) featuring an innovative design of a polarization-maintaining (PM) very large mode area (VLMA) ytterbium-doped fiber amplifier. This fiber possesses a mode field diameter (MFD) of 38±2µm and demonstrates significant pump absorption, a combination of properties that effectively pushes back the onset of nonlinear effects in terms of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硫酸盐模型模拟全血在选定氧饱和度下的近红外光声响应</w:t>
      </w:r>
    </w:p>
    <w:p>
      <w:r>
        <w:rPr>
          <w:rFonts w:ascii="Times New Roman" w:hAnsi="Times New Roman" w:eastAsia="宋体"/>
          <w:b/>
          <w:color w:val="003264"/>
          <w:sz w:val="24"/>
        </w:rPr>
        <w:t>Sulfate phantoms to mimic NIR photoacoustic response of whole blood at selected oxygen saturations</w:t>
      </w:r>
    </w:p>
    <w:p>
      <w:r>
        <w:rPr>
          <w:rFonts w:ascii="Times New Roman" w:hAnsi="Times New Roman" w:eastAsia="宋体"/>
          <w:sz w:val="21"/>
        </w:rPr>
        <w:t>作者: Léa Davenet, Arthur Billon, Jacques Battaglia, Lori Bridal, Jerome Gateau</w:t>
        <w:br/>
      </w:r>
      <w:r>
        <w:rPr>
          <w:rFonts w:ascii="Times New Roman" w:hAnsi="Times New Roman" w:eastAsia="宋体"/>
          <w:sz w:val="21"/>
        </w:rPr>
        <w:t xml:space="preserve">时间: 2026-01-20 | </w:t>
      </w:r>
      <w:r>
        <w:t xml:space="preserve">链接: </w:t>
      </w:r>
      <w:hyperlink r:id="rId56">
        <w:r>
          <w:rPr>
            <w:rFonts w:ascii="Times New Roman" w:hAnsi="Times New Roman" w:eastAsia="宋体"/>
            <w:color w:val="0000FF"/>
            <w:sz w:val="21"/>
            <w:u w:val="single"/>
          </w:rPr>
          <w:t>https://doi.org/10.1364/ao.588474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本文提出了一种实用指南，用于制备在 700 nm 至 850 nm 范围内的特定氧合水平下模拟全血光声特性的无机溶液，无论是在光学吸收特性还是 Gr{\"u}neisen 系数方面。目标是提供可注射到模拟组织成像体模中的水溶液，以测试在多个波长下工作的光声成像系统的灵敏度和光谱能力，以估计血液氧合。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practical guide to prepare inorganic solutions that mimic the photoacoustic properties of whole blood at specific levels of oxygenation in the range of 700 nm to 850 nm, both in terms of optical absorption properties and the Gr{\"u}neisen coefficient. The goal is to provide aqueous solutions that can be injected in tissue-mimicking imaging phantoms to test the sensitivity and spectral capabilities of photoacoustic imaging systems operating at multiple wavelengths to estimate blood oxygenation.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L 波段 500 MHz 步进稳定双激光拍频源的连续太赫兹辐射</w:t>
      </w:r>
    </w:p>
    <w:p>
      <w:r>
        <w:rPr>
          <w:rFonts w:ascii="Times New Roman" w:hAnsi="Times New Roman" w:eastAsia="宋体"/>
          <w:b/>
          <w:color w:val="003264"/>
          <w:sz w:val="24"/>
        </w:rPr>
        <w:t>Continuous terahertz radiation based on an L-band 500 MHz step-stable two laser beat-frequency source</w:t>
      </w:r>
    </w:p>
    <w:p>
      <w:r>
        <w:rPr>
          <w:rFonts w:ascii="Times New Roman" w:hAnsi="Times New Roman" w:eastAsia="宋体"/>
          <w:sz w:val="21"/>
        </w:rPr>
        <w:t>作者: Zepeng Wu, Mingxing Li, Jiaxin Yu, Shaofei Wang, Lei Yu, Qing Yan, Shuo Su, Wenjun He, Yajun You, Yi Liu, Xiujian Chou, Le Zhang, Yunpeng Shao</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https://doi.org/10.1364/ao.580558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本文提出了基于 L 波段 500 MHz 步进稳定双激光拍频源 (TL-BFS) 的连续太赫兹 (THz) 辐射，频率调谐范围覆盖 0.1–2.7 THz。设计了全保偏（PM）光纤链路，包括保偏隔离器、保偏耦合器和保偏掺铒光纤放大器（EDFA），以保持两束光之间一致的偏振状态。 InGaAs 高性能光电导天线 (PCA) 由 TL-BFS 激发，在 1568.8–1589.6 nm 波长范围内产生连续的 0.1–2.7 THz 辐射。分别使用Golay探测器和太赫兹扫描法布里-珀罗干涉仪（TSFPI）测试太赫兹功率和频率。结果表明，25 min内太赫兹波功率不稳定性在4%以内，0.1、0.5、1 THz频率与TL-BFS的间隔频率高度一致。在0.95-1 THz范围内实现了500 MHz的高精度调谐，对应0.004 nm的波长间隔。同时，在酪氨酸样品的太赫兹吸收光谱分析中也得到了证明，在0.968太赫兹成功检测到了明显的吸收峰。这些结果证明了系统出色的调谐精度和稳定性，凸显了其对高分辨率光谱的适用性。</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continuous terahertz (THz) radiation based on an L-Band 500 MHz step-stable two laser beat-frequency source (TL-BFS), with a frequency tuning range covering 0.1–2.7 THz. An all-polarization-maintaining (PM) fiber link was designed, including a PM isolator, a PM coupler, and a PM erbium-doped optical fiber amplifier (EDFA), to maintain a consistent polarization state between the two beams of light. An InGaAs high-performance photoconductive antenna (PCA) is excited by TL-BFS, generating continuous 0.1–2.7 THz radiation within the wavelength range of 1568.8–1589.6 nm. The THz power and frequency were tested respectively using a Golay detector and a THz scanning Fabry–Perot interferometer (TSFPI). The results show that the power instability of THz waves within 25 min is within 4%, and the frequency of 0.1, 0.5, and 1 THz are highly consistent with the interval frequencies of the TL-BFS. High-precision tuning of 500 MHz was achieved within the range of 0.95–1 THz, corresponding to a wavelength interval of 0.004 nm. At the same time, it was also proven in the THz absorption spectroscopy analysis of tyrosine samples, with a distinct absorption peak successfully detected at 0.968 THz. These results demonstrate the excellent tunning accuracy and stability of the system, highlighting its suitability for high-resolution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光线追踪条纹模拟和基于 Zernike 的椭圆光学表面重建</w:t>
      </w:r>
    </w:p>
    <w:p>
      <w:r>
        <w:rPr>
          <w:rFonts w:ascii="Times New Roman" w:hAnsi="Times New Roman" w:eastAsia="宋体"/>
          <w:b/>
          <w:color w:val="003264"/>
          <w:sz w:val="24"/>
        </w:rPr>
        <w:t>Simulation of ray-traced fringes and Zernike-based reconstruction of elliptical optical surfaces</w:t>
      </w:r>
    </w:p>
    <w:p>
      <w:r>
        <w:rPr>
          <w:rFonts w:ascii="Times New Roman" w:hAnsi="Times New Roman" w:eastAsia="宋体"/>
          <w:sz w:val="21"/>
        </w:rPr>
        <w:t>作者: Dahi Ghareab Abdelsalam Ibrahim, Nicholas Devaney</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https://doi.org/10.1364/ao.580581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本研究提出了使用模拟条纹图案和泽尼克多项式拟合的高精度椭圆镜的综合建模和重建框架。生成一个合成椭圆形表面，具有半径为 -1300 mm 的圆顶形曲率、长轴和短轴分别为 229 和 124 mm，以及亚波长平坦度和粗糙度特征。使用非插值轮廓旋转模型 (N-IPRM) 将表面分为 180 个径向轮廓，该模型保留了原生空间采样。为了解决径向重建中固有的不连续性，插值轮廓旋转模型 (IPRM) 应用保形插值来实现平滑的表面恢复。从插值轮廓导出的垂度和斜率方程用于自定义光线追踪算法，以模拟可见光 (0.0006328 mm) 和毫米波 (5.052296 mm) 波长的干涉条纹。该算法结合了平面、球形和相对于椭圆形表面相反弯曲的球形参考表面。模拟的条纹图案经过细化和条纹阶次估计，然后使用在 MATLAB 中实现的自定义 Zernike 多项式拟合算法进行表面重建。由于基于Zernike的椭圆面重建中不完整的圆条纹带来的挑战，据我们所知，我们提出了一种新颖的方法：将椭圆面变换为等效球面，进行重建，然后将其转换回原始椭圆形式。重建表面与模型表现出极好的一致性，在较长波长下沿主轴的绝对误差为 0.0161 mm，相对误差为 0.32%。约 0.5% 的对称偏差进一步验证了重建精度。该方法为椭圆光学表面的模拟、分析和精确重建提供了强大且通用的工具集，对光学制造和计量具有重要意义。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modeling and reconstruction framework for high-precision elliptical mirrors using simulated fringe patterns and Zernike polynomial fitting. A synthetic elliptical surface is generated, featuring a dome-shaped curvature with a radius of −1300 mm, major and minor axes of 229 and 124 mm, respectively, and sub-wavelength flatness and roughness characteristics. The surface is divided into 180 radial profiles using the non-interpolated profile rotation model (N-IPRM), which preserves native spatial sampling. To address discontinuities inherent in radial reconstruction, the interpolated profile rotation model (IPRM) applies shape-preserving interpolation to enable smooth surface recovery. Sag and slope equations derived from the interpolated profiles are used in a custom ray-tracing algorithm to simulate interference fringes at both visible (0.0006328 mm) and millimeter-wave (5.052296 mm) wavelengths. The algorithm incorporates planar, spherical, and oppositely curved spherical reference surfaces relative to the elliptical surface. The simulated fringe patterns undergo thinning and fringe order estimation, followed by surface reconstruction using a custom Zernike polynomial fitting algorithm implemented in MATLAB. Due to the challenges posed by incomplete circular fringes in Zernike-based reconstruction of elliptical surfaces, we propose a novel approach, to our knowledge: transforming the elliptical surface into an equivalent spherical surface, performing the reconstruction, and then converting it back to the original elliptical form. The reconstructed surface shows excellent agreement with the model, achieving an absolute error of 0.0161 mm and a relative error of 0.32% along the major axis at the longer wavelength. Symmetry deviations of approximately 0.5% further validate the reconstruction accuracy. This methodology provides a robust and versatile toolset for the simulation, analysis, and precise reconstruction of elliptical optical surfaces, with significant implications for optical fabrication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通过散斑硅芯片解调光纤法布里-珀罗传感器</w:t>
      </w:r>
    </w:p>
    <w:p>
      <w:r>
        <w:rPr>
          <w:rFonts w:ascii="Times New Roman" w:hAnsi="Times New Roman" w:eastAsia="宋体"/>
          <w:b/>
          <w:color w:val="003264"/>
          <w:sz w:val="24"/>
        </w:rPr>
        <w:t>Demodulation of a fiber Fabry–Perot sensor by a speckle-based silicon chip</w:t>
      </w:r>
    </w:p>
    <w:p>
      <w:r>
        <w:rPr>
          <w:rFonts w:ascii="Times New Roman" w:hAnsi="Times New Roman" w:eastAsia="宋体"/>
          <w:sz w:val="21"/>
        </w:rPr>
        <w:t>作者: Zhipeng Wu, Qinlei Liu, Zhihang Lin, Huafei Mao, Xiao Liu, Qinggang Lin, Yanghui Li, Juan Kang, Yi Li</w:t>
        <w:br/>
      </w:r>
      <w:r>
        <w:rPr>
          <w:rFonts w:ascii="Times New Roman" w:hAnsi="Times New Roman" w:eastAsia="宋体"/>
          <w:sz w:val="21"/>
        </w:rPr>
        <w:t xml:space="preserve">时间: 2026-02-04 | </w:t>
      </w:r>
      <w:r>
        <w:t xml:space="preserve">链接: </w:t>
      </w:r>
      <w:hyperlink r:id="rId59">
        <w:r>
          <w:rPr>
            <w:rFonts w:ascii="Times New Roman" w:hAnsi="Times New Roman" w:eastAsia="宋体"/>
            <w:color w:val="0000FF"/>
            <w:sz w:val="21"/>
            <w:u w:val="single"/>
          </w:rPr>
          <w:t>https://doi.org/10.1364/ao.582540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法布里-珀罗 (FP) 干涉传感器广泛用于温度、应变和压力的精确测量。然而，传统的解调方法面临着精度、动态范围和实时性能之间固有的权衡。在此，我们提出并实验验证了基于绝缘体上硅 (SOI) 芯片的光纤 FP 传感器系统。解调原理基于通过多模干涉将环境引起的光谱偏移映射为散斑图案。在这项研究中，采用阿基米德螺旋双向多模波导（MMW）来取代传统的多模光纤，从而实现更高的集成度、简化的封装并提高环境鲁棒性。随后将散斑图案转换为八通道强度信号，以便于数据采集。在演示实验中，实现了 0.02°C 的温度测量精度，同时保持了出色的长期稳定性。进一步分析表明，所采用的 SOI 芯片具有 1 pm 的波长灵敏度，对应于优于 0.001°C 的理论温度分辨率。总体而言，基于散斑的SOI芯片为FP传感器系统提供了一种解决方案，具有高精度、出色的稳定性和宽动态范围。</w:t>
      </w:r>
    </w:p>
    <w:p>
      <w:pPr>
        <w:spacing w:before="120"/>
      </w:pPr>
      <w:r>
        <w:rPr>
          <w:rFonts w:ascii="Times New Roman" w:hAnsi="Times New Roman" w:eastAsia="宋体"/>
          <w:b/>
          <w:sz w:val="21"/>
        </w:rPr>
        <w:t>English Abstract:</w:t>
      </w:r>
    </w:p>
    <w:p>
      <w:r>
        <w:rPr>
          <w:rFonts w:ascii="Times New Roman" w:hAnsi="Times New Roman" w:eastAsia="宋体"/>
          <w:sz w:val="21"/>
        </w:rPr>
        <w:t>Fabry–Perot (FP) interferometric sensors are widely employed for precise measurements of temperature, strain, and pressure. However, conventional demodulation methods face inherent trade-offs among accuracy, dynamic range, and real-time performance. Herein, we propose and experimentally validate a fiber FP sensor system based on a silicon-on-insulator (SOI) chip. The demodulation principle is on the basis of mapping environmentally induced spectral shifts into speckle patterns through multimode interferences. In this study, an Archimedean spiral bidirectional multimode waveguide (MMW) is employed to replace conventional multimode fibers, enabling higher integration, simplified packaging, and improved environmental robustness. The speckle patterns are subsequently converted into eight-channel intensity signals for easier data acquisition. In the demonstration experiments, a temperature measurement accuracy of 0.02°C was achieved while maintaining excellent long-term stability. Further analysis reveals that the employed SOI chip exhibits a wavelength sensitivity of 1 pm, corresponding to a theoretical temperature resolution better than 0.001°C. Overall, the speckle-based SOI chip provides a solution for FP sensor systems that features high precision, excellent stability, and a broad dynamic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具有四个相同悬臂梁的二维光纤布拉格光栅加速度计</w:t>
      </w:r>
    </w:p>
    <w:p>
      <w:r>
        <w:rPr>
          <w:rFonts w:ascii="Times New Roman" w:hAnsi="Times New Roman" w:eastAsia="宋体"/>
          <w:b/>
          <w:color w:val="003264"/>
          <w:sz w:val="24"/>
        </w:rPr>
        <w:t>Two-dimensional fiber Bragg grating accelerometer with four identical cantilevers</w:t>
      </w:r>
    </w:p>
    <w:p>
      <w:r>
        <w:rPr>
          <w:rFonts w:ascii="Times New Roman" w:hAnsi="Times New Roman" w:eastAsia="宋体"/>
          <w:sz w:val="21"/>
        </w:rPr>
        <w:t>作者: Meiya Zhang, Qiang Zhao, Peng Sun, Yunzhou Li, Zhen Wang</w:t>
        <w:br/>
      </w:r>
      <w:r>
        <w:rPr>
          <w:rFonts w:ascii="Times New Roman" w:hAnsi="Times New Roman" w:eastAsia="宋体"/>
          <w:sz w:val="21"/>
        </w:rPr>
        <w:t xml:space="preserve">时间: 2026-02-04 | </w:t>
      </w:r>
      <w:r>
        <w:t xml:space="preserve">链接: </w:t>
      </w:r>
      <w:hyperlink r:id="rId60">
        <w:r>
          <w:rPr>
            <w:rFonts w:ascii="Times New Roman" w:hAnsi="Times New Roman" w:eastAsia="宋体"/>
            <w:color w:val="0000FF"/>
            <w:sz w:val="21"/>
            <w:u w:val="single"/>
          </w:rPr>
          <w:t>https://doi.org/10.1364/ao.581353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二维（2D）低频振动监测和传感器小型化的要求，本文提出了一种具有四个相同悬臂梁的紧凑型二维光纤布拉格光栅（FBG）加速度传感器。该传感器采用四个相同的悬臂梁作为弹性传感元件。通过对光纤光栅中心波长的变化进行差分信号处理，可以抑制温度交叉敏感性并提高测量灵敏度。实验结果表明，谐振频率为 500 Hz（X 轴）和 525 Hz（Y 轴），在 10–200 Hz 范围内稳定运行，灵敏度为 38.01 和 38.10 pm/g，具有出色的线性度（r 2 &gt;0.99），串扰比为 11.6% 和 13.7%，温差灵敏度仅为 1.7–2下午/°C。由于其小型化的结构和一致的双向灵敏度，该传感器非常适合空间受限环境和强电磁干扰（EMI）场景下的二维低频振动监测。</w:t>
      </w:r>
    </w:p>
    <w:p>
      <w:pPr>
        <w:spacing w:before="120"/>
      </w:pPr>
      <w:r>
        <w:rPr>
          <w:rFonts w:ascii="Times New Roman" w:hAnsi="Times New Roman" w:eastAsia="宋体"/>
          <w:b/>
          <w:sz w:val="21"/>
        </w:rPr>
        <w:t>English Abstract:</w:t>
      </w:r>
    </w:p>
    <w:p>
      <w:r>
        <w:rPr>
          <w:rFonts w:ascii="Times New Roman" w:hAnsi="Times New Roman" w:eastAsia="宋体"/>
          <w:sz w:val="21"/>
        </w:rPr>
        <w:t>To address the requirements of two-dimensional (2D) low-frequency vibration monitoring and sensor miniaturization, this paper proposes a compact 2D fiber Bragg grating (FBG) acceleration sensor with four identical cantilever beams. The sensor uses four identical cantilever beams as elastic sensing elements. By applying differential signal processing to the variations in the central wavelength of the FBGs, it suppresses temperature cross-sensitivity and enhances measurement sensitivity. The experimental results demonstrate resonant frequencies of 500 (X-axis) and 525 Hz (Y-axis), with stable operation in the 10–200 Hz range, sensitivities of 38.01 and 38.10 pm/g with excellent linearity (r 2 &gt;0.99), crosstalk ratios of 11.6% and 13.7%, and differential temperature sensitivities of only 1.7–2 pm/°C. Owing to its miniaturized structure and consistent bidirectional sensitivity, the sensor is highly suitable for two-dimensional low-frequency vibration monitoring in space-constrained environments and in scenarios with strong electromagnetic interference (EMI).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ESRGAN-LS：通过注意力增强和动态特征优化对航空航天热障涂层中的多尺度缺陷进行超分辨率重建</w:t>
      </w:r>
    </w:p>
    <w:p>
      <w:r>
        <w:rPr>
          <w:rFonts w:ascii="Times New Roman" w:hAnsi="Times New Roman" w:eastAsia="宋体"/>
          <w:b/>
          <w:color w:val="003264"/>
          <w:sz w:val="24"/>
        </w:rPr>
        <w:t>ESRGAN-LS: super-resolution reconstruction of multi-scale defects in aerospace thermal barrier coatings via attention enhancement and dynamic feature optimization</w:t>
      </w:r>
    </w:p>
    <w:p>
      <w:r>
        <w:rPr>
          <w:rFonts w:ascii="Times New Roman" w:hAnsi="Times New Roman" w:eastAsia="宋体"/>
          <w:sz w:val="21"/>
        </w:rPr>
        <w:t>作者: Cong Huang, Xing Peng, Feng Shi, Song Ci, Hongbing Cao, Xinjie Zhao</w:t>
        <w:br/>
      </w:r>
      <w:r>
        <w:rPr>
          <w:rFonts w:ascii="Times New Roman" w:hAnsi="Times New Roman" w:eastAsia="宋体"/>
          <w:sz w:val="21"/>
        </w:rPr>
        <w:t xml:space="preserve">时间: 2026-02-10 | </w:t>
      </w:r>
      <w:r>
        <w:t xml:space="preserve">链接: </w:t>
      </w:r>
      <w:hyperlink r:id="rId154">
        <w:r>
          <w:rPr>
            <w:rFonts w:ascii="Times New Roman" w:hAnsi="Times New Roman" w:eastAsia="宋体"/>
            <w:color w:val="0000FF"/>
            <w:sz w:val="21"/>
            <w:u w:val="single"/>
          </w:rPr>
          <w:t>https://doi.org/10.1364/ao.584420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行装备的性能突破和安全保障仍然是技术进步的关键驱动力，每一次顺利飞行都依赖于核心推进系统的稳定输出和关键部件的可靠运行。热障涂层（TBC）作为航空发动机热端部件的关键保护系统，在极高温度和高压的工作条件下容易出现多尺度缺陷。这些缺陷严重影响热端部件的可靠性和使用寿命，从而影响飞行安全。针对现有X射线和红外热成像技术在分辨率方面的局限性，以及扫描电子显微镜成本高、效率低的问题，本研究提出了ESRGAN-LS——一种基于增强型生成对抗网络的热障涂层多尺度缺陷超分辨率重建方法。该模型结合了CL-SE注意力机制，引入改进的密集残差块RRDB-LS，增强了对多尺度缺陷的局部特征感知和重建能力。在保留核心框架的同时，添加了一个额外的 RRDB 层，最后八个 RRDB 层被增强的密集残差块 RRDB-LS 模块替换。这实现了基本纹理重建的浅层保留，同时通过后八层局部缺陷检测的增强效果全面捕获图像或数据中的多尺度特征，从而实现特征通道的动态优化。使用 DIV2K 数据集作为训练集，实验结果表明，与 ESRGAN 生成器模型相比，ESRGAN-LS 生成器模型在 Urban 数据集上的 PSNR 和 SSIM 指标分别实现了 0.3% 和 0.12% 的改进。在 Manga109 数据集上，PSNR 和 SSIM 分别提高了 0.35% 和 0.1%。这显着增强了缺陷区域的视觉辨别力和纹理细节，有效保留了缺陷位置的关键信息，并显着提高了重建后的去噪性能。进行了两个缺陷表征实验：缺陷ROI特征提取和缺陷特征的3D可视化。这些实验以缺陷边缘轮廓为重点，显着推进了多尺度缺陷的智能识别。结果验证了该方法在定量缺陷表征和智能检测方面的有效性，得出结论：本研究设计的改进模型表现出对航空发动机热障涂层多尺度缺陷纹理细节和边缘信息的优越重建能力。该研究为保障发动机安全、延长使用寿命提供了高效的技术支撑，对高端装备制造业实现高精度视觉检测解决方案具有重要意义。</w:t>
      </w:r>
    </w:p>
    <w:p>
      <w:pPr>
        <w:spacing w:before="120"/>
      </w:pPr>
      <w:r>
        <w:rPr>
          <w:rFonts w:ascii="Times New Roman" w:hAnsi="Times New Roman" w:eastAsia="宋体"/>
          <w:b/>
          <w:sz w:val="21"/>
        </w:rPr>
        <w:t>English Abstract:</w:t>
      </w:r>
    </w:p>
    <w:p>
      <w:r>
        <w:rPr>
          <w:rFonts w:ascii="Times New Roman" w:hAnsi="Times New Roman" w:eastAsia="宋体"/>
          <w:sz w:val="21"/>
        </w:rPr>
        <w:t>Performance breakthroughs and safety assurance in flight equipment remain pivotal drivers of technological advancement, with every smooth flight relying on the stable output of core propulsion systems and the reliable operation of critical components. As the key protective system for hot-end components in aeroengines, thermal barrier coatings (TBCs) are prone to multi-scale defects under extremely high-temperature and high-pressure operating conditions. These defects severely compromise the reliability and lifespan of hot-end components, thereby impacting flight safety. Addressing the limitations of existing X-ray and infrared thermal imaging technologies in resolution, as well as the high cost and low efficiency of scanning electron microscopy, this study proposes ESRGAN-LS—an enhanced generative adversarial network-based super-resolution reconstruction method for multi-scale defects in TBCs. The model incorporates the CL-SE attention mechanism to introduce the improved dense residual block RRDB-LS, enhancing local feature perception and reconstruction capabilities for multi-scale defects. While preserving the core framework, an additional RRDB layer is added, and the final eight RRDB layers are replaced with the enhanced dense residual block RRDB-LS module. This achieves shallow-layer preservation of fundamental texture reconstruction while comprehensively capturing multiscale features in images or data through the enhanced effect of local defect detection in the latter eight layers, enabling dynamic optimization of feature channels. Using the DIV2K dataset as the training set, experimental results demonstrate that, compared to the ESRGAN generator model, the ESRGAN-LS generator model achieves a 0.3% and 0.12% improvement in PSNR and SSIM metrics, respectively, on the Urban dataset. And on the Manga109 dataset, PSNR and SSIM improved by 0.35% and 0.1%, respectively. This significantly enhances visual discernibility and texture detail in defect regions, effectively preserving critical information at defect locations and markedly improving denoising performance after reconstruction. Two defect characterization experiments were conducted: defect ROI feature extraction and 3D visualization of defect features. Focusing on defect edge contours, these experiments significantly advance the intelligent recognition of multi-scale defects. The results validate the method’s effectiveness in quantitative defect characterization and intelligent detection, concluding that the improved model designed in this study demonstrates superior reconstruction capabilities for texture details and edge information in multi-scale defects of aeroengine thermal barrier coatings. This research provides efficient technical support for ensuring engine safety and extending operational lifespan, holding significant implications for achieving high-precision visual inspection solutions in the high-end equipment manufacturing industry.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西蒙斯天文台：使用 Styroace-II 聚苯乙烯泡沫塑料实现无线电透明多层绝缘体的空中性能</w:t>
      </w:r>
    </w:p>
    <w:p>
      <w:r>
        <w:rPr>
          <w:rFonts w:ascii="Times New Roman" w:hAnsi="Times New Roman" w:eastAsia="宋体"/>
          <w:b/>
          <w:color w:val="003264"/>
          <w:sz w:val="24"/>
        </w:rPr>
        <w:t>Simons Observatory: on-sky performance of radio-transparent multi-layer insulation using Styroace-II styrofoam</w:t>
      </w:r>
    </w:p>
    <w:p>
      <w:r>
        <w:rPr>
          <w:rFonts w:ascii="Times New Roman" w:hAnsi="Times New Roman" w:eastAsia="宋体"/>
          <w:sz w:val="21"/>
        </w:rPr>
        <w:t>作者: Samuel Day-Weiss, Nicholas Galitzki, Atsuto Takeuchi, Kam Arnold, Kathleen Harrington, Masaya Hasegawa, Bradley R. Johnson, Akito Kusaka, Aashrita Mangu, Jack Orlowski-Scherer, Lyman A. Page, Yoshinori Sueno, Osamu Tajima, Alex Thomas, Yuhan Wang, Edward J. Wollack, Kyohei Yamada</w:t>
        <w:br/>
      </w:r>
      <w:r>
        <w:rPr>
          <w:rFonts w:ascii="Times New Roman" w:hAnsi="Times New Roman" w:eastAsia="宋体"/>
          <w:sz w:val="21"/>
        </w:rPr>
        <w:t xml:space="preserve">时间: 2026-02-05 | </w:t>
      </w:r>
      <w:r>
        <w:t xml:space="preserve">链接: </w:t>
      </w:r>
      <w:hyperlink r:id="rId155">
        <w:r>
          <w:rPr>
            <w:rFonts w:ascii="Times New Roman" w:hAnsi="Times New Roman" w:eastAsia="宋体"/>
            <w:color w:val="0000FF"/>
            <w:sz w:val="21"/>
            <w:u w:val="single"/>
          </w:rPr>
          <w:t>https://doi.org/10.1364/ao.585070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我们展示了无线电透明多层绝缘滤波器 (RT-MLI) 的空中性能，该滤波器使用 Styroace-II 聚苯乙烯泡沫塑料来阻止环境热辐射进入 0.42 m 直径孔径，到达由稀释制冷机冷却的低于 100 mK 的辐射热探测器阵列。我们发现超过 90% 的预期入射红外 (IR) 辐射被拒绝，导致测得的发射功率 &lt;12W。检测器通带中的发射功率与 95% 的下限一致。我们解决滤波器设计和放置、热负载和毫米波传输问题。</w:t>
      </w:r>
    </w:p>
    <w:p>
      <w:pPr>
        <w:spacing w:before="120"/>
      </w:pPr>
      <w:r>
        <w:rPr>
          <w:rFonts w:ascii="Times New Roman" w:hAnsi="Times New Roman" w:eastAsia="宋体"/>
          <w:b/>
          <w:sz w:val="21"/>
        </w:rPr>
        <w:t>English Abstract:</w:t>
      </w:r>
    </w:p>
    <w:p>
      <w:r>
        <w:rPr>
          <w:rFonts w:ascii="Times New Roman" w:hAnsi="Times New Roman" w:eastAsia="宋体"/>
          <w:sz w:val="21"/>
        </w:rPr>
        <w:t>We present the on-sky performance of a radio-transparent multi-layer insulation filter (RT-MLI) that uses Styroace-II styrofoam to reject ambient thermal radiation from entering a 0.42 m diameter aperture to a sub-100 mK bolometric detector array cooled by a dilution refrigerator. We find that greater than 90% of the expected incident infra-red (IR) radiation is rejected, resulting in &lt;12W of measured transmitted power. Transmitted power in the detector passbands is consistent with a lower bound of 95%. We address filter design and placement, thermal loading, and mm-wave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与硅肋波导集成的等离子体电光调制器</w:t>
      </w:r>
    </w:p>
    <w:p>
      <w:r>
        <w:rPr>
          <w:rFonts w:ascii="Times New Roman" w:hAnsi="Times New Roman" w:eastAsia="宋体"/>
          <w:b/>
          <w:color w:val="003264"/>
          <w:sz w:val="24"/>
        </w:rPr>
        <w:t>Plasmonic electro-optic modulators integrated with a silicon rib waveguide</w:t>
      </w:r>
    </w:p>
    <w:p>
      <w:r>
        <w:rPr>
          <w:rFonts w:ascii="Times New Roman" w:hAnsi="Times New Roman" w:eastAsia="宋体"/>
          <w:sz w:val="21"/>
        </w:rPr>
        <w:t>作者: Masoud Shabaninezhad, Hamid Mehrvar, Eric Bernier, Lora Ramunno, Pierre Berini</w:t>
        <w:br/>
      </w:r>
      <w:r>
        <w:rPr>
          <w:rFonts w:ascii="Times New Roman" w:hAnsi="Times New Roman" w:eastAsia="宋体"/>
          <w:sz w:val="21"/>
        </w:rPr>
        <w:t xml:space="preserve">时间: 2026-02-06 | </w:t>
      </w:r>
      <w:r>
        <w:t xml:space="preserve">链接: </w:t>
      </w:r>
      <w:hyperlink r:id="rId156">
        <w:r>
          <w:rPr>
            <w:rFonts w:ascii="Times New Roman" w:hAnsi="Times New Roman" w:eastAsia="宋体"/>
            <w:color w:val="0000FF"/>
            <w:sz w:val="21"/>
            <w:u w:val="single"/>
          </w:rPr>
          <w:t>https://doi.org/10.1364/ao.582401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我们提出、建模和设计与绝缘体上硅 (SOI) 肋形波导集成的等离子体电光调制器。该器件基于一对金属-绝缘体-半导体-金属 (MISM) 堆栈，用作横向邻近耦合到 SOI 肋的金属-氧化物-半导体 (MOS) 电容器。 SOI肋横向逐渐变细，以将其中的TM 0 模式绝热演化为耦合模式，表现出场增强和对MISM叠层的强局域化。 MISM 堆栈中使用的半导体由薄的高掺杂氧化铟锡 (ITO) 层组成，以实现低驱动电压，随后是较厚且低掺杂的 ITO 层，以减少通态损耗。 ITO 被驱动累积，从而达到接近零的 epsilon，这进一步增强了 MISM 堆栈中的场，并通过载流子折射效应在关断状态下引起高损耗。示例设计长度为 3.75 µm，包括输入和输出锥度，通态插入损耗为 5.8 dB，消光比为 5 dB，RC 限制电带宽为 214 GHz。</w:t>
      </w:r>
    </w:p>
    <w:p>
      <w:pPr>
        <w:spacing w:before="120"/>
      </w:pPr>
      <w:r>
        <w:rPr>
          <w:rFonts w:ascii="Times New Roman" w:hAnsi="Times New Roman" w:eastAsia="宋体"/>
          <w:b/>
          <w:sz w:val="21"/>
        </w:rPr>
        <w:t>English Abstract:</w:t>
      </w:r>
    </w:p>
    <w:p>
      <w:r>
        <w:rPr>
          <w:rFonts w:ascii="Times New Roman" w:hAnsi="Times New Roman" w:eastAsia="宋体"/>
          <w:sz w:val="21"/>
        </w:rPr>
        <w:t>We propose, model, and design plasmonic electro-optic modulators integrated with a silicon-on-insulator (SOI) rib waveguide. The devices are based on a pair of metal-insulator-semiconductor-metal (MISM) stacks operating as metal-oxide-semiconductor (MOS) capacitors proximity-coupled laterally to the SOI rib. The SOI rib is tapered laterally to adiabatically evolve the TM 0 mode therein into a coupled mode exhibiting field enhancement and strong localization to the MISM stacks. The semiconductor used in the MISM stacks consists of a thin highly doped indium tin oxide (ITO) layer to enable a low drive voltage followed by a thicker and lower doped ITO layer to reduce the on-state loss. The ITO is driven into accumulation, such that epsilon-near-zero is reached, which further enhances the fields in the MISM stacks and induces high loss in the off-state via the carrier refraction effect. An example design, 3.75 µm long including input and output tapers, yields an on-state insertion loss of 5.8 dB, an extinction ratio of 5 dB, and an RC-limited electrical bandwidth of 214 GHz.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配备斐索干涉仪的低相干数字全息显微镜</w:t>
      </w:r>
    </w:p>
    <w:p>
      <w:r>
        <w:rPr>
          <w:rFonts w:ascii="Times New Roman" w:hAnsi="Times New Roman" w:eastAsia="宋体"/>
          <w:b/>
          <w:color w:val="003264"/>
          <w:sz w:val="24"/>
        </w:rPr>
        <w:t>Low-coherence digital holographic microscope with a Fizeau interferometer</w:t>
      </w:r>
    </w:p>
    <w:p>
      <w:r>
        <w:rPr>
          <w:rFonts w:ascii="Times New Roman" w:hAnsi="Times New Roman" w:eastAsia="宋体"/>
          <w:sz w:val="21"/>
        </w:rPr>
        <w:t>作者: Mohit Rathor, Shivam Kumar Chaubey, Neha Choudhary, Rakesh Kumar Singh</w:t>
        <w:br/>
      </w:r>
      <w:r>
        <w:rPr>
          <w:rFonts w:ascii="Times New Roman" w:hAnsi="Times New Roman" w:eastAsia="宋体"/>
          <w:sz w:val="21"/>
        </w:rPr>
        <w:t xml:space="preserve">时间: 2026-02-06 | </w:t>
      </w:r>
      <w:r>
        <w:t xml:space="preserve">链接: </w:t>
      </w:r>
      <w:hyperlink r:id="rId157">
        <w:r>
          <w:rPr>
            <w:rFonts w:ascii="Times New Roman" w:hAnsi="Times New Roman" w:eastAsia="宋体"/>
            <w:color w:val="0000FF"/>
            <w:sz w:val="21"/>
            <w:u w:val="single"/>
          </w:rPr>
          <w:t>https://doi.org/10.1364/ao.582896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我们推出了一种用于无散斑定量成像和深度切片的数字全息显微镜 (DHM)。所提出的 DHM 采用在线斐索干涉仪配置中的非相干光源，干涉光束之间的纵向间隔可调。这种配置能够在源的纵向相干长度内记录条纹，从而促进深度切片能力和定量成像。偏振相移方法从实验记录的干涉图中检索定量的无散斑相位图像。使用光滑和粗糙物体的实验验证展示了系统的性能，并得到基于感知的图像质量评估器的进一步支持。所提出的 DHM 在病理学、材料科学和计量学方面显示出有前景的应用。</w:t>
      </w:r>
    </w:p>
    <w:p>
      <w:pPr>
        <w:spacing w:before="120"/>
      </w:pPr>
      <w:r>
        <w:rPr>
          <w:rFonts w:ascii="Times New Roman" w:hAnsi="Times New Roman" w:eastAsia="宋体"/>
          <w:b/>
          <w:sz w:val="21"/>
        </w:rPr>
        <w:t>English Abstract:</w:t>
      </w:r>
    </w:p>
    <w:p>
      <w:r>
        <w:rPr>
          <w:rFonts w:ascii="Times New Roman" w:hAnsi="Times New Roman" w:eastAsia="宋体"/>
          <w:sz w:val="21"/>
        </w:rPr>
        <w:t>We present a digital holographic microscope (DHM) for speckle-free quantitative imaging and depth sectioning. The proposed DHM employs an incoherent light source in an in-line Fizeau interferometer configuration with a tunable longitudinal separation between the interfering beams. This configuration enables recording fringes within the source’s longitudinal coherence length, facilitating depth-sectioning capability and quantitative imaging. A polarization-phase shifting approach retrieves a quantitative speckle-free phase image from experimentally recorded interferograms. Experimental validation using smooth and rough objects demonstrates the system’s performance, further supported by the perception-based image quality evaluator. The proposed DHM shows promising applications in pathological, material science,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非临界相位匹配 KTiOAsO 4 光学参量振荡器，带 RISTRA 腔，频率为 300 Hz</w:t>
      </w:r>
    </w:p>
    <w:p>
      <w:r>
        <w:rPr>
          <w:rFonts w:ascii="Times New Roman" w:hAnsi="Times New Roman" w:eastAsia="宋体"/>
          <w:b/>
          <w:color w:val="003264"/>
          <w:sz w:val="24"/>
        </w:rPr>
        <w:t>Non-critical phase matching KTiOAsO 4 optical parametric oscillator with a RISTRA cavity at 300 Hz</w:t>
      </w:r>
    </w:p>
    <w:p>
      <w:r>
        <w:rPr>
          <w:rFonts w:ascii="Times New Roman" w:hAnsi="Times New Roman" w:eastAsia="宋体"/>
          <w:sz w:val="21"/>
        </w:rPr>
        <w:t>作者: Tao Li, Jun Meng, Gaoyou Liu, Zhaojun Liu</w:t>
        <w:br/>
      </w:r>
      <w:r>
        <w:rPr>
          <w:rFonts w:ascii="Times New Roman" w:hAnsi="Times New Roman" w:eastAsia="宋体"/>
          <w:sz w:val="21"/>
        </w:rPr>
        <w:t xml:space="preserve">时间: 2026-02-06 | </w:t>
      </w:r>
      <w:r>
        <w:t xml:space="preserve">链接: </w:t>
      </w:r>
      <w:hyperlink r:id="rId158">
        <w:r>
          <w:rPr>
            <w:rFonts w:ascii="Times New Roman" w:hAnsi="Times New Roman" w:eastAsia="宋体"/>
            <w:color w:val="0000FF"/>
            <w:sz w:val="21"/>
            <w:u w:val="single"/>
          </w:rPr>
          <w:t>https://doi.org/10.1364/ao.581628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在本文中，我们报告了在非临界相位匹配（NCPM）KTiOAsO 4 （KTA）光学参量振荡器（OPO）中实现的旋转图像单谐振扭曲矩形（RISTRA）谐振器。与之前的研究主要集中在具有显着空间走离的临界相位匹配配置不同，这项工作表明，当走离可以忽略不计时，RISTRA 腔仍然可以提高光束质量。谐振器每次往返都会引入 90° 图像旋转，从而抑制高阶横向模式的激励，从而提高模式辨别力。 RISTRA 腔产生 50.3 mJ 信号和 15.5 mJ 闲频能量，与 54.0 mJ（信号）和 18.2 mJ（闲频）的平面环形腔输出相当。但光束质量得到改善：信号M 2 从平面环腔中的4.7×4.4提高到RISTRA腔中的2.9×2.8，惰轮M 2 从4.7×6.4提高到2.5×2.5。这些结果证实 RISTRA 对于 NCPM OPO 中的光束质量增强仍然有效。</w:t>
      </w:r>
    </w:p>
    <w:p>
      <w:pPr>
        <w:spacing w:before="120"/>
      </w:pPr>
      <w:r>
        <w:rPr>
          <w:rFonts w:ascii="Times New Roman" w:hAnsi="Times New Roman" w:eastAsia="宋体"/>
          <w:b/>
          <w:sz w:val="21"/>
        </w:rPr>
        <w:t>English Abstract:</w:t>
      </w:r>
    </w:p>
    <w:p>
      <w:r>
        <w:rPr>
          <w:rFonts w:ascii="Times New Roman" w:hAnsi="Times New Roman" w:eastAsia="宋体"/>
          <w:sz w:val="21"/>
        </w:rPr>
        <w:t>In this paper, we report a rotated image singly-resonant twisted rectangular (RISTRA) resonator implemented in a non-critical phase-matching (NCPM) KTiOAsO 4 (KTA) optical parametric oscillator (OPO). Unlike previous studies mainly focused on critically phase-matched configurations with significant spatial walk-off, this work demonstrates that the RISTRA cavity can still enhance beam quality when walk-off is negligible. The resonator introduces a 90° image rotation per round trip, which suppresses the excitation of higher order transverse modes and thus improves mode discrimination. The RISTRA cavity produces 50.3 mJ of signal and 15.5 mJ of idler energy, comparable to the planar ring cavity output of 54.0 mJ (signal) and 18.2 mJ (idler). However, the beam quality is improved: the signal M 2 is improved from 4.7×4.4 in the planar ring cavity to 2.9×2.8 in the RISTRA cavity, and the idler M 2 improves from 4.7×6.4 to 2.5×2.5. These results confirm that RISTRA remains effective for beam-quality enhancement in NCPM OPOs.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空气处理的 CuSCN 空穴注入层具有改善的表面性能，可增强量子点发光二极管的性能</w:t>
      </w:r>
    </w:p>
    <w:p>
      <w:r>
        <w:rPr>
          <w:rFonts w:ascii="Times New Roman" w:hAnsi="Times New Roman" w:eastAsia="宋体"/>
          <w:b/>
          <w:color w:val="003264"/>
          <w:sz w:val="24"/>
        </w:rPr>
        <w:t>Air-processed CuSCN hole-injection layer with improved surface properties for performance enhancement of quantum dot light-emitting diodes</w:t>
      </w:r>
    </w:p>
    <w:p>
      <w:r>
        <w:rPr>
          <w:rFonts w:ascii="Times New Roman" w:hAnsi="Times New Roman" w:eastAsia="宋体"/>
          <w:sz w:val="21"/>
        </w:rPr>
        <w:t>作者: Shilong Shi, Yuanhong Hu, Mingyue Liao, Yanlian Lei, Xuejun Qiu</w:t>
        <w:br/>
      </w:r>
      <w:r>
        <w:rPr>
          <w:rFonts w:ascii="Times New Roman" w:hAnsi="Times New Roman" w:eastAsia="宋体"/>
          <w:sz w:val="21"/>
        </w:rPr>
        <w:t xml:space="preserve">时间: 2026-01-30 | </w:t>
      </w:r>
      <w:r>
        <w:t xml:space="preserve">链接: </w:t>
      </w:r>
      <w:hyperlink r:id="rId61">
        <w:r>
          <w:rPr>
            <w:rFonts w:ascii="Times New Roman" w:hAnsi="Times New Roman" w:eastAsia="宋体"/>
            <w:color w:val="0000FF"/>
            <w:sz w:val="21"/>
            <w:u w:val="single"/>
          </w:rPr>
          <w:t>https://doi.org/10.1364/ol.582287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硫氰酸铜 (I) (CuSCN) 具有优异的空穴迁移率、光学透明度和溶液加工性能，是一种非常有前景的光电器件空穴注入层 (HIL)。然而，与缺陷状态和薄膜质量相关的挑战仍然存在。本研究提出了一种空气诱导 CuSCN 薄膜表面化学重组的简单策略，有效减少表面缺陷并增加共价特性。结果表明，与氮气气氛中制造的器件相比，采用空气处理的 CuSCN HIL 制造的量子点发光二极管 (QLED) 在亮度和效率方面均提高了大约两倍。这些发现为开发适用于各种传输层系统的经济高效、高亮度 QLED 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Copper (I) thiocyanate (CuSCN) is a highly promising hole-injection layer (HIL) for optoelectronic devices due to its excellent hole mobility, optical transparency, and solution-processability. However, challenges related to defect states and film quality persist. This study presents a simple strategy for air-induced surface chemical restructuring of CuSCN films, effectively reducing surface defects and increasing covalent character. Results show that quantum-dot light-emitting diodes (QLEDs) fabricated with air-processed CuSCN HIL demonstrate approximately two-fold improvements in both brightness and efficiency compared to devices made in nitrogen atmospheres. These findings offer valuable insights for the development of cost-effective, high-brightness QLEDs, applicable across various transport layer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矢量光束的腔增强型偏振无关频率转换</w:t>
      </w:r>
    </w:p>
    <w:p>
      <w:r>
        <w:rPr>
          <w:rFonts w:ascii="Times New Roman" w:hAnsi="Times New Roman" w:eastAsia="宋体"/>
          <w:b/>
          <w:color w:val="003264"/>
          <w:sz w:val="24"/>
        </w:rPr>
        <w:t>Cavity-enhanced polarization-independent frequency conversion for vector beams</w:t>
      </w:r>
    </w:p>
    <w:p>
      <w:r>
        <w:rPr>
          <w:rFonts w:ascii="Times New Roman" w:hAnsi="Times New Roman" w:eastAsia="宋体"/>
          <w:sz w:val="21"/>
        </w:rPr>
        <w:t>作者: Ren-Hui Chen, Zhi-Cheng Guo, Zheng-Bang Ju, Ming-Yuan Gao, Zhao-Qi-Zhi Han, Yue-Wei Song, Xiao-Hua Wang, Yin-Hai Li, Yan Li, Wei Zhang, Zhi-Yuan Zhou, Bao-Sen Shi</w:t>
        <w:br/>
      </w:r>
      <w:r>
        <w:rPr>
          <w:rFonts w:ascii="Times New Roman" w:hAnsi="Times New Roman" w:eastAsia="宋体"/>
          <w:sz w:val="21"/>
        </w:rPr>
        <w:t xml:space="preserve">时间: 2026-01-27 | </w:t>
      </w:r>
      <w:r>
        <w:t xml:space="preserve">链接: </w:t>
      </w:r>
      <w:hyperlink r:id="rId62">
        <w:r>
          <w:rPr>
            <w:rFonts w:ascii="Times New Roman" w:hAnsi="Times New Roman" w:eastAsia="宋体"/>
            <w:color w:val="0000FF"/>
            <w:sz w:val="21"/>
            <w:u w:val="single"/>
          </w:rPr>
          <w:t>https://doi.org/10.1364/ol.584847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阶庞加莱球上表示的具有空间变化偏振的矢量光束在光通信、成像和量子信息科学中是不可或缺的。然而，由于灵敏度和有限的转换效率，矢量光束的非线性频率转换仍然具有挑战性。在这里，我们展示了一种基于矢量光束差频生成的高效、外腔增强、与偏振无关的频率转换。受益于 Sagnac 配置内的腔体增强，我们在 l =1 和 l =2 的矢量光束上分别实现了 43.85% 和 16.83% 的外部量子效率，证明了高效的连续波频率转换。通过空间斯托克斯测量验证了转换光束中矢量偏振结构的保留。这项工作展示了一种有效的矢量光束波长操纵方法，并且可能与结构光控制和非线性光子接口的应用相关。</w:t>
      </w:r>
    </w:p>
    <w:p>
      <w:pPr>
        <w:spacing w:before="120"/>
      </w:pPr>
      <w:r>
        <w:rPr>
          <w:rFonts w:ascii="Times New Roman" w:hAnsi="Times New Roman" w:eastAsia="宋体"/>
          <w:b/>
          <w:sz w:val="21"/>
        </w:rPr>
        <w:t>English Abstract:</w:t>
      </w:r>
    </w:p>
    <w:p>
      <w:r>
        <w:rPr>
          <w:rFonts w:ascii="Times New Roman" w:hAnsi="Times New Roman" w:eastAsia="宋体"/>
          <w:sz w:val="21"/>
        </w:rPr>
        <w:t>Vector beams with spatially varying polarization, represented on the higher-order Poincaré sphere, are indispensable in optical communications, imaging, and quantum information science. However, nonlinear frequency conversion of vector beams remains challenging due to sensitivity and limited conversion efficiency. Here, we demonstrate a highly efficient, external-cavity-enhanced, polarization-independent frequency conversion based on difference-frequency generation for vector beams. Benefiting from cavity enhancement within the Sagnac configuration, we achieve external quantum efficiencies of 43.85% and 16.83% for vector beams with l =1 and l =2, respectively, demonstrating efficient continuous-wave frequency conversion. The preservation of the vectorial polarization structure in the converted beams is verified by spatial Stokes measurements. This work demonstrates an efficient approach for wavelength manipulation of vector beams and is potentially relevant to applications in structured-light control and nonlinear photonic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使用电磁感应透明体和矢量涡旋光束进行磁场方向检测</w:t>
      </w:r>
    </w:p>
    <w:p>
      <w:r>
        <w:rPr>
          <w:rFonts w:ascii="Times New Roman" w:hAnsi="Times New Roman" w:eastAsia="宋体"/>
          <w:b/>
          <w:color w:val="003264"/>
          <w:sz w:val="24"/>
        </w:rPr>
        <w:t>Magnetic field direction detection using electromagnetically induced transparency with a vector vortex beam</w:t>
      </w:r>
    </w:p>
    <w:p>
      <w:r>
        <w:rPr>
          <w:rFonts w:ascii="Times New Roman" w:hAnsi="Times New Roman" w:eastAsia="宋体"/>
          <w:sz w:val="21"/>
        </w:rPr>
        <w:t>作者: Owen Rollins, Eugeniy E. Mikhailov, Irina Novikova</w:t>
        <w:br/>
      </w:r>
      <w:r>
        <w:rPr>
          <w:rFonts w:ascii="Times New Roman" w:hAnsi="Times New Roman" w:eastAsia="宋体"/>
          <w:sz w:val="21"/>
        </w:rPr>
        <w:t xml:space="preserve">时间: 2026-02-09 | </w:t>
      </w:r>
      <w:r>
        <w:t xml:space="preserve">链接: </w:t>
      </w:r>
      <w:hyperlink r:id="rId63">
        <w:r>
          <w:rPr>
            <w:rFonts w:ascii="Times New Roman" w:hAnsi="Times New Roman" w:eastAsia="宋体"/>
            <w:color w:val="0000FF"/>
            <w:sz w:val="21"/>
            <w:u w:val="single"/>
          </w:rPr>
          <w:t>https://doi.org/10.1364/ol.585801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我们通过实验演示了如何使用电磁感应透明 (EIT) 和矢量涡旋激光束来测量磁场方向。解开沿涡旋的强度变化可以同时从一张差分强度图像中获取有关所有激光偏振的 EIT 共振振幅的信息。我们证明，通过跟踪 EIT 振幅极值的角位置，可以以亚度精度确定磁场横向分量的方向。对峰值方位角依赖性的傅立叶分析可以明确识别磁场与激光传播方向（纵向角）之间的角度。所提出的方法与基于 EIT 的磁力计完全兼容，并且对于集成组件特别有吸引力，因为它不需要任何有源偏振旋转器。</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how one can measure the magnetic field direction using electromagnetically induced transparency (EIT) with a vector vortex laser beam. Unwrapping the intensity variation along the vortex allows to simultaneously obtain information about EIT resonance amplitudes for all laser polarizations from one differential intensity image. We demonstrate that one can determine the orientation of the transverse component of the magnetic field with sub-degree precision by tracking the angular position of EIT amplitude extrema. Fourier analysis of the peaks’ azimuthal dependence enables unambiguous identification of the angle between the magnetic field and the laser propagation direction (longitudinal angle). The proposed method is fully compatible with EIT-based magnetometers, and particularly attractive for integrated assemblies, since it does not require any active polarization rotators.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连续可变 QKD 和量子噪声流密码的偏振复用共传</w:t>
      </w:r>
    </w:p>
    <w:p>
      <w:r>
        <w:rPr>
          <w:rFonts w:ascii="Times New Roman" w:hAnsi="Times New Roman" w:eastAsia="宋体"/>
          <w:b/>
          <w:color w:val="003264"/>
          <w:sz w:val="24"/>
        </w:rPr>
        <w:t>Polarization-multiplexed co-transmission of continuous-variable QKD and quantum noise stream cipher</w:t>
      </w:r>
    </w:p>
    <w:p>
      <w:r>
        <w:rPr>
          <w:rFonts w:ascii="Times New Roman" w:hAnsi="Times New Roman" w:eastAsia="宋体"/>
          <w:sz w:val="21"/>
        </w:rPr>
        <w:t>作者: Yuchao Liu, Tao Wang, Peng Huang, Guihua Zeng</w:t>
        <w:br/>
      </w:r>
      <w:r>
        <w:rPr>
          <w:rFonts w:ascii="Times New Roman" w:hAnsi="Times New Roman" w:eastAsia="宋体"/>
          <w:sz w:val="21"/>
        </w:rPr>
        <w:t xml:space="preserve">时间: 2026-01-29 | </w:t>
      </w:r>
      <w:r>
        <w:t xml:space="preserve">链接: </w:t>
      </w:r>
      <w:hyperlink r:id="rId64">
        <w:r>
          <w:rPr>
            <w:rFonts w:ascii="Times New Roman" w:hAnsi="Times New Roman" w:eastAsia="宋体"/>
            <w:color w:val="0000FF"/>
            <w:sz w:val="21"/>
            <w:u w:val="single"/>
          </w:rPr>
          <w:t>https://doi.org/10.1364/ol.585901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噪声流密码（QNSC）是一种利用量子噪声掩盖的冗余信息来实现攻击复杂性呈指数级增长的加密技术，而连续变量量子密钥分发（CV-QKD）可以通过生成密钥来提供此类冗余信息。值得注意的是，这两种方案中采用的光学架构表现出显着的相似性。在这项工作中，我们采用偏振分复用（PDM）来增强信道容量，从而能够在单个信道上同时传输两种不同协议下的信号。为了减轻信号传播过程中引起的动态偏振态变化，我们实施了偏振交织子载波调制（PISCM）方案。我们证明，在20公里的传输距离上，QKD安全密钥速率可以保持在4.93 Mbps，而QNSC传输速率达到100 Mbps。使用线性反馈移位寄存器 (LFSR) 将密钥速率从 4 Mbps 扩展到 400 Mbps，从而实现与 100 Mbps QNSC 信号的同步，从而实现了集成通信和加密系统的一条有前途的途径。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Quantum noise stream cipher (QNSC) is an encryption technique that leverages redundant information obscured by quantum noise to achieve an exponential increase in attack complexity, while continuous-variable quantum key distribution (CV-QKD) can provide such redundant information by generating secret keys. Notably, the optical architectures employed in these two schemes exhibit significant similarities. In this work, we employ polarization division multiplexing (PDM) to enhance channel capacity, enabling simultaneous transmission of signals under two different protocols over a single channel. To mitigate dynamic polarization state variations induced during signal propagation, we implement a polarization-interleaved subcarrier modulation (PISCM) scheme. We demonstrate that at a transmission distance of 20 km, the QKD secure key rate can be maintained at 4.93 Mbps, while the QNSC transmission rate reaches 100 Mbps. The expansion of the key rate from 4 Mbps to 400 Mbps using a linear feedback shift register (LFSR) enables synchronization with the 100 Mbps QNSC signal, realizing a promising pathway toward an integrated communication and encryption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通过边缘奇点工程实现亚衍射极限光场整形</w:t>
      </w:r>
    </w:p>
    <w:p>
      <w:r>
        <w:rPr>
          <w:rFonts w:ascii="Times New Roman" w:hAnsi="Times New Roman" w:eastAsia="宋体"/>
          <w:b/>
          <w:color w:val="003264"/>
          <w:sz w:val="24"/>
        </w:rPr>
        <w:t>Sub-diffraction-limit light field shaping through edge-singularity engineering</w:t>
      </w:r>
    </w:p>
    <w:p>
      <w:r>
        <w:rPr>
          <w:rFonts w:ascii="Times New Roman" w:hAnsi="Times New Roman" w:eastAsia="宋体"/>
          <w:sz w:val="21"/>
        </w:rPr>
        <w:t>作者: Junhui Jia, Chaoheng Guo, Haolin Lin, Jiahui Wu, Yanwen Hu, Yangjian Cai, Shenhe Fu</w:t>
        <w:br/>
      </w:r>
      <w:r>
        <w:rPr>
          <w:rFonts w:ascii="Times New Roman" w:hAnsi="Times New Roman" w:eastAsia="宋体"/>
          <w:sz w:val="21"/>
        </w:rPr>
        <w:t xml:space="preserve">时间: 2026-02-03 | </w:t>
      </w:r>
      <w:r>
        <w:t xml:space="preserve">链接: </w:t>
      </w:r>
      <w:hyperlink r:id="rId65">
        <w:r>
          <w:rPr>
            <w:rFonts w:ascii="Times New Roman" w:hAnsi="Times New Roman" w:eastAsia="宋体"/>
            <w:color w:val="0000FF"/>
            <w:sz w:val="21"/>
            <w:u w:val="single"/>
          </w:rPr>
          <w:t>https://doi.org/10.1364/ol.583394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在亚衍射区域塑造光场的技术。我们的技术依赖于精心设计沿横向曲线连续分布的相位奇点。我们开发了一个多项式函数来有效地描述这种奇点曲线，从而产生特征尺寸大大降低到深亚衍射极限的任意光图案。我们通过展示边缘奇点工程的不同案例来实验验证理论框架，以将高斯包络塑造成所需的形态。据我们所知，我们的演示开辟了一条在亚衍射极限范围内塑造光场的新颖途径，它可以在包括超分辨率成像和精密检测在内的各个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technique for shaping the light field in the sub-diffraction regime. Our technique relies on carefully engineering a phase singularity that is distributed continuously along a transverse curve. We develop a polynomial function to effectively describe this singularity curve, which results in an arbitrary light pattern with a feature size considerably down to the deep sub-diffraction limit. We experimentally verify the theoretical framework by demonstrating different cases of edge-singularity engineering for shaping the Gaussian envelope into desired morphologies. Our demonstrations open a novel, to the best of our knowledge, pathway to shaping the light field at the sub-diffraction-limit regime, which can find potential applications in various fields including the super-resolution imaging and precision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通过部分脱脂二氧化硅纳米复合材料的金刚石车削超精密制造熔融二氧化硅微光学器件</w:t>
      </w:r>
    </w:p>
    <w:p>
      <w:r>
        <w:rPr>
          <w:rFonts w:ascii="Times New Roman" w:hAnsi="Times New Roman" w:eastAsia="宋体"/>
          <w:b/>
          <w:color w:val="003264"/>
          <w:sz w:val="24"/>
        </w:rPr>
        <w:t>Ultra-precision fabrication of fused silica micro-optics by diamond turning of partially debound silica nanocomposites</w:t>
      </w:r>
    </w:p>
    <w:p>
      <w:r>
        <w:rPr>
          <w:rFonts w:ascii="Times New Roman" w:hAnsi="Times New Roman" w:eastAsia="宋体"/>
          <w:sz w:val="21"/>
        </w:rPr>
        <w:t>作者: Xiaodong Su, Ya Xu, Xiaotong Du, Limin Zhu, Zhiwei Zhu</w:t>
        <w:br/>
      </w:r>
      <w:r>
        <w:rPr>
          <w:rFonts w:ascii="Times New Roman" w:hAnsi="Times New Roman" w:eastAsia="宋体"/>
          <w:sz w:val="21"/>
        </w:rPr>
        <w:t xml:space="preserve">时间: 2026-01-28 | </w:t>
      </w:r>
      <w:r>
        <w:t xml:space="preserve">链接: </w:t>
      </w:r>
      <w:hyperlink r:id="rId66">
        <w:r>
          <w:rPr>
            <w:rFonts w:ascii="Times New Roman" w:hAnsi="Times New Roman" w:eastAsia="宋体"/>
            <w:color w:val="0000FF"/>
            <w:sz w:val="21"/>
            <w:u w:val="single"/>
          </w:rPr>
          <w:t>https://doi.org/10.1364/ol.586932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二氧化硅纳米复合材料的工艺为低温制造熔融二氧化硅部件提供了一条新途径。然而，低精度和差的表面质量阻碍了它们在产生熔融石英光学方面的应用。在此，我们报告了一种我们认为是通过对部分脱脂二氧化硅纳米复合材料进行金刚石车削来超精密制造复杂形状熔融石英微光学器件的新工艺，其中部分脱脂纳米复合材料旨在抑制高温加工中不需要的变形。通过对生成的熔融二氧化硅组分的实际表征，最佳部分脱脂温度选择为275℃。作为演示，我们制作了一个长焦深消色差折射-衍射混合透镜，其表面粗糙度为 Sa = 6.01 nm，PV 误差约为 0.46 μm。</w:t>
      </w:r>
    </w:p>
    <w:p>
      <w:pPr>
        <w:spacing w:before="120"/>
      </w:pPr>
      <w:r>
        <w:rPr>
          <w:rFonts w:ascii="Times New Roman" w:hAnsi="Times New Roman" w:eastAsia="宋体"/>
          <w:b/>
          <w:sz w:val="21"/>
        </w:rPr>
        <w:t>English Abstract:</w:t>
      </w:r>
    </w:p>
    <w:p>
      <w:r>
        <w:rPr>
          <w:rFonts w:ascii="Times New Roman" w:hAnsi="Times New Roman" w:eastAsia="宋体"/>
          <w:sz w:val="21"/>
        </w:rPr>
        <w:t>Silica nanocomposites-based processes provided a new route for low-temperature fabrication of fused silica components. However, low accuracy and poor surface quality prohibit their applications for generating fused silica optics. Herein, we report what we believe to be a novel process for ultra-precision fabrication of complex-shaped fused silica micro-optics by diamond turning of partially debound silica nanocomposites, where the partially debound nanocomposites were designed to suppress undesired deformations in the high-temperature processing. By practically characterizing the generated fused silica components, the optimum partial debinding temperature was selected as 275°C. As a demonstration, an achromatic refractive-diffractive hybrid lens with long focal depth was fabricated to have a surface roughness of Sa = 6.01 nm and a PV error of around 0.46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光致变色吸收介质中的全光减法卷积</w:t>
      </w:r>
    </w:p>
    <w:p>
      <w:r>
        <w:rPr>
          <w:rFonts w:ascii="Times New Roman" w:hAnsi="Times New Roman" w:eastAsia="宋体"/>
          <w:b/>
          <w:color w:val="003264"/>
          <w:sz w:val="24"/>
        </w:rPr>
        <w:t>All-optical subtractive convolution in photochromic absorbing media</w:t>
      </w:r>
    </w:p>
    <w:p>
      <w:r>
        <w:rPr>
          <w:rFonts w:ascii="Times New Roman" w:hAnsi="Times New Roman" w:eastAsia="宋体"/>
          <w:sz w:val="21"/>
        </w:rPr>
        <w:t>作者: Eugenio Fazio, Mario Bragaglia, Arif Nabizada, Francesca Nanni, Alessandro Bile</w:t>
        <w:br/>
      </w:r>
      <w:r>
        <w:rPr>
          <w:rFonts w:ascii="Times New Roman" w:hAnsi="Times New Roman" w:eastAsia="宋体"/>
          <w:sz w:val="21"/>
        </w:rPr>
        <w:t xml:space="preserve">时间: 2026-02-03 | </w:t>
      </w:r>
      <w:r>
        <w:t xml:space="preserve">链接: </w:t>
      </w:r>
      <w:hyperlink r:id="rId67">
        <w:r>
          <w:rPr>
            <w:rFonts w:ascii="Times New Roman" w:hAnsi="Times New Roman" w:eastAsia="宋体"/>
            <w:color w:val="0000FF"/>
            <w:sz w:val="21"/>
            <w:u w:val="single"/>
          </w:rPr>
          <w:t>https://doi.org/10.1364/ol.586072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图像识别是传统数字方法的一种有前景的替代方案。在本文中，我们提出了一个执行减法卷积的全光学系统，这意味着消除了两个光图（参考光图和待识别的未知光图）之间的共同特征。这是由于在光束相互作用的核心使用了一种具有诱导吸收的材料：环氧树脂中的 TII 光致变色分子薄膜。光致变色材料的照明区域中吸收的增加导致两束光束之间的光学卷积消除了具有共同特征的区域，仅留下透射中不同的特征。理论和实验结果都证明了高选择性和分辨率，凸显了光致变色材料在可重构光学处理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Optical image recognition represents a promising alternative to traditional digital methods. In this paper, we present a fully optical system that performs subtraction convolution, meaning that common features between two light maps, a reference and an unknown to be recognized, are eliminated. This is due to the use of a material with induced absorption at the heart of the beam interaction: a thin film of TII photochromic molecules in epoxy resin. The increased absorption in the illuminated regions of the photochromic material causes the optical convolution between two light beams to eliminate the regions with common features, leaving only the dissimilar features in transmission. Both theoretical and experimental results demonstrate high selectivity and resolution, highlighting the great potential of photochromic materials for reconfigurable optical processors.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具有长干涉区的量子诱导相干成像</w:t>
      </w:r>
    </w:p>
    <w:p>
      <w:r>
        <w:rPr>
          <w:rFonts w:ascii="Times New Roman" w:hAnsi="Times New Roman" w:eastAsia="宋体"/>
          <w:b/>
          <w:color w:val="003264"/>
          <w:sz w:val="24"/>
        </w:rPr>
        <w:t>Quantum-induced coherence imaging with a long interference region</w:t>
      </w:r>
    </w:p>
    <w:p>
      <w:r>
        <w:rPr>
          <w:rFonts w:ascii="Times New Roman" w:hAnsi="Times New Roman" w:eastAsia="宋体"/>
          <w:sz w:val="21"/>
        </w:rPr>
        <w:t>作者: Yansheng Bao, Bochen Wang, Zemin Wu, Changyong Tian, Yani Zuo, Zhengyong Li</w:t>
        <w:br/>
      </w:r>
      <w:r>
        <w:rPr>
          <w:rFonts w:ascii="Times New Roman" w:hAnsi="Times New Roman" w:eastAsia="宋体"/>
          <w:sz w:val="21"/>
        </w:rPr>
        <w:t xml:space="preserve">时间: 2026-01-30 | </w:t>
      </w:r>
      <w:r>
        <w:t xml:space="preserve">链接: </w:t>
      </w:r>
      <w:hyperlink r:id="rId68">
        <w:r>
          <w:rPr>
            <w:rFonts w:ascii="Times New Roman" w:hAnsi="Times New Roman" w:eastAsia="宋体"/>
            <w:color w:val="0000FF"/>
            <w:sz w:val="21"/>
            <w:u w:val="single"/>
          </w:rPr>
          <w:t>https://doi.org/10.1364/ol.581283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Zou-Wang-Mandel (ZWM) 量子诱导相干性已被证明可用于高灵敏度检测和传感应用，例如复杂环境中的高信噪比测距和成像。闲频信号的路径重叠阻碍了确定信号源自的确切路径。然而，量子诱导相干的干涉区域仅限于非线性过程产生的参量下转换（PDC）光子的相干长度，这仍然是一个亟待解决的问题。在这里，我们提出了一种方法，通过与惰轮频率相同的种子注入（SI）来增加量子诱导相干成像系统的干涉区域，至少从微米到厘米，并产生更亮的条纹。与典型的ZWM量子诱导相干成像相比，我们的系统不仅保留了抗噪声和无重合要求的优点，而且还展现了高相干、远距离、高可见度成像的可能性。</w:t>
      </w:r>
    </w:p>
    <w:p>
      <w:pPr>
        <w:spacing w:before="120"/>
      </w:pPr>
      <w:r>
        <w:rPr>
          <w:rFonts w:ascii="Times New Roman" w:hAnsi="Times New Roman" w:eastAsia="宋体"/>
          <w:b/>
          <w:sz w:val="21"/>
        </w:rPr>
        <w:t>English Abstract:</w:t>
      </w:r>
    </w:p>
    <w:p>
      <w:r>
        <w:rPr>
          <w:rFonts w:ascii="Times New Roman" w:hAnsi="Times New Roman" w:eastAsia="宋体"/>
          <w:sz w:val="21"/>
        </w:rPr>
        <w:t>Zou-Wang-Mandel (ZWM) quantum-induced coherence has been demonstrated for high-sensitive detection and sensing applications such as high signal-to-noise ratio ranging and imaging in complex environments. The path overlapping of the idler prohibits the determination of the exact path from which the signal originates. However, the interference region of quantum-induced coherence is limited to coherence length of parametric down-conversion (PDC) photons generated by nonlinear processes, which has remained an urgent issue to address. Here, we propose a method to increase the interference region of quantum-induced coherence imaging systems, from micrometers to centimeters at least by seed injection (SI) of the same frequency as the idler, and resulting in brighter fringes. Compared to typical ZWM quantum-induced coherence imaging, our system not only retains the advantages of noise resistance and no coincidence requirement but also exhibits possibilities of high-coherence, long-distance, and high-visibility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长波红外区压缩双梳光谱</w:t>
      </w:r>
    </w:p>
    <w:p>
      <w:r>
        <w:rPr>
          <w:rFonts w:ascii="Times New Roman" w:hAnsi="Times New Roman" w:eastAsia="宋体"/>
          <w:b/>
          <w:color w:val="003264"/>
          <w:sz w:val="24"/>
        </w:rPr>
        <w:t>Compressive dual-comb spectroscopy in the long-wave infrared region</w:t>
      </w:r>
    </w:p>
    <w:p>
      <w:r>
        <w:rPr>
          <w:rFonts w:ascii="Times New Roman" w:hAnsi="Times New Roman" w:eastAsia="宋体"/>
          <w:sz w:val="21"/>
        </w:rPr>
        <w:t>作者: Zhenhai Wang, Syed Tajammul Ahmad, Luca Moretti, Davide Gatti, Marco Marangoni, Aamir Farooq</w:t>
        <w:br/>
      </w:r>
      <w:r>
        <w:rPr>
          <w:rFonts w:ascii="Times New Roman" w:hAnsi="Times New Roman" w:eastAsia="宋体"/>
          <w:sz w:val="21"/>
        </w:rPr>
        <w:t xml:space="preserve">时间: 2026-02-03 | </w:t>
      </w:r>
      <w:r>
        <w:t xml:space="preserve">链接: </w:t>
      </w:r>
      <w:hyperlink r:id="rId168">
        <w:r>
          <w:rPr>
            <w:rFonts w:ascii="Times New Roman" w:hAnsi="Times New Roman" w:eastAsia="宋体"/>
            <w:color w:val="0000FF"/>
            <w:sz w:val="21"/>
            <w:u w:val="single"/>
          </w:rPr>
          <w:t>https://doi.org/10.1364/ol.585679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我们提出了一种适用于 7.5–11.5 μm 范围内的长波红外双梳光谱的压缩传感框架，能够从欠采样干涉图进行精确的光谱重建。对于单物质 N 2 O 检测，压缩因子高达 20 时光谱保真度得以保留，L 2 范数残差低于 1.3 × 10 -4 。检索到的 N 2 O 浓度在压缩因子高达 30 的情况下保持超过 90% 的精度。在 CH 4 、N 2 O 和 C 2 H 4 的混合物中，在压缩因子高达 50 的情况下，所有组分的检索误差都在 10% 的相对偏差内。这些结果表明，所提出的框架能够在资源有限的测量场景中实现可扩展、计算高效的实际 DCS 系统部署，用于实时痕量气体传感。</w:t>
      </w:r>
    </w:p>
    <w:p>
      <w:pPr>
        <w:spacing w:before="120"/>
      </w:pPr>
      <w:r>
        <w:rPr>
          <w:rFonts w:ascii="Times New Roman" w:hAnsi="Times New Roman" w:eastAsia="宋体"/>
          <w:b/>
          <w:sz w:val="21"/>
        </w:rPr>
        <w:t>English Abstract:</w:t>
      </w:r>
    </w:p>
    <w:p>
      <w:r>
        <w:rPr>
          <w:rFonts w:ascii="Times New Roman" w:hAnsi="Times New Roman" w:eastAsia="宋体"/>
          <w:sz w:val="21"/>
        </w:rPr>
        <w:t>We present a compressive sensing framework for long-wave infrared dual-comb spectroscopy over 7.5–11.5 μm, enabling accurate spectral reconstruction from undersampled interferograms. For single-species N 2 O detection, spectral fidelity is preserved up to a compression factor of 20, with L 2 norm residuals below 1.3 × 10 −4 . The retrieved N 2 O concentrations maintain over 90% accuracy for compression factors up to 30. In the mixtures of CH 4 , N 2 O, and C 2 H 4 , all species are retrieved within 10% relative deviation up to a compression factor of 50. These results demonstrate that the proposed framework enables scalable, computationally efficient deployment of practical DCS systems for real-time trace gas sensing in resource-limited measurement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高效率、广泛可调、绿光激光泵浦 BiB 3 O 6 飞秒 OPO，在 yz 平面内具有非共线相位匹配</w:t>
      </w:r>
    </w:p>
    <w:p>
      <w:r>
        <w:rPr>
          <w:rFonts w:ascii="Times New Roman" w:hAnsi="Times New Roman" w:eastAsia="宋体"/>
          <w:b/>
          <w:color w:val="003264"/>
          <w:sz w:val="24"/>
        </w:rPr>
        <w:t>High efficiency, widely tunable, green-laser-pumped BiB 3 O 6 femtosecond OPO with noncollinear phase matching in the yz plane</w:t>
      </w:r>
    </w:p>
    <w:p>
      <w:r>
        <w:rPr>
          <w:rFonts w:ascii="Times New Roman" w:hAnsi="Times New Roman" w:eastAsia="宋体"/>
          <w:sz w:val="21"/>
        </w:rPr>
        <w:t>作者: Heng Jing, Xiaoyang Zhou, Zhenhua Cong, Zhaojun Liu, Zhigang Zhao</w:t>
        <w:br/>
      </w:r>
      <w:r>
        <w:rPr>
          <w:rFonts w:ascii="Times New Roman" w:hAnsi="Times New Roman" w:eastAsia="宋体"/>
          <w:sz w:val="21"/>
        </w:rPr>
        <w:t xml:space="preserve">时间: 2026-01-28 | </w:t>
      </w:r>
      <w:r>
        <w:t xml:space="preserve">链接: </w:t>
      </w:r>
      <w:hyperlink r:id="rId169">
        <w:r>
          <w:rPr>
            <w:rFonts w:ascii="Times New Roman" w:hAnsi="Times New Roman" w:eastAsia="宋体"/>
            <w:color w:val="0000FF"/>
            <w:sz w:val="21"/>
            <w:u w:val="single"/>
          </w:rPr>
          <w:t>https://doi.org/10.1364/ol.586042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展示了一种基于三硼酸铋（BIBO）晶体yz平面I型（o→e + e）非共线相位匹配的飞秒光学参量振荡器（fs-OPO），打破了共线相位匹配所设定的带宽（700-1900 nm）限制。泵浦源由自制 1040 nm Yb:光纤飞秒激光器的二次谐波（SH，520 nm）提供，脉冲持续时间为 177 fs，重复率为 100 MHz。实验上，通过调整 BIBO 晶体的角度，可以将波长从 626 nm 调谐到 3051 nm（信号波长为 626–1026 nm，闲频波长为 1067–3051 nm），据我们所知，这是任何基于 BIBO 的飞秒 OPO 的最宽波长调谐范围。在713 nm波长处，获得了1.3 W的最高平均功率，转换效率为37.1%。如果将信号功率和空闲功率都计算在内，总效率为 52%，这是一个新的基准。此外，在 788 nm 处测得压缩脉冲持续时间为 108 fs，时间带宽积 (TBP) 为 0.46。测得788nm激光器的光束质量因子M 2 分别为M x 2 =1.38和M y 2 =1.18。</w:t>
      </w:r>
    </w:p>
    <w:p>
      <w:pPr>
        <w:spacing w:before="120"/>
      </w:pPr>
      <w:r>
        <w:rPr>
          <w:rFonts w:ascii="Times New Roman" w:hAnsi="Times New Roman" w:eastAsia="宋体"/>
          <w:b/>
          <w:sz w:val="21"/>
        </w:rPr>
        <w:t>English Abstract:</w:t>
      </w:r>
    </w:p>
    <w:p>
      <w:r>
        <w:rPr>
          <w:rFonts w:ascii="Times New Roman" w:hAnsi="Times New Roman" w:eastAsia="宋体"/>
          <w:sz w:val="21"/>
        </w:rPr>
        <w:t>A femtosecond optical parametric oscillator (fs-OPO) based on type-I (o→e + e) noncollinear phase matching in the yz plane of bismuth triborate (BIBO) crystal is demonstrated, which breaks the bandwidth (700–1900 nm) limit set by collinear phase matching. The pumping source is provided by the second-harmonic (SH, 520 nm) wave of a homemade 1040-nm Yb:fiber femtosecond laser with a pulse duration of 177 fs and a repetition rate of 100 MHz. Experimentally, the wavelengths can be tuned from 626 nm to 3051 nm (626–1026 nm for signal and 1067–3051 nm for idler) by adjusting the angle of the BIBO crystal, which, to the best of our knowledge, is the widest wavelength tuning range for any BIBO-based femtosecond OPO. At the wavelength of 713 nm, the highest average power of 1.3 W is obtained, with a conversion efficiency of 37.1%. If both signal and idler powers are counted in, the total efficiency is 52%, which is a new benchmark. In addition, the compressed pulse duration is measured to be 108 fs at 788 nm, with a time-bandwidth product (TBP) of 0.46. The beam quality factors M 2 of 788 nm laser are measured to be M x 2 =1.38 and M y 2 =1.18,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深度学习辅助多阶anapoles与激子之间的双强耦合</w:t>
      </w:r>
    </w:p>
    <w:p>
      <w:r>
        <w:rPr>
          <w:rFonts w:ascii="Times New Roman" w:hAnsi="Times New Roman" w:eastAsia="宋体"/>
          <w:b/>
          <w:color w:val="003264"/>
          <w:sz w:val="24"/>
        </w:rPr>
        <w:t>Deep learning-assisted double strong coupling between multi-order anapoles and excitons</w:t>
      </w:r>
    </w:p>
    <w:p>
      <w:r>
        <w:rPr>
          <w:rFonts w:ascii="Times New Roman" w:hAnsi="Times New Roman" w:eastAsia="宋体"/>
          <w:sz w:val="21"/>
        </w:rPr>
        <w:t>作者: Ziqiao Liu, Yang Liao, Yuan Liu, Hanyang Gong, Zhengqi Liu, Jing Chen, Xianping Wang, Yanliang He, Xiaoshan Liu, Juan Chen, Guiqiang Liu</w:t>
        <w:br/>
      </w:r>
      <w:r>
        <w:rPr>
          <w:rFonts w:ascii="Times New Roman" w:hAnsi="Times New Roman" w:eastAsia="宋体"/>
          <w:sz w:val="21"/>
        </w:rPr>
        <w:t xml:space="preserve">时间: 2026-02-04 | </w:t>
      </w:r>
      <w:r>
        <w:t xml:space="preserve">链接: </w:t>
      </w:r>
      <w:hyperlink r:id="rId170">
        <w:r>
          <w:rPr>
            <w:rFonts w:ascii="Times New Roman" w:hAnsi="Times New Roman" w:eastAsia="宋体"/>
            <w:color w:val="0000FF"/>
            <w:sz w:val="21"/>
            <w:u w:val="single"/>
          </w:rPr>
          <w:t>https://doi.org/10.1364/ol.584009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Anapols具有高度集中的能量和窄的共振宽度，因此成为非线性光学转换和强耦合领域的新兴候选者。然而，现有的研究很少关注同时涉及多阶anapol的强耦合。在此，我们基于深度学习（DL）构建的神经网络，理论上构建了一个三层堆叠混合系统，其中Si纳米盘夹有相同半径的MoSe 2 和MoTe 2 纳米盘。在该系统中，一阶和二阶顺推子同时被激发，并分别与块体MoTe 2 和MoSe 2 纳米盘的激子耦合。一阶阿纳极子与MoTe 2 激子、二阶阿纳极子与MoSe 2 激子之间实现了双强耦合行为，产生了四个能量分支，分别具有100.6 meV和118.2 meV的大拉比分裂。我们的工作为涉及多级阿纳极和多激子的光与物质相互作用提供了一种有效的方法。</w:t>
      </w:r>
    </w:p>
    <w:p>
      <w:pPr>
        <w:spacing w:before="120"/>
      </w:pPr>
      <w:r>
        <w:rPr>
          <w:rFonts w:ascii="Times New Roman" w:hAnsi="Times New Roman" w:eastAsia="宋体"/>
          <w:b/>
          <w:sz w:val="21"/>
        </w:rPr>
        <w:t>English Abstract:</w:t>
      </w:r>
    </w:p>
    <w:p>
      <w:r>
        <w:rPr>
          <w:rFonts w:ascii="Times New Roman" w:hAnsi="Times New Roman" w:eastAsia="宋体"/>
          <w:sz w:val="21"/>
        </w:rPr>
        <w:t>High-order anapoles present strongly concentrated energy and narrow resonance widths and thus become burgeoning candidates in nonlinear optical conversion and strong coupling fields. Nevertheless, existing studies are rarely focused on strong coupling simultaneously involving multi-order anapoles. Herein, we theoretically construct a three-layer stacked hybrid system with a Si nanodisk sandwiched by the MoSe 2 and MoTe 2 nanodisks with the same radius based on the neural network constructed by deep learning (DL). First-order and second-order anapoles are excited simultaneously in this system and couple with excitons of bulk MoTe 2 and MoSe 2 nanodisks, respectively. Double strong coupling behaviors are achieved between the first-order anapole and the exciton of MoTe 2 , as well as the second-order anapole and the exciton of MoSe 2 , resulting in four energy branches with large Rabi splitting of 100.6 meV and 118.2 meV, respectively. Our work provides an effective approach for light–matter interaction involving multi-order anapoles and multiple excitons.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通过转移印刷将介孔GaN分布布拉格反射器与发光二极管集成</w:t>
      </w:r>
    </w:p>
    <w:p>
      <w:r>
        <w:rPr>
          <w:rFonts w:ascii="Times New Roman" w:hAnsi="Times New Roman" w:eastAsia="宋体"/>
          <w:b/>
          <w:color w:val="003264"/>
          <w:sz w:val="24"/>
        </w:rPr>
        <w:t>Co-integration of mesoporous GaN distributed Bragg reflectors and light-emitting diodes by transfer printing</w:t>
      </w:r>
    </w:p>
    <w:p>
      <w:r>
        <w:rPr>
          <w:rFonts w:ascii="Times New Roman" w:hAnsi="Times New Roman" w:eastAsia="宋体"/>
          <w:sz w:val="21"/>
        </w:rPr>
        <w:t>作者: Benoit Guilhabert, Miles Toon, Saptarsi Ghosh, Dimitars Jevtics, Zhongyi Xia, Menno Kappers, Martin D. Dawson, Rachel A. Oliver, Michael J. Strain</w:t>
        <w:br/>
      </w:r>
      <w:r>
        <w:rPr>
          <w:rFonts w:ascii="Times New Roman" w:hAnsi="Times New Roman" w:eastAsia="宋体"/>
          <w:sz w:val="21"/>
        </w:rPr>
        <w:t xml:space="preserve">时间: 2026-02-09 | </w:t>
      </w:r>
      <w:r>
        <w:t xml:space="preserve">链接: </w:t>
      </w:r>
      <w:hyperlink r:id="rId171">
        <w:r>
          <w:rPr>
            <w:rFonts w:ascii="Times New Roman" w:hAnsi="Times New Roman" w:eastAsia="宋体"/>
            <w:color w:val="0000FF"/>
            <w:sz w:val="21"/>
            <w:u w:val="single"/>
          </w:rPr>
          <w:t>https://doi.org/10.1364/ol.584532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采用转移印刷来演示基于氮化镓 (GaN) 的分布式布拉格反射器 (DBR) 的集成，横向尺寸为 100 μm，反射率为 90%，具有多种格式。介孔 GaN DBR 用作基本构件，可直接在硅 (Si) 和玻璃接收基板上制造更复杂的光子器件。因此，通过直接堆叠两个介孔 DBR 膜，在 Si 上形成以 450 nm 为中心的多模光学谐振腔。此外，还通过将介孔 DBR 与尺寸相似的 GaN 基发光二极管膜相结合来演示有源器件，从而产生法布里-珀罗介导发射，与没有 DBR 的参考器件相比，其主峰偏移了 14 nm。这些器件还展示了小信号调制方案中测得的 136 MHz (−6 dB) 光带宽。</w:t>
      </w:r>
    </w:p>
    <w:p>
      <w:pPr>
        <w:spacing w:before="120"/>
      </w:pPr>
      <w:r>
        <w:rPr>
          <w:rFonts w:ascii="Times New Roman" w:hAnsi="Times New Roman" w:eastAsia="宋体"/>
          <w:b/>
          <w:sz w:val="21"/>
        </w:rPr>
        <w:t>English Abstract:</w:t>
      </w:r>
    </w:p>
    <w:p>
      <w:r>
        <w:rPr>
          <w:rFonts w:ascii="Times New Roman" w:hAnsi="Times New Roman" w:eastAsia="宋体"/>
          <w:sz w:val="21"/>
        </w:rPr>
        <w:t>Transfer printing is employed to demonstrate the integration of gallium nitride (GaN)-based distributed Bragg reflectors (DBR) with 100 μm lateral dimensions and reflectance of 90% in various formats. Mesoporous GaN DBRs are utilized as basic building blocks to fabricate more complex photonic devices directly on Silicon (Si) and glass receiving substrates. Multi-mode optical resonant cavities centered at 450 nm on Si are thus formed by direct stacking of two mesoporous DBR membranes. Furthermore, active devices are also demonstrated by combining mesoporous DBR with GaN-based light-emitting diodes membranes of similar dimensions, resulting in a Fabry–Perot-mediated emission with its main peak shifted by 14 nm compared to a reference device without DBR. Measured optical bandwidth of 136 MHz (−6 dB) in a small signal modulation scheme is also demonstrated from these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加密条纹投影轮廓测量</w:t>
      </w:r>
    </w:p>
    <w:p>
      <w:r>
        <w:rPr>
          <w:rFonts w:ascii="Times New Roman" w:hAnsi="Times New Roman" w:eastAsia="宋体"/>
          <w:b/>
          <w:color w:val="003264"/>
          <w:sz w:val="24"/>
        </w:rPr>
        <w:t>Encrypted fringe projection profilometry</w:t>
      </w:r>
    </w:p>
    <w:p>
      <w:r>
        <w:rPr>
          <w:rFonts w:ascii="Times New Roman" w:hAnsi="Times New Roman" w:eastAsia="宋体"/>
          <w:sz w:val="21"/>
        </w:rPr>
        <w:t>作者: Yang Cheng, Zichen Gui, Le Guan, Ran Jin, Beiwen Li</w:t>
        <w:br/>
      </w:r>
      <w:r>
        <w:rPr>
          <w:rFonts w:ascii="Times New Roman" w:hAnsi="Times New Roman" w:eastAsia="宋体"/>
          <w:sz w:val="21"/>
        </w:rPr>
        <w:t xml:space="preserve">时间: 2026-02-04 | </w:t>
      </w:r>
      <w:r>
        <w:t xml:space="preserve">链接: </w:t>
      </w:r>
      <w:hyperlink r:id="rId172">
        <w:r>
          <w:rPr>
            <w:rFonts w:ascii="Times New Roman" w:hAnsi="Times New Roman" w:eastAsia="宋体"/>
            <w:color w:val="0000FF"/>
            <w:sz w:val="21"/>
            <w:u w:val="single"/>
          </w:rPr>
          <w:t>https://doi.org/10.1364/ol.584822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加密条纹投影轮廓测定法（E-FPP），这是一种共同密钥的相位代码框架，可将加密直接嵌入到条纹投影轮廓测定法（FPP）的测量过程中。两个随机相位场和正交时间码联合编码投影序列，将相位检索与合法密钥对绑定。该方法保留了标准的三步 FPP 操作，同时支持依赖于密钥的 3D 重建。实验验证了准确的授权重建以及对单帧和多帧推理的强大抵抗力，为光学计量提供了隐私保护解决方案。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encrypted fringe projection profilometry (E-FPP), a co-keyed phase-code framework that embeds encryption directly into the measurement process of fringe projection profilometry (FPP). Two random phase fields and orthogonal temporal codes jointly encode the projected sequence, binding phase retrieval to legitimate key pairs. The method preserves the standard three-step FPP operation while enabling key-dependent 3D reconstruction. Experiments verify accurate authorized reconstruction and strong resistance to single- and multi-frame inference, providing a privacy-preserving solution for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指数弯曲晶体：高分辨率 X 射线光谱的设计和性能</w:t>
      </w:r>
    </w:p>
    <w:p>
      <w:r>
        <w:rPr>
          <w:rFonts w:ascii="Times New Roman" w:hAnsi="Times New Roman" w:eastAsia="宋体"/>
          <w:b/>
          <w:color w:val="003264"/>
          <w:sz w:val="24"/>
        </w:rPr>
        <w:t>An exponential curved crystal: design and performance for high-resolution X-ray spectroscopy</w:t>
      </w:r>
    </w:p>
    <w:p>
      <w:r>
        <w:rPr>
          <w:rFonts w:ascii="Times New Roman" w:hAnsi="Times New Roman" w:eastAsia="宋体"/>
          <w:sz w:val="21"/>
        </w:rPr>
        <w:t>作者: Jixin Yang, Jun Shi, Weixia Hu, Miao Li, Shali Xiao, Ruize Wang, Qichao Luo</w:t>
        <w:br/>
      </w:r>
      <w:r>
        <w:rPr>
          <w:rFonts w:ascii="Times New Roman" w:hAnsi="Times New Roman" w:eastAsia="宋体"/>
          <w:sz w:val="21"/>
        </w:rPr>
        <w:t xml:space="preserve">时间: 2026-02-04 | </w:t>
      </w:r>
      <w:r>
        <w:t xml:space="preserve">链接: </w:t>
      </w:r>
      <w:hyperlink r:id="rId173">
        <w:r>
          <w:rPr>
            <w:rFonts w:ascii="Times New Roman" w:hAnsi="Times New Roman" w:eastAsia="宋体"/>
            <w:color w:val="0000FF"/>
            <w:sz w:val="21"/>
            <w:u w:val="single"/>
          </w:rPr>
          <w:t>https://doi.org/10.1364/ol.579731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据我们所知，基于布拉格衍射和罗兰圆几何原理，我们开发了一种新颖的曲面晶体光谱仪，具有指数形状的表面。这种设计有助于在广泛的能量范围内实现高分辨率和高光子收集效率。至关重要的是，各种 X 射线能量的所有图像点都精确地位于罗兰圆上，并且连接这些图像点与源点的线是共线的。该光谱仪在理论和模拟研究中实现了超过18,000的光谱分辨率，在实验验证中仍保持在3,100以上。这种创新且适应性强的设计为等离子体诊断和高能量密度物理研究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Based on the principles of Bragg diffraction and the Rowland circle geometry, we developed a novel, to the best of our knowledge, curved-crystal spectrometer featuring an exponentially shaped surface. This design facilitates high resolution and high photon collection efficiency over a broad energy range. Crucially, all image points for various X-ray energies lie precisely on the Rowland circle, and the lines connecting these image points to the source point are collinear. The spectrometer achieved a spectral resolution exceeding 18,000 in theoretical and simulation studies, which remained above 3,100 under experimental validation. This innovative and adaptable design offered promising potential for applications in plasma diagnostics and high-energy-density physics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自由空间中重新配置光学斯格明子拓扑</w:t>
      </w:r>
    </w:p>
    <w:p>
      <w:r>
        <w:rPr>
          <w:rFonts w:ascii="Times New Roman" w:hAnsi="Times New Roman" w:eastAsia="宋体"/>
          <w:b/>
          <w:color w:val="003264"/>
          <w:sz w:val="24"/>
        </w:rPr>
        <w:t>Reconfiguring optical skyrmion topology in free space</w:t>
      </w:r>
    </w:p>
    <w:p>
      <w:r>
        <w:rPr>
          <w:rFonts w:ascii="Times New Roman" w:hAnsi="Times New Roman" w:eastAsia="宋体"/>
          <w:sz w:val="21"/>
        </w:rPr>
        <w:t>作者: Weiming Zhen, Zhiming Qing, Wenxiang Yan, Zhi-Cheng Ren, Xi-Lin Wang, Hui-Tian Wang, Jianping Ding, Yijie Shen</w:t>
        <w:br/>
      </w:r>
      <w:r>
        <w:rPr>
          <w:rFonts w:ascii="Times New Roman" w:hAnsi="Times New Roman" w:eastAsia="宋体"/>
          <w:sz w:val="21"/>
        </w:rPr>
        <w:t xml:space="preserve">时间: 2026-01-23 | </w:t>
      </w:r>
      <w:r>
        <w:t xml:space="preserve">链接: </w:t>
      </w:r>
      <w:hyperlink r:id="rId174">
        <w:r>
          <w:rPr>
            <w:rFonts w:ascii="Times New Roman" w:hAnsi="Times New Roman" w:eastAsia="宋体"/>
            <w:color w:val="0000FF"/>
            <w:sz w:val="21"/>
            <w:u w:val="single"/>
          </w:rPr>
          <w:t>https://doi.org/10.1364/optica.579220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斯格明子是一种类似拓扑粒子的自旋纹理，因其在鲁棒信息编码和光子操纵方面的潜在应用而引起了光学界的极大兴趣。然而，在自由空间中，传统的斯格明子光束在传播过程中由于古伊相位效应而遭受拓扑结构的被动和确定性变换，从而限制了其稳定性和可控性。在这里，我们实验性地构造了可定制的斯托克斯斯格明子，提供了对拓扑（包括斯格明子数和纹理螺旋度）和传播轨迹的前所未有的控制。这种方法不仅可以确保长距离稳定保存斯格明子纹理，还可以在不同的斯格明子类型（反斯格明子、双默龙和高阶斯格明子）之间进行定制变换，而无需依赖物理变换元素。更重要的是，据我们所知，我们首次通过实验实现了完美的光学斯格明子。此外，我们还演示了沿自加速任意轨迹（包括抛物线和螺旋路径）实验生成斯格明子。这项工作为拓扑光场的操纵建立了一个强大且可重构的平台，对大容量光学编码、加密和精密粒子操纵具有重要意义。</w:t>
      </w:r>
    </w:p>
    <w:p>
      <w:pPr>
        <w:spacing w:before="120"/>
      </w:pPr>
      <w:r>
        <w:rPr>
          <w:rFonts w:ascii="Times New Roman" w:hAnsi="Times New Roman" w:eastAsia="宋体"/>
          <w:b/>
          <w:sz w:val="21"/>
        </w:rPr>
        <w:t>English Abstract:</w:t>
      </w:r>
    </w:p>
    <w:p>
      <w:r>
        <w:rPr>
          <w:rFonts w:ascii="Times New Roman" w:hAnsi="Times New Roman" w:eastAsia="宋体"/>
          <w:sz w:val="21"/>
        </w:rPr>
        <w:t>Skyrmions, topological particle-like spin textures, have drawn significant interest in optics for their potential applications in robust information encoding and photonic manipulation. However, in free space, conventional skyrmionic beams suffer from passive and deterministic transformations in topological textures during propagation due to the Gouy phase effect, consequently limiting their stability and controllability. Here, we experimentally construct customizable Stokes skyrmions, providing unprecedented control over topologies (including skyrmion number and texture helicity) and propagation trajectory. This approach not only ensures the stable preservation of skyrmion textures over long distances but also enables customized transformations between distinct skyrmion types—anti-skyrmions, bimerons, and higher-order skyrmions—without relying on physical transformation elements. More importantly, we realize perfect optical skyrmions experimentally for the first time, to our knowledge. Additionally, we demonstrate the experimental generation of skyrmions along self-accelerating arbitrary trajectories, including parabolic and spiral paths. This work establishes a robust and reconfigurable platform for the manipulation of topological light fields, with significant implications for high-capacity optical coding, encryption, and precision particle manipulation.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00:32 ---</w:t>
      </w:r>
    </w:p>
    <w:p>
      <w:pPr>
        <w:pStyle w:val="Heading2"/>
      </w:pPr>
      <w:r/>
      <w:r>
        <w:rPr>
          <w:rFonts w:ascii="Times New Roman" w:hAnsi="Times New Roman" w:eastAsia="宋体"/>
          <w:b/>
          <w:color w:val="000000"/>
          <w:sz w:val="24"/>
        </w:rPr>
        <w:t>使用光谱导数同时估计前臂肌肉中发色团的绝对浓度和微分路径长度因子</w:t>
      </w:r>
    </w:p>
    <w:p>
      <w:r>
        <w:rPr>
          <w:rFonts w:ascii="Times New Roman" w:hAnsi="Times New Roman" w:eastAsia="宋体"/>
          <w:b/>
          <w:color w:val="003264"/>
          <w:sz w:val="24"/>
        </w:rPr>
        <w:t>Simultaneous estimation of absolute concentrations of chromophores and the differential pathlength factor in forearm muscle using spectral derivatives</w:t>
      </w:r>
    </w:p>
    <w:p>
      <w:r>
        <w:rPr>
          <w:rFonts w:ascii="Times New Roman" w:hAnsi="Times New Roman" w:eastAsia="宋体"/>
          <w:sz w:val="21"/>
        </w:rPr>
        <w:t>作者: Jeremy C. Hebden</w:t>
        <w:br/>
      </w:r>
      <w:r>
        <w:rPr>
          <w:rFonts w:ascii="Times New Roman" w:hAnsi="Times New Roman" w:eastAsia="宋体"/>
          <w:sz w:val="21"/>
        </w:rPr>
        <w:t xml:space="preserve">时间: 2026-01-23 | </w:t>
      </w:r>
      <w:r>
        <w:t xml:space="preserve">链接: </w:t>
      </w:r>
      <w:hyperlink r:id="rId175">
        <w:r>
          <w:rPr>
            <w:rFonts w:ascii="Times New Roman" w:hAnsi="Times New Roman" w:eastAsia="宋体"/>
            <w:color w:val="0000FF"/>
            <w:sz w:val="21"/>
            <w:u w:val="single"/>
          </w:rPr>
          <w:t>https://doi.org/10.1364/boe.585939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近红外光谱估计高散射组织中发色团绝对浓度的方法，该方法还可以估计微分路径长度因子（DPF）和散射对波长的功率依赖性。它涉及测量衰减光谱梯度并将其与从扩散理论导出的表达式进行比较。首先使用均匀板中的光传播扩散模型探索该方法的有效性，该模型用于模拟血管闭塞期间成人前臂肌肉的漫反射测量。此后，该方法应用于对五名志愿者的前臂进行的实验测量。模拟结果表明，如果将一些导出的参数限制在生理上真实的范围内，并且氧合血红蛋白和脱氧血红蛋白的绝对浓度估计分别在真实值的 40% 和 20% 以内，则准确性会显着提高。此外，波长平均 DPF 的误差可估计在 10% 左右。对志愿者的测量显示，血红蛋白浓度在 2-105 µM 范围内大致一致，差异光程因子在 2.2-5.1 范围内。</w:t>
      </w:r>
    </w:p>
    <w:p>
      <w:pPr>
        <w:spacing w:before="120"/>
      </w:pPr>
      <w:r>
        <w:rPr>
          <w:rFonts w:ascii="Times New Roman" w:hAnsi="Times New Roman" w:eastAsia="宋体"/>
          <w:b/>
          <w:sz w:val="21"/>
        </w:rPr>
        <w:t>English Abstract:</w:t>
      </w:r>
    </w:p>
    <w:p>
      <w:r>
        <w:rPr>
          <w:rFonts w:ascii="Times New Roman" w:hAnsi="Times New Roman" w:eastAsia="宋体"/>
          <w:sz w:val="21"/>
        </w:rPr>
        <w:t>A method for estimating the absolute concentrations of chromophores in highly scattering tissues using near-infrared spectra is presented, which also yields estimates of the differential pathlength factor (DPF) and the power-dependency of scattering on wavelength. It involves measuring the attenuation spectral gradient and comparing it with an expression derived from diffusion theory. The validity of the approach is first explored using a diffusion model of light propagation in a homogenous slab, which is used to simulate measurements of diffuse reflectance in the adult forearm muscle during a vascular occlusion. Thereafter, the method is applied to experimental measurements performed on the forearms of five volunteers. The simulation results suggest that accuracy is significantly enhanced if some derived parameters are constrained to ranges which are physiologically realistic, and that the absolute concentrations of oxy- and deoxy-hemoglobin are estimated to within 40% and 20% of the true values, respectively. Furthermore, the wavelength-averaged DPF can be estimated to within around 10%. The measurements on volunteers revealed broadly consistent concentrations of the hemoglobins in the range 2-105 µM, and differential pathlength factors in the range 2.2-5.1.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使用空间偏移拉曼光谱从切除的人指骨中预测腕部骨质疏松症——一项尸体研究</w:t>
      </w:r>
    </w:p>
    <w:p>
      <w:r>
        <w:rPr>
          <w:rFonts w:ascii="Times New Roman" w:hAnsi="Times New Roman" w:eastAsia="宋体"/>
          <w:b/>
          <w:color w:val="003264"/>
          <w:sz w:val="24"/>
        </w:rPr>
        <w:t>Predicting wrist osteoporosis from excised human finger bones using spatially offset Raman spectroscopy – a cadaveric study</w:t>
      </w:r>
    </w:p>
    <w:p>
      <w:r>
        <w:rPr>
          <w:rFonts w:ascii="Times New Roman" w:hAnsi="Times New Roman" w:eastAsia="宋体"/>
          <w:sz w:val="21"/>
        </w:rPr>
        <w:t>作者: Mohammad Hosseini, Sadia Afrin, Anthony Yosick, Emma Schenker, Hani Awad, Andrew J. Berger</w:t>
        <w:br/>
      </w:r>
      <w:r>
        <w:rPr>
          <w:rFonts w:ascii="Times New Roman" w:hAnsi="Times New Roman" w:eastAsia="宋体"/>
          <w:sz w:val="21"/>
        </w:rPr>
        <w:t xml:space="preserve">时间: 2026-01-27 | </w:t>
      </w:r>
      <w:r>
        <w:t xml:space="preserve">链接: </w:t>
      </w:r>
      <w:hyperlink r:id="rId176">
        <w:r>
          <w:rPr>
            <w:rFonts w:ascii="Times New Roman" w:hAnsi="Times New Roman" w:eastAsia="宋体"/>
            <w:color w:val="0000FF"/>
            <w:sz w:val="21"/>
            <w:u w:val="single"/>
          </w:rPr>
          <w:t>https://doi.org/10.1364/boe.583075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骨质疏松症和骨质减少症的诊断仍然严重不足。目前的临床筛查几乎完全依赖于双能 X 射线吸收测定法 (DXA)，它可以测量骨矿物质密度 (BMD)，但无法捕获导致 BMD 损失的成分变化。我们研究了应用于切除指骨的空间偏移拉曼光谱 (SORS) 是否可以评估与骨骼健康相关的地下生化标记物并估计手腕 DXA T 分数。拉曼光谱是在距激光照射点 0、3 和 6 mm 的空间偏移处从 25 具女性尸体的第二个手指近节指骨的中轴上离体获取的，这些尸体跨越三个 T 分数类别（n = 8 正常、n = 6 骨质减少和 n = 11 骨质疏松）。将光谱归一化为 PO 4 3- 峰后，以 3 毫米偏移测量的三类组平均光谱显示 CO 3 2- 、酰胺 III、CH 2 和酰胺 I 波段存在明显差异。从数量上讲，五分之四的矿物质与基质比率可区分（p≤0.05）正常骨和骨质疏松骨的骨质减少，并且所有五个比率都显示正常骨和骨质疏松骨之间存在显着差异。相比之下，0 毫米偏移在单变量分析中显示生化对比度降低，而 6 毫米偏移相对于 3 毫米没有提供额外的区分度。使用 0 毫米和 3 毫米谱的多元偏最小二乘回归 (PLSR) 模型以相当的精度预测远端半径 T 分数（Pearson r ≈ 0.90，RMSE CV ≈ 0.8），但 3 毫米偏移需要较少的潜在变量（1 比 9），这与有利于 3 毫米偏移的单变量分析趋势一致。这些切除骨骼的发现证明了未来的研究将这种方法扩展到经皮手指，以对骨骼健康进行非电离评估。</w:t>
      </w:r>
    </w:p>
    <w:p>
      <w:pPr>
        <w:spacing w:before="120"/>
      </w:pPr>
      <w:r>
        <w:rPr>
          <w:rFonts w:ascii="Times New Roman" w:hAnsi="Times New Roman" w:eastAsia="宋体"/>
          <w:b/>
          <w:sz w:val="21"/>
        </w:rPr>
        <w:t>English Abstract:</w:t>
      </w:r>
    </w:p>
    <w:p>
      <w:r>
        <w:rPr>
          <w:rFonts w:ascii="Times New Roman" w:hAnsi="Times New Roman" w:eastAsia="宋体"/>
          <w:sz w:val="21"/>
        </w:rPr>
        <w:t>Osteoporosis and osteopenia remain vastly underdiagnosed. Current clinical screening relies almost exclusively on dual-energy X-ray absorptiometry (DXA), which measures bone mineral density (BMD) but fails to capture the compositional changes that lead to BMD loss. We investigated whether spatially offset Raman spectroscopy (SORS) applied to excised finger bones can assess subsurface biochemical markers associated with bone health and estimate wrist DXA T-scores. Raman spectra were acquired ex vivo on the mid-shaft of the proximal phalanx of the second digit from 25 female cadavers spanning the three T-score categories (n = 8 normal, n = 6 osteopenic, and n = 11 osteoporotic) at spatial offsets of 0, 3, and 6 mm from a laser irradiation spot. After normalizing spectra to the PO 4 3- peak, group-averaged spectra of the three categories, measured at 3-mm offset, showed clear differences in the CO 3 2- , Amide III, CH 2 , and Amide I bands. Quantitatively, four out of five mineral-to-matrix ratios discriminated (p ≤ 0.05) osteopenia from both normal and osteoporotic bone, and all five ratios showed significant differences between normal and osteoporotic bone. In contrast, the 0-mm offset showed reduced biochemical contrast in univariate analyses, while the 6-mm offset did not provide additional discrimination relative to 3-mm. Multivariate partial-least-squares regression (PLSR) models using 0-mm and 3-mm spectra predicted distal radius T-scores with comparable accuracy (Pearson r ≈ 0.90, RMSE CV ≈ 0.8), but the 3-mm offset required fewer latent variables (1 vs. 9), consistent with the univariate analysis trends favoring 3-mm offset. These excised-bone findings justify future studies extending this approach to transcutaneous fingers for non-ionizing assessment of bone health.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00:32 ---</w:t>
      </w:r>
    </w:p>
    <w:p>
      <w:pPr>
        <w:pStyle w:val="Heading2"/>
      </w:pPr>
      <w:r/>
      <w:r>
        <w:rPr>
          <w:rFonts w:ascii="Times New Roman" w:hAnsi="Times New Roman" w:eastAsia="宋体"/>
          <w:b/>
          <w:color w:val="000000"/>
          <w:sz w:val="24"/>
        </w:rPr>
        <w:t>显微镜物镜中具有方位角偏振的非球面波前的矢量衍射</w:t>
      </w:r>
    </w:p>
    <w:p>
      <w:r>
        <w:rPr>
          <w:rFonts w:ascii="Times New Roman" w:hAnsi="Times New Roman" w:eastAsia="宋体"/>
          <w:b/>
          <w:color w:val="003264"/>
          <w:sz w:val="24"/>
        </w:rPr>
        <w:t>Vector diffraction of aspherical wavefronts with azimuthal polarization in microscope objectives</w:t>
      </w:r>
    </w:p>
    <w:p>
      <w:r>
        <w:rPr>
          <w:rFonts w:ascii="Times New Roman" w:hAnsi="Times New Roman" w:eastAsia="宋体"/>
          <w:sz w:val="21"/>
        </w:rPr>
        <w:t>作者: Rafael G. González-Acuña</w:t>
        <w:br/>
      </w:r>
      <w:r>
        <w:rPr>
          <w:rFonts w:ascii="Times New Roman" w:hAnsi="Times New Roman" w:eastAsia="宋体"/>
          <w:sz w:val="21"/>
        </w:rPr>
        <w:t xml:space="preserve">时间: 2026-02-04 | </w:t>
      </w:r>
      <w:r>
        <w:t xml:space="preserve">链接: </w:t>
      </w:r>
      <w:hyperlink r:id="rId69">
        <w:r>
          <w:rPr>
            <w:rFonts w:ascii="Times New Roman" w:hAnsi="Times New Roman" w:eastAsia="宋体"/>
            <w:color w:val="0000FF"/>
            <w:sz w:val="21"/>
            <w:u w:val="single"/>
          </w:rPr>
          <w:t>https://doi.org/10.1364/josaa.583069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理查兹-沃尔夫积分对显微镜等高数值孔径光学系统中的电磁场进行建模，捕获方位偏振光束的偏振效应，但仅限于球面波前，无法考虑像差或非球面。据我们所知，一种新颖的广义衍射积分[Appl。选择。 64, 6036 (2025) 10.1364/AO.568541] 扩展了这个框架来处理自由矢量场和像差，简化为球面情况的经典形式。我们应用这种方法来计算具有非球面波前和方位角偏振的显微镜的点扩散函数（PSF），分析像差影响。我们的结果表明，PSF 精度得到提高，增强了超分辨率成像和光学捕获，从而推进了偏振敏感显微镜设计。</w:t>
      </w:r>
    </w:p>
    <w:p>
      <w:pPr>
        <w:spacing w:before="120"/>
      </w:pPr>
      <w:r>
        <w:rPr>
          <w:rFonts w:ascii="Times New Roman" w:hAnsi="Times New Roman" w:eastAsia="宋体"/>
          <w:b/>
          <w:sz w:val="21"/>
        </w:rPr>
        <w:t>English Abstract:</w:t>
      </w:r>
    </w:p>
    <w:p>
      <w:r>
        <w:rPr>
          <w:rFonts w:ascii="Times New Roman" w:hAnsi="Times New Roman" w:eastAsia="宋体"/>
          <w:sz w:val="21"/>
        </w:rPr>
        <w:t>The Richards–Wolf integral models electromagnetic fields in high-NA optical systems like microscopes, capturing polarization effects of azimuthally polarized beams, but is limited to spherical wavefronts, failing to account for aberrations or aspherical surfaces. A novel, to our knowledge, generalized diffraction integral [ Appl. Opt. 64 , 6036 ( 2025 ) 10.1364/AO.568541 ] extends this framework to handle freeform vectorial fields and aberrations, reducing to the classical form for spherical cases. We apply this method to compute the point spread function (PSF) of microscopes with aspherical wavefronts and azimuthal polarization, analyzing aberration impacts. Our results show improved PSF accuracy, enhancing super-resolution imaging and optical trapping and thus advancing polarization-sensitive microscopy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广义零光展量源和两个目标的逆设计方法</w:t>
      </w:r>
    </w:p>
    <w:p>
      <w:r>
        <w:rPr>
          <w:rFonts w:ascii="Times New Roman" w:hAnsi="Times New Roman" w:eastAsia="宋体"/>
          <w:b/>
          <w:color w:val="003264"/>
          <w:sz w:val="24"/>
        </w:rPr>
        <w:t>An inverse design method for generalized zero-étendue sources and two targets</w:t>
      </w:r>
    </w:p>
    <w:p>
      <w:r>
        <w:rPr>
          <w:rFonts w:ascii="Times New Roman" w:hAnsi="Times New Roman" w:eastAsia="宋体"/>
          <w:sz w:val="21"/>
        </w:rPr>
        <w:t>作者: Pieter Braam, Jan ten Thije Boonkkamp, Martijn Anthonissen, Koondanibha Mitra, Lisa Kusch, Wilbert IJzerman</w:t>
        <w:br/>
      </w:r>
      <w:r>
        <w:rPr>
          <w:rFonts w:ascii="Times New Roman" w:hAnsi="Times New Roman" w:eastAsia="宋体"/>
          <w:sz w:val="21"/>
        </w:rPr>
        <w:t xml:space="preserve">时间: 2026-01-26 | </w:t>
      </w:r>
      <w:r>
        <w:t xml:space="preserve">链接: </w:t>
      </w:r>
      <w:hyperlink r:id="rId177">
        <w:r>
          <w:rPr>
            <w:rFonts w:ascii="Times New Roman" w:hAnsi="Times New Roman" w:eastAsia="宋体"/>
            <w:color w:val="0000FF"/>
            <w:sz w:val="21"/>
            <w:u w:val="single"/>
          </w:rPr>
          <w:t>https://doi.org/10.1364/josaa.584917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计算自由形状光学表面的逆方法，该方法将由两个源平面参数化的光分布转换为两个单独的目标分布。这些表面可以是反射器或透镜，并控制光线的空间和方向源和目标坐标。根据能量守恒，我们推导出光学映射的雅可比方程，并且光路长度提供了光学表面的生成函数。三阶段最小二乘算法对所得方程进行数值求解。我们提供具有复杂源和目标分布的示例。</w:t>
      </w:r>
    </w:p>
    <w:p>
      <w:pPr>
        <w:spacing w:before="120"/>
      </w:pPr>
      <w:r>
        <w:rPr>
          <w:rFonts w:ascii="Times New Roman" w:hAnsi="Times New Roman" w:eastAsia="宋体"/>
          <w:b/>
          <w:sz w:val="21"/>
        </w:rPr>
        <w:t>English Abstract:</w:t>
      </w:r>
    </w:p>
    <w:p>
      <w:r>
        <w:rPr>
          <w:rFonts w:ascii="Times New Roman" w:hAnsi="Times New Roman" w:eastAsia="宋体"/>
          <w:sz w:val="21"/>
        </w:rPr>
        <w:t>We present an inverse method to compute freeform optical surfaces that transform a light distribution, parameterized by two source planes, into two separate target distributions. The surfaces can be reflectors or lenses, and control both the spatial and directional source and target coordinates of light rays. From energy conservation we derive Jacobian equations for optical mappings, and the optical path length provides generating functions for the optical surfaces. A three-stage least-squares algorithm numerically solves the resulting equations. We present examples with complex source and target distributions.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00:32 ---</w:t>
      </w:r>
    </w:p>
    <w:p>
      <w:pPr>
        <w:pStyle w:val="Heading2"/>
      </w:pPr>
      <w:r/>
      <w:r>
        <w:rPr>
          <w:rFonts w:ascii="Times New Roman" w:hAnsi="Times New Roman" w:eastAsia="宋体"/>
          <w:b/>
          <w:color w:val="000000"/>
          <w:sz w:val="24"/>
        </w:rPr>
        <w:t>可定制的自旋到轨道角动量自由度与级联超表面的完全转换</w:t>
      </w:r>
    </w:p>
    <w:p>
      <w:r>
        <w:rPr>
          <w:rFonts w:ascii="Times New Roman" w:hAnsi="Times New Roman" w:eastAsia="宋体"/>
          <w:b/>
          <w:color w:val="003264"/>
          <w:sz w:val="24"/>
        </w:rPr>
        <w:t>Tailorable spin-to-orbital angular momentum degree-of-freedom complete conversion with cascaded metasurfaces</w:t>
      </w:r>
    </w:p>
    <w:p>
      <w:r>
        <w:rPr>
          <w:rFonts w:ascii="Times New Roman" w:hAnsi="Times New Roman" w:eastAsia="宋体"/>
          <w:sz w:val="21"/>
        </w:rPr>
        <w:t>作者: Shiu Hei Lam, Jinyong Ma, Thomas Pertsch, Andrey A. Sukhorukov</w:t>
        <w:br/>
      </w:r>
      <w:r>
        <w:rPr>
          <w:rFonts w:ascii="Times New Roman" w:hAnsi="Times New Roman" w:eastAsia="宋体"/>
          <w:sz w:val="21"/>
        </w:rPr>
        <w:t xml:space="preserve">时间: 2026-01-27 | </w:t>
      </w:r>
      <w:r>
        <w:t xml:space="preserve">链接: </w:t>
      </w:r>
      <w:hyperlink r:id="rId70">
        <w:r>
          <w:rPr>
            <w:rFonts w:ascii="Times New Roman" w:hAnsi="Times New Roman" w:eastAsia="宋体"/>
            <w:color w:val="0000FF"/>
            <w:sz w:val="21"/>
            <w:u w:val="single"/>
          </w:rPr>
          <w:t>https://doi.org/10.1364/prj.574200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自旋到轨道角动量 (OAM) 转换与偏振整形相结合，扩展了光通信和量子光学的能力。虽然单个超表面可以根据输入偏振创建不同的 OAM，但它不能任意定制输出偏振。我们揭示了如何通过级联超表面克服这一限制，实现对 OAM 的偏振和光学相位的完全控制，并结合接近统一的效率，从而可以介导量子纠缠态的创建。我们的多通道 OAM 转换分析框架预测了最佳超表面分离距离，衍射理论计算证实设计的性能保持在纳米制造公差范围内。</w:t>
      </w:r>
    </w:p>
    <w:p>
      <w:pPr>
        <w:spacing w:before="120"/>
      </w:pPr>
      <w:r>
        <w:rPr>
          <w:rFonts w:ascii="Times New Roman" w:hAnsi="Times New Roman" w:eastAsia="宋体"/>
          <w:b/>
          <w:sz w:val="21"/>
        </w:rPr>
        <w:t>English Abstract:</w:t>
      </w:r>
    </w:p>
    <w:p>
      <w:r>
        <w:rPr>
          <w:rFonts w:ascii="Times New Roman" w:hAnsi="Times New Roman" w:eastAsia="宋体"/>
          <w:sz w:val="21"/>
        </w:rPr>
        <w:t>Spin-to-orbital angular momentum (OAM) conversion combined with the polarization shaping expands capabilities in optical communications and quantum optics. Whereas a single metasurface can create different OAMs depending on the input polarization, it cannot arbitrarily tailor output polarizations. We reveal how to overcome this limitation with cascaded metasurfaces, achieving complete control over the polarization and optical phase of OAMs combined with a near-unity efficiency, which can mediate the creation of quantum-entangled states. Our analytical framework of multi-channel OAM conversion predicts the optimal metasurface separation distance, and diffraction theory calculations confirm that the designed performance is preserved within nanofabrication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具有精确横模控制的高能量、高光束质量时空锁模光纤激光器</w:t>
      </w:r>
    </w:p>
    <w:p>
      <w:r>
        <w:rPr>
          <w:rFonts w:ascii="Times New Roman" w:hAnsi="Times New Roman" w:eastAsia="宋体"/>
          <w:b/>
          <w:color w:val="003264"/>
          <w:sz w:val="24"/>
        </w:rPr>
        <w:t>High-energy, high-beam quality spatiotemporal mode-locked fiber laser with precise transverse mode control</w:t>
      </w:r>
    </w:p>
    <w:p>
      <w:r>
        <w:rPr>
          <w:rFonts w:ascii="Times New Roman" w:hAnsi="Times New Roman" w:eastAsia="宋体"/>
          <w:sz w:val="21"/>
        </w:rPr>
        <w:t>作者: Xiuquan Li, Wenqi Ma, Yi Qin, Canyi Deng, Guijun Hu</w:t>
        <w:br/>
      </w:r>
      <w:r>
        <w:rPr>
          <w:rFonts w:ascii="Times New Roman" w:hAnsi="Times New Roman" w:eastAsia="宋体"/>
          <w:sz w:val="21"/>
        </w:rPr>
        <w:t xml:space="preserve">时间: 2026-01-28 | </w:t>
      </w:r>
      <w:r>
        <w:t xml:space="preserve">链接: </w:t>
      </w:r>
      <w:hyperlink r:id="rId71">
        <w:r>
          <w:rPr>
            <w:rFonts w:ascii="Times New Roman" w:hAnsi="Times New Roman" w:eastAsia="宋体"/>
            <w:color w:val="0000FF"/>
            <w:sz w:val="21"/>
            <w:u w:val="single"/>
          </w:rPr>
          <w:t>https://doi.org/10.1364/prj.574432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锁模激光器通过横模协作提供独特的动力学和高能潜力。然而，现有方案缺乏精确的横模控制，限制了单脉冲能量和光束质量的同时提高。本文采用横模控制技术，利用模式复用器/解复用器实现横模分割，可以实现对参与时空锁模（STML）的所有横模的精确控制。四模阶跃折射率 (STIN) 光纤时空锁模激光器的实验结果表明，通过使用补偿光纤的模间色散控制，可以在多个横向模式的单个重复频率下实现稳定的锁模。横模能量叠加可在 1.5 μm 波段实现 7.6 nJ 的高单脉冲能量输出。此外，每个分支中的偏振控制器动态优化模间耦合，将M 2 值从4.8显着降低至1.4，首次在STIN光纤时空锁模激光器中实现类高斯高光束质量输出。该技术理论上可扩展到任意数量的横向模式，从而能够精确控制每个模式的色散、相位和偏振，从而在时空锁模激光器中协调能量和光束质量优化。</w:t>
      </w:r>
    </w:p>
    <w:p>
      <w:pPr>
        <w:spacing w:before="120"/>
      </w:pPr>
      <w:r>
        <w:rPr>
          <w:rFonts w:ascii="Times New Roman" w:hAnsi="Times New Roman" w:eastAsia="宋体"/>
          <w:b/>
          <w:sz w:val="21"/>
        </w:rPr>
        <w:t>English Abstract:</w:t>
      </w:r>
    </w:p>
    <w:p>
      <w:r>
        <w:rPr>
          <w:rFonts w:ascii="Times New Roman" w:hAnsi="Times New Roman" w:eastAsia="宋体"/>
          <w:sz w:val="21"/>
        </w:rPr>
        <w:t>Spatiotemporal mode-locked lasers offer unique dynamics and high-energy potential through transverse mode collaboration. However, current schemes lack precise transverse mode control, limiting the simultaneous improvement of single-pulse energy and beam quality. This paper employs a transverse mode control technique, which uses a mode multiplexer/demultiplexer to realize transverse mode division and can achieve precise control of all the transverse modes participating in spatiotemporal mode-locking (STML). Experimental results of a four-mode step-index (STIN) fiber spatiotemporal mode-locked laser demonstrate stable mode-locking at a single repetition frequency across multiple transverse modes via intermodal dispersion control using compensating fibers. Transverse mode energy superposition enables a high single-pulse energy output of 7.6 nJ in the 1.5 μm band. Furthermore, polarization controllers in each branch dynamically optimize intermodal coupling, significantly reducing the M 2 value from 4.8 to 1.4, achieving Gaussian-like high-beam-quality output in a STIN fiber spatiotemporal mode-locked laser for the first time. The technique is theoretically extensible to any number of transverse modes, enabling precise control of dispersion, phase, and polarization per mode for coordinated energy and beam quality optimization in spatiotemporal mode-locked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基于动态增益匹配的大带宽自混合激光多普勒测速，具有显着的 10 4 强度响应增强</w:t>
      </w:r>
    </w:p>
    <w:p>
      <w:r>
        <w:rPr>
          <w:rFonts w:ascii="Times New Roman" w:hAnsi="Times New Roman" w:eastAsia="宋体"/>
          <w:b/>
          <w:color w:val="003264"/>
          <w:sz w:val="24"/>
        </w:rPr>
        <w:t>Dynamic-gain-matching-based large bandwidth self-mixing laser Doppler velocimetry with notable 10 4 intensity response enhancement</w:t>
      </w:r>
    </w:p>
    <w:p>
      <w:r>
        <w:rPr>
          <w:rFonts w:ascii="Times New Roman" w:hAnsi="Times New Roman" w:eastAsia="宋体"/>
          <w:sz w:val="21"/>
        </w:rPr>
        <w:t>作者: Jinsong Liu, Yifan Wang, Yan Li, Xin Xu, Yidong Tan</w:t>
        <w:br/>
      </w:r>
      <w:r>
        <w:rPr>
          <w:rFonts w:ascii="Times New Roman" w:hAnsi="Times New Roman" w:eastAsia="宋体"/>
          <w:sz w:val="21"/>
        </w:rPr>
        <w:t xml:space="preserve">时间: 2026-01-27 | </w:t>
      </w:r>
      <w:r>
        <w:t xml:space="preserve">链接: </w:t>
      </w:r>
      <w:hyperlink r:id="rId72">
        <w:r>
          <w:rPr>
            <w:rFonts w:ascii="Times New Roman" w:hAnsi="Times New Roman" w:eastAsia="宋体"/>
            <w:color w:val="0000FF"/>
            <w:sz w:val="21"/>
            <w:u w:val="single"/>
          </w:rPr>
          <w:t>https://doi.org/10.1364/prj.572887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多普勒测速是一种强大的精确运动监测方法，具有高精度、非接触式的优点。其中，自混合（SM）激光多普勒测速对非合作目标表现出高灵敏度。通过腔内干扰对多普勒信号进行自发放大，实现微弱回波信号的检测，满足实际测量需求。然而，由于固有的增益频率限制，激光反馈系统中与频率相关的增益分布在较高频率下表现出渐进衰减，从根本上限制了它们在高速目标的高灵敏度测速中的适用性。据我们所知，我们首次定量地确定自混合干涉测量的增益和频率（GFP）的乘积对于较高频率保持恒定。为了提高单模激光多普勒测速的带宽，进一步提高自混合干涉测量（SMI）的灵敏度，采用变频方法来突破这一固有限制。采用电光调制器（EOM）和光注入锁定将干涉信号的频率移入增益区域，从而扩展增益带宽。理论上，由于EOM调制带宽大，多普勒频率测量带宽可以扩展到数十GHz（1550 nm处对应速度超过1 km/s），而受目标限制，多普勒频率实验测量超过44 MHz（1550 nm处34.1 m/s）。该系统实现了4 Hz以内的多普勒频率测量精度。同时，光学注入锁定可以提供额外的光学增益。 10 μW 的种子光被放大到 60 mW，提供 37 dB 的增益。所提出系统的检测限为-145.52 dB，强度响应灵敏度比正常外差干扰高10 4 。因此，该系统具有带宽大、灵敏度高、精度高等优点。有望广泛应用于非合作高速运动目标的监测。</w:t>
      </w:r>
    </w:p>
    <w:p>
      <w:pPr>
        <w:spacing w:before="120"/>
      </w:pPr>
      <w:r>
        <w:rPr>
          <w:rFonts w:ascii="Times New Roman" w:hAnsi="Times New Roman" w:eastAsia="宋体"/>
          <w:b/>
          <w:sz w:val="21"/>
        </w:rPr>
        <w:t>English Abstract:</w:t>
      </w:r>
    </w:p>
    <w:p>
      <w:r>
        <w:rPr>
          <w:rFonts w:ascii="Times New Roman" w:hAnsi="Times New Roman" w:eastAsia="宋体"/>
          <w:sz w:val="21"/>
        </w:rPr>
        <w:t>Laser Doppler velocimetry is a powerful method for precise motion monitoring with the advantages of high precision and noncontact. Among them, self-mixing (SM) laser Doppler velocimetry exhibits high sensitivity for noncooperative targets. The spontaneous amplification of Doppler signals through intracavity interference enables the detection of weak echo signals, meeting practical measurement requirements. However, the frequency-dependent gain profile in laser feedback systems exhibits progressive attenuation at higher frequencies due to the inherent gain-frequency constraint, fundamentally limiting their applicability for high-sensitivity velocimetry of high-speed targets. We quantitatively establish for the first time, to our knowledge, that the product of self-mixing interferometry’s gain and frequency (GFP) remains constant for higher frequency. In order to improve the bandwidth of SM laser Doppler velocimetry and further enhance the sensitivity of self-mixing interferometry (SMI), a frequency conversion method is implemented to transcend this intrinsic limit. The electro-optical modulator (EOM) and optical injection locking are employed to shift the frequency of the interference signal into the gain region, enabling the extension of gain bandwidth. Theoretically, the measurement bandwidth of Doppler frequency can extend to tens of GHz (the corresponding speed beyond 1 km/s at 1550 nm) due to the large modulation bandwidth of EOM, and the experimental measurement of Doppler frequency exceeds 44 MHz (34.1 m/s at 1550 nm) limited by the target. The system achieves a Doppler frequency measurement precision within 4 Hz. In the meantime, optical injection locking can provide additional optical gain. The seed light of 10 μW is amplified to 60 mW, providing a gain of 37 dB. The detection limit of the proposed system is −145.52 dB with 10 4 higher intensity response sensitivity than normal heterodyne interference. Therefore, the system has the advantages of large bandwidth, high sensitivity, and high precision. It is expected to be widely used in the monitoring of noncooperative high-speed moving targets.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高效的 Gerchberg-Saxton 算法深度展开，用于具有复杂前向路径的相位检索</w:t>
      </w:r>
    </w:p>
    <w:p>
      <w:r>
        <w:rPr>
          <w:rFonts w:ascii="Times New Roman" w:hAnsi="Times New Roman" w:eastAsia="宋体"/>
          <w:b/>
          <w:color w:val="003264"/>
          <w:sz w:val="24"/>
        </w:rPr>
        <w:t>Efficient Gerchberg–Saxton algorithm deep unrolling for phase retrieval with a complex forward path</w:t>
      </w:r>
    </w:p>
    <w:p>
      <w:r>
        <w:rPr>
          <w:rFonts w:ascii="Times New Roman" w:hAnsi="Times New Roman" w:eastAsia="宋体"/>
          <w:sz w:val="21"/>
        </w:rPr>
        <w:t>作者: Shengyuan Yan, Mike Holenderski, Nirvana Meratnia</w:t>
        <w:br/>
      </w:r>
      <w:r>
        <w:rPr>
          <w:rFonts w:ascii="Times New Roman" w:hAnsi="Times New Roman" w:eastAsia="宋体"/>
          <w:sz w:val="21"/>
        </w:rPr>
        <w:t xml:space="preserve">时间: 2026-02-09 | </w:t>
      </w:r>
      <w:r>
        <w:t xml:space="preserve">链接: </w:t>
      </w:r>
      <w:hyperlink r:id="rId73">
        <w:r>
          <w:rPr>
            <w:rFonts w:ascii="Times New Roman" w:hAnsi="Times New Roman" w:eastAsia="宋体"/>
            <w:color w:val="0000FF"/>
            <w:sz w:val="21"/>
            <w:u w:val="single"/>
          </w:rPr>
          <w:t>https://doi.org/10.1117/1.apn.5.2.026005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相位恢复问题出现在各种具有不同前向路径复杂性的光学系统中。 Gerchberg-Saxton 算法深度展开技术是一种最先进的相位检索方法。其推理速度由前向路径的复杂性决定。我们提出了 FourierGSNet，这是一种高效的 Gerchberg-Saxton 算法深度展开方法，可以为具有高前向路径复杂性的应用实现更快的相位检索。 FourierGSNet 并不直接用系统的前向路径展开 Gerchberg-Saxton 迭代。相反，它使用傅里叶变换作为简化的前向路径从展开的迭代中提取物理知识，并将知识注入级联神经网络中以用于实际系统的相位检索。我们在三个复杂程度的三个应用上评估了 FourierGSNet：（i）以傅里叶变换作为简单前向路径的相干衍射成像，（ii）以菲涅尔衍射作为中等复杂性前向路径的近场 X 射线成像，以及（iii）以整个模拟光学序列作为复杂前向路径的激光束整形。我们将 FourierGSNet 与直接展开、两种拟合方法和最先进的数据驱动方法进行比较。实验表明，在高复杂性应用中，FourierGSNet 的推理速度明显快于直接展开，同时与比较方法相比，其准确性相同或更高。</w:t>
      </w:r>
    </w:p>
    <w:p>
      <w:pPr>
        <w:spacing w:before="120"/>
      </w:pPr>
      <w:r>
        <w:rPr>
          <w:rFonts w:ascii="Times New Roman" w:hAnsi="Times New Roman" w:eastAsia="宋体"/>
          <w:b/>
          <w:sz w:val="21"/>
        </w:rPr>
        <w:t>English Abstract:</w:t>
      </w:r>
    </w:p>
    <w:p>
      <w:r>
        <w:rPr>
          <w:rFonts w:ascii="Times New Roman" w:hAnsi="Times New Roman" w:eastAsia="宋体"/>
          <w:sz w:val="21"/>
        </w:rPr>
        <w:t>Phase retrieval problems occur in a wide range of optical systems characterized by different forward path complexities. The Gerchberg–Saxton algorithm deep unrolling technique is a state-of-the-art phase retrieval method. Its inference speed is determined by the complexity of the forward path. We propose FourierGSNet, an efficient Gerchberg–Saxton algorithm deep unrolling method, to achieve faster phase retrieval for applications with high forward path complexities. FourierGSNet does not directly unroll Gerchberg–Saxton iterations with the forward path of the system. Instead, it extracts physics knowledge from unrolled iterations using the Fourier transform as a simplified forward path and injects the knowledge into a cascaded neural network for phase retrieval for the actual system. We evaluated FourierGSNet on three applications with three degrees of complexities: (i) coherent diffractive imaging with Fourier transform as a simple forward path, (ii) near-field X-ray imaging with Fresnel diffraction as a medium-complexity forward path, and (iii) laser beam shaping with the entire simulated optical train as a complex forward path. We compare FourierGSNet with direct unrolling, two fitting methods, and state-of-the-art data-driven methods. Experiments show that FourierGSNet is significantly faster in inference than direct unrolling on high-complexity applications while achieving equal or higher accuracy than compared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光的角动量</w:t>
      </w:r>
    </w:p>
    <w:p>
      <w:r>
        <w:rPr>
          <w:rFonts w:ascii="Times New Roman" w:hAnsi="Times New Roman" w:eastAsia="宋体"/>
          <w:b/>
          <w:color w:val="003264"/>
          <w:sz w:val="24"/>
        </w:rPr>
        <w:t>Angular momentum of light</w:t>
      </w:r>
    </w:p>
    <w:p>
      <w:r>
        <w:rPr>
          <w:rFonts w:ascii="Times New Roman" w:hAnsi="Times New Roman" w:eastAsia="宋体"/>
          <w:sz w:val="21"/>
        </w:rPr>
        <w:t>作者: Antonio Ambrosio, Francois Courvoisier, Marco Ornigotti</w:t>
        <w:br/>
      </w:r>
      <w:r>
        <w:rPr>
          <w:rFonts w:ascii="Times New Roman" w:hAnsi="Times New Roman" w:eastAsia="宋体"/>
          <w:sz w:val="21"/>
        </w:rPr>
        <w:t xml:space="preserve">时间: 2026-02-09 | </w:t>
      </w:r>
      <w:r>
        <w:t xml:space="preserve">链接: </w:t>
      </w:r>
      <w:hyperlink r:id="rId74">
        <w:r>
          <w:rPr>
            <w:rFonts w:ascii="Times New Roman" w:hAnsi="Times New Roman" w:eastAsia="宋体"/>
            <w:color w:val="0000FF"/>
            <w:sz w:val="21"/>
            <w:u w:val="single"/>
          </w:rPr>
          <w:t>https://doi.org/10.1063/5.0323522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光的角动量引起了许多研究小组越来越多的兴趣。考虑到光的这种特性的经典和量子含义在光学力和扭矩、量子光学和显微镜等领域的广泛应用，这一点并不令人意外。此外，各种各样的设备和技术不断被开发，以在角动量的操纵和结构化方面取得进展，作为一种多功能的光自由度。本专题旨在展示与光角动量相关的理论和实验的最新进展。</w:t>
      </w:r>
    </w:p>
    <w:p>
      <w:pPr>
        <w:spacing w:before="120"/>
      </w:pPr>
      <w:r>
        <w:rPr>
          <w:rFonts w:ascii="Times New Roman" w:hAnsi="Times New Roman" w:eastAsia="宋体"/>
          <w:b/>
          <w:sz w:val="21"/>
        </w:rPr>
        <w:t>English Abstract:</w:t>
      </w:r>
    </w:p>
    <w:p>
      <w:r>
        <w:rPr>
          <w:rFonts w:ascii="Times New Roman" w:hAnsi="Times New Roman" w:eastAsia="宋体"/>
          <w:sz w:val="21"/>
        </w:rPr>
        <w:t>Over the past few decades, angular momentum of light has attracted increasing interest from many research groups. This comes without surprise, considering the widespread range of applications related to the classical and quantum implications of this property of light in fields such as optical forces and torque, quantum optics, and microscopy. In addition, a large variety of devices and techniques continue to be developed to progress in the manipulation and structuring of angular momentum as a versatile degree of freedom of light. This Special Topic aims at showcasing the latest progress in theory and experiments related to the angular momentum of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00:32 ---</w:t>
      </w:r>
    </w:p>
    <w:p>
      <w:pPr>
        <w:pStyle w:val="Heading2"/>
      </w:pPr>
      <w:r/>
      <w:r>
        <w:rPr>
          <w:rFonts w:ascii="Times New Roman" w:hAnsi="Times New Roman" w:eastAsia="宋体"/>
          <w:b/>
          <w:color w:val="000000"/>
          <w:sz w:val="24"/>
        </w:rPr>
        <w:t>HiFormer：具有盒装位置编码的分层变压器，用于 3D 零件装配</w:t>
      </w:r>
    </w:p>
    <w:p>
      <w:r>
        <w:rPr>
          <w:rFonts w:ascii="Times New Roman" w:hAnsi="Times New Roman" w:eastAsia="宋体"/>
          <w:b/>
          <w:color w:val="003264"/>
          <w:sz w:val="24"/>
        </w:rPr>
        <w:t>HiFormer: Hierarchical Transformer with Box-packed Positional Encoding for 3D Part Assembly</w:t>
      </w:r>
    </w:p>
    <w:p>
      <w:r>
        <w:rPr>
          <w:rFonts w:ascii="Times New Roman" w:hAnsi="Times New Roman" w:eastAsia="宋体"/>
          <w:sz w:val="21"/>
        </w:rPr>
        <w:t>作者: Songle Chen, Lulu Dong, Yijiao Zhou, Siguang Chen, Kai Xu</w:t>
        <w:br/>
      </w:r>
      <w:r>
        <w:rPr>
          <w:rFonts w:ascii="Times New Roman" w:hAnsi="Times New Roman" w:eastAsia="宋体"/>
          <w:sz w:val="21"/>
        </w:rPr>
        <w:t xml:space="preserve">时间: 2026 | </w:t>
      </w:r>
      <w:r>
        <w:t xml:space="preserve">链接: </w:t>
      </w:r>
      <w:hyperlink r:id="rId75">
        <w:r>
          <w:rPr>
            <w:rFonts w:ascii="Times New Roman" w:hAnsi="Times New Roman" w:eastAsia="宋体"/>
            <w:color w:val="0000FF"/>
            <w:sz w:val="21"/>
            <w:u w:val="single"/>
          </w:rPr>
          <w:t>https://doi.org/10.1109/tvcg.2026.3662816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在基于装配的建模中估计零件的 6-DoF 姿态是计算机图形、计算机视觉和机器人领域的一项关键任务。一个典型的场景是让机器代理使用提供的零件自动组装宜家家具。本文介绍了 HiFormer，一种具有盒装位置编码的新型分层变压器，专为高度自动化的 3D 零件装配而设计。我们的方法解决了 3D 零件装配中常见的三个重要问题：1）如何缓解与基于 Transformer 的 3D 点云特征学习相关的过度拟合问题？ 2）如何有效地建模组内和组间部分之间的关​​系？ 3）对于从粗到精的装配过程中具有不同几何形状的零件，如何计算位置编码并将其集成到Transformer中？这些挑战是通过三个关键贡献来解决的：1) 具有两阶段特征提取训练策略的多任务 3D Swin Transformer，2) 一种新颖的分层 Transformer，用于捕获扁平化、组内和组间级别的零件关系，3) 一种创新的盒装位置编码，通过合并从相对盒位置导出的查询、键和值信息来增强 Transformer。在 PartNet 基准上，我们的方法在三个代表性类别（椅子、桌子和灯）上优于最先进的 PWH-MP 模型，多样性建模（有噪声）的零件精度（PA）平均提高了 2.84%，连接精度（CA）平均提高了 3.72%，确定性建模（无噪声）的 PA 平均提高了 3.55%，CA 平均提高了 3.21%。</w:t>
      </w:r>
    </w:p>
    <w:p>
      <w:pPr>
        <w:spacing w:before="120"/>
      </w:pPr>
      <w:r>
        <w:rPr>
          <w:rFonts w:ascii="Times New Roman" w:hAnsi="Times New Roman" w:eastAsia="宋体"/>
          <w:b/>
          <w:sz w:val="21"/>
        </w:rPr>
        <w:t>English Abstract:</w:t>
      </w:r>
    </w:p>
    <w:p>
      <w:r>
        <w:rPr>
          <w:rFonts w:ascii="Times New Roman" w:hAnsi="Times New Roman" w:eastAsia="宋体"/>
          <w:sz w:val="21"/>
        </w:rPr>
        <w:t>Estimating the 6-DoF posture of parts in assembly-based modeling is a critical task in the fields of computer graphics, computer vision and robotics. A typical scenario involves enabling a machine agent to automatically assemble IKEA furniture using the provided parts. This paper presents HiFormer, a novel Hierarchical Transformer with Box-packed Positional Encoding, designed for highly automatic 3D part assembly. Our method addresses three important issues commonly encountered in 3D part assembly: 1) How to mitigate the overfitting problem associated with Transformer-based feature learning for 3D point clouds? 2) How to effectively model the relationships between the intragroup and intergroup parts? 3) How to compute positional encoding and integrate it into the Transformer for parts with diverse geometric forms in the coarse-to-fine assembly process? These challenges are tackled through three key contributions: 1) a multi-task 3D Swin Transformer with a two-stage training strategy for feature extraction, 2) a novel hierarchical Transformer for capturing part relationships at flattening, intragroup, and intergroup levels, and 3) an innovative box-packed positional encoding that enhances the Transformer by incorporating query, key, and value information derived from relative box positions. On the PartNet benchmark, our method outperforms the state-of-the-art PWH-MP model on three representative categories-Chair, Table, and Lamp-, achieving average improvements of 2.84% in Part Accuracy (PA) and 3.72% in Connection Accuracy (CA) for diversity modeling (with noise), and 3.55% in PA and 3.21% in CA for deterministic modeling (without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情境化还是合理化？因果先验对数据可视化解释的影响</w:t>
      </w:r>
    </w:p>
    <w:p>
      <w:r>
        <w:rPr>
          <w:rFonts w:ascii="Times New Roman" w:hAnsi="Times New Roman" w:eastAsia="宋体"/>
          <w:b/>
          <w:color w:val="003264"/>
          <w:sz w:val="24"/>
        </w:rPr>
        <w:t>Contextualization or Rationalization? The Effect of Causal Priors on Data Visualization Interpretation</w:t>
      </w:r>
    </w:p>
    <w:p>
      <w:r>
        <w:rPr>
          <w:rFonts w:ascii="Times New Roman" w:hAnsi="Times New Roman" w:eastAsia="宋体"/>
          <w:sz w:val="21"/>
        </w:rPr>
        <w:t>作者: Arran Zeyu Wang, David Borland, Estella Calcaterra, David Gotz</w:t>
        <w:br/>
      </w:r>
      <w:r>
        <w:rPr>
          <w:rFonts w:ascii="Times New Roman" w:hAnsi="Times New Roman" w:eastAsia="宋体"/>
          <w:sz w:val="21"/>
        </w:rPr>
        <w:t xml:space="preserve">时间: 2026 | </w:t>
      </w:r>
      <w:r>
        <w:t xml:space="preserve">链接: </w:t>
      </w:r>
      <w:hyperlink r:id="rId76">
        <w:r>
          <w:rPr>
            <w:rFonts w:ascii="Times New Roman" w:hAnsi="Times New Roman" w:eastAsia="宋体"/>
            <w:color w:val="0000FF"/>
            <w:sz w:val="21"/>
            <w:u w:val="single"/>
          </w:rPr>
          <w:t>https://doi.org/10.1109/tvcg.2026.3663050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个人如何解释图表是视觉数据通信的一个关键问题。这一必要性激发了许多研究，包括过去的工作证明因果先验（关于概念之间因果关系的先验信念）可以对从可视化推断出的变量关系的感知强度产生重大影响。本文建立在这些先前结果的基础上，证明因果先验也可以影响人们在模糊散点图中视为最显着的模式类型，这些散点图具有大致相同的趋势和集群模式证据。我们采用混合设计方法，将大规模在线实验与深入分析的现场发声思考研究相结合，研究了因果先验与可视化数据模式之间的相互作用如何影响用户的解释。我们的分析提出了人们经常进行观察的两种典型推理行为：情境化，其中用户接受与因果先验一致的视觉模式，并利用他们现有的知识来丰富解释；以及合理化，其中用户遇到与因果先验相冲突的模式，并试图通过调用外部因素（例如设置混杂变量或数据选择偏差）来解释差异。这些发现提供了初步证据，强调了因果先验在塑造高水平可视化理解方面的关键作用，并引入了一个词汇表来描述用户如何推理确认或挑战因果关系先验信念的数据。</w:t>
      </w:r>
    </w:p>
    <w:p>
      <w:pPr>
        <w:spacing w:before="120"/>
      </w:pPr>
      <w:r>
        <w:rPr>
          <w:rFonts w:ascii="Times New Roman" w:hAnsi="Times New Roman" w:eastAsia="宋体"/>
          <w:b/>
          <w:sz w:val="21"/>
        </w:rPr>
        <w:t>English Abstract:</w:t>
      </w:r>
    </w:p>
    <w:p>
      <w:r>
        <w:rPr>
          <w:rFonts w:ascii="Times New Roman" w:hAnsi="Times New Roman" w:eastAsia="宋体"/>
          <w:sz w:val="21"/>
        </w:rPr>
        <w:t>Understanding how individuals interpret charts is a crucial concern for visual data communication. This imperative has motivated a number of studies, including past work demonstrating that causal priors–a priori belief about causal relationships between concepts–can have significant influences on the perceived strength of variable relationships inferred from visualizations. This paper builds on these previous results, demonstrating that causal priors can also influence the types of patterns that people perceive as the most salient within ambiguous scatterplots that have roughly equal evidence for trend and cluster patterns. Using a mixed-design approach that combines a largescale online experiment for breadth of findings with an in-person think-aloud study for analytical depth, we investigated how users' interpretations are influenced by the interplay between causal priors and the visualized data patterns. Our analysis suggests two archetypal reasoning behaviors through which people often make their observations: contextualization, in which users accept a visual pattern that aligns with causal priors and use their existing knowledge to enrich interpretation, and rationalization, in which users encounter a pattern that conflicts with causal priors and attempt to explain away the discrepancy by invoking external factors, such as positing confounding variables or data selection bias. These findings provide initial evidence highlighting the critical role of causal priors in shaping high-level visualization comprehension, and introduce a vocabulary for describing how users reason about data that either confirms or challenges prior beliefs of causality.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AnchorCrafter：动画网络主播通过人机交互视频生成来销售您的产品</w:t>
      </w:r>
    </w:p>
    <w:p>
      <w:r>
        <w:rPr>
          <w:rFonts w:ascii="Times New Roman" w:hAnsi="Times New Roman" w:eastAsia="宋体"/>
          <w:b/>
          <w:color w:val="003264"/>
          <w:sz w:val="24"/>
        </w:rPr>
        <w:t>AnchorCrafter: Animate Cyber-Anchors Selling Your Products via Human-Object Interacting Video Generation</w:t>
      </w:r>
    </w:p>
    <w:p>
      <w:r>
        <w:rPr>
          <w:rFonts w:ascii="Times New Roman" w:hAnsi="Times New Roman" w:eastAsia="宋体"/>
          <w:sz w:val="21"/>
        </w:rPr>
        <w:t>作者: Ziyi Xu, Ziyao Huang, Juan Cao, Yong Zhang, Xiaodong Cun, Qing Shuai, Yuchen Wang, Linchao Bao, Fan Tang</w:t>
        <w:br/>
      </w:r>
      <w:r>
        <w:rPr>
          <w:rFonts w:ascii="Times New Roman" w:hAnsi="Times New Roman" w:eastAsia="宋体"/>
          <w:sz w:val="21"/>
        </w:rPr>
        <w:t xml:space="preserve">时间: 2026 | </w:t>
      </w:r>
      <w:r>
        <w:t xml:space="preserve">链接: </w:t>
      </w:r>
      <w:hyperlink r:id="rId77">
        <w:r>
          <w:rPr>
            <w:rFonts w:ascii="Times New Roman" w:hAnsi="Times New Roman" w:eastAsia="宋体"/>
            <w:color w:val="0000FF"/>
            <w:sz w:val="21"/>
            <w:u w:val="single"/>
          </w:rPr>
          <w:t>https://doi.org/10.1109/tvcg.2026.3662720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播式产品宣传视频的产生为电子商务、广告和消费者参与提供了广阔的机遇。尽管姿势引导的人类视频生成取得了进步，但创建产品宣传视频仍然具有挑战性。在应对这一挑战时，我们将人与物体交互（HOI）集成到姿势引导的人类视频生成中作为核心问题。为此，我们推出了 AnchorCrafter，这是一种新颖的基于扩散的系统，旨在生成以目标人和定制对象为特征的 2D 视频，实现高视觉保真度和可控交互。具体来说，我们提出了两项​​关键创新：HOI-外观感知，它增强了从任意多视角的物体外观识别，并解开了物体和人类外观的关系；HOI-运动注入，它通过克服物体轨迹调节和相互遮挡管理方面的挑战，实现复杂的人与物体交互。大量实验表明，与现有最先进的方法相比，我们的系统将对象外观保留提高了 7.5%，并实现了最佳视频质量。它在保持人体运动一致性和高质量视频生成方面也优于现有方法。项目页面包括数据、代码和 Huggingface 演示：https://github.com/cangcz/AnchorCrafter 。</w:t>
      </w:r>
    </w:p>
    <w:p>
      <w:pPr>
        <w:spacing w:before="120"/>
      </w:pPr>
      <w:r>
        <w:rPr>
          <w:rFonts w:ascii="Times New Roman" w:hAnsi="Times New Roman" w:eastAsia="宋体"/>
          <w:b/>
          <w:sz w:val="21"/>
        </w:rPr>
        <w:t>English Abstract:</w:t>
      </w:r>
    </w:p>
    <w:p>
      <w:r>
        <w:rPr>
          <w:rFonts w:ascii="Times New Roman" w:hAnsi="Times New Roman" w:eastAsia="宋体"/>
          <w:sz w:val="21"/>
        </w:rPr>
        <w:t>The generation of anchor-style product promotion videos presents promising opportunities in e-commerce, advertising, and consumer engagement. Despite advancements in pose-guided human video generation, creating product promotion videos remains challenging. In addressing this challenge, we identify the integration of human-object interactions (HOI) into pose-guided human video generation as a core issue. To this end, we introduce AnchorCrafter, a novel diffusion-based system designed to generate 2D videos featuring a target human and a customized object, achieving high visual fidelity and controllable interactions. Specifically, we propose two key innovations: the HOI-appearance perception, which enhances object appearance recognition from arbitrary multi-view perspectives and disentangles object and human appearance, and the HOI-motion injection, which enables complex human-object interactions by overcoming challenges in object trajectory conditioning and inter-occlusion management. Extensive experiments show that our system improves object appearance preservation by 7.5%, and achieves the best video quality compared to existing state-of-the-art approaches. It also outperforms existing approaches in maintaining human motion consistency and high-quality video generation. Project page including data, code, and Huggingface demo: https://github.com/cangcz/AnchorCrafter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全文计划委员会</w:t>
      </w:r>
    </w:p>
    <w:p>
      <w:r>
        <w:rPr>
          <w:rFonts w:ascii="Times New Roman" w:hAnsi="Times New Roman" w:eastAsia="宋体"/>
          <w:b/>
          <w:color w:val="003264"/>
          <w:sz w:val="24"/>
        </w:rPr>
        <w:t>VIS 2025 Full Papers Program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3">
        <w:r>
          <w:rPr>
            <w:rFonts w:ascii="Times New Roman" w:hAnsi="Times New Roman" w:eastAsia="宋体"/>
            <w:color w:val="0000FF"/>
            <w:sz w:val="21"/>
            <w:u w:val="single"/>
          </w:rPr>
          <w:t>https://doi.org/10.1109/tvcg.2025.3629797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2025年VGTC可视化论文奖</w:t>
      </w:r>
    </w:p>
    <w:p>
      <w:r>
        <w:rPr>
          <w:rFonts w:ascii="Times New Roman" w:hAnsi="Times New Roman" w:eastAsia="宋体"/>
          <w:b/>
          <w:color w:val="003264"/>
          <w:sz w:val="24"/>
        </w:rPr>
        <w:t>2025 VGTC Visualization Dissertation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4">
        <w:r>
          <w:rPr>
            <w:rFonts w:ascii="Times New Roman" w:hAnsi="Times New Roman" w:eastAsia="宋体"/>
            <w:color w:val="0000FF"/>
            <w:sz w:val="21"/>
            <w:u w:val="single"/>
          </w:rPr>
          <w:t>https://doi.org/10.1109/tvcg.2025.3629768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Arpit Ajay Narechania 佐治亚理工学院这篇论文代表了信息可视化、可视化分析和人机交互交叉领域的杰出工作。该候选人做出了极具影响力的贡献，推动了视觉分析领域的人机协作，并已在行业中得到采用。他们的论文在连贯性、思想清晰度和反思性、前瞻性结论方面堪称典范，阐明了该领域令人信服的愿景。</w:t>
      </w:r>
    </w:p>
    <w:p>
      <w:pPr>
        <w:spacing w:before="120"/>
      </w:pPr>
      <w:r>
        <w:rPr>
          <w:rFonts w:ascii="Times New Roman" w:hAnsi="Times New Roman" w:eastAsia="宋体"/>
          <w:b/>
          <w:sz w:val="21"/>
        </w:rPr>
        <w:t>English Abstract:</w:t>
      </w:r>
    </w:p>
    <w:p>
      <w:r>
        <w:rPr>
          <w:rFonts w:ascii="Times New Roman" w:hAnsi="Times New Roman" w:eastAsia="宋体"/>
          <w:sz w:val="21"/>
        </w:rPr>
        <w:t>Arpit Ajay Narechania Georgia Institute of Technology The dissertation represents an outstanding body of work at the intersection of information visualisation, visual analytics, and human-computer interaction. The candidate has made highly influential contributions, which advances human-AI collaboration in visual analytics and has already seen adoption in industry. Their thesis is exemplary in its coherence, intellectual clarity, and reflective, forward-looking conclusions, articulating a compelling vision for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2025年度VGTC可视化技术成果奖</w:t>
      </w:r>
    </w:p>
    <w:p>
      <w:r>
        <w:rPr>
          <w:rFonts w:ascii="Times New Roman" w:hAnsi="Times New Roman" w:eastAsia="宋体"/>
          <w:b/>
          <w:color w:val="003264"/>
          <w:sz w:val="24"/>
        </w:rPr>
        <w:t>2025 VGTC Visualization Technical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5">
        <w:r>
          <w:rPr>
            <w:rFonts w:ascii="Times New Roman" w:hAnsi="Times New Roman" w:eastAsia="宋体"/>
            <w:color w:val="0000FF"/>
            <w:sz w:val="21"/>
            <w:u w:val="single"/>
          </w:rPr>
          <w:t>https://doi.org/10.1109/tvcg.2025.3629827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Gerik Scheuermann，莱比锡大学 2025 年 VGTC 可视化技术成就奖授予 Gerik Scheuermann，表彰他在矢量和张量场可视化方面的基础工作，包括拓扑分析、Clifford 代数变换、信息论、特征检测和高阶张量场方面的进展。</w:t>
      </w:r>
    </w:p>
    <w:p>
      <w:pPr>
        <w:spacing w:before="120"/>
      </w:pPr>
      <w:r>
        <w:rPr>
          <w:rFonts w:ascii="Times New Roman" w:hAnsi="Times New Roman" w:eastAsia="宋体"/>
          <w:b/>
          <w:sz w:val="21"/>
        </w:rPr>
        <w:t>English Abstract:</w:t>
      </w:r>
    </w:p>
    <w:p>
      <w:r>
        <w:rPr>
          <w:rFonts w:ascii="Times New Roman" w:hAnsi="Times New Roman" w:eastAsia="宋体"/>
          <w:sz w:val="21"/>
        </w:rPr>
        <w:t>Gerik Scheuermann, Leipzig University The 2025 VGTC Visualization Technical Achievement Award goes to Gerik Scheuermann for his foundational work in vector and tensor field visualization, including advances in topological analysis, Clifford algebra transformations, information theory, feature detection, and higher-order tensor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2025年VGTC可视化服务奖</w:t>
      </w:r>
    </w:p>
    <w:p>
      <w:r>
        <w:rPr>
          <w:rFonts w:ascii="Times New Roman" w:hAnsi="Times New Roman" w:eastAsia="宋体"/>
          <w:b/>
          <w:color w:val="003264"/>
          <w:sz w:val="24"/>
        </w:rPr>
        <w:t>2025 VGTC Visualization Service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6">
        <w:r>
          <w:rPr>
            <w:rFonts w:ascii="Times New Roman" w:hAnsi="Times New Roman" w:eastAsia="宋体"/>
            <w:color w:val="0000FF"/>
            <w:sz w:val="21"/>
            <w:u w:val="single"/>
          </w:rPr>
          <w:t>https://doi.org/10.1109/tvcg.2025.3629798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Ross Maciejewski，亚利桑那州立大学 2025 年 VGTC 可视化服务奖授予 Ross Maciejewski，以表彰他在可视化领域的杰出服务和领导力。</w:t>
      </w:r>
    </w:p>
    <w:p>
      <w:pPr>
        <w:spacing w:before="120"/>
      </w:pPr>
      <w:r>
        <w:rPr>
          <w:rFonts w:ascii="Times New Roman" w:hAnsi="Times New Roman" w:eastAsia="宋体"/>
          <w:b/>
          <w:sz w:val="21"/>
        </w:rPr>
        <w:t>English Abstract:</w:t>
      </w:r>
    </w:p>
    <w:p>
      <w:r>
        <w:rPr>
          <w:rFonts w:ascii="Times New Roman" w:hAnsi="Times New Roman" w:eastAsia="宋体"/>
          <w:sz w:val="21"/>
        </w:rPr>
        <w:t>Ross Maciejewski, Arizona State University The 2025 VGTC Visualization Service Award goes to Ross Maciejewski in recognition for his outstanding service and leadership in the field of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VGTC执行委员会</w:t>
      </w:r>
    </w:p>
    <w:p>
      <w:r>
        <w:rPr>
          <w:rFonts w:ascii="Times New Roman" w:hAnsi="Times New Roman" w:eastAsia="宋体"/>
          <w:b/>
          <w:color w:val="003264"/>
          <w:sz w:val="24"/>
        </w:rPr>
        <w:t>VGTC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7">
        <w:r>
          <w:rPr>
            <w:rFonts w:ascii="Times New Roman" w:hAnsi="Times New Roman" w:eastAsia="宋体"/>
            <w:color w:val="0000FF"/>
            <w:sz w:val="21"/>
            <w:u w:val="single"/>
          </w:rPr>
          <w:t>https://doi.org/10.1109/tvcg.2025.3629795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IEEE 可视化和图形技术社区 (VGTC) 是 IEEE 计算机协会技术活动委员会 (TAB) 的正式小组委员会。 VGTC 在可视化和视觉分析、计算机图形、虚拟和增强现实以及交互领域提供技术领导并组织技术活动。 VGTC 赞助的会议和研讨会包括 VIS、VR、ISMAR、PacificVis、EuroVis、BioVis 和 LDAV。</w:t>
      </w:r>
    </w:p>
    <w:p>
      <w:pPr>
        <w:spacing w:before="120"/>
      </w:pPr>
      <w:r>
        <w:rPr>
          <w:rFonts w:ascii="Times New Roman" w:hAnsi="Times New Roman" w:eastAsia="宋体"/>
          <w:b/>
          <w:sz w:val="21"/>
        </w:rPr>
        <w:t>English Abstract:</w:t>
      </w:r>
    </w:p>
    <w:p>
      <w:r>
        <w:rPr>
          <w:rFonts w:ascii="Times New Roman" w:hAnsi="Times New Roman" w:eastAsia="宋体"/>
          <w:sz w:val="21"/>
        </w:rPr>
        <w:t>The IEEE Visualization and Graphics Technical Community (VGTC) is a formal subcommittee of the Technical Activities Board (TAB) of the IEEE Computer Society. The VGTC provides technical leadership and organizes technical activities in the areas of visualization and visual analytics, computer graphics, virtual and augmented reality, and interaction. VGTC-sponsored conferences and symposia include VIS, VR, ISMAR, PacificVis, EuroVis, BioVis, and LDAV.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IEEE 可视化和计算机图形学汇刊：IEEE 可视化和视觉分析会议</w:t>
      </w:r>
    </w:p>
    <w:p>
      <w:r>
        <w:rPr>
          <w:rFonts w:ascii="Times New Roman" w:hAnsi="Times New Roman" w:eastAsia="宋体"/>
          <w:b/>
          <w:color w:val="003264"/>
          <w:sz w:val="24"/>
        </w:rPr>
        <w:t>IEEE Transactions on Visualization and Computer Graphics: IEEE Visualization and Visual Analytics Conference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8">
        <w:r>
          <w:rPr>
            <w:rFonts w:ascii="Times New Roman" w:hAnsi="Times New Roman" w:eastAsia="宋体"/>
            <w:color w:val="0000FF"/>
            <w:sz w:val="21"/>
            <w:u w:val="single"/>
          </w:rPr>
          <w:t>https://doi.org/10.1109/tvcg.2025.3629765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指导委员会</w:t>
      </w:r>
    </w:p>
    <w:p>
      <w:r>
        <w:rPr>
          <w:rFonts w:ascii="Times New Roman" w:hAnsi="Times New Roman" w:eastAsia="宋体"/>
          <w:b/>
          <w:color w:val="003264"/>
          <w:sz w:val="24"/>
        </w:rPr>
        <w:t>VIS 2025 Steering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9">
        <w:r>
          <w:rPr>
            <w:rFonts w:ascii="Times New Roman" w:hAnsi="Times New Roman" w:eastAsia="宋体"/>
            <w:color w:val="0000FF"/>
            <w:sz w:val="21"/>
            <w:u w:val="single"/>
          </w:rPr>
          <w:t>https://doi.org/10.1109/tvcg.2025.3629767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目录</w:t>
      </w:r>
    </w:p>
    <w:p>
      <w:r>
        <w:rPr>
          <w:rFonts w:ascii="Times New Roman" w:hAnsi="Times New Roman" w:eastAsia="宋体"/>
          <w:b/>
          <w:color w:val="003264"/>
          <w:sz w:val="24"/>
        </w:rPr>
        <w:t>Table of Contents</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0">
        <w:r>
          <w:rPr>
            <w:rFonts w:ascii="Times New Roman" w:hAnsi="Times New Roman" w:eastAsia="宋体"/>
            <w:color w:val="0000FF"/>
            <w:sz w:val="21"/>
            <w:u w:val="single"/>
          </w:rPr>
          <w:t>https://doi.org/10.1109/tvcg.2025.3629793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2025年VGTC可视化终身成就奖</w:t>
      </w:r>
    </w:p>
    <w:p>
      <w:r>
        <w:rPr>
          <w:rFonts w:ascii="Times New Roman" w:hAnsi="Times New Roman" w:eastAsia="宋体"/>
          <w:b/>
          <w:color w:val="003264"/>
          <w:sz w:val="24"/>
        </w:rPr>
        <w:t>2025 VGTC Visualization Lifetime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1">
        <w:r>
          <w:rPr>
            <w:rFonts w:ascii="Times New Roman" w:hAnsi="Times New Roman" w:eastAsia="宋体"/>
            <w:color w:val="0000FF"/>
            <w:sz w:val="21"/>
            <w:u w:val="single"/>
          </w:rPr>
          <w:t>https://doi.org/10.1109/tvcg.2025.3629769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Eduard Gröller 维也纳工业大学 2025 年 VGTC 可视化终身成就奖授予 Eduard Gröller。他因其杰出的职业生涯而受到认可，其特点是对可视化领域的新颖贡献以及创新、有影响力的应用程序的开发。他在社区中的领导力和对指导新兴研究人员的奉献精神对于推动该学科的发展发挥了重要作用。</w:t>
      </w:r>
    </w:p>
    <w:p>
      <w:pPr>
        <w:spacing w:before="120"/>
      </w:pPr>
      <w:r>
        <w:rPr>
          <w:rFonts w:ascii="Times New Roman" w:hAnsi="Times New Roman" w:eastAsia="宋体"/>
          <w:b/>
          <w:sz w:val="21"/>
        </w:rPr>
        <w:t>English Abstract:</w:t>
      </w:r>
    </w:p>
    <w:p>
      <w:r>
        <w:rPr>
          <w:rFonts w:ascii="Times New Roman" w:hAnsi="Times New Roman" w:eastAsia="宋体"/>
          <w:sz w:val="21"/>
        </w:rPr>
        <w:t>Eduard Gröller TU Wien The 2025 VGTC Visualization Lifetime Achievement Award goes to Eduard Gröller. He is recognized for a distinguished career marked by novel contributions to the field of visualization and the development of innovative, impactful applications. His leadership within the community and dedication to mentoring emerging researchers have been instrumental in advancing the discipline.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VGTC可视化重大新人奖</w:t>
      </w:r>
    </w:p>
    <w:p>
      <w:r>
        <w:rPr>
          <w:rFonts w:ascii="Times New Roman" w:hAnsi="Times New Roman" w:eastAsia="宋体"/>
          <w:b/>
          <w:color w:val="003264"/>
          <w:sz w:val="24"/>
        </w:rPr>
        <w:t>2025 VGTC Visualization Significant New Researcher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2">
        <w:r>
          <w:rPr>
            <w:rFonts w:ascii="Times New Roman" w:hAnsi="Times New Roman" w:eastAsia="宋体"/>
            <w:color w:val="0000FF"/>
            <w:sz w:val="21"/>
            <w:u w:val="single"/>
          </w:rPr>
          <w:t>https://doi.org/10.1109/tvcg.2025.3629826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Lace Padilla，东北大学 2025 年 VGTC 可视化重要新研究员奖授予 Lace Padilla，以表彰她在可视化和图形感知交叉领域做出的强有力且有影响力的工作。她的工作推动了我们对可视化心理学的基本理解，也是不确定性可视化的驱动力。</w:t>
      </w:r>
    </w:p>
    <w:p>
      <w:pPr>
        <w:spacing w:before="120"/>
      </w:pPr>
      <w:r>
        <w:rPr>
          <w:rFonts w:ascii="Times New Roman" w:hAnsi="Times New Roman" w:eastAsia="宋体"/>
          <w:b/>
          <w:sz w:val="21"/>
        </w:rPr>
        <w:t>English Abstract:</w:t>
      </w:r>
    </w:p>
    <w:p>
      <w:r>
        <w:rPr>
          <w:rFonts w:ascii="Times New Roman" w:hAnsi="Times New Roman" w:eastAsia="宋体"/>
          <w:sz w:val="21"/>
        </w:rPr>
        <w:t>Lace Padilla, Northeastern University The 2025 VGTC Visualization Significant New Researcher Award goes to Lace Padilla in recognition of her strong and influential work at the intersection of visualization and graphical perception. Her work has pushed our fundamental understanding of the psychology of visualization, as well as been a driving force in uncertainty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2025执行委员会</w:t>
      </w:r>
    </w:p>
    <w:p>
      <w:r>
        <w:rPr>
          <w:rFonts w:ascii="Times New Roman" w:hAnsi="Times New Roman" w:eastAsia="宋体"/>
          <w:b/>
          <w:color w:val="003264"/>
          <w:sz w:val="24"/>
        </w:rPr>
        <w:t>VIS 2025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3">
        <w:r>
          <w:rPr>
            <w:rFonts w:ascii="Times New Roman" w:hAnsi="Times New Roman" w:eastAsia="宋体"/>
            <w:color w:val="0000FF"/>
            <w:sz w:val="21"/>
            <w:u w:val="single"/>
          </w:rPr>
          <w:t>https://doi.org/10.1109/tvcg.2025.3629796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前言</w:t>
      </w:r>
    </w:p>
    <w:p>
      <w:r>
        <w:rPr>
          <w:rFonts w:ascii="Times New Roman" w:hAnsi="Times New Roman" w:eastAsia="宋体"/>
          <w:b/>
          <w:color w:val="003264"/>
          <w:sz w:val="24"/>
        </w:rPr>
        <w:t>Preface</w:t>
      </w:r>
    </w:p>
    <w:p>
      <w:r>
        <w:rPr>
          <w:rFonts w:ascii="Times New Roman" w:hAnsi="Times New Roman" w:eastAsia="宋体"/>
          <w:sz w:val="21"/>
        </w:rPr>
        <w:t>作者: Niklas Elmqvist, Holger Theisel, Melanie Tory, Matthew Kay, Timo Ropinski, Elisabeta Marai, Wesley Willett, Christoph Garth, Markus Hadwiger, Daniel F. Keefe, Marc Streit, Filip Sadlo, Hongfeng Yu, Steffen Koch, Jaegul Choo</w:t>
        <w:br/>
      </w:r>
      <w:r>
        <w:rPr>
          <w:rFonts w:ascii="Times New Roman" w:hAnsi="Times New Roman" w:eastAsia="宋体"/>
          <w:sz w:val="21"/>
        </w:rPr>
        <w:t xml:space="preserve">时间: 2026-01-01 | </w:t>
      </w:r>
      <w:r>
        <w:t xml:space="preserve">链接: </w:t>
      </w:r>
      <w:hyperlink r:id="rId194">
        <w:r>
          <w:rPr>
            <w:rFonts w:ascii="Times New Roman" w:hAnsi="Times New Roman" w:eastAsia="宋体"/>
            <w:color w:val="0000FF"/>
            <w:sz w:val="21"/>
            <w:u w:val="single"/>
          </w:rPr>
          <w:t>https://doi.org/10.1109/tvcg.2025.3629794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2026 年 1 月号的 IEEE 可视化和计算机图形学汇刊 (TVCG) 包含 IEEE VIS 2025 的会议记录，该会议于 2025 年 11 月 2 日至 7 日在奥地利维也纳举行，总主席为 Johanna Schmidt（维也纳工业大学）、Eduard Gröller（维也纳工业大学）、Barbora Kozlíková（马萨里克大学）和 Krešimir Matković （VRVis 有限公司）。 IEEE VIS 2025 会议系列已进入第 36 个年头。</w:t>
      </w:r>
    </w:p>
    <w:p>
      <w:pPr>
        <w:spacing w:before="120"/>
      </w:pPr>
      <w:r>
        <w:rPr>
          <w:rFonts w:ascii="Times New Roman" w:hAnsi="Times New Roman" w:eastAsia="宋体"/>
          <w:b/>
          <w:sz w:val="21"/>
        </w:rPr>
        <w:t>English Abstract:</w:t>
      </w:r>
    </w:p>
    <w:p>
      <w:r>
        <w:rPr>
          <w:rFonts w:ascii="Times New Roman" w:hAnsi="Times New Roman" w:eastAsia="宋体"/>
          <w:sz w:val="21"/>
        </w:rPr>
        <w:t>This January 2026 issue of the IEEE Transactions on Visualization and Computer Graphics (TVCG) contains the proceedings of IEEE VIS 2025, held on November 2–7, 2025 in Vienna, Austria, with the General Chairs Johanna Schmidt (TU Wien), Eduard Gröller (TU Wien), Barbora Kozlíková (Masaryk University), and Krešimir Matković (VRVis GmbH). With IEEE VIS 2025, the conference series is in its 36th year.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会议委员会</w:t>
      </w:r>
    </w:p>
    <w:p>
      <w:r>
        <w:rPr>
          <w:rFonts w:ascii="Times New Roman" w:hAnsi="Times New Roman" w:eastAsia="宋体"/>
          <w:b/>
          <w:color w:val="003264"/>
          <w:sz w:val="24"/>
        </w:rPr>
        <w:t>VIS 2025 Conference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5">
        <w:r>
          <w:rPr>
            <w:rFonts w:ascii="Times New Roman" w:hAnsi="Times New Roman" w:eastAsia="宋体"/>
            <w:color w:val="0000FF"/>
            <w:sz w:val="21"/>
            <w:u w:val="single"/>
          </w:rPr>
          <w:t>https://doi.org/10.1109/tvcg.2025.3629766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00:33 ---</w:t>
      </w:r>
    </w:p>
    <w:p>
      <w:pPr>
        <w:pStyle w:val="Heading2"/>
      </w:pPr>
      <w:r/>
      <w:r>
        <w:rPr>
          <w:rFonts w:ascii="Times New Roman" w:hAnsi="Times New Roman" w:eastAsia="宋体"/>
          <w:b/>
          <w:color w:val="000000"/>
          <w:sz w:val="24"/>
        </w:rPr>
        <w:t>单层 WS 2 /CsPbBr 3 钙钛矿异质结构的室温 Trion 发射增强</w:t>
      </w:r>
    </w:p>
    <w:p>
      <w:r>
        <w:rPr>
          <w:rFonts w:ascii="Times New Roman" w:hAnsi="Times New Roman" w:eastAsia="宋体"/>
          <w:b/>
          <w:color w:val="003264"/>
          <w:sz w:val="24"/>
        </w:rPr>
        <w:t>Room-Temperature Trion Emission Enhancement in Monolayer WS 2 /CsPbBr 3 Perovskite Heterostructures</w:t>
      </w:r>
    </w:p>
    <w:p>
      <w:r>
        <w:rPr>
          <w:rFonts w:ascii="Times New Roman" w:hAnsi="Times New Roman" w:eastAsia="宋体"/>
          <w:sz w:val="21"/>
        </w:rPr>
        <w:t>作者: Yiang Sun, Yuxing Li, Zhengda Dong, Hao Ge, Zhongmin Huang, Chuanxiang Sheng, Haibin Zhao, Jie Gu, Jun Wang</w:t>
        <w:br/>
      </w:r>
      <w:r>
        <w:rPr>
          <w:rFonts w:ascii="Times New Roman" w:hAnsi="Times New Roman" w:eastAsia="宋体"/>
          <w:sz w:val="21"/>
        </w:rPr>
        <w:t xml:space="preserve">时间: 2026-02-09 | </w:t>
      </w:r>
      <w:r>
        <w:t xml:space="preserve">链接: </w:t>
      </w:r>
      <w:hyperlink r:id="rId78">
        <w:r>
          <w:rPr>
            <w:rFonts w:ascii="Times New Roman" w:hAnsi="Times New Roman" w:eastAsia="宋体"/>
            <w:color w:val="0000FF"/>
            <w:sz w:val="21"/>
            <w:u w:val="single"/>
          </w:rPr>
          <w:t>https://doi.org/10.1021/acsphotonics.5c02402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无偏置功能太赫兹光电导发射器</w:t>
      </w:r>
    </w:p>
    <w:p>
      <w:r>
        <w:rPr>
          <w:rFonts w:ascii="Times New Roman" w:hAnsi="Times New Roman" w:eastAsia="宋体"/>
          <w:b/>
          <w:color w:val="003264"/>
          <w:sz w:val="24"/>
        </w:rPr>
        <w:t>Bias-Free Functional Terahertz Photoconductive Emitter</w:t>
      </w:r>
    </w:p>
    <w:p>
      <w:r>
        <w:rPr>
          <w:rFonts w:ascii="Times New Roman" w:hAnsi="Times New Roman" w:eastAsia="宋体"/>
          <w:sz w:val="21"/>
        </w:rPr>
        <w:t>作者: Haidi Qiu, Xueqian Zhang, Qingwei Wang, Xi Feng, Li Niu, Quan Xu, Weili Zhang, Jiaguang Han</w:t>
        <w:br/>
      </w:r>
      <w:r>
        <w:rPr>
          <w:rFonts w:ascii="Times New Roman" w:hAnsi="Times New Roman" w:eastAsia="宋体"/>
          <w:sz w:val="21"/>
        </w:rPr>
        <w:t xml:space="preserve">时间: 2026-02-09 | </w:t>
      </w:r>
      <w:r>
        <w:t xml:space="preserve">链接: </w:t>
      </w:r>
      <w:hyperlink r:id="rId79">
        <w:r>
          <w:rPr>
            <w:rFonts w:ascii="Times New Roman" w:hAnsi="Times New Roman" w:eastAsia="宋体"/>
            <w:color w:val="0000FF"/>
            <w:sz w:val="21"/>
            <w:u w:val="single"/>
          </w:rPr>
          <w:t>https://doi.org/10.1021/acsphotonics.5c02612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00:33 ---</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Zhiwen Yang, Yuxin Peng</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https://doi.org/10.1109/tip.2026.3660576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多分辨率对齐（MRA）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对 SemanticKITTI 和 SSCBench-KITTI-360 数据集的大量实验表明，我们的 MRA 方法显着优于现有的最先进方法，展示了其在减轻稀疏体素标签影响方面的有效性。该代码可从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Extensive experiments on the SemanticKITTI and SSCBench-KITTI-360 datasets demonstrate that our MRA approach significantly outperforms existing state-of-the-art methods, showcasing its effectiveness in mitigating the impact of sparse voxel labels.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 Retinex Prior 用于压缩高光谱图像重建</w:t>
      </w:r>
    </w:p>
    <w:p>
      <w:r>
        <w:rPr>
          <w:rFonts w:ascii="Times New Roman" w:hAnsi="Times New Roman" w:eastAsia="宋体"/>
          <w:b/>
          <w:color w:val="003264"/>
          <w:sz w:val="24"/>
        </w:rPr>
        <w:t>Learning Retinex Prior for Compressive Hyperspectral Image Reconstruction</w:t>
      </w:r>
    </w:p>
    <w:p>
      <w:r>
        <w:rPr>
          <w:rFonts w:ascii="Times New Roman" w:hAnsi="Times New Roman" w:eastAsia="宋体"/>
          <w:sz w:val="21"/>
        </w:rPr>
        <w:t>作者: Mengzu Liu, Junwei Xu, Weisheng Dong, Le Dong, Guangming Shi</w:t>
        <w:br/>
      </w:r>
      <w:r>
        <w:rPr>
          <w:rFonts w:ascii="Times New Roman" w:hAnsi="Times New Roman" w:eastAsia="宋体"/>
          <w:sz w:val="21"/>
        </w:rPr>
        <w:t xml:space="preserve">时间: 2026 | </w:t>
      </w:r>
      <w:r>
        <w:t xml:space="preserve">链接: </w:t>
      </w:r>
      <w:hyperlink r:id="rId81">
        <w:r>
          <w:rPr>
            <w:rFonts w:ascii="Times New Roman" w:hAnsi="Times New Roman" w:eastAsia="宋体"/>
            <w:color w:val="0000FF"/>
            <w:sz w:val="21"/>
            <w:u w:val="single"/>
          </w:rPr>
          <w:t>https://doi.org/10.1109/tip.2026.3659746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编码孔径快照光谱压缩成像 (CASSI) 中的图像重建旨在从压缩的二维测量中恢复高保真高光谱图像 (HSI)。虽然深度展开网络已显示出良好的性能，但 CASSI 退化模型引起的退化通常会在重建中引入全局照明差异，从而产生与低光图像中类似的伪影。为了应对这些挑战，我们提出了一种新颖的 Retinex 先验驱动展开网络（RPDUN），它将 Retinex 先验作为正则化项合并到多级网络中进行优化。该设计为压缩测量提供全局照明调整，根据物理调制有效补偿空间光谱退化并捕获固有光谱特性。据我们所知，这是 Retinex 先验在高光谱图像重建中的首次应用。此外，为了减轻反射域中的噪声（这些噪声在分解过程中可能会被放大），我们引入了自适应令牌选择变压器（ATST）。该模块在自注意力计算之前自适应地过滤掉弱相关标记，有效减少恢复的反射率图中的噪声和伪影。对模拟和真实数据集的大量实验表明，RPDUN 实现了新的最先进的性能，显着提高了重建质量，同时保持了计算效率。代码可在 https://github.com/ZUGE0312/RPDUN 获取。</w:t>
      </w:r>
    </w:p>
    <w:p>
      <w:pPr>
        <w:spacing w:before="120"/>
      </w:pPr>
      <w:r>
        <w:rPr>
          <w:rFonts w:ascii="Times New Roman" w:hAnsi="Times New Roman" w:eastAsia="宋体"/>
          <w:b/>
          <w:sz w:val="21"/>
        </w:rPr>
        <w:t>English Abstract:</w:t>
      </w:r>
    </w:p>
    <w:p>
      <w:r>
        <w:rPr>
          <w:rFonts w:ascii="Times New Roman" w:hAnsi="Times New Roman" w:eastAsia="宋体"/>
          <w:sz w:val="21"/>
        </w:rPr>
        <w:t>Image reconstruction in coded aperture snapshot spectral compressive imaging (CASSI) aims to recover high-fidelity hyperspectral images (HSIs) from compressed 2D measurements. While deep unfolding networks have shown promising performance, the degradation induced by the CASSI degradation model often introduces global illumination discrepancies in the reconstructions, creating artifacts similar to those in low-light images. To address these challenges, we propose a novel Retinex Prior-Driven Unfolding Network (RPDUN), which unfolds the optimization incorporating the Retinex prior as a regularization term into a multi-stage network. This design provides global illumination adjustment for compressed measurements, effectively compensating for spatial-spectral degradation according to physical modulation and capturing intrinsic spectral characteristics. To the best of our knowledge, this is the first application of the Retinex prior in hyperspectral image reconstruction. Furthermore, to mitigate the noise in the reflectance domain, which can be amplified during decomposition, we introduce an Adaptive Token Selection Transformer (ATST). This module adaptively filters out weakly correlated tokens before the self-attention computation, effectively reducing noise and artifacts within the recovered reflectance map. Extensive experiments on both simulated and real-world datasets demonstrate that RPDUN achieves new state-of-the-art performance, significantly improving reconstruction quality while maintaining computational efficiency. The code is available at https://github.com/ZUGE0312/RPDUN.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FreeStyle：走向风格包容的基于草图的人物检索</w:t>
      </w:r>
    </w:p>
    <w:p>
      <w:r>
        <w:rPr>
          <w:rFonts w:ascii="Times New Roman" w:hAnsi="Times New Roman" w:eastAsia="宋体"/>
          <w:b/>
          <w:color w:val="003264"/>
          <w:sz w:val="24"/>
        </w:rPr>
        <w:t>FreeStyle: Towards Style-Inclusive Sketch-based Person Retrieval</w:t>
      </w:r>
    </w:p>
    <w:p>
      <w:r>
        <w:rPr>
          <w:rFonts w:ascii="Times New Roman" w:hAnsi="Times New Roman" w:eastAsia="宋体"/>
          <w:sz w:val="21"/>
        </w:rPr>
        <w:t>作者: Xinyi Wu, Cuiqun Chen, Hui Zeng, Zhiping Cai, Mang Ye</w:t>
        <w:br/>
      </w:r>
      <w:r>
        <w:rPr>
          <w:rFonts w:ascii="Times New Roman" w:hAnsi="Times New Roman" w:eastAsia="宋体"/>
          <w:sz w:val="21"/>
        </w:rPr>
        <w:t xml:space="preserve">时间: 2026 | </w:t>
      </w:r>
      <w:r>
        <w:t xml:space="preserve">链接: </w:t>
      </w:r>
      <w:hyperlink r:id="rId82">
        <w:r>
          <w:rPr>
            <w:rFonts w:ascii="Times New Roman" w:hAnsi="Times New Roman" w:eastAsia="宋体"/>
            <w:color w:val="0000FF"/>
            <w:sz w:val="21"/>
            <w:u w:val="single"/>
          </w:rPr>
          <w:t>https://doi.org/10.1109/tip.2026.3660575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基于草图的人物检索（SBPR）旨在使用专业草图作为查询，在不重叠的摄像机视图中识别和检索目标个体。在实践中，不同艺术家绘制的素描往往呈现出难以预料的多样绘画风格。草图之间巨大的风格差异对 SBPR 模型的稳定性和通用性提出了重大挑战。先前的作品试图通过风格操纵方法来减轻风格变化，这不可避免地破坏了多个草图特征之间的固有结构关系。这会导致对现有训练风格的过度拟合，并且很难推广到新的、看不见的草图风格。在本文中，我们介绍了 FreeStyle，这是一种基于 CLIP 基础架构的创新型包含样式的 SBPR 框架。 FreeStyle 通过风格一致性增强显式地模拟不同草图风格之间的关系，从而能够动态适应可见和不可见的风格变化。具体来说，多样化风格语义统一首先通过引入客观属性级语义约束来增强每个身份在语义层面的风格一致性。同时，多样化风格特征压缩通过集中身份内空间和分离身份间空间来解决身份之间特征边界不清晰的问题，从而增强特征表示层面的风格一致性。此外，考虑到草图和照片之间的特征分布差异，引入了以身份为中心的跨模态原型对齐机制，以促进身份感知的跨模态关联并促进紧凑的联合嵌入空间。大量的实验验证了 FreeStyle 不仅在可见的样式变化下实现了稳定的性能，而且还展示了对未见的草图样式的强大泛化能力。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Sketch-based Person Retrieval (SBPR) aims to identify and retrieve a target individual across non-overlapping camera views using professional sketches as queries. In practice, sketches drawn by different artists often present diverse painting styles unpredictably. The substantial style variations among sketches pose significant challenges to the stability and generalizability of SBPR models. Prior works attempt to mitigate style variations through style manipulation methods, which inevitably undermine the inherent structural relations among multiple sketch features. This leads to overfitting on existing training styles and struggles with generalizing to new, unseen sketch styles. In this paper, we introduce FreeStyle, an innovative style-inclusive framework for SBPR, built upon the foundational CLIP architecture. FreeStyle explicitly models the relations across diverse sketch styles via style consistency enhancement, enabling dynamic adaptation to both seen and unseen style variations. Specifically, Diverse Style Semantic Unification is first devised to enhance the style consistency of each identity at the semantic level by introducing objective attribute-level semantic constraints. Meanwhile, Diverse Style Feature Squeezing tackles unclear feature boundaries among identities by concentrating the intra-identity space and separating the inter-identity space, thereby strengthening style consistency at the feature representation level. Additionally, considering the feature distribution discrepancy between sketches and photos, an identity-centric cross-modal prototype alignment mechanism is introduced to facilitate identity-aware cross-modal associations and promote a compact joint embedding space. Extensive experiments validate that FreeStyle not only achieves stable performance under seen style variations but also demonstrates strong generalization to unseen sketch styles.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00:33 ---</w:t>
      </w:r>
    </w:p>
    <w:p>
      <w:pPr>
        <w:pStyle w:val="Heading2"/>
      </w:pPr>
      <w:r/>
      <w:r>
        <w:rPr>
          <w:rFonts w:ascii="Times New Roman" w:hAnsi="Times New Roman" w:eastAsia="宋体"/>
          <w:b/>
          <w:color w:val="000000"/>
          <w:sz w:val="24"/>
        </w:rPr>
        <w:t>通过跨域几何一致性校准 VFM 导出的潜在空间中的偏差分布</w:t>
      </w:r>
    </w:p>
    <w:p>
      <w:r>
        <w:rPr>
          <w:rFonts w:ascii="Times New Roman" w:hAnsi="Times New Roman" w:eastAsia="宋体"/>
          <w:b/>
          <w:color w:val="003264"/>
          <w:sz w:val="24"/>
        </w:rPr>
        <w:t>Calibrating Biased Distribution in VFM-derived Latent Space via Cross-Domain Geometric Consistency</w:t>
      </w:r>
    </w:p>
    <w:p>
      <w:r>
        <w:rPr>
          <w:rFonts w:ascii="Times New Roman" w:hAnsi="Times New Roman" w:eastAsia="宋体"/>
          <w:sz w:val="21"/>
        </w:rPr>
        <w:t>作者: Yanbiao Ma, Wei Dai, Zhiwu Lu, Bowei Liu, Jiayi Chen, Wenke Huang, Junchi Yan, Guancheng Wan</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https://doi.org/10.1109/tpami.2026.3662389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深度学习进展迅速，但一个长期存在的挑战是观察到的训练样本与潜在真实分布之间的差距。造成这种差距的原因有多种，例如采样偏差、噪声等。在基础模型时代，我们表明，当利用现成的（视觉）基础模型（例如 CLIP、DINOv2）进行特征提取时，所得特征分布的几何形状表现出跨领域和数据集的显着可迁移性。为了验证其实用性，我们将几何知识引导的分布校准框架体现在两种流行且具有挑战性的环境中：联邦学习和长尾识别。在联合环境中，我们设计了一种在隐私约束下获取全局几何形状的技术，然后利用这些知识为客户生成新样本，以弥合本地观察和全局观察之间的差距。在长尾学习中，它利用从样本丰富的类别转移的几何知识来恢复样本稀缺的尾类的真实分布。综合实验表明，我们提出的几何知识引导的分布校准有效克服了数据异质性和样本不平衡造成的信息缺陷，并提高了基准测试的性能。代码发布于：https://github.com/WeiDai-David/2025CVPR GGEUR。</w:t>
      </w:r>
    </w:p>
    <w:p>
      <w:pPr>
        <w:spacing w:before="120"/>
      </w:pPr>
      <w:r>
        <w:rPr>
          <w:rFonts w:ascii="Times New Roman" w:hAnsi="Times New Roman" w:eastAsia="宋体"/>
          <w:b/>
          <w:sz w:val="21"/>
        </w:rPr>
        <w:t>English Abstract:</w:t>
      </w:r>
    </w:p>
    <w:p>
      <w:r>
        <w:rPr>
          <w:rFonts w:ascii="Times New Roman" w:hAnsi="Times New Roman" w:eastAsia="宋体"/>
          <w:sz w:val="21"/>
        </w:rPr>
        <w:t>Despite the fast progress of deep learning, one standing challenge is the gap of the observed training samples and the underlying true distribution. There are multiple reasons for the causing of this gap e.g., sampling bias, noise etc. In the era of foundation models, we show that when leveraging the off-the-shelf (vision) foundation models (e.g., CLIP, DINOv2) for feature extraction, the geometric shapes of the resulting feature distributions exhibit remarkable transferability across domains and datasets. To verify its practical usefulness, we embody our geometric knowledge-guided distribution calibration framework in two popular and challenging settings: federated learning and long-tailed recognition. In the federated setting, we devise a technique of acquiring the global geometric shape under privacy constraints, then leverage this knowledge to generate new samples for clients, in the aim of bridging the gap between local and global observations. In long-tailed learning, it utilizes the geometric knowledge transferred from sample-rich categories to recover the true distribution for sample-scarce tail classes. Comprehensive experiments show that our proposed geometric knowledge-guided distribution calibration effectively overcomes information deficits caused by data heterogeneity and sample imbalance, with boosted performance across benchmarks. Code published at: https://github.com/WeiDai-David/2025CVPR GGEUR.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用于个性化联合学习的神经常微分方程的分层信息嵌入</w:t>
      </w:r>
    </w:p>
    <w:p>
      <w:r>
        <w:rPr>
          <w:rFonts w:ascii="Times New Roman" w:hAnsi="Times New Roman" w:eastAsia="宋体"/>
          <w:b/>
          <w:color w:val="003264"/>
          <w:sz w:val="24"/>
        </w:rPr>
        <w:t>Hierarchical Information Embeddings with Neural ODEs for Personalized Federated Learning</w:t>
      </w:r>
    </w:p>
    <w:p>
      <w:r>
        <w:rPr>
          <w:rFonts w:ascii="Times New Roman" w:hAnsi="Times New Roman" w:eastAsia="宋体"/>
          <w:sz w:val="21"/>
        </w:rPr>
        <w:t>作者: Rui She, Sijie Wang, Qiyu Kang, Kai Zhao, Tianyu Geng, Yanan Zhao, Wenfei Liang, Wee Peng Tay</w:t>
        <w:br/>
      </w:r>
      <w:r>
        <w:rPr>
          <w:rFonts w:ascii="Times New Roman" w:hAnsi="Times New Roman" w:eastAsia="宋体"/>
          <w:sz w:val="21"/>
        </w:rPr>
        <w:t xml:space="preserve">时间: 2026 | </w:t>
      </w:r>
      <w:r>
        <w:t xml:space="preserve">链接: </w:t>
      </w:r>
      <w:hyperlink r:id="rId84">
        <w:r>
          <w:rPr>
            <w:rFonts w:ascii="Times New Roman" w:hAnsi="Times New Roman" w:eastAsia="宋体"/>
            <w:color w:val="0000FF"/>
            <w:sz w:val="21"/>
            <w:u w:val="single"/>
          </w:rPr>
          <w:t>https://doi.org/10.1109/tpami.2026.3662990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个性化联邦学习（PFL）在确保有效的隐私保护和安全的协作学习方面发挥着关键作用。然而，由于数据异构性和设备多样性，PFL 面临着重大挑战。为了增强 PFL 的个性化和稳健性，我们提出了一种名为 FedNODE 的新颖模型，它利用分层嵌入。 FedNODE 结合了个性化、伪通用和融合嵌入来促进分层信息表示。我们在服务器内利用基于神经常微分方程（ODE）的超网络为不同客户端生成主干参数，从而能够创建个性化嵌入。此外，我们引入了基于可学习向量的伪通用嵌入来平衡个性化和通用信息。基于 ODE 的神经网络遵循每个客户端的主干模块，集成个性化和伪通用嵌入。为了验证 FedNODE 的有效性，我们对各种分类数据集进行了广泛的评估，包括不同的统计异构设置和噪声场景。结果表明 FedNODE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(PFL) plays a pivotal role in ensuring efficient privacy preservation and secure collaborative learning. However, PFL faces significant challenges due to data heterogeneity and device diversity. To enhance personalization and robustness in PFL, we propose a novel model called FedNODE , which leverages hierarchical embeddings. FedNODE incorporates personalized , pseudo-generic , and fusion embeddings to facilitate hierarchical information representation. We utilize a hypernetwork based on neural ordinary differential equations (ODEs) within the server to generate backbone parameters for different clients, enabling the creation of personalized embeddings. Additionally, we introduce a pseudo-generic embedding based on a learnable vector to balance personalized and generic information. A neural ODE-based network follows the backbone module for each client, integrating personalized and pseudo-generic embeddings. To validate the efficacy of FedNODE, we conduct extensive evaluations across various classification datasets, encompassing diverse statistically heterogeneous settings and noisy scenarios. The results demonstrate that FedNODE achieves state-of-the-art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06:31 ---</w:t>
      </w:r>
    </w:p>
    <w:p>
      <w:pPr>
        <w:pStyle w:val="Heading2"/>
      </w:pPr>
      <w:r/>
      <w:r>
        <w:rPr>
          <w:rFonts w:ascii="Times New Roman" w:hAnsi="Times New Roman" w:eastAsia="宋体"/>
          <w:b/>
          <w:color w:val="000000"/>
          <w:sz w:val="24"/>
        </w:rPr>
        <w:t>开尔文波沿涡核传播</w:t>
      </w:r>
    </w:p>
    <w:p>
      <w:r>
        <w:rPr>
          <w:rFonts w:ascii="Times New Roman" w:hAnsi="Times New Roman" w:eastAsia="宋体"/>
          <w:b/>
          <w:color w:val="003264"/>
          <w:sz w:val="24"/>
        </w:rPr>
        <w:t>Kelvin wave propagation along vortex cores</w:t>
      </w:r>
    </w:p>
    <w:p>
      <w:r>
        <w:rPr>
          <w:rFonts w:ascii="Times New Roman" w:hAnsi="Times New Roman" w:eastAsia="宋体"/>
          <w:sz w:val="21"/>
        </w:rPr>
        <w:t>作者: Jason Barckicke, Eric Falcon, Christophe Gissinger</w:t>
        <w:br/>
      </w:r>
      <w:r>
        <w:rPr>
          <w:rFonts w:ascii="Times New Roman" w:hAnsi="Times New Roman" w:eastAsia="宋体"/>
          <w:sz w:val="21"/>
        </w:rPr>
        <w:t xml:space="preserve">时间: 2026-02-10 | </w:t>
      </w:r>
      <w:r>
        <w:t xml:space="preserve">链接: </w:t>
      </w:r>
      <w:hyperlink r:id="rId126">
        <w:r>
          <w:rPr>
            <w:rFonts w:ascii="Times New Roman" w:hAnsi="Times New Roman" w:eastAsia="宋体"/>
            <w:color w:val="0000FF"/>
            <w:sz w:val="21"/>
            <w:u w:val="single"/>
          </w:rPr>
          <w:t>https://doi.org/10.1038/s41567-026-03175-w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开尔文波是涡线的基本激发，表现为旋转流中传播的螺旋扰动。通过时空成像，目前已经实现了它们色散关系的实验验证。</w:t>
      </w:r>
    </w:p>
    <w:p>
      <w:pPr>
        <w:spacing w:before="120"/>
      </w:pPr>
      <w:r>
        <w:rPr>
          <w:rFonts w:ascii="Times New Roman" w:hAnsi="Times New Roman" w:eastAsia="宋体"/>
          <w:b/>
          <w:sz w:val="21"/>
        </w:rPr>
        <w:t>English Abstract:</w:t>
      </w:r>
    </w:p>
    <w:p>
      <w:r>
        <w:rPr>
          <w:rFonts w:ascii="Times New Roman" w:hAnsi="Times New Roman" w:eastAsia="宋体"/>
          <w:sz w:val="21"/>
        </w:rPr>
        <w:t>Kelvin waves are elementary excitations of vortex lines, manifesting as propagating helical disturbances in rotational flows. Through spatiotemporal imaging, experimental verification of their dispersion relation has now been achieved.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06:31 ---</w:t>
      </w:r>
    </w:p>
    <w:p>
      <w:pPr>
        <w:pStyle w:val="Heading2"/>
      </w:pPr>
      <w:r/>
      <w:r>
        <w:rPr>
          <w:rFonts w:ascii="Times New Roman" w:hAnsi="Times New Roman" w:eastAsia="宋体"/>
          <w:b/>
          <w:color w:val="000000"/>
          <w:sz w:val="24"/>
        </w:rPr>
        <w:t>利用冰光刻技术实现中红外区域的折射率传感，实现 2.5 维超表面</w:t>
      </w:r>
    </w:p>
    <w:p>
      <w:r>
        <w:rPr>
          <w:rFonts w:ascii="Times New Roman" w:hAnsi="Times New Roman" w:eastAsia="宋体"/>
          <w:b/>
          <w:color w:val="003264"/>
          <w:sz w:val="24"/>
        </w:rPr>
        <w:t>Refractive index sensing in the mid-infrared regime with ice-lithography enabled 2.5-dimensional metasurfaces</w:t>
      </w:r>
    </w:p>
    <w:p>
      <w:r>
        <w:rPr>
          <w:rFonts w:ascii="Times New Roman" w:hAnsi="Times New Roman" w:eastAsia="宋体"/>
          <w:sz w:val="21"/>
        </w:rPr>
        <w:t>作者: Kang Zhao, Ce li, Shuo Du, Rui Zheng, Ding Zhao, Min Qiu</w:t>
        <w:br/>
      </w:r>
      <w:r>
        <w:rPr>
          <w:rFonts w:ascii="Times New Roman" w:hAnsi="Times New Roman" w:eastAsia="宋体"/>
          <w:sz w:val="21"/>
        </w:rPr>
        <w:t xml:space="preserve">时间: 2026 | </w:t>
      </w:r>
      <w:r>
        <w:t xml:space="preserve">链接: </w:t>
      </w:r>
      <w:hyperlink r:id="rId127">
        <w:r>
          <w:rPr>
            <w:rFonts w:ascii="Times New Roman" w:hAnsi="Times New Roman" w:eastAsia="宋体"/>
            <w:color w:val="0000FF"/>
            <w:sz w:val="21"/>
            <w:u w:val="single"/>
          </w:rPr>
          <w:t>https://doi.org/10.37188/lam.2026.029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ppb 级痕量气体传感的微腔增强光电光纤光声光谱</w:t>
      </w:r>
    </w:p>
    <w:p>
      <w:r>
        <w:rPr>
          <w:rFonts w:ascii="Times New Roman" w:hAnsi="Times New Roman" w:eastAsia="宋体"/>
          <w:b/>
          <w:color w:val="003264"/>
          <w:sz w:val="24"/>
        </w:rPr>
        <w:t>Microcavity-enhanced optoelectronic fiber photoacoustic spectroscopy for ppb-level trace gas sensing</w:t>
      </w:r>
    </w:p>
    <w:p>
      <w:r>
        <w:rPr>
          <w:rFonts w:ascii="Times New Roman" w:hAnsi="Times New Roman" w:eastAsia="宋体"/>
          <w:sz w:val="21"/>
        </w:rPr>
        <w:t>作者: Yanyu Jiang, Minghui Du, Xile Han, Zhuobei Deng, Jie Mao, Liang Chen, Yifan Wang, Ying Liu, Yafei Li, Ruohui Wang, Chuantao Zheng, Tuan Guo</w:t>
        <w:br/>
      </w:r>
      <w:r>
        <w:rPr>
          <w:rFonts w:ascii="Times New Roman" w:hAnsi="Times New Roman" w:eastAsia="宋体"/>
          <w:sz w:val="21"/>
        </w:rPr>
        <w:t xml:space="preserve">时间: 2026 | </w:t>
      </w:r>
      <w:r>
        <w:t xml:space="preserve">链接: </w:t>
      </w:r>
      <w:hyperlink r:id="rId128">
        <w:r>
          <w:rPr>
            <w:rFonts w:ascii="Times New Roman" w:hAnsi="Times New Roman" w:eastAsia="宋体"/>
            <w:color w:val="0000FF"/>
            <w:sz w:val="21"/>
            <w:u w:val="single"/>
          </w:rPr>
          <w:t>https://doi.org/10.37188/lam.2026.028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06:32 ---</w:t>
      </w:r>
    </w:p>
    <w:p>
      <w:pPr>
        <w:pStyle w:val="Heading2"/>
      </w:pPr>
      <w:r/>
      <w:r>
        <w:rPr>
          <w:rFonts w:ascii="Times New Roman" w:hAnsi="Times New Roman" w:eastAsia="宋体"/>
          <w:b/>
          <w:color w:val="000000"/>
          <w:sz w:val="24"/>
        </w:rPr>
        <w:t>预示着高维光子-光子量子门</w:t>
      </w:r>
    </w:p>
    <w:p>
      <w:r>
        <w:rPr>
          <w:rFonts w:ascii="Times New Roman" w:hAnsi="Times New Roman" w:eastAsia="宋体"/>
          <w:b/>
          <w:color w:val="003264"/>
          <w:sz w:val="24"/>
        </w:rPr>
        <w:t>Heralded high-dimensional photon–photon quantum gate</w:t>
      </w:r>
    </w:p>
    <w:p>
      <w:r>
        <w:rPr>
          <w:rFonts w:ascii="Times New Roman" w:hAnsi="Times New Roman" w:eastAsia="宋体"/>
          <w:sz w:val="21"/>
        </w:rPr>
        <w:t>作者: Zhi-Feng Liu, Zhi-Cheng Ren, Pei Wan, Wen-Zheng Zhu, Zi-Mo Cheng, Jing Wang, Yu-Peng Shi, Han-Bing Xi, Marcus Huber, Nicolai Friis, Xiaoqin Gao, Xi-Lin Wang, Hui-Tian Wang</w:t>
        <w:br/>
      </w:r>
      <w:r>
        <w:rPr>
          <w:rFonts w:ascii="Times New Roman" w:hAnsi="Times New Roman" w:eastAsia="宋体"/>
          <w:sz w:val="21"/>
        </w:rPr>
        <w:t xml:space="preserve">时间: 2026-02-10 | </w:t>
      </w:r>
      <w:r>
        <w:t xml:space="preserve">链接: </w:t>
      </w:r>
      <w:hyperlink r:id="rId129">
        <w:r>
          <w:rPr>
            <w:rFonts w:ascii="Times New Roman" w:hAnsi="Times New Roman" w:eastAsia="宋体"/>
            <w:color w:val="0000FF"/>
            <w:sz w:val="21"/>
            <w:u w:val="single"/>
          </w:rPr>
          <w:t>https://doi.org/10.1038/s41566-026-01846-x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开发了高维纠缠门的通用协议，并将其应用于以轨道角动量（OAM）编码的两个四维量子。锁相技术可稳定 OAM 分选机，使过程保真度在 0.71 至 0.85 范围内。</w:t>
      </w:r>
    </w:p>
    <w:p>
      <w:pPr>
        <w:spacing w:before="120"/>
      </w:pPr>
      <w:r>
        <w:rPr>
          <w:rFonts w:ascii="Times New Roman" w:hAnsi="Times New Roman" w:eastAsia="宋体"/>
          <w:b/>
          <w:sz w:val="21"/>
        </w:rPr>
        <w:t>English Abstract:</w:t>
      </w:r>
    </w:p>
    <w:p>
      <w:r>
        <w:rPr>
          <w:rFonts w:ascii="Times New Roman" w:hAnsi="Times New Roman" w:eastAsia="宋体"/>
          <w:sz w:val="21"/>
        </w:rPr>
        <w:t>A general protocol for high-dimensional entangling gates is developed and applied for two four-dimensional qudits encoded in orbital angular momentum (OAM). The phase-locking technique stabilizes OAM sorters, leading to a process fidelity within a range from 0.71 to 0.85.</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06:32 ---</w:t>
      </w:r>
    </w:p>
    <w:p>
      <w:pPr>
        <w:pStyle w:val="Heading2"/>
      </w:pPr>
      <w:r/>
      <w:r>
        <w:rPr>
          <w:rFonts w:ascii="Times New Roman" w:hAnsi="Times New Roman" w:eastAsia="宋体"/>
          <w:b/>
          <w:color w:val="000000"/>
          <w:sz w:val="24"/>
        </w:rPr>
        <w:t>场景级被动偏振 3D 成像</w:t>
      </w:r>
    </w:p>
    <w:p>
      <w:r>
        <w:rPr>
          <w:rFonts w:ascii="Times New Roman" w:hAnsi="Times New Roman" w:eastAsia="宋体"/>
          <w:b/>
          <w:color w:val="003264"/>
          <w:sz w:val="24"/>
        </w:rPr>
        <w:t>Scene-level passive polarization 3D imaging</w:t>
      </w:r>
    </w:p>
    <w:p>
      <w:r>
        <w:rPr>
          <w:rFonts w:ascii="Times New Roman" w:hAnsi="Times New Roman" w:eastAsia="宋体"/>
          <w:sz w:val="21"/>
        </w:rPr>
        <w:t>作者: Xin Wang, Pingli Han, Xiyuan Luo, Qianqian Liu, Tong Zhang, Xue Dong, Meng Xiang, Jinpeng Liu, Yanyan Liu, Fei Liu</w:t>
        <w:br/>
      </w:r>
      <w:r>
        <w:rPr>
          <w:rFonts w:ascii="Times New Roman" w:hAnsi="Times New Roman" w:eastAsia="宋体"/>
          <w:sz w:val="21"/>
        </w:rPr>
        <w:t xml:space="preserve">时间: 2026 | </w:t>
      </w:r>
      <w:r>
        <w:t xml:space="preserve">链接: </w:t>
      </w:r>
      <w:hyperlink r:id="rId130">
        <w:r>
          <w:rPr>
            <w:rFonts w:ascii="Times New Roman" w:hAnsi="Times New Roman" w:eastAsia="宋体"/>
            <w:color w:val="0000FF"/>
            <w:sz w:val="21"/>
            <w:u w:val="single"/>
          </w:rPr>
          <w:t>https://doi.org/10.29026/oea.2026.250267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自然条件下的场景级被动 3D 成像极具挑战性，但需求迫切。偏振3D提供了可能性，但受到自然大场景带来的两个主要障碍的阻碍：多目标的不连续性和动态重建。本研究提出了一种融合双目立体和偏振的场景级被动偏振3D成像方法。我们将不连续目标重构抽象为最小化问题。来自偏振的像素级法线方向和来自双目立体视觉的绝对尺度信息作为问题迭代优化的相互约束。通过迭代最终解决方案，解决了重建不连续目标的挑战，并且还恢复了真实深度。然后，通过设计全局对齐多视图测量数据的尺度归一化策略，真实深度为解决阻碍动态重建的帧间尺度不一致问题提供参考。最终通过多帧点云融合重建场景级3D结构。我们展示了自然场场景的宽场景、高精度被动视频重建。我们的被动偏振立体代表了场景级 3D 成像的重大进步，并且可能在需要被动 3D 成像解决方案的领域找到广泛的应用。</w:t>
      </w:r>
    </w:p>
    <w:p>
      <w:pPr>
        <w:spacing w:before="120"/>
      </w:pPr>
      <w:r>
        <w:rPr>
          <w:rFonts w:ascii="Times New Roman" w:hAnsi="Times New Roman" w:eastAsia="宋体"/>
          <w:b/>
          <w:sz w:val="21"/>
        </w:rPr>
        <w:t>English Abstract:</w:t>
      </w:r>
    </w:p>
    <w:p>
      <w:r>
        <w:rPr>
          <w:rFonts w:ascii="Times New Roman" w:hAnsi="Times New Roman" w:eastAsia="宋体"/>
          <w:sz w:val="21"/>
        </w:rPr>
        <w:t>Scene-level passive 3D imaging under natural conditions is highly challenging yet urgently demanded. Polarization 3D provides possibility but impeded by two major obstacles brought by natural large scenes: discontinuities of multiple targets and dynamic reconstruction. This study proposed a scene-level passive polarization 3D imaging method, integrating binocular stereo and polarization. We abstract the discontinuous targets reconstruction into a minimization problem. The pixel-level normal direction from polarization and the absolute scale information from binocular stereo vision then work as mutual constraints for iterative optimization of the problem. By iterating for final solution, the challenge of reconstructing discontinuous targets was tackled, and true depth was also recovered. The true depth then provides a reference for solving inter-frame scale inconsistencies which hinders dynamic reconstruction by the designed scale normalization strategy which globally aligns multi-view measurement data. Scene-level 3D structure was finally reconstructed through multi-frame point cloud fusion. We showcase wide-scene, high-accuracy passive video reconstructions on natural field scenes. Our passive polarization stereo represents a major advancement in scene-level 3D imaging and may find broad applications in fields requiring passive 3D imaging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具有定制颜色的半透明钙钛矿光伏电池的建模引导逆向设计策略</w:t>
      </w:r>
    </w:p>
    <w:p>
      <w:r>
        <w:rPr>
          <w:rFonts w:ascii="Times New Roman" w:hAnsi="Times New Roman" w:eastAsia="宋体"/>
          <w:b/>
          <w:color w:val="003264"/>
          <w:sz w:val="24"/>
        </w:rPr>
        <w:t>Modelling-guided inverse design strategy for semitransparent perovskite photovoltaics with customized colors</w:t>
      </w:r>
    </w:p>
    <w:p>
      <w:r>
        <w:rPr>
          <w:rFonts w:ascii="Times New Roman" w:hAnsi="Times New Roman" w:eastAsia="宋体"/>
          <w:sz w:val="21"/>
        </w:rPr>
        <w:t>作者: Seok-Beom Seo, Rira Kang, Eun-Joo Lee, So-Yeon Ju, Min Jae Lee, Byunghong Lee, Sun-Kyung Kim</w:t>
        <w:br/>
      </w:r>
      <w:r>
        <w:rPr>
          <w:rFonts w:ascii="Times New Roman" w:hAnsi="Times New Roman" w:eastAsia="宋体"/>
          <w:sz w:val="21"/>
        </w:rPr>
        <w:t xml:space="preserve">时间: 2026 | </w:t>
      </w:r>
      <w:r>
        <w:t xml:space="preserve">链接: </w:t>
      </w:r>
      <w:hyperlink r:id="rId131">
        <w:r>
          <w:rPr>
            <w:rFonts w:ascii="Times New Roman" w:hAnsi="Times New Roman" w:eastAsia="宋体"/>
            <w:color w:val="0000FF"/>
            <w:sz w:val="21"/>
            <w:u w:val="single"/>
          </w:rPr>
          <w:t>https://doi.org/10.29026/oea.2026.250218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城市建筑师越来越多地寻求既能产生能源又具有审美价值的太阳能窗。然而，现有的色彩工程策略依赖于吸收金属层或缺乏对可实现颜色的控制。在这里，我们提出了一种建模引导的逆向设计策略，将全电介质 (ZnS/MgF 2 ) 多层集成到半透明钙钛矿光伏电池中，从而以最小的光谱损失实现用户定义的颜色。利用主动学习算法，我们绘制了具有不同钙钛矿吸收体厚度和平均可见光透射率 (AVT) 值的 ZnS/MgF 2 涂层器件可达到的色域。作为一个代表性案例，在玻璃或聚对苯二甲酸乙二醇酯 (PET) 上具有 110 nm 厚吸收剂的装置最初呈现红棕色色调，后来使用 600 nm 厚的全电介质多层转变为鲜艳的青色。这种调整保留了较高的 AVT（玻璃上为 6.5%，PET 上为 5.3%），同时功率转换效率分别提高了 20.9% 和 10.4%。现实世界的成像证实了透明可见性增强的美感，强调了逆向设计框架的实际潜力。此外，这种方法很容易转移到其他薄膜光伏器件，为建筑物、车辆和可穿戴电子产品提供颜色可定制、透射率可调和高效太阳能窗的通用途径。</w:t>
      </w:r>
    </w:p>
    <w:p>
      <w:pPr>
        <w:spacing w:before="120"/>
      </w:pPr>
      <w:r>
        <w:rPr>
          <w:rFonts w:ascii="Times New Roman" w:hAnsi="Times New Roman" w:eastAsia="宋体"/>
          <w:b/>
          <w:sz w:val="21"/>
        </w:rPr>
        <w:t>English Abstract:</w:t>
      </w:r>
    </w:p>
    <w:p>
      <w:r>
        <w:rPr>
          <w:rFonts w:ascii="Times New Roman" w:hAnsi="Times New Roman" w:eastAsia="宋体"/>
          <w:sz w:val="21"/>
        </w:rPr>
        <w:t>Urban architects increasingly seek solar windows that deliver both energy generation and aesthetic value. However, existing color-engineering strategies rely on absorptive metal layers or lack control over the achievable colors. Here, we present a modelling-guided inverse design strategy that integrates an all-dielectric (ZnS/MgF 2 ) multilayer into semitransparent perovskite photovoltaics, enabling user-defined colors with minimal spectral loss. Leveraging an active learning algorithm, we mapped the attainable color gamut for ZnS/MgF 2 -coated devices with distinct perovskite absorber thicknesses and average visible transmittance (AVT) values. As a representative case, a device with a 110 nm-thick absorber on glass or polyethylene terephthalate (PET), initially exhibiting a reddish-brown tint, was transformed into vivid cyan using a 600 nm-thick all-dielectric multilayer. This tuning retained high AVT—6.5% on glass and 5.3% on PET—while enhancing power conversion efficiency by 20.9% and 10.4%, respectively. Real-world imaging confirmed enhanced aesthetics with see-through visibility, underscoring the practical potential of the inverse-design framework. Moreover, this approach is readily transferable to other thin film photovoltaics, providing a versatile route toward color customizable, transmittance-tunable, and high-efficiency solar windows for buildings, vehicles, and wearable electronics.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06:32 ---</w:t>
      </w:r>
    </w:p>
    <w:p>
      <w:pPr>
        <w:pStyle w:val="Heading2"/>
      </w:pPr>
      <w:r/>
      <w:r>
        <w:rPr>
          <w:rFonts w:ascii="Times New Roman" w:hAnsi="Times New Roman" w:eastAsia="宋体"/>
          <w:b/>
          <w:color w:val="000000"/>
          <w:sz w:val="24"/>
        </w:rPr>
        <w:t>用于双轴倾角传感的空间频分复用边缘核心布拉格光栅法布里-珀罗干涉仪</w:t>
      </w:r>
    </w:p>
    <w:p>
      <w:r>
        <w:rPr>
          <w:rFonts w:ascii="Times New Roman" w:hAnsi="Times New Roman" w:eastAsia="宋体"/>
          <w:b/>
          <w:color w:val="003264"/>
          <w:sz w:val="24"/>
        </w:rPr>
        <w:t>Spatial-frequency-division-multiplexed edge-core Bragg grating Fabry-Perot interferometer for biaxial inclination sensing</w:t>
      </w:r>
    </w:p>
    <w:p>
      <w:r>
        <w:rPr>
          <w:rFonts w:ascii="Times New Roman" w:hAnsi="Times New Roman" w:eastAsia="宋体"/>
          <w:sz w:val="21"/>
        </w:rPr>
        <w:t>作者: Benyue Li, Daryl Tan, Kok-Sing Lim, Shufeng Sun, Fengyi Chen</w:t>
        <w:br/>
      </w:r>
      <w:r>
        <w:rPr>
          <w:rFonts w:ascii="Times New Roman" w:hAnsi="Times New Roman" w:eastAsia="宋体"/>
          <w:sz w:val="21"/>
        </w:rPr>
        <w:t xml:space="preserve">时间: 2026-06-01 | </w:t>
      </w:r>
      <w:r>
        <w:t xml:space="preserve">链接: </w:t>
      </w:r>
      <w:hyperlink r:id="rId133">
        <w:r>
          <w:rPr>
            <w:rFonts w:ascii="Times New Roman" w:hAnsi="Times New Roman" w:eastAsia="宋体"/>
            <w:color w:val="0000FF"/>
            <w:sz w:val="21"/>
            <w:u w:val="single"/>
          </w:rPr>
          <w:t>https://doi.org/10.1016/j.optlastec.2026.114909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用于快照宽带高光谱成像的双材料拼接超表面的端到端设计</w:t>
      </w:r>
    </w:p>
    <w:p>
      <w:r>
        <w:rPr>
          <w:rFonts w:ascii="Times New Roman" w:hAnsi="Times New Roman" w:eastAsia="宋体"/>
          <w:b/>
          <w:color w:val="003264"/>
          <w:sz w:val="24"/>
        </w:rPr>
        <w:t>End-to-End design of bimaterial stitching metasurface for snapshot broadband hyperspectral imaging</w:t>
      </w:r>
    </w:p>
    <w:p>
      <w:r>
        <w:rPr>
          <w:rFonts w:ascii="Times New Roman" w:hAnsi="Times New Roman" w:eastAsia="宋体"/>
          <w:sz w:val="21"/>
        </w:rPr>
        <w:t>作者: Jiayu Di, Zhenming Yu, Wei Zhang, Yanfeng Liu, Liang Lin, Jingyue Ma, Liming Cheng, Tongshuo Zhang, Ning Zhan, Yu Zhang, Kun Xu</w:t>
        <w:br/>
      </w:r>
      <w:r>
        <w:rPr>
          <w:rFonts w:ascii="Times New Roman" w:hAnsi="Times New Roman" w:eastAsia="宋体"/>
          <w:sz w:val="21"/>
        </w:rPr>
        <w:t xml:space="preserve">时间: 2026-06-01 | </w:t>
      </w:r>
      <w:r>
        <w:t xml:space="preserve">链接: </w:t>
      </w:r>
      <w:hyperlink r:id="rId134">
        <w:r>
          <w:rPr>
            <w:rFonts w:ascii="Times New Roman" w:hAnsi="Times New Roman" w:eastAsia="宋体"/>
            <w:color w:val="0000FF"/>
            <w:sz w:val="21"/>
            <w:u w:val="single"/>
          </w:rPr>
          <w:t>https://doi.org/10.1016/j.optlastec.2026.114920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由物理衍生特征驱动的 CFRP 激光加工形态预测的可解释机器学习</w:t>
      </w:r>
    </w:p>
    <w:p>
      <w:r>
        <w:rPr>
          <w:rFonts w:ascii="Times New Roman" w:hAnsi="Times New Roman" w:eastAsia="宋体"/>
          <w:b/>
          <w:color w:val="003264"/>
          <w:sz w:val="24"/>
        </w:rPr>
        <w:t>Interpretable machine learning for laser machining morphology prediction of CFRP driven by physical-derived features</w:t>
      </w:r>
    </w:p>
    <w:p>
      <w:r>
        <w:rPr>
          <w:rFonts w:ascii="Times New Roman" w:hAnsi="Times New Roman" w:eastAsia="宋体"/>
          <w:sz w:val="21"/>
        </w:rPr>
        <w:t>作者: Ping Huang, Guanghui Zhang, Zhichuang Chen, Xinping He, Qingan Lu, Yuxing Huang, Hui Jiao, Jia Zhou, Yuhong Long</w:t>
        <w:br/>
      </w:r>
      <w:r>
        <w:rPr>
          <w:rFonts w:ascii="Times New Roman" w:hAnsi="Times New Roman" w:eastAsia="宋体"/>
          <w:sz w:val="21"/>
        </w:rPr>
        <w:t xml:space="preserve">时间: 2026-06-01 | </w:t>
      </w:r>
      <w:r>
        <w:t xml:space="preserve">链接: </w:t>
      </w:r>
      <w:hyperlink r:id="rId135">
        <w:r>
          <w:rPr>
            <w:rFonts w:ascii="Times New Roman" w:hAnsi="Times New Roman" w:eastAsia="宋体"/>
            <w:color w:val="0000FF"/>
            <w:sz w:val="21"/>
            <w:u w:val="single"/>
          </w:rPr>
          <w:t>https://doi.org/10.1016/j.optlastec.2026.114872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激光烧蚀辅助水电解制氢的进展</w:t>
      </w:r>
    </w:p>
    <w:p>
      <w:r>
        <w:rPr>
          <w:rFonts w:ascii="Times New Roman" w:hAnsi="Times New Roman" w:eastAsia="宋体"/>
          <w:b/>
          <w:color w:val="003264"/>
          <w:sz w:val="24"/>
        </w:rPr>
        <w:t>Advances in laser ablation-assisted water electrolysis for hydrogen production</w:t>
      </w:r>
    </w:p>
    <w:p>
      <w:r>
        <w:rPr>
          <w:rFonts w:ascii="Times New Roman" w:hAnsi="Times New Roman" w:eastAsia="宋体"/>
          <w:sz w:val="21"/>
        </w:rPr>
        <w:t>作者: Jian Pu, Fang Hu, Yuan Li, Chuang Yue</w:t>
        <w:br/>
      </w:r>
      <w:r>
        <w:rPr>
          <w:rFonts w:ascii="Times New Roman" w:hAnsi="Times New Roman" w:eastAsia="宋体"/>
          <w:sz w:val="21"/>
        </w:rPr>
        <w:t xml:space="preserve">时间: 2026-06-01 | </w:t>
      </w:r>
      <w:r>
        <w:t xml:space="preserve">链接: </w:t>
      </w:r>
      <w:hyperlink r:id="rId136">
        <w:r>
          <w:rPr>
            <w:rFonts w:ascii="Times New Roman" w:hAnsi="Times New Roman" w:eastAsia="宋体"/>
            <w:color w:val="0000FF"/>
            <w:sz w:val="21"/>
            <w:u w:val="single"/>
          </w:rPr>
          <w:t>https://doi.org/10.1016/j.optlastec.2026.114884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聚酰亚胺基底上的激光诱导石墨烯用于压阻传感器应用</w:t>
      </w:r>
    </w:p>
    <w:p>
      <w:r>
        <w:rPr>
          <w:rFonts w:ascii="Times New Roman" w:hAnsi="Times New Roman" w:eastAsia="宋体"/>
          <w:b/>
          <w:color w:val="003264"/>
          <w:sz w:val="24"/>
        </w:rPr>
        <w:t>Laser-induced graphene on polyimide substrate for piezoresistive sensor application</w:t>
      </w:r>
    </w:p>
    <w:p>
      <w:r>
        <w:rPr>
          <w:rFonts w:ascii="Times New Roman" w:hAnsi="Times New Roman" w:eastAsia="宋体"/>
          <w:sz w:val="21"/>
        </w:rPr>
        <w:t>作者: Yuhan Liu, Renbao Wang, Bingnan Dong, Zhongwei Zhang, Dongfeng Qi, Hao Wei, Yanwen Yuan, Juan Wei, Hongyou Cui</w:t>
        <w:br/>
      </w:r>
      <w:r>
        <w:rPr>
          <w:rFonts w:ascii="Times New Roman" w:hAnsi="Times New Roman" w:eastAsia="宋体"/>
          <w:sz w:val="21"/>
        </w:rPr>
        <w:t xml:space="preserve">时间: 2026-06-01 | </w:t>
      </w:r>
      <w:r>
        <w:t xml:space="preserve">链接: </w:t>
      </w:r>
      <w:hyperlink r:id="rId137">
        <w:r>
          <w:rPr>
            <w:rFonts w:ascii="Times New Roman" w:hAnsi="Times New Roman" w:eastAsia="宋体"/>
            <w:color w:val="0000FF"/>
            <w:sz w:val="21"/>
            <w:u w:val="single"/>
          </w:rPr>
          <w:t>https://doi.org/10.1016/j.optlastec.2026.114850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掺镱光纤激光器中不同状态的高能、窄尖峰类噪声脉冲的生成和动力学</w:t>
      </w:r>
    </w:p>
    <w:p>
      <w:r>
        <w:rPr>
          <w:rFonts w:ascii="Times New Roman" w:hAnsi="Times New Roman" w:eastAsia="宋体"/>
          <w:b/>
          <w:color w:val="003264"/>
          <w:sz w:val="24"/>
        </w:rPr>
        <w:t>Generation and dynamics of high-energy, narrow-spike noise-like pulses with diverse states in an Yb-doped fiber laser</w:t>
      </w:r>
    </w:p>
    <w:p>
      <w:r>
        <w:rPr>
          <w:rFonts w:ascii="Times New Roman" w:hAnsi="Times New Roman" w:eastAsia="宋体"/>
          <w:sz w:val="21"/>
        </w:rPr>
        <w:t>作者: Zhiqiang Li, Zihao Zhang, Jiarui Wang, Xinghao Duan, Yang Zhang, Junli Wang</w:t>
        <w:br/>
      </w:r>
      <w:r>
        <w:rPr>
          <w:rFonts w:ascii="Times New Roman" w:hAnsi="Times New Roman" w:eastAsia="宋体"/>
          <w:sz w:val="21"/>
        </w:rPr>
        <w:t xml:space="preserve">时间: 2026-06-01 | </w:t>
      </w:r>
      <w:r>
        <w:t xml:space="preserve">链接: </w:t>
      </w:r>
      <w:hyperlink r:id="rId138">
        <w:r>
          <w:rPr>
            <w:rFonts w:ascii="Times New Roman" w:hAnsi="Times New Roman" w:eastAsia="宋体"/>
            <w:color w:val="0000FF"/>
            <w:sz w:val="21"/>
            <w:u w:val="single"/>
          </w:rPr>
          <w:t>https://doi.org/10.1016/j.optlastec.2026.114846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使用准连续光纤激光器在 MAR-M247 高温合金中进行高深宽比微孔钻削</w:t>
      </w:r>
    </w:p>
    <w:p>
      <w:r>
        <w:rPr>
          <w:rFonts w:ascii="Times New Roman" w:hAnsi="Times New Roman" w:eastAsia="宋体"/>
          <w:b/>
          <w:color w:val="003264"/>
          <w:sz w:val="24"/>
        </w:rPr>
        <w:t>High-aspect-ratio microhole drilling in MAR-M247 superalloy using a quasi-CW fiber laser</w:t>
      </w:r>
    </w:p>
    <w:p>
      <w:r>
        <w:rPr>
          <w:rFonts w:ascii="Times New Roman" w:hAnsi="Times New Roman" w:eastAsia="宋体"/>
          <w:sz w:val="21"/>
        </w:rPr>
        <w:t>作者: Shanshan Chen, Rujia Wang, Kailiang Mao, Zhe Hu, Bin Wang, Jing Lv, Wenwu Zhang</w:t>
        <w:br/>
      </w:r>
      <w:r>
        <w:rPr>
          <w:rFonts w:ascii="Times New Roman" w:hAnsi="Times New Roman" w:eastAsia="宋体"/>
          <w:sz w:val="21"/>
        </w:rPr>
        <w:t xml:space="preserve">时间: 2026-06-01 | </w:t>
      </w:r>
      <w:r>
        <w:t xml:space="preserve">链接: </w:t>
      </w:r>
      <w:hyperlink r:id="rId139">
        <w:r>
          <w:rPr>
            <w:rFonts w:ascii="Times New Roman" w:hAnsi="Times New Roman" w:eastAsia="宋体"/>
            <w:color w:val="0000FF"/>
            <w:sz w:val="21"/>
            <w:u w:val="single"/>
          </w:rPr>
          <w:t>https://doi.org/10.1016/j.optlastec.2026.114902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Yu-Che Wu, Kuo-Chih Chang, Shu-Chun Chu</w:t>
        <w:br/>
      </w:r>
      <w:r>
        <w:rPr>
          <w:rFonts w:ascii="Times New Roman" w:hAnsi="Times New Roman" w:eastAsia="宋体"/>
          <w:sz w:val="21"/>
        </w:rPr>
        <w:t xml:space="preserve">时间: 2026-06-01 | </w:t>
      </w:r>
      <w:r>
        <w:t xml:space="preserve">链接: </w:t>
      </w:r>
      <w:hyperlink r:id="rId140">
        <w:r>
          <w:rPr>
            <w:rFonts w:ascii="Times New Roman" w:hAnsi="Times New Roman" w:eastAsia="宋体"/>
            <w:color w:val="0000FF"/>
            <w:sz w:val="21"/>
            <w:u w:val="single"/>
          </w:rPr>
          <w:t>https://doi.org/10.1016/j.optlastec.2026.114903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LSM 动子定位的最小二乘图像匹配的无迭代框架</w:t>
      </w:r>
    </w:p>
    <w:p>
      <w:r>
        <w:rPr>
          <w:rFonts w:ascii="Times New Roman" w:hAnsi="Times New Roman" w:eastAsia="宋体"/>
          <w:b/>
          <w:color w:val="003264"/>
          <w:sz w:val="24"/>
        </w:rPr>
        <w:t>Iteration-free framework of least squares image matching for LSM mover positioning</w:t>
      </w:r>
    </w:p>
    <w:p>
      <w:r>
        <w:rPr>
          <w:rFonts w:ascii="Times New Roman" w:hAnsi="Times New Roman" w:eastAsia="宋体"/>
          <w:sz w:val="21"/>
        </w:rPr>
        <w:t>作者: Wei Wang, Wenyi Yang, Tong Zhang, Xia Yang</w:t>
        <w:br/>
      </w:r>
      <w:r>
        <w:rPr>
          <w:rFonts w:ascii="Times New Roman" w:hAnsi="Times New Roman" w:eastAsia="宋体"/>
          <w:sz w:val="21"/>
        </w:rPr>
        <w:t xml:space="preserve">时间: 2026-06-01 | </w:t>
      </w:r>
      <w:r>
        <w:t xml:space="preserve">链接: </w:t>
      </w:r>
      <w:hyperlink r:id="rId141">
        <w:r>
          <w:rPr>
            <w:rFonts w:ascii="Times New Roman" w:hAnsi="Times New Roman" w:eastAsia="宋体"/>
            <w:color w:val="0000FF"/>
            <w:sz w:val="21"/>
            <w:u w:val="single"/>
          </w:rPr>
          <w:t>https://doi.org/10.1016/j.optlastec.2026.114862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通过飞秒激光直写对金刚石进行波导增强 NV 中心磁传感</w:t>
      </w:r>
    </w:p>
    <w:p>
      <w:r>
        <w:rPr>
          <w:rFonts w:ascii="Times New Roman" w:hAnsi="Times New Roman" w:eastAsia="宋体"/>
          <w:b/>
          <w:color w:val="003264"/>
          <w:sz w:val="24"/>
        </w:rPr>
        <w:t>Waveguide-enhanced NV center magnetic sensing in diamond via femtosecond laser direct writing</w:t>
      </w:r>
    </w:p>
    <w:p>
      <w:r>
        <w:rPr>
          <w:rFonts w:ascii="Times New Roman" w:hAnsi="Times New Roman" w:eastAsia="宋体"/>
          <w:sz w:val="21"/>
        </w:rPr>
        <w:t>作者: Yifan Zhao, Shihan Ding, Yiming Hu, Zhen Shang, Hongliang Liu, Yongjian Gu</w:t>
        <w:br/>
      </w:r>
      <w:r>
        <w:rPr>
          <w:rFonts w:ascii="Times New Roman" w:hAnsi="Times New Roman" w:eastAsia="宋体"/>
          <w:sz w:val="21"/>
        </w:rPr>
        <w:t xml:space="preserve">时间: 2026-06-01 | </w:t>
      </w:r>
      <w:r>
        <w:t xml:space="preserve">链接: </w:t>
      </w:r>
      <w:hyperlink r:id="rId142">
        <w:r>
          <w:rPr>
            <w:rFonts w:ascii="Times New Roman" w:hAnsi="Times New Roman" w:eastAsia="宋体"/>
            <w:color w:val="0000FF"/>
            <w:sz w:val="21"/>
            <w:u w:val="single"/>
          </w:rPr>
          <w:t>https://doi.org/10.1016/j.optlastec.2026.114881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用于神经形态计算的 MXene/BFCO 异质结光电忆阻器中的偏置可调正负光电导</w:t>
      </w:r>
    </w:p>
    <w:p>
      <w:r>
        <w:rPr>
          <w:rFonts w:ascii="Times New Roman" w:hAnsi="Times New Roman" w:eastAsia="宋体"/>
          <w:b/>
          <w:color w:val="003264"/>
          <w:sz w:val="24"/>
        </w:rPr>
        <w:t>Bias-tunable positive and negative photoconductivity in MXene/BFCO heterojunctions optoelectronic memristor for neuromorphic computing</w:t>
      </w:r>
    </w:p>
    <w:p>
      <w:r>
        <w:rPr>
          <w:rFonts w:ascii="Times New Roman" w:hAnsi="Times New Roman" w:eastAsia="宋体"/>
          <w:sz w:val="21"/>
        </w:rPr>
        <w:t>作者: Fan Qiu, Zhenhua Tang, Zhong-Jie Chen, Yu-Xiang Wu, Yan-Ping Jiang, Shui-Feng Li, Xin-Gui Tang, Xueqing Xu, Yi-Chun Zhou, Antonio Guerrero</w:t>
        <w:br/>
      </w:r>
      <w:r>
        <w:rPr>
          <w:rFonts w:ascii="Times New Roman" w:hAnsi="Times New Roman" w:eastAsia="宋体"/>
          <w:sz w:val="21"/>
        </w:rPr>
        <w:t xml:space="preserve">时间: 2026-06-01 | </w:t>
      </w:r>
      <w:r>
        <w:t xml:space="preserve">链接: </w:t>
      </w:r>
      <w:hyperlink r:id="rId143">
        <w:r>
          <w:rPr>
            <w:rFonts w:ascii="Times New Roman" w:hAnsi="Times New Roman" w:eastAsia="宋体"/>
            <w:color w:val="0000FF"/>
            <w:sz w:val="21"/>
            <w:u w:val="single"/>
          </w:rPr>
          <w:t>https://doi.org/10.1016/j.optlastec.2026.114870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t-net 的双通道菲涅耳非相干相关全息术进行实时边缘增强 3D 成像</w:t>
      </w:r>
    </w:p>
    <w:p>
      <w:r>
        <w:rPr>
          <w:rFonts w:ascii="Times New Roman" w:hAnsi="Times New Roman" w:eastAsia="宋体"/>
          <w:b/>
          <w:color w:val="003264"/>
          <w:sz w:val="24"/>
        </w:rPr>
        <w:t>Real-time edge-enhanced 3D imaging via t-net-based dual-channel Fresnel incoherent correlation holography</w:t>
      </w:r>
    </w:p>
    <w:p>
      <w:r>
        <w:rPr>
          <w:rFonts w:ascii="Times New Roman" w:hAnsi="Times New Roman" w:eastAsia="宋体"/>
          <w:sz w:val="21"/>
        </w:rPr>
        <w:t>作者: Tao Huang, Xiaoyu Han, Yuheng Wang, Huiyang Wang, Weina Zhang, Jianglei Di, Xiaoxu Lu, Liyun Zhong</w:t>
        <w:br/>
      </w:r>
      <w:r>
        <w:rPr>
          <w:rFonts w:ascii="Times New Roman" w:hAnsi="Times New Roman" w:eastAsia="宋体"/>
          <w:sz w:val="21"/>
        </w:rPr>
        <w:t xml:space="preserve">时间: 2026-06-01 | </w:t>
      </w:r>
      <w:r>
        <w:t xml:space="preserve">链接: </w:t>
      </w:r>
      <w:hyperlink r:id="rId144">
        <w:r>
          <w:rPr>
            <w:rFonts w:ascii="Times New Roman" w:hAnsi="Times New Roman" w:eastAsia="宋体"/>
            <w:color w:val="0000FF"/>
            <w:sz w:val="21"/>
            <w:u w:val="single"/>
          </w:rPr>
          <w:t>https://doi.org/10.1016/j.optlastec.2026.114890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IN718 高温合金定向能量沉积过程中基体温度在包层几何形状和流动行为中的作用：多物理场建模和实验验证</w:t>
      </w:r>
    </w:p>
    <w:p>
      <w:r>
        <w:rPr>
          <w:rFonts w:ascii="Times New Roman" w:hAnsi="Times New Roman" w:eastAsia="宋体"/>
          <w:b/>
          <w:color w:val="003264"/>
          <w:sz w:val="24"/>
        </w:rPr>
        <w:t>Role of substrate temperature in clad geometry and flow behavior during directed energy deposition of IN718 superalloy: Multiphysics modeling and experimental validation</w:t>
      </w:r>
    </w:p>
    <w:p>
      <w:r>
        <w:rPr>
          <w:rFonts w:ascii="Times New Roman" w:hAnsi="Times New Roman" w:eastAsia="宋体"/>
          <w:sz w:val="21"/>
        </w:rPr>
        <w:t>作者: Yanming Liu, Weiwei Liu, Yali Ma, Zhi Wang, Hongchao Zhang</w:t>
        <w:br/>
      </w:r>
      <w:r>
        <w:rPr>
          <w:rFonts w:ascii="Times New Roman" w:hAnsi="Times New Roman" w:eastAsia="宋体"/>
          <w:sz w:val="21"/>
        </w:rPr>
        <w:t xml:space="preserve">时间: 2026-06-01 | </w:t>
      </w:r>
      <w:r>
        <w:t xml:space="preserve">链接: </w:t>
      </w:r>
      <w:hyperlink r:id="rId145">
        <w:r>
          <w:rPr>
            <w:rFonts w:ascii="Times New Roman" w:hAnsi="Times New Roman" w:eastAsia="宋体"/>
            <w:color w:val="0000FF"/>
            <w:sz w:val="21"/>
            <w:u w:val="single"/>
          </w:rPr>
          <w:t>https://doi.org/10.1016/j.optlastec.2026.114910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炭黑与聚酯薄膜叠层结构激光高效倒角声光偏转器与振镜协同应用</w:t>
      </w:r>
    </w:p>
    <w:p>
      <w:r>
        <w:rPr>
          <w:rFonts w:ascii="Times New Roman" w:hAnsi="Times New Roman" w:eastAsia="宋体"/>
          <w:b/>
          <w:color w:val="003264"/>
          <w:sz w:val="24"/>
        </w:rPr>
        <w:t>Laser high-efficient chamfering of carbon black and polyester film laminated structure collaborative application of acousto-optic deflector and galvanometer</w:t>
      </w:r>
    </w:p>
    <w:p>
      <w:r>
        <w:rPr>
          <w:rFonts w:ascii="Times New Roman" w:hAnsi="Times New Roman" w:eastAsia="宋体"/>
          <w:sz w:val="21"/>
        </w:rPr>
        <w:t>作者: Yufeng Liang, Youmin Rong, Zihao Feng, Tian Zhang, Long Chen, Xiufeng Liu, Guojun Zhang, Yu Huang</w:t>
        <w:br/>
      </w:r>
      <w:r>
        <w:rPr>
          <w:rFonts w:ascii="Times New Roman" w:hAnsi="Times New Roman" w:eastAsia="宋体"/>
          <w:sz w:val="21"/>
        </w:rPr>
        <w:t xml:space="preserve">时间: 2026-06-01 | </w:t>
      </w:r>
      <w:r>
        <w:t xml:space="preserve">链接: </w:t>
      </w:r>
      <w:hyperlink r:id="rId146">
        <w:r>
          <w:rPr>
            <w:rFonts w:ascii="Times New Roman" w:hAnsi="Times New Roman" w:eastAsia="宋体"/>
            <w:color w:val="0000FF"/>
            <w:sz w:val="21"/>
            <w:u w:val="single"/>
          </w:rPr>
          <w:t>https://doi.org/10.1016/j.optlastec.2026.114883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通过光学成像和数学建模进行机加工 GH4169 表面形貌重建</w:t>
      </w:r>
    </w:p>
    <w:p>
      <w:r>
        <w:rPr>
          <w:rFonts w:ascii="Times New Roman" w:hAnsi="Times New Roman" w:eastAsia="宋体"/>
          <w:b/>
          <w:color w:val="003264"/>
          <w:sz w:val="24"/>
        </w:rPr>
        <w:t>Machined GH4169 surface topography reconstruction via optical imaging and mathematical modeling</w:t>
      </w:r>
    </w:p>
    <w:p>
      <w:r>
        <w:rPr>
          <w:rFonts w:ascii="Times New Roman" w:hAnsi="Times New Roman" w:eastAsia="宋体"/>
          <w:sz w:val="21"/>
        </w:rPr>
        <w:t>作者: Weimin Tang, Zhanqiang Liu, Wenjun Lyu, Bing Wang, Xiaoliang Liang, Jinfu Zhao, Liangliang Li</w:t>
        <w:br/>
      </w:r>
      <w:r>
        <w:rPr>
          <w:rFonts w:ascii="Times New Roman" w:hAnsi="Times New Roman" w:eastAsia="宋体"/>
          <w:sz w:val="21"/>
        </w:rPr>
        <w:t xml:space="preserve">时间: 2026-06-01 | </w:t>
      </w:r>
      <w:r>
        <w:t xml:space="preserve">链接: </w:t>
      </w:r>
      <w:hyperlink r:id="rId147">
        <w:r>
          <w:rPr>
            <w:rFonts w:ascii="Times New Roman" w:hAnsi="Times New Roman" w:eastAsia="宋体"/>
            <w:color w:val="0000FF"/>
            <w:sz w:val="21"/>
            <w:u w:val="single"/>
          </w:rPr>
          <w:t>https://doi.org/10.1016/j.optlastec.2026.114892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具有泵激磁电手性的朗道量子化石墨烯中的光拖动</w:t>
      </w:r>
    </w:p>
    <w:p>
      <w:r>
        <w:rPr>
          <w:rFonts w:ascii="Times New Roman" w:hAnsi="Times New Roman" w:eastAsia="宋体"/>
          <w:b/>
          <w:color w:val="003264"/>
          <w:sz w:val="24"/>
        </w:rPr>
        <w:t>Light dragging in Landau-quantized graphene with pump-induced magnetoelectric chirality</w:t>
      </w:r>
    </w:p>
    <w:p>
      <w:r>
        <w:rPr>
          <w:rFonts w:ascii="Times New Roman" w:hAnsi="Times New Roman" w:eastAsia="宋体"/>
          <w:sz w:val="21"/>
        </w:rPr>
        <w:t>作者: Fazal Badshah, Zia Ullah, Haiyang Zhang, Muhammad Idrees, Misbah Qurban, Haibo Huang, Yuan Zhou</w:t>
        <w:br/>
      </w:r>
      <w:r>
        <w:rPr>
          <w:rFonts w:ascii="Times New Roman" w:hAnsi="Times New Roman" w:eastAsia="宋体"/>
          <w:sz w:val="21"/>
        </w:rPr>
        <w:t xml:space="preserve">时间: 2026-06-01 | </w:t>
      </w:r>
      <w:r>
        <w:t xml:space="preserve">链接: </w:t>
      </w:r>
      <w:hyperlink r:id="rId148">
        <w:r>
          <w:rPr>
            <w:rFonts w:ascii="Times New Roman" w:hAnsi="Times New Roman" w:eastAsia="宋体"/>
            <w:color w:val="0000FF"/>
            <w:sz w:val="21"/>
            <w:u w:val="single"/>
          </w:rPr>
          <w:t>https://doi.org/10.1016/j.optlastec.2026.114866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激光熔覆无裂纹可靠连接的 FeAl50CrNi 复合涂层，具有最小化的孔隙率和改善的微观结构，可显着增强铝合金 7075 板表面的电化学腐蚀和耐磨性</w:t>
      </w:r>
    </w:p>
    <w:p>
      <w:r>
        <w:rPr>
          <w:rFonts w:ascii="Times New Roman" w:hAnsi="Times New Roman" w:eastAsia="宋体"/>
          <w:b/>
          <w:color w:val="003264"/>
          <w:sz w:val="24"/>
        </w:rPr>
        <w:t>Laser cladding of crack-free reliably-joined FeAl50CrNi composite coatings with minimized porosity and improved microstructure to notably enhance electrochemical corrosion plus wear resistance for aluminum alloy 7075 plate surfaces</w:t>
      </w:r>
    </w:p>
    <w:p>
      <w:r>
        <w:rPr>
          <w:rFonts w:ascii="Times New Roman" w:hAnsi="Times New Roman" w:eastAsia="宋体"/>
          <w:sz w:val="21"/>
        </w:rPr>
        <w:t>作者: Houxiao Wang, Jilong Li, Wuhong Xin</w:t>
        <w:br/>
      </w:r>
      <w:r>
        <w:rPr>
          <w:rFonts w:ascii="Times New Roman" w:hAnsi="Times New Roman" w:eastAsia="宋体"/>
          <w:sz w:val="21"/>
        </w:rPr>
        <w:t xml:space="preserve">时间: 2026-06-01 | </w:t>
      </w:r>
      <w:r>
        <w:t xml:space="preserve">链接: </w:t>
      </w:r>
      <w:hyperlink r:id="rId149">
        <w:r>
          <w:rPr>
            <w:rFonts w:ascii="Times New Roman" w:hAnsi="Times New Roman" w:eastAsia="宋体"/>
            <w:color w:val="0000FF"/>
            <w:sz w:val="21"/>
            <w:u w:val="single"/>
          </w:rPr>
          <w:t>https://doi.org/10.1016/j.optlastec.2026.114838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两步相移单像素复振幅检测技术</w:t>
      </w:r>
    </w:p>
    <w:p>
      <w:r>
        <w:rPr>
          <w:rFonts w:ascii="Times New Roman" w:hAnsi="Times New Roman" w:eastAsia="宋体"/>
          <w:b/>
          <w:color w:val="003264"/>
          <w:sz w:val="24"/>
        </w:rPr>
        <w:t>Two-step phase-shifting single-pixel complex amplitude detection technique</w:t>
      </w:r>
    </w:p>
    <w:p>
      <w:r>
        <w:rPr>
          <w:rFonts w:ascii="Times New Roman" w:hAnsi="Times New Roman" w:eastAsia="宋体"/>
          <w:sz w:val="21"/>
        </w:rPr>
        <w:t>作者: Wenhui Wang, Haolong Jia, Guozhong Lei, Jiaming Xu, JingQi Liu, Wenchang Lai, Yan Wang, Kai Han</w:t>
        <w:br/>
      </w:r>
      <w:r>
        <w:rPr>
          <w:rFonts w:ascii="Times New Roman" w:hAnsi="Times New Roman" w:eastAsia="宋体"/>
          <w:sz w:val="21"/>
        </w:rPr>
        <w:t xml:space="preserve">时间: 2026-06-01 | </w:t>
      </w:r>
      <w:r>
        <w:t xml:space="preserve">链接: </w:t>
      </w:r>
      <w:hyperlink r:id="rId150">
        <w:r>
          <w:rPr>
            <w:rFonts w:ascii="Times New Roman" w:hAnsi="Times New Roman" w:eastAsia="宋体"/>
            <w:color w:val="0000FF"/>
            <w:sz w:val="21"/>
            <w:u w:val="single"/>
          </w:rPr>
          <w:t>https://doi.org/10.1016/j.optlastec.2026.114896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光纤激光器中孤子分子的形成和湮灭动力学的揭示</w:t>
      </w:r>
    </w:p>
    <w:p>
      <w:r>
        <w:rPr>
          <w:rFonts w:ascii="Times New Roman" w:hAnsi="Times New Roman" w:eastAsia="宋体"/>
          <w:b/>
          <w:color w:val="003264"/>
          <w:sz w:val="24"/>
        </w:rPr>
        <w:t>Revelation of the buildup and annihilation dynamics of soliton molecules in a fiber laser</w:t>
      </w:r>
    </w:p>
    <w:p>
      <w:r>
        <w:rPr>
          <w:rFonts w:ascii="Times New Roman" w:hAnsi="Times New Roman" w:eastAsia="宋体"/>
          <w:sz w:val="21"/>
        </w:rPr>
        <w:t>作者: Longjun Zheng, Huihui Ma, Ding Mao, Zichuan Yuan, Yusheng Zhang, Zuxing Zhang, Yudong Cui</w:t>
        <w:br/>
      </w:r>
      <w:r>
        <w:rPr>
          <w:rFonts w:ascii="Times New Roman" w:hAnsi="Times New Roman" w:eastAsia="宋体"/>
          <w:sz w:val="21"/>
        </w:rPr>
        <w:t xml:space="preserve">时间: 2026-06-01 | </w:t>
      </w:r>
      <w:r>
        <w:t xml:space="preserve">链接: </w:t>
      </w:r>
      <w:hyperlink r:id="rId151">
        <w:r>
          <w:rPr>
            <w:rFonts w:ascii="Times New Roman" w:hAnsi="Times New Roman" w:eastAsia="宋体"/>
            <w:color w:val="0000FF"/>
            <w:sz w:val="21"/>
            <w:u w:val="single"/>
          </w:rPr>
          <w:t>https://doi.org/10.1016/j.optlastec.2026.114915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06:33 ---</w:t>
      </w:r>
    </w:p>
    <w:p>
      <w:pPr>
        <w:pStyle w:val="Heading2"/>
      </w:pPr>
      <w:r/>
      <w:r>
        <w:rPr>
          <w:rFonts w:ascii="Times New Roman" w:hAnsi="Times New Roman" w:eastAsia="宋体"/>
          <w:b/>
          <w:color w:val="000000"/>
          <w:sz w:val="24"/>
        </w:rPr>
        <w:t>用于可编程光子集成电路的二极管辅助微加热器</w:t>
      </w:r>
    </w:p>
    <w:p>
      <w:r>
        <w:rPr>
          <w:rFonts w:ascii="Times New Roman" w:hAnsi="Times New Roman" w:eastAsia="宋体"/>
          <w:b/>
          <w:color w:val="003264"/>
          <w:sz w:val="24"/>
        </w:rPr>
        <w:t>Diode-assisted microheaters for programmable photonic integrated circuits</w:t>
      </w:r>
    </w:p>
    <w:p>
      <w:r>
        <w:rPr>
          <w:rFonts w:ascii="Times New Roman" w:hAnsi="Times New Roman" w:eastAsia="宋体"/>
          <w:sz w:val="21"/>
        </w:rPr>
        <w:t>作者: Kumar Piyush, Pawan Kumar Pandit, Ashitosh Velamuri, Arnab Goswami, Janakiraman Viraraghavan, Bijoy Krishna Das</w:t>
        <w:br/>
      </w:r>
      <w:r>
        <w:rPr>
          <w:rFonts w:ascii="Times New Roman" w:hAnsi="Times New Roman" w:eastAsia="宋体"/>
          <w:sz w:val="21"/>
        </w:rPr>
        <w:t xml:space="preserve">时间: 2026-02-09 | </w:t>
      </w:r>
      <w:r>
        <w:t xml:space="preserve">链接: </w:t>
      </w:r>
      <w:hyperlink r:id="rId159">
        <w:r>
          <w:rPr>
            <w:rFonts w:ascii="Times New Roman" w:hAnsi="Times New Roman" w:eastAsia="宋体"/>
            <w:color w:val="0000FF"/>
            <w:sz w:val="21"/>
            <w:u w:val="single"/>
          </w:rPr>
          <w:t>https://doi.org/10.1364/oe.584909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热光可调谐马赫-曾德尔干涉仪 (MZI) 开关在为各种应用构建稳健的可编程光子集成电路 (PPIC) 设计方面广受欢迎。一般来说，最好在 MZI 的两个臂上集成微型加热器，以通过考虑由制造引起的工艺变化引起的 MZI 臂之间的相位误差来最小化功耗。然而，仅选择集成在 MZI 臂中的两个微加热器之一进行驱动，以较低的功耗实现所需的相位不平衡。同样，在双臂上集成微型加热器使电子控制通道和焊盘数量加倍，这对可扩展性和封装提出了挑战。为了解决这个问题，我们提出了一种二极管辅助微加热器 (DAM) 架构，可以选择性驱动 MZI 中的两个微加热器之一，而无需增加焊盘数量或控制复杂性。 DAM 在标准硅光子技术平台上实现，与代工工艺完全兼容。全面的电热模拟和随后的实验结果证实了这种二极管辅助微加热器设计的 CMOS 代工制造可行性。集成二极管设计具有低串联电阻和高击穿电压，确保高效的正向操作和可忽略的反向泄漏。二极管和微型加热器电阻都被建模为正向电流的函数，与实验数据表现出极好的一致性。直流和交流特性表明，DAM 实现了高效的热调谐，±3 V 时的总功耗约为 50 mW，上升/下降时间约为 20 μs。 DAM 的性能在由级联 1 × 2 MZI 组成的 1 × 4 功率分配器中得到验证，该功率分配器由商业硅光子代工厂制造。使用基于 DAM 的调谐，我们实现了精确的相位校正，产生均匀的功率分配，在 1550 nm 处偏差仅为 ±0.015 dB，在 40 nm 工作波长带宽上偏差仅为 ±0.025 dB。此外，通过采用双极驱动并选择性地激活其中一个 MZI 臂，我们通过实验证明，与假设 MZI 中仅集成一个微加热器的相同 PPIC 的实验结果相比，功耗降低了 50% 以上。这些结果表明，所提出的 DAM 架构为下一代 PPIC 提供了可扩展、节能且兼容代工厂的解决方案。</w:t>
      </w:r>
    </w:p>
    <w:p>
      <w:pPr>
        <w:spacing w:before="120"/>
      </w:pPr>
      <w:r>
        <w:rPr>
          <w:rFonts w:ascii="Times New Roman" w:hAnsi="Times New Roman" w:eastAsia="宋体"/>
          <w:b/>
          <w:sz w:val="21"/>
        </w:rPr>
        <w:t>English Abstract:</w:t>
      </w:r>
    </w:p>
    <w:p>
      <w:r>
        <w:rPr>
          <w:rFonts w:ascii="Times New Roman" w:hAnsi="Times New Roman" w:eastAsia="宋体"/>
          <w:sz w:val="21"/>
        </w:rPr>
        <w:t>Thermo-optically tunable Mach–Zehnder interferometer (MZI) switches have been popular for building robust designs of programmable photonic integrated circuits (PPICs) for various applications. In general, microheaters integrated on both arms of the MZIs are preferred to minimize power consumption by accounting for phase errors between MZI arms arising from fabrication-induced process variabilities. However, only one of the two microheaters integrated in MZI arms is chosen to drive, for achieving desired phase imbalance with lower power consumption. Again, integrating microheaters on both arms doubles the electronic control channels and as many bond pads, posing challenges for scalability and packaging. To address this, we propose a diode-assisted microheater (DAM) architecture that enables selective driving of one of the two microheaters in an MZI without increasing the pad count or control complexity. The DAM is implemented on a standard silicon photonics technology platform and is fully compatible with foundry processes. Comprehensive electrothermal simulations and subsequent experimental results confirm the CMOS foundry fabrication feasibility of such diode-assisted microheater designs. The integrated diode design exhibits low series resistance and high breakdown voltage, ensuring efficient forward operation and negligible reverse leakage. Both the diode and microheater resistances were modelled as functions of the forward current, showing excellent agreement with experimental data. DC and AC characterizations reveal that the DAM achieves efficient thermal tuning with a total power dissipation of ∼50 mW at ±3 V and a rise/fall time of ∼20 μ s. The DAM’s performance was validated in a 1 × 4 power splitter comprising cascaded 1 × 2 MZIs, fabricated through a commercial silicon photonics foundry. Using DAM-based tuning, we achieved precise phase correction, yielding uniform power splitting with deviations of only ±0.015 dB at 1550 nm and ±0.025 dB across a 40 nm operating wavelength bandwidth. Furthermore, by employing bipolar driving and selectively activating one of the MZI arms, we experimentally demonstrated a reduction in power consumption exceeding 50% when compared with the experimental results for the same PPIC by assuming only one microheater was integrated in MZIs. These results demonstrate that the proposed DAM architecture offers a scalable, power-efficient, and foundry-compatible solution for next-generation PPICs.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商业铸造硅光子学中的亚波长光栅硅到氮化硅层间耦合器</w:t>
      </w:r>
    </w:p>
    <w:p>
      <w:r>
        <w:rPr>
          <w:rFonts w:ascii="Times New Roman" w:hAnsi="Times New Roman" w:eastAsia="宋体"/>
          <w:b/>
          <w:color w:val="003264"/>
          <w:sz w:val="24"/>
        </w:rPr>
        <w:t>Sub-wavelength grating silicon to silicon nitride interlayer couplers in commercial foundry silicon photonics</w:t>
      </w:r>
    </w:p>
    <w:p>
      <w:r>
        <w:rPr>
          <w:rFonts w:ascii="Times New Roman" w:hAnsi="Times New Roman" w:eastAsia="宋体"/>
          <w:sz w:val="21"/>
        </w:rPr>
        <w:t>作者: Uthkarsh Adya, Sajjad Moazeni</w:t>
        <w:br/>
      </w:r>
      <w:r>
        <w:rPr>
          <w:rFonts w:ascii="Times New Roman" w:hAnsi="Times New Roman" w:eastAsia="宋体"/>
          <w:sz w:val="21"/>
        </w:rPr>
        <w:t xml:space="preserve">时间: 2026-01-28 | </w:t>
      </w:r>
      <w:r>
        <w:t xml:space="preserve">链接: </w:t>
      </w:r>
      <w:hyperlink r:id="rId160">
        <w:r>
          <w:rPr>
            <w:rFonts w:ascii="Times New Roman" w:hAnsi="Times New Roman" w:eastAsia="宋体"/>
            <w:color w:val="0000FF"/>
            <w:sz w:val="21"/>
            <w:u w:val="single"/>
          </w:rPr>
          <w:t>https://doi.org/10.1364/oe.583483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光子平台的发展在实现大规模光子集成电路（PIC）方面发挥了关键作用。当今大多数硅光子工艺都采用氮化硅来实现需要超低损耗的设备并利用其独特的材料特性。硅层和氮化硅层之间的高效光传输需要紧凑且高性能的层间耦合器。在这项工作中，我们利用硅层中亚波长光栅（SWG）波导的可调折射率和色散特性来设计紧凑的宽带层间耦合器。我们提出了层间耦合的分析模型（由仿真支持），并使用 GlobalFoundries 45SPCLO 流程通过实验演示了概念验证的层间转换。</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silicon photonics platforms has played a pivotal role in enabling large-scale photonic integrated circuits (PICs). Most of today’s silicon photonics processes incorporate silicon nitride to realize devices requiring ultra-low loss and to leverage its unique material properties. Efficient light transport between the silicon and silicon nitride layers necessitates a compact and high-performance interlayer coupler. In this work, we utilize the tunable refractive index and dispersion properties of subwavelength grating (SWG) waveguides in the silicon layer to design compact and broadband interlayer couplers. We present analytical modeling, supported by simulations, of interlayer coupling and experimentally demonstrate proof-of-concept interlayer transitions using the GlobalFoundries 45SPCLO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偏振调制器波前测量方法的优化</w:t>
      </w:r>
    </w:p>
    <w:p>
      <w:r>
        <w:rPr>
          <w:rFonts w:ascii="Times New Roman" w:hAnsi="Times New Roman" w:eastAsia="宋体"/>
          <w:b/>
          <w:color w:val="003264"/>
          <w:sz w:val="24"/>
        </w:rPr>
        <w:t>Optimization of wavefront measurement method for polarization modulators</w:t>
      </w:r>
    </w:p>
    <w:p>
      <w:r>
        <w:rPr>
          <w:rFonts w:ascii="Times New Roman" w:hAnsi="Times New Roman" w:eastAsia="宋体"/>
          <w:sz w:val="21"/>
        </w:rPr>
        <w:t>作者: Yang Jing-Jie, Hou Jun-Feng, Gao Bi-Yuan, Shen Yu-Liang, Wang Zhe-Kai</w:t>
        <w:br/>
      </w:r>
      <w:r>
        <w:rPr>
          <w:rFonts w:ascii="Times New Roman" w:hAnsi="Times New Roman" w:eastAsia="宋体"/>
          <w:sz w:val="21"/>
        </w:rPr>
        <w:t xml:space="preserve">时间: 2026-01-30 | </w:t>
      </w:r>
      <w:r>
        <w:t xml:space="preserve">链接: </w:t>
      </w:r>
      <w:hyperlink r:id="rId161">
        <w:r>
          <w:rPr>
            <w:rFonts w:ascii="Times New Roman" w:hAnsi="Times New Roman" w:eastAsia="宋体"/>
            <w:color w:val="0000FF"/>
            <w:sz w:val="21"/>
            <w:u w:val="single"/>
          </w:rPr>
          <w:t>https://doi.org/10.1364/oe.581510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调制器是偏振成像的核心部件，测量其波前像差是实现高分辨率偏振成像观测的先决条件。然而，当使用斐索干涉仪测量偏振调制器的波前像差时，被测偏振调制器可能会因附加偏振效应而显着影响干涉条纹的对比度，从而降低波前像差测量的精度。在这项研究中，开发了斐索干涉仪的偏振模型（专为偏振敏感元件的波前测试而设计），并系统分析了其测量局限性。提出了一种采用标准四分之一波片的优化方法，与传统的干涉配置相比，该方法提高了条纹对比度，并通过实验验证了其有效性。结果表明，该方法能够在任意配置下精确测量基于斯托克斯参数的偏振调制器的波前。此外，该方法可以扩展到通用偏振光学元件和系统，从而拓宽了斐索激光干涉仪在偏振敏感光学系统中的适用性，提高了测量的通用性和准确性。</w:t>
      </w:r>
    </w:p>
    <w:p>
      <w:pPr>
        <w:spacing w:before="120"/>
      </w:pPr>
      <w:r>
        <w:rPr>
          <w:rFonts w:ascii="Times New Roman" w:hAnsi="Times New Roman" w:eastAsia="宋体"/>
          <w:b/>
          <w:sz w:val="21"/>
        </w:rPr>
        <w:t>English Abstract:</w:t>
      </w:r>
    </w:p>
    <w:p>
      <w:r>
        <w:rPr>
          <w:rFonts w:ascii="Times New Roman" w:hAnsi="Times New Roman" w:eastAsia="宋体"/>
          <w:sz w:val="21"/>
        </w:rPr>
        <w:t>Polarization modulators are core components in polarimetric imaging, and measuring their wavefront aberration is a prerequisite for achieving high-resolution polarimetric imaging observations. However, when using a Fizeau interferometer for measuring the wavefront aberration of a polarization modulator, the polarization modulator under test may significantly affect the contrast of interference fringes due to additional polarization effects, thereby degrading the accuracy of wavefront aberration measurement. In this study, a polarization model for the Fizeau interferometer—tailored for wavefront testing of polarization-sensitive components—was developed, and its measurement limitations were systematically analyzed. An optimization method employing a standard quarter-wave plate is presented, which improves fringe contrast compared to traditional interferometric configurations, and its efficacy is experimentally verified. Results demonstrate that this method enables accurate wavefront measurement of Stokes parameter-based polarization modulators under arbitrary configurations. Furthermore, the approach can be extended to general polarization optical components and systems, thereby broadening the applicability of Fizeau laser interferometers in polarization-sensitive optical systems and improving both the versatility and accuracy of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用于准稳态微聚束电子调制的锁相高峰值功率亚纳秒激光器</w:t>
      </w:r>
    </w:p>
    <w:p>
      <w:r>
        <w:rPr>
          <w:rFonts w:ascii="Times New Roman" w:hAnsi="Times New Roman" w:eastAsia="宋体"/>
          <w:b/>
          <w:color w:val="003264"/>
          <w:sz w:val="24"/>
        </w:rPr>
        <w:t>Phase-locked high-peak-power sub-ns laser for electron modulation in quasi-steady-state microbunching</w:t>
      </w:r>
    </w:p>
    <w:p>
      <w:r>
        <w:rPr>
          <w:rFonts w:ascii="Times New Roman" w:hAnsi="Times New Roman" w:eastAsia="宋体"/>
          <w:sz w:val="21"/>
        </w:rPr>
        <w:t>作者: Zhou Yang, Tianyi Tan, Xinyi Lu, Xing Liu, Zhong Chen, Qili Tian, Yan Zhao, Yutong Huang, Chao Li, Zhihua Huang, Xiujie Deng, Wenhui Huang, Chuanxiang Tang, Lixin Yan</w:t>
        <w:br/>
      </w:r>
      <w:r>
        <w:rPr>
          <w:rFonts w:ascii="Times New Roman" w:hAnsi="Times New Roman" w:eastAsia="宋体"/>
          <w:sz w:val="21"/>
        </w:rPr>
        <w:t xml:space="preserve">时间: 2026-01-30 | </w:t>
      </w:r>
      <w:r>
        <w:t xml:space="preserve">链接: </w:t>
      </w:r>
      <w:hyperlink r:id="rId162">
        <w:r>
          <w:rPr>
            <w:rFonts w:ascii="Times New Roman" w:hAnsi="Times New Roman" w:eastAsia="宋体"/>
            <w:color w:val="0000FF"/>
            <w:sz w:val="21"/>
            <w:u w:val="single"/>
          </w:rPr>
          <w:t>https://doi.org/10.1364/oe.584453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稳态微聚束 (SSMB) 代表了一种创新光源概念，能够产生高平均功率、短波长相干辐射。为了通过实验验证准 SSMB，对存储环中的电子束进行逐轮相干调制至关重要。为此，开发了具有高峰值功率和高重复率的专用锁相脉冲激光系统。该激光系统利用连续波 (CW) 种子激光电光选通与主振荡器功率放大器 (MOPA) 架构相结合，产生 1064 nm 激光脉冲，脉冲宽度为 0.5 ns，重复率为 6.25 MHz，峰值功率为 32 kW。以碘稳频连续种子激光器为频率基准，利用光学锁相环（OPLL）实现输出脉冲激光的锁相。拍频信号测量显示 10 Hz–10 kHz 范围内具有显着的相位噪声抑制。这项工作提出了一种在电子束串上实现基于激光的相干调制的方法，并展示了一种能够生成具有高重复率和高峰值功率的锁相激光脉冲的通用设计方案。</w:t>
      </w:r>
    </w:p>
    <w:p>
      <w:pPr>
        <w:spacing w:before="120"/>
      </w:pPr>
      <w:r>
        <w:rPr>
          <w:rFonts w:ascii="Times New Roman" w:hAnsi="Times New Roman" w:eastAsia="宋体"/>
          <w:b/>
          <w:sz w:val="21"/>
        </w:rPr>
        <w:t>English Abstract:</w:t>
      </w:r>
    </w:p>
    <w:p>
      <w:r>
        <w:rPr>
          <w:rFonts w:ascii="Times New Roman" w:hAnsi="Times New Roman" w:eastAsia="宋体"/>
          <w:sz w:val="21"/>
        </w:rPr>
        <w:t>Steady-state microbunching (SSMB) represents an innovative light source concept capable of generating high-average-power, short-wavelength coherent radiation. To experimentally validate the quasi-SSMB, a turn-by-turn coherent modulation on electron bunches in a storage ring is critical. For this purpose, a dedicated phase-locked pulse laser system with high peak power and high repetition rate has been developed. Utilizing continuous-wave (CW) seed laser electro-optic gating in combination with a master oscillator power amplifier (MOPA) architecture, the laser system produces 1064 nm laser pulses with a pulse width of 0.5 ns, a repetition rate of 6.25 MHz, and a peak power of 32 kW. Based on an iodine frequency-stabilized CW seed laser as the frequency reference, an optical phase-locked loop (OPLL) achieves phase locking of the output pulse laser. Beat signal measurements demonstrate significant phase noise suppression in the 10 Hz–10 kHz range. This work proposes a method for achieving laser-based coherent modulation on electron bunch trains and demonstrates a versatile design scheme capable of generating phase-locked laser pulses with high repetition rate and high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DWDM 芯片级应用的高性能双频硅慢光调制器</w:t>
      </w:r>
    </w:p>
    <w:p>
      <w:r>
        <w:rPr>
          <w:rFonts w:ascii="Times New Roman" w:hAnsi="Times New Roman" w:eastAsia="宋体"/>
          <w:b/>
          <w:color w:val="003264"/>
          <w:sz w:val="24"/>
        </w:rPr>
        <w:t>High-performance dual-band silicon slow-light modulator for DWDM chip-scale applications</w:t>
      </w:r>
    </w:p>
    <w:p>
      <w:r>
        <w:rPr>
          <w:rFonts w:ascii="Times New Roman" w:hAnsi="Times New Roman" w:eastAsia="宋体"/>
          <w:sz w:val="21"/>
        </w:rPr>
        <w:t>作者: Zanyun Zhang, Hao Jiang, Meixin Li, Qixin Wang, Wenjing Zhang, Xiaoqing Lv, Kaixin Zhang, Tianjun Liu, Beiju Huang</w:t>
        <w:br/>
      </w:r>
      <w:r>
        <w:rPr>
          <w:rFonts w:ascii="Times New Roman" w:hAnsi="Times New Roman" w:eastAsia="宋体"/>
          <w:sz w:val="21"/>
        </w:rPr>
        <w:t xml:space="preserve">时间: 2026-01-26 | </w:t>
      </w:r>
      <w:r>
        <w:t xml:space="preserve">链接: </w:t>
      </w:r>
      <w:hyperlink r:id="rId163">
        <w:r>
          <w:rPr>
            <w:rFonts w:ascii="Times New Roman" w:hAnsi="Times New Roman" w:eastAsia="宋体"/>
            <w:color w:val="0000FF"/>
            <w:sz w:val="21"/>
            <w:u w:val="single"/>
          </w:rPr>
          <w:t>https://doi.org/10.1364/oe.579162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本文提出了一种基于级联相移布拉格光栅（PSBG）结构的硅慢光调制器，它支持C/L双波段调制，并在这些波段上表现出一致的波长通道性能。该调制器的超紧凑调制长度仅为 201 µm，归一化插入损耗为 5.3 dB，电光带宽高达 85 GHz，OOK 调制速度高达 128 Gbaud。值得注意的是，它在工作带宽方面取得了突破，C和L波段的平坦通带均超过20 nm，能效达到0.242 pJ/bit。该设计集成了 CMOS 兼容性、小尺寸、低插入损耗、高带宽和广泛的工作波长范围，为高密度波分复用 (DWDM) 芯片级互连提供了高效的解决方案。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silicon slow-light modulator based on cascaded phase-shifted Bragg grating (PSBG) structures, which supports C/L dual-band modulation and demonstrates consistent wavelength channel performance across these bands. The modulator has an ultra-compact modulation length of only 201 µm, a normalized insertion loss of 5.3 dB, an electro-optic bandwidth of up to 85 GHz, and an OOK modulation speed of up to 128 Gbaud. Notably, it features a breakthrough in operational bandwidth, with a flat passband exceeding 20 nm in both C and L bands, and achieves an energy efficiency of 0.242 pJ/bit. The design integrates CMOS compatibility, small footprint, low insertion loss, high bandwidth, and extensive working wavelength range, providing an efficient solution for high-density wavelength division multiplexing (DWDM) chip-scale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每个脉冲周期最多有两个触发器的同步单光子 LiDAR 测距</w:t>
      </w:r>
    </w:p>
    <w:p>
      <w:r>
        <w:rPr>
          <w:rFonts w:ascii="Times New Roman" w:hAnsi="Times New Roman" w:eastAsia="宋体"/>
          <w:b/>
          <w:color w:val="003264"/>
          <w:sz w:val="24"/>
        </w:rPr>
        <w:t>Synchronous single-photon LiDAR ranging with up to two triggers per pulse cycle</w:t>
      </w:r>
    </w:p>
    <w:p>
      <w:r>
        <w:rPr>
          <w:rFonts w:ascii="Times New Roman" w:hAnsi="Times New Roman" w:eastAsia="宋体"/>
          <w:sz w:val="21"/>
        </w:rPr>
        <w:t>作者: Xiaofang Wang, Yan Kang, Tongyi Zhang, Lifei Li, Wei Kang, Wei Zhao</w:t>
        <w:br/>
      </w:r>
      <w:r>
        <w:rPr>
          <w:rFonts w:ascii="Times New Roman" w:hAnsi="Times New Roman" w:eastAsia="宋体"/>
          <w:sz w:val="21"/>
        </w:rPr>
        <w:t xml:space="preserve">时间: 2026-01-26 | </w:t>
      </w:r>
      <w:r>
        <w:t xml:space="preserve">链接: </w:t>
      </w:r>
      <w:hyperlink r:id="rId164">
        <w:r>
          <w:rPr>
            <w:rFonts w:ascii="Times New Roman" w:hAnsi="Times New Roman" w:eastAsia="宋体"/>
            <w:color w:val="0000FF"/>
            <w:sz w:val="21"/>
            <w:u w:val="single"/>
          </w:rPr>
          <w:t>https://doi.org/10.1364/oe.585716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基于单光子雪崩二极管 (SPAD) 的光探测和测距 (LiDAR) 由于 SPAD 的死区时间，在高回波光子通量时会引入严重的堆积误差。为了拓展单光子激光雷达在遥感、自动驾驶等领域的应用，在宽动态范围的回波光子通量内进行快速、准确的测距至关重要。新兴的SPAD阵列探测器结合特定的光子探测模式试图在光子探测效率和硬件资源之间取得平衡，因此需要开发适当的死区时间补偿方法。因此，我们通过实验研究了同步单光子测距激光雷达，其工作模式为每个激光周期最多检测两个光子，并提出了基于光子检测过程正向建模的死区时间补偿方法。结果表明，采用3.5 ns的宽激光脉冲，补偿后的测距误差小于4.2 cm，而未补偿的测距误差最大为17.96 cm。我们的方法为需要综合考虑检测效率和硬件资源的单光子激光雷达死区时间补偿提供了参考。</w:t>
      </w:r>
    </w:p>
    <w:p>
      <w:pPr>
        <w:spacing w:before="120"/>
      </w:pPr>
      <w:r>
        <w:rPr>
          <w:rFonts w:ascii="Times New Roman" w:hAnsi="Times New Roman" w:eastAsia="宋体"/>
          <w:b/>
          <w:sz w:val="21"/>
        </w:rPr>
        <w:t>English Abstract:</w:t>
      </w:r>
    </w:p>
    <w:p>
      <w:r>
        <w:rPr>
          <w:rFonts w:ascii="Times New Roman" w:hAnsi="Times New Roman" w:eastAsia="宋体"/>
          <w:sz w:val="21"/>
        </w:rPr>
        <w:t>Single-photon avalanche diode (SPAD)-based light detection and ranging (LiDAR) introduces significant pileup errors at high echo photon flux due to the SPAD’s dead time. To expand the application of single-photon LiDAR in the field of remote sensing, autonomous driving, etc., it is crucial to perform rapid and accurate ranging within an echo photon flux of a wide dynamic range. Emerging SPAD array detectors combined with specific photon detection modes attempt to strike a balance between photon detection efficiency and hardware resources, necessitating the development of appropriate dead time compensation methods. Therefore, we experimentally investigated a synchronous single-photon ranging LiDAR operating in a mode where up to two photons are detected per laser cycle, and proposed dead time compensation methods based on forward modeling of the photon detection process. The results show that, using a wide laser pulse of 3.5 ns, the compensated ranging error is less than 4.2 cm, while the uncompensated ranging error is as max as 17.96 cm. Our method provides a reference for dead time compensation in single-photon LiDAR that requires comprehensive consideration of detection efficiency and hardware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具有眼箱控制光学系统的透视航空成像显示器</w:t>
      </w:r>
    </w:p>
    <w:p>
      <w:r>
        <w:rPr>
          <w:rFonts w:ascii="Times New Roman" w:hAnsi="Times New Roman" w:eastAsia="宋体"/>
          <w:b/>
          <w:color w:val="003264"/>
          <w:sz w:val="24"/>
        </w:rPr>
        <w:t>See-through aerial imaging display with eyebox control optical system</w:t>
      </w:r>
    </w:p>
    <w:p>
      <w:r>
        <w:rPr>
          <w:rFonts w:ascii="Times New Roman" w:hAnsi="Times New Roman" w:eastAsia="宋体"/>
          <w:sz w:val="21"/>
        </w:rPr>
        <w:t>作者: Naru Usukura, Shiro Suyama, Hirotsugu Yamamoto</w:t>
        <w:br/>
      </w:r>
      <w:r>
        <w:rPr>
          <w:rFonts w:ascii="Times New Roman" w:hAnsi="Times New Roman" w:eastAsia="宋体"/>
          <w:sz w:val="21"/>
        </w:rPr>
        <w:t xml:space="preserve">时间: 2026-01-26 | </w:t>
      </w:r>
      <w:r>
        <w:t xml:space="preserve">链接: </w:t>
      </w:r>
      <w:hyperlink r:id="rId165">
        <w:r>
          <w:rPr>
            <w:rFonts w:ascii="Times New Roman" w:hAnsi="Times New Roman" w:eastAsia="宋体"/>
            <w:color w:val="0000FF"/>
            <w:sz w:val="21"/>
            <w:u w:val="single"/>
          </w:rPr>
          <w:t>https://doi.org/10.1364/oe.586384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我们提出了一种新型非机械眼箱 (EB) 控制光学系统，用于通过逆反射 (AIRR) 进行航空成像，并与虚拟现实 (VR) 头戴式显示器 (HMD) 光学器件集成，从而消除了用户佩戴 HMD 的需要。该技术增强了用户的位置自由度。为了演示这一概念，我们采用 Pancharatnam Berry 相位衍射光栅 (PBP-DG) 作为一维 (1D) EB 位移装置并制造了一个演示器。实验结果证实，演示器使用距离 VR HMD 光学器件 30 毫米的 PBP-DG 成功地将 EB 在水平方向上移动了约 8 毫米。此外，我们确认虚像距离可以根据显示器和 VR HMD 光学器件之间的距离而变化。</w:t>
      </w:r>
    </w:p>
    <w:p>
      <w:pPr>
        <w:spacing w:before="120"/>
      </w:pPr>
      <w:r>
        <w:rPr>
          <w:rFonts w:ascii="Times New Roman" w:hAnsi="Times New Roman" w:eastAsia="宋体"/>
          <w:b/>
          <w:sz w:val="21"/>
        </w:rPr>
        <w:t>English Abstract:</w:t>
      </w:r>
    </w:p>
    <w:p>
      <w:r>
        <w:rPr>
          <w:rFonts w:ascii="Times New Roman" w:hAnsi="Times New Roman" w:eastAsia="宋体"/>
          <w:sz w:val="21"/>
        </w:rPr>
        <w:t>We propose what we believe to be a novel non-mechanical eyebox (EB) control optical system for aerial imaging by retro-reflection (AIRR) integrated with virtual reality (VR) head-mounted display (HMD) optics, eliminating the need for the user to wear an HMD. This technology enhances the user’s positional freedom. To demonstrate the concept, we employ a Pancharatnam Berry phase diffraction grating (PBP-DG) as a one-dimensional (1D) EB position-shifting device and fabricate a demonstrator. Experimental results confirm that the demonstrator successfully shifts the EB approximately 8 mm in the horizontal direction using a PBP-DG located 30 mm away from the VR HMD optics. Furthermore, we confirm that the virtual image distance can be varied depending on the distance between the display and the VR HMD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微钻孔空心光纤中快速灵敏的波长调制气体光谱</w:t>
      </w:r>
    </w:p>
    <w:p>
      <w:r>
        <w:rPr>
          <w:rFonts w:ascii="Times New Roman" w:hAnsi="Times New Roman" w:eastAsia="宋体"/>
          <w:b/>
          <w:color w:val="003264"/>
          <w:sz w:val="24"/>
        </w:rPr>
        <w:t>Fast and sensitive wavelength modulation gas spectroscopy in micro-drilled hollow-core fiber</w:t>
      </w:r>
    </w:p>
    <w:p>
      <w:r>
        <w:rPr>
          <w:rFonts w:ascii="Times New Roman" w:hAnsi="Times New Roman" w:eastAsia="宋体"/>
          <w:sz w:val="21"/>
        </w:rPr>
        <w:t>作者: Eleanor A. Warrington, Robert Peverall, Patrick S. Salter, Gus Hancock, Martin J. Booth, Grant A. D. Ritchie, Julian A. J. Fells</w:t>
        <w:br/>
      </w:r>
      <w:r>
        <w:rPr>
          <w:rFonts w:ascii="Times New Roman" w:hAnsi="Times New Roman" w:eastAsia="宋体"/>
          <w:sz w:val="21"/>
        </w:rPr>
        <w:t xml:space="preserve">时间: 2026-02-09 | </w:t>
      </w:r>
      <w:r>
        <w:t xml:space="preserve">链接: </w:t>
      </w:r>
      <w:hyperlink r:id="rId166">
        <w:r>
          <w:rPr>
            <w:rFonts w:ascii="Times New Roman" w:hAnsi="Times New Roman" w:eastAsia="宋体"/>
            <w:color w:val="0000FF"/>
            <w:sz w:val="21"/>
            <w:u w:val="single"/>
          </w:rPr>
          <w:t>https://doi.org/10.1364/oe.583087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钻孔反谐振光纤被证明是基于激光的光谱乙炔传感的实用工具，克服了通常与基于空心光纤的方法相关的缓慢的光纤填充时间。沿着纤维的长度定期在纤维的侧面钻出微通道，利用图像处理准确瞄准毛细管之间的间隙，以最大限度地减少损失。在空气中平衡的 0.3% 乙炔/0.3% 甲烷气体混合物在两个微加工纤维样品上进行了近红外测试。使用波长调制光谱来提高检测的灵敏度。研究发现，每 5 cm 具有微通道的 1 m 反谐振光纤在大气压下的最小检测限为 380 ppb，采集时间为 100 s，光纤填充时间为 22 s，无需使用压差。对于 30 厘米纤维，微通道间隔更近 2 厘米，填充时间为 4.2 秒。</w:t>
      </w:r>
    </w:p>
    <w:p>
      <w:pPr>
        <w:spacing w:before="120"/>
      </w:pPr>
      <w:r>
        <w:rPr>
          <w:rFonts w:ascii="Times New Roman" w:hAnsi="Times New Roman" w:eastAsia="宋体"/>
          <w:b/>
          <w:sz w:val="21"/>
        </w:rPr>
        <w:t>English Abstract:</w:t>
      </w:r>
    </w:p>
    <w:p>
      <w:r>
        <w:rPr>
          <w:rFonts w:ascii="Times New Roman" w:hAnsi="Times New Roman" w:eastAsia="宋体"/>
          <w:sz w:val="21"/>
        </w:rPr>
        <w:t>Micro-drilled anti-resonant fiber is demonstrated as a practicable tool for laser-based spectroscopic acetylene sensing, overcoming the slow fiber-filling time usually associated with hollow-core fiber-based methods. Microchannels were drilled through the side of the fiber, periodically along its length, using image processing to accurately target the gap between the capillaries for minimal loss. A 0.3% acetylene / 0.3% methane gas mixture balanced in air was tested in the near-infrared on two micro-machined fiber samples. Wavelength modulation spectroscopy was used to enhance the sensitivity of the detection. A 1 m anti-resonant fiber with microchannels every 5 cm was found to have a minimum detection limit of 380 parts per billion at atmospheric pressure and 100 s acquisition time with a 22 s fiber filling time without the use of a pressure differential. The filling time was 4.2 s for a 30 cm fiber with a closer microchannel separation of 2 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使用多阶泰勒展开的时空解耦迭代算法用于有限带宽照明的随机相移干涉测量</w:t>
      </w:r>
    </w:p>
    <w:p>
      <w:r>
        <w:rPr>
          <w:rFonts w:ascii="Times New Roman" w:hAnsi="Times New Roman" w:eastAsia="宋体"/>
          <w:b/>
          <w:color w:val="003264"/>
          <w:sz w:val="24"/>
        </w:rPr>
        <w:t>Spatiotemporally decoupled iterative algorithm using multi-order Taylor expansion for random phase-shifting interferometry with finite bandwidth illumination</w:t>
      </w:r>
    </w:p>
    <w:p>
      <w:r>
        <w:rPr>
          <w:rFonts w:ascii="Times New Roman" w:hAnsi="Times New Roman" w:eastAsia="宋体"/>
          <w:sz w:val="21"/>
        </w:rPr>
        <w:t>作者: Xiangxue Wang, Mingliang Duan, Zhihao Liu, Yuxuan Kan, Mengjiao Huang, Yafei Wang, Yi Zong, Jianxin Li</w:t>
        <w:br/>
      </w:r>
      <w:r>
        <w:rPr>
          <w:rFonts w:ascii="Times New Roman" w:hAnsi="Times New Roman" w:eastAsia="宋体"/>
          <w:sz w:val="21"/>
        </w:rPr>
        <w:t xml:space="preserve">时间: 2026-01-26 | </w:t>
      </w:r>
      <w:r>
        <w:t xml:space="preserve">链接: </w:t>
      </w:r>
      <w:hyperlink r:id="rId167">
        <w:r>
          <w:rPr>
            <w:rFonts w:ascii="Times New Roman" w:hAnsi="Times New Roman" w:eastAsia="宋体"/>
            <w:color w:val="0000FF"/>
            <w:sz w:val="21"/>
            <w:u w:val="single"/>
          </w:rPr>
          <w:t>https://doi.org/10.1364/oe.587287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带宽光源相移干涉测量是超光滑光学元件高精度测量的关键技术。然而，受振动、移动设备和光谱带宽的影响，干涉条纹不仅表现出随机相移误差，而且还表现出帧内和帧间调制幅度的非线性和不均匀变化，这降低了现有随机相移算法的相位恢复精度。为了解决这个问题，我们提出了一种时空解耦迭代算法（SDIA）。该方法通过多阶泰勒展开解耦时空变化的调制幅度，在两个不同的迭代步骤中逐步分离时间相关变量和空间相关变量，构建无变量耦合的线性方程，从而通过最小二乘交替迭代实现高精度相位恢复。仿真和实验验证了该算法的可行性和高精度。实验结果表明，对于40 nm带宽照明下的随机相移干涉图，平面光滑镜的反演残余误差分别低于1 nm（PV）和0.1 nm（RMS）。据我们所知，这是首次提出这种使用多阶泰勒展开的时空解耦迭代算法，该算法可以解决有限带宽照明条件下的随机相移误差和时空耦合调制变化。</w:t>
      </w:r>
    </w:p>
    <w:p>
      <w:pPr>
        <w:spacing w:before="120"/>
      </w:pPr>
      <w:r>
        <w:rPr>
          <w:rFonts w:ascii="Times New Roman" w:hAnsi="Times New Roman" w:eastAsia="宋体"/>
          <w:b/>
          <w:sz w:val="21"/>
        </w:rPr>
        <w:t>English Abstract:</w:t>
      </w:r>
    </w:p>
    <w:p>
      <w:r>
        <w:rPr>
          <w:rFonts w:ascii="Times New Roman" w:hAnsi="Times New Roman" w:eastAsia="宋体"/>
          <w:sz w:val="21"/>
        </w:rPr>
        <w:t>Phase-shifting interferometry with finite bandwidth light sources is a key technique for high-precision measurement of ultra-smooth optical components. However, influenced by vibrations, moving devices, and spectral bandwidth, the interference fringes exhibit not only random phase-shifting errors but also intra- and inter-frame nonlinear and non-uniform variations in modulation amplitude, which degrades the phase retrieval accuracy of existing random phase-shifting algorithms. To solve this problem, we propose a spatiotemporally decoupled iterative algorithm (SDIA). This method decouples the spatiotemporally varying modulation amplitude via multi-order Taylor expansion, stepwise separating the time-dependent and space-dependent variables in two distinct iterative steps to construct linear equations without variable coupling, thereby achieving high-precision phase retrieval via the least-squares alternating iteration. Simulations and experiments validated the feasibility and high accuracy of the proposed algorithm. The experimental results demonstrate that, for randomly phase-shifted interferograms under 40 nm bandwidth illumination, the retrieval residual errors of a planar smooth mirror are below 1 nm (PV) and 0.1 nm (RMS), respectively. To the best of our knowledge, this is the first time that such a spatiotemporal decoupling iterative algorithm using multi-order Taylor expansion has been proposed, which can address both random phase-shifting errors and spatiotemporally coupled modulation variations under finite bandwidth illumination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06:34 ---</w:t>
      </w:r>
    </w:p>
    <w:p>
      <w:pPr>
        <w:pStyle w:val="Heading2"/>
      </w:pPr>
      <w:r/>
      <w:r>
        <w:rPr>
          <w:rFonts w:ascii="Times New Roman" w:hAnsi="Times New Roman" w:eastAsia="宋体"/>
          <w:b/>
          <w:color w:val="000000"/>
          <w:sz w:val="24"/>
        </w:rPr>
        <w:t>波导谐振器系统中连续体束缚态实现的灵敏度可调复介电常数传感</w:t>
      </w:r>
    </w:p>
    <w:p>
      <w:r>
        <w:rPr>
          <w:rFonts w:ascii="Times New Roman" w:hAnsi="Times New Roman" w:eastAsia="宋体"/>
          <w:b/>
          <w:color w:val="003264"/>
          <w:sz w:val="24"/>
        </w:rPr>
        <w:t>Sensitivity‐Tunable Complex Permittivity Sensing Enabled by Bound States in the Continuum in a Waveguide‐Resonator System</w:t>
      </w:r>
    </w:p>
    <w:p>
      <w:r>
        <w:rPr>
          <w:rFonts w:ascii="Times New Roman" w:hAnsi="Times New Roman" w:eastAsia="宋体"/>
          <w:sz w:val="21"/>
        </w:rPr>
        <w:t>作者: Yuhang Yang, Yinbing An, Yu Chen, Yihao Yang, Zi‐lan Deng, Yulan Huang, Shangli Tang, Tao Fu</w:t>
        <w:br/>
      </w:r>
      <w:r>
        <w:rPr>
          <w:rFonts w:ascii="Times New Roman" w:hAnsi="Times New Roman" w:eastAsia="宋体"/>
          <w:sz w:val="21"/>
        </w:rPr>
        <w:t xml:space="preserve">时间: 2026-02-09 | </w:t>
      </w:r>
      <w:r>
        <w:t xml:space="preserve">链接: </w:t>
      </w:r>
      <w:hyperlink r:id="rId178">
        <w:r>
          <w:rPr>
            <w:rFonts w:ascii="Times New Roman" w:hAnsi="Times New Roman" w:eastAsia="宋体"/>
            <w:color w:val="0000FF"/>
            <w:sz w:val="21"/>
            <w:u w:val="single"/>
          </w:rPr>
          <w:t>https://doi.org/10.1002/lpor.202502110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连续体束缚态（BIC）具有强场限制和理论上无限的品质因数，为增强光与物质相互作用提供了强大的机制。在这里，我们提出并通过实验证明了一种通用策略，用于在微波范围内的紧凑金属矩形波导-长方体谐振器系统中构建和合并两种类型的 BIC。利用高准BIC，开发了一种灵敏度可调的复介电常数传感器，其传感灵敏度可通过波导谐振器结构参数进行调节。第一原理分析建立了传输系数和材料复介电常数之间的定量关系，从而能够同时提取实部和损耗角正切。使用具有明确介电常数的商用微波介电基板验证了传感器的准确性，并通过交叉检查实验进一步证实了其可调灵敏度。与代表性的微波介电常数传感器相比，所提出的方法在频率检测分辨率方面实现了 90% 以上的改进，在归一化灵敏度方面提高了近五倍。得益于其超高的品质因数、可调的灵敏度和第一性原理指导的设计，该传感器可以扩展到不同的频率和结构配置，同时允许方便的样品更换。这些功能使其非常适合射频基板表征、实验室规模的材料筛选和其他高灵敏度微波传感应用。</w:t>
      </w:r>
    </w:p>
    <w:p>
      <w:pPr>
        <w:spacing w:before="120"/>
      </w:pPr>
      <w:r>
        <w:rPr>
          <w:rFonts w:ascii="Times New Roman" w:hAnsi="Times New Roman" w:eastAsia="宋体"/>
          <w:b/>
          <w:sz w:val="21"/>
        </w:rPr>
        <w:t>English Abstract:</w:t>
      </w:r>
    </w:p>
    <w:p>
      <w:r>
        <w:rPr>
          <w:rFonts w:ascii="Times New Roman" w:hAnsi="Times New Roman" w:eastAsia="宋体"/>
          <w:sz w:val="21"/>
        </w:rPr>
        <w:t>ABSTRACT Bound states in the continuum (BICs), featuring strong field confinement and theoretically infinite quality factors, offer a powerful mechanism for enhancing light–matter interactions. Here, we propose and experimentally demonstrate a universal strategy to construct and merge two types of BICs in a compact metallic rectangular waveguide‐cuboid resonator system in the microwave regime. Leveraging the high‐ quasi‐BICs, a sensitivity‐tunable complex permittivity sensor is developed, with sensing sensitivity adjustable through waveguide‐resonator structural parameters. A first‐principles analysis establishes a quantitative relationship between the transmission coefficient and the material's complex permittivity, enabling simultaneous extraction of the real part and loss tangent. The sensor's accuracy is validated using commercial microwave dielectric substrates with well‐defined permittivities, and its tunable sensitivity is further confirmed through cross‐check experiments. Compared with representative microwave permittivity sensors, the proposed approach achieves over 90% improvement in frequency detection resolution and nearly fivefold enhancement in normalized sensitivity. Benefiting from its ultrahigh quality factor, tunable sensitivity, and first‐principles‐guided design, the sensor can be extended to different frequencies and structural configurations, while allowing convenient sample replacement. These features make it highly suitable for RF substrate characterization, laboratory‐scale material screening, and other high‐sensitivity microwave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利用量子干涉调整空间相关性</w:t>
      </w:r>
    </w:p>
    <w:p>
      <w:r>
        <w:rPr>
          <w:rFonts w:ascii="Times New Roman" w:hAnsi="Times New Roman" w:eastAsia="宋体"/>
          <w:b/>
          <w:color w:val="003264"/>
          <w:sz w:val="24"/>
        </w:rPr>
        <w:t>Tailoring Spatial Correlations With Quantum Interference</w:t>
      </w:r>
    </w:p>
    <w:p>
      <w:r>
        <w:rPr>
          <w:rFonts w:ascii="Times New Roman" w:hAnsi="Times New Roman" w:eastAsia="宋体"/>
          <w:sz w:val="21"/>
        </w:rPr>
        <w:t>作者: Carlo Schiano, Bereneice Sephton, Elnaz Darsheshdar, Lorenzo Marrucci, Corrado de Lisio, Vincenzo D'Ambrosio</w:t>
        <w:br/>
      </w:r>
      <w:r>
        <w:rPr>
          <w:rFonts w:ascii="Times New Roman" w:hAnsi="Times New Roman" w:eastAsia="宋体"/>
          <w:sz w:val="21"/>
        </w:rPr>
        <w:t xml:space="preserve">时间: 2026-02-09 | </w:t>
      </w:r>
      <w:r>
        <w:t xml:space="preserve">链接: </w:t>
      </w:r>
      <w:hyperlink r:id="rId179">
        <w:r>
          <w:rPr>
            <w:rFonts w:ascii="Times New Roman" w:hAnsi="Times New Roman" w:eastAsia="宋体"/>
            <w:color w:val="0000FF"/>
            <w:sz w:val="21"/>
            <w:u w:val="single"/>
          </w:rPr>
          <w:t>https://doi.org/10.1002/lpor.202502895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相关性是许多量子光学实验的核心资源，其应用范围从量子信息协议到传感。设计这种相关性通常具有挑战性，尤其是在多粒子场景中。这项工作描述了一种通过在量子干涉装置中图案化光子之间的可区分性来塑造光子之间的空间相关性的有效方法。介绍了如何编写和编辑分束器两个输出通道之间的这些双光子相关性，其中编码的信息仍然隐藏在传统强度测量中。这里提出的方案提供了对多粒子场景的简单扩展，并促进高维量子信息的传输，为量子技术和成像协议的应用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Photon correlations represent a central resource in many quantum optics experiments, with applications ranging from quantum information protocols to sensing. Engineering such correlations is often challenging, especially in multi‐particle scenarios. This work describes an effective method for shaping spatial correlations between photons by patterning their distinguishability in a quantum interference setup. How one may write and edit these bi‐photon correlations between the two output channels of a beam‐splitter is presented, where the information encoded remains hidden from conventional intensity measurements. The scheme presented here offers an easy extension to multiparticle scenarios and facilitates the transmission of high‐dimensional quantum information, opening new avenues for applications in quantum technologies and imaging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 Si(001) 上直接生长 InAs/GaAs 量子点激光器和光电探测器来实现大规模单片集成高速互连芯片</w:t>
      </w:r>
    </w:p>
    <w:p>
      <w:r>
        <w:rPr>
          <w:rFonts w:ascii="Times New Roman" w:hAnsi="Times New Roman" w:eastAsia="宋体"/>
          <w:b/>
          <w:color w:val="003264"/>
          <w:sz w:val="24"/>
        </w:rPr>
        <w:t>Large‐Scale Monolithically‐Integrated High‐Speed Interconnect Chips via Direct Growth of InAs/GaAs Quantum Dot Lasers and Photodetectors on Si(001)</w:t>
      </w:r>
    </w:p>
    <w:p>
      <w:r>
        <w:rPr>
          <w:rFonts w:ascii="Times New Roman" w:hAnsi="Times New Roman" w:eastAsia="宋体"/>
          <w:sz w:val="21"/>
        </w:rPr>
        <w:t>作者: Shenglin Wang, Yueying Niu, Wanlin Liu, Kehan Jiang, Kun Zhou, Hongyu Chai, Dan Lu, Xiaoguang Yang, Tao Yang</w:t>
        <w:br/>
      </w:r>
      <w:r>
        <w:rPr>
          <w:rFonts w:ascii="Times New Roman" w:hAnsi="Times New Roman" w:eastAsia="宋体"/>
          <w:sz w:val="21"/>
        </w:rPr>
        <w:t xml:space="preserve">时间: 2026-02-09 | </w:t>
      </w:r>
      <w:r>
        <w:t xml:space="preserve">链接: </w:t>
      </w:r>
      <w:hyperlink r:id="rId180">
        <w:r>
          <w:rPr>
            <w:rFonts w:ascii="Times New Roman" w:hAnsi="Times New Roman" w:eastAsia="宋体"/>
            <w:color w:val="0000FF"/>
            <w:sz w:val="21"/>
            <w:u w:val="single"/>
          </w:rPr>
          <w:t>https://doi.org/10.1002/lpor.202503131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硅光子集成电路 (PIC) 已成为光通信、互连、光子计算和传感的尖端平台，可提供卓越的数据吞吐量和节能运行。圣杯是实现将光源和光子元件单片集成在单个硅晶圆上。然而，这种集成在材料工程和集成技术方面面临着巨大的挑战，特别是对于片上光源。在这里，我们提出了一种通过在 CMOS 兼容 (001) 硅基板上直接外延量子点 (QD) 材料来开发大规模单片集成高速互连芯片的策略。在八层QD外延结构的基础上，我们同时制造了直接调制激光器和用于发射和接收的波导光电探测器（PD）。单个 QD 激光器和 PD 的带宽测量结果分别显示 4.5 GHz 和 2.02 GHz 的 3 dB 带宽。不归零（NRZ）信号测量表明，激光器可以实现最大12.5 Gbit/s的直接调制速率，而PD的数据接收能力为5 Gbit/s。此外，通过自由空间光学耦合结构展示了集成激光器和 PD 之间片上光学互连的最先进的 1.01 GHz 链路速率。这项工作展示了一种实现大规模单片集成芯片的新方法，可以实现未来的多功能应用。</w:t>
      </w:r>
    </w:p>
    <w:p>
      <w:pPr>
        <w:spacing w:before="120"/>
      </w:pPr>
      <w:r>
        <w:rPr>
          <w:rFonts w:ascii="Times New Roman" w:hAnsi="Times New Roman" w:eastAsia="宋体"/>
          <w:b/>
          <w:sz w:val="21"/>
        </w:rPr>
        <w:t>English Abstract:</w:t>
      </w:r>
    </w:p>
    <w:p>
      <w:r>
        <w:rPr>
          <w:rFonts w:ascii="Times New Roman" w:hAnsi="Times New Roman" w:eastAsia="宋体"/>
          <w:sz w:val="21"/>
        </w:rPr>
        <w:t>ABSTRACT Silicon photonic integrated circuits (PICs) have emerged as cutting‐edge platforms for optical communication, interconnection, photonic computing, and sensing, delivering exceptional data throughput and energy‐efficient operation. A holy grail is the realization of light sources and photonic components monolithically integrated on a single silicon wafer. However, such integration faces formidable challenges in material engineering and integration techniques, especially for on‐chip light sources. Here, we propose a strategy for developing large‐scale monolithically‐integrated high‐speed interconnect chips via direct epitaxy of quantum dot (QD) materials on CMOS‐compatible (001) silicon substrate. On the basis of an eight‐layer QD epitaxial structure, we simultaneously fabricate direct modulation lasers and waveguide photodetectors (PDs) for emission and reception. Bandwidth measurements for the single QD lasers and PDs reveal 3 dB bandwidths of 4.5 GHz and 2.02 GHz, respectively. Non‐return‐to‐zero (NRZ) signal measurements show that the laser can achieve a maximum direct modulation rate of 12.5 Gbit/s, whereas the PD has a data reception capability of 5 Gbit/s. Moreover, a state‐of‐the‐art link rate of 1.01 GHz for on‐chip optical interconnection between the integrated lasers and PDs is demonstrated through a free‐space optical coupling structure. This work demonstrates a novel method to realize large‐scale monolithically‐integrated chips, which enables future versatile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06:34 ---</w:t>
      </w:r>
    </w:p>
    <w:p>
      <w:pPr>
        <w:pStyle w:val="Heading2"/>
      </w:pPr>
      <w:r/>
      <w:r>
        <w:rPr>
          <w:rFonts w:ascii="Times New Roman" w:hAnsi="Times New Roman" w:eastAsia="宋体"/>
          <w:b/>
          <w:color w:val="000000"/>
          <w:sz w:val="24"/>
        </w:rPr>
        <w:t>新任联合主编的就职致辞</w:t>
      </w:r>
    </w:p>
    <w:p>
      <w:r>
        <w:rPr>
          <w:rFonts w:ascii="Times New Roman" w:hAnsi="Times New Roman" w:eastAsia="宋体"/>
          <w:b/>
          <w:color w:val="003264"/>
          <w:sz w:val="24"/>
        </w:rPr>
        <w:t>Inaugural message from the new Co-Editor-in-Chief</w:t>
      </w:r>
    </w:p>
    <w:p>
      <w:r>
        <w:rPr>
          <w:rFonts w:ascii="Times New Roman" w:hAnsi="Times New Roman" w:eastAsia="宋体"/>
          <w:sz w:val="21"/>
        </w:rPr>
        <w:t>作者: Martin J. Booth</w:t>
        <w:br/>
      </w:r>
      <w:r>
        <w:rPr>
          <w:rFonts w:ascii="Times New Roman" w:hAnsi="Times New Roman" w:eastAsia="宋体"/>
          <w:sz w:val="21"/>
        </w:rPr>
        <w:t xml:space="preserve">时间: 2026-02-10 | </w:t>
      </w:r>
      <w:r>
        <w:t xml:space="preserve">链接: </w:t>
      </w:r>
      <w:hyperlink r:id="rId181">
        <w:r>
          <w:rPr>
            <w:rFonts w:ascii="Times New Roman" w:hAnsi="Times New Roman" w:eastAsia="宋体"/>
            <w:color w:val="0000FF"/>
            <w:sz w:val="21"/>
            <w:u w:val="single"/>
          </w:rPr>
          <w:t>https://doi.org/10.1038/s41377-026-02221-9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扭曲过渡金属二硫属化物异质双层中的低阈值层间激子倍增</w:t>
      </w:r>
    </w:p>
    <w:p>
      <w:r>
        <w:rPr>
          <w:rFonts w:ascii="Times New Roman" w:hAnsi="Times New Roman" w:eastAsia="宋体"/>
          <w:b/>
          <w:color w:val="003264"/>
          <w:sz w:val="24"/>
        </w:rPr>
        <w:t>Low-threshold interlayer exciton multiplication in twisted transition metal dichalcogenides heterobilayers</w:t>
      </w:r>
    </w:p>
    <w:p>
      <w:r>
        <w:rPr>
          <w:rFonts w:ascii="Times New Roman" w:hAnsi="Times New Roman" w:eastAsia="宋体"/>
          <w:sz w:val="21"/>
        </w:rPr>
        <w:t>作者: Pengzhi Wang, Gan Wang, Chenhao Wang, Qi Wei, Yuxuan Chen, Qi Liu, Luwei Zhou, Hui Ren, Xiang Zhang, Jiangbo Peng, Leyi Zhao, Tao-Yuan Du, Mingjie Li</w:t>
        <w:br/>
      </w:r>
      <w:r>
        <w:rPr>
          <w:rFonts w:ascii="Times New Roman" w:hAnsi="Times New Roman" w:eastAsia="宋体"/>
          <w:sz w:val="21"/>
        </w:rPr>
        <w:t xml:space="preserve">时间: 2026-02-10 | </w:t>
      </w:r>
      <w:r>
        <w:t xml:space="preserve">链接: </w:t>
      </w:r>
      <w:hyperlink r:id="rId182">
        <w:r>
          <w:rPr>
            <w:rFonts w:ascii="Times New Roman" w:hAnsi="Times New Roman" w:eastAsia="宋体"/>
            <w:color w:val="0000FF"/>
            <w:sz w:val="21"/>
            <w:u w:val="single"/>
          </w:rPr>
          <w:t>https://doi.org/10.1038/s41377-026-02193-w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单光子吸收产生多激子（MEG）可以提高光发射和能量转换的量子效率。然而，其实际应用受到高光子能量阈值、大材料带隙和快速激子复合的限制。在这里，我们报告了扭曲范德华异质双层中层间激子倍增（IXM）的观察，其中过程阈值低至II型带隙的两倍，并且由此产生的多个层间激子（IX）表现出纳秒级的寿命。这些特性直接解决了 MEG 的核心挑战，从而显着提高了层间激子发射和光电流量子效率。理论计算证实了实验结果，表明低阈值 IXM 是由层间热载流子散射促进的，并且伴随着有吸引力的 IX 相互作用，即使在动量失配显着的较大扭转角下也是如此。由于强大的热载流子层间转移和高效的层间碰撞电离，扭转角引起的动量失配对 IXM 阈值的影响很小。在小扭转角异质双层中，IXM 效率达到约 90%，但在较大角度和较高泵浦光子能量下会降低，这一趋势归因于层间热载流子库仑散射的减少。此外，我们还演示了 IXM 驱动的光电流倍增。施加的电场进一步降低了 IXM 阈值并增加了 IX 产率，从而使自供电异质双层光电二极管的量子效率提高了一倍，响应率提高了四倍。我们的研究结果确立了 IXM 作为高效载流子倍增光电子学的一种有前途的机制，并为稳定多激子的多体物理提供了见解。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Multiple exciton generation (MEG) from single-photon absorption can enhance quantum efficiencies in light emission and energy conversion. However, its practical application is limited by high photon-energy thresholds, large material bandgaps, and rapid exciton recombination. Here, we report the observation of interlayer exciton multiplication (IXM) in twisted van der Waals heterobilayers, where the process threshold is as low as twice the type-II bandgap and the resulting multiple interlayer excitons (IXs) exhibit nanosecond-scale lifetimes. These properties directly address the core challenges of MEG, leading to a significant boost in both interlayer exciton emission and photocurrent quantum efficiency. Theoretical calculations confirm the experimental results, revealing that low-threshold IXM is facilitated by interlayer hot-carrier scattering and is accompanied by attractive IX interactions, even at larger twist angles where momentum mismatch is significant. Twist-angle-induced momentum mismatches have a minimal impact on the IXM threshold due to strong hot-carrier interlayer transfer and efficient intervalley impact ionization. The IXM efficiency reaches ~90% in small-twist-angle heterobilayers but decreases at larger angles and higher pump photon energies, a trend attributed to reduced interlayer hot-carrier Coulomb scattering. Furthermore, we demonstrate photocurrent multiplication driven by IXM. Applied electric fields further lower the IXM threshold and increase the IX yield, enabling a twofold enhancement in quantum efficiency and a fourfold increase in responsivity in a self-powered heterobilayer photodiode. Our results establish IXM as a promising mechanism for high-efficiency carrier-multiplication optoelectronics and provide insights into the many-body physics of stable multiple excitons.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8-4" TargetMode="External"/><Relationship Id="rId11" Type="http://schemas.openxmlformats.org/officeDocument/2006/relationships/hyperlink" Target="https://doi.org/10.1038/s41467-026-69373-5" TargetMode="External"/><Relationship Id="rId12" Type="http://schemas.openxmlformats.org/officeDocument/2006/relationships/hyperlink" Target="https://doi.org/10.1038/s41467-026-69299-y" TargetMode="External"/><Relationship Id="rId13" Type="http://schemas.openxmlformats.org/officeDocument/2006/relationships/hyperlink" Target="https://doi.org/10.1038/s41467-026-68905-3" TargetMode="External"/><Relationship Id="rId14" Type="http://schemas.openxmlformats.org/officeDocument/2006/relationships/hyperlink" Target="https://doi.org/10.1038/s41467-026-69295-2" TargetMode="External"/><Relationship Id="rId15" Type="http://schemas.openxmlformats.org/officeDocument/2006/relationships/hyperlink" Target="https://doi.org/10.1038/s41467-026-69428-7" TargetMode="External"/><Relationship Id="rId16" Type="http://schemas.openxmlformats.org/officeDocument/2006/relationships/hyperlink" Target="https://doi.org/10.1038/s41598-026-37944-7" TargetMode="External"/><Relationship Id="rId17" Type="http://schemas.openxmlformats.org/officeDocument/2006/relationships/hyperlink" Target="https://doi.org/10.1038/s41598-026-38886-w" TargetMode="External"/><Relationship Id="rId18" Type="http://schemas.openxmlformats.org/officeDocument/2006/relationships/hyperlink" Target="https://doi.org/10.1038/s41598-026-38538-z" TargetMode="External"/><Relationship Id="rId19" Type="http://schemas.openxmlformats.org/officeDocument/2006/relationships/hyperlink" Target="https://doi.org/10.1038/s41598-026-38188-1" TargetMode="External"/><Relationship Id="rId20" Type="http://schemas.openxmlformats.org/officeDocument/2006/relationships/hyperlink" Target="https://doi.org/10.1038/s41598-026-38179-2" TargetMode="External"/><Relationship Id="rId21" Type="http://schemas.openxmlformats.org/officeDocument/2006/relationships/hyperlink" Target="https://doi.org/10.1038/s41598-026-39598-x" TargetMode="External"/><Relationship Id="rId22" Type="http://schemas.openxmlformats.org/officeDocument/2006/relationships/hyperlink" Target="https://doi.org/10.1038/s41598-025-33553-y" TargetMode="External"/><Relationship Id="rId23" Type="http://schemas.openxmlformats.org/officeDocument/2006/relationships/hyperlink" Target="https://doi.org/10.1038/s41598-026-38220-4" TargetMode="External"/><Relationship Id="rId24" Type="http://schemas.openxmlformats.org/officeDocument/2006/relationships/hyperlink" Target="https://doi.org/10.1038/s41598-026-38293-1" TargetMode="External"/><Relationship Id="rId25" Type="http://schemas.openxmlformats.org/officeDocument/2006/relationships/hyperlink" Target="https://doi.org/10.1038/s41598-025-34176-z" TargetMode="External"/><Relationship Id="rId26" Type="http://schemas.openxmlformats.org/officeDocument/2006/relationships/hyperlink" Target="https://doi.org/10.1038/s41598-026-36616-w" TargetMode="External"/><Relationship Id="rId27" Type="http://schemas.openxmlformats.org/officeDocument/2006/relationships/hyperlink" Target="https://doi.org/10.1038/s41598-026-37370-9" TargetMode="External"/><Relationship Id="rId28" Type="http://schemas.openxmlformats.org/officeDocument/2006/relationships/hyperlink" Target="https://doi.org/10.1038/s41598-026-39066-6" TargetMode="External"/><Relationship Id="rId29" Type="http://schemas.openxmlformats.org/officeDocument/2006/relationships/hyperlink" Target="https://doi.org/10.1038/s41598-026-38938-1" TargetMode="External"/><Relationship Id="rId30" Type="http://schemas.openxmlformats.org/officeDocument/2006/relationships/hyperlink" Target="https://doi.org/10.1038/s41598-026-39315-8" TargetMode="External"/><Relationship Id="rId31" Type="http://schemas.openxmlformats.org/officeDocument/2006/relationships/hyperlink" Target="https://doi.org/10.1038/s41598-026-39626-w" TargetMode="External"/><Relationship Id="rId32" Type="http://schemas.openxmlformats.org/officeDocument/2006/relationships/hyperlink" Target="https://doi.org/10.1038/s41598-026-38652-y" TargetMode="External"/><Relationship Id="rId33" Type="http://schemas.openxmlformats.org/officeDocument/2006/relationships/hyperlink" Target="https://doi.org/10.1038/s41598-025-33369-w" TargetMode="External"/><Relationship Id="rId34" Type="http://schemas.openxmlformats.org/officeDocument/2006/relationships/hyperlink" Target="https://doi.org/10.1038/s41598-026-38654-w" TargetMode="External"/><Relationship Id="rId35" Type="http://schemas.openxmlformats.org/officeDocument/2006/relationships/hyperlink" Target="https://doi.org/10.1038/s41598-026-35830-w" TargetMode="External"/><Relationship Id="rId36" Type="http://schemas.openxmlformats.org/officeDocument/2006/relationships/hyperlink" Target="https://doi.org/10.1038/s41598-026-39390-x" TargetMode="External"/><Relationship Id="rId37" Type="http://schemas.openxmlformats.org/officeDocument/2006/relationships/hyperlink" Target="https://doi.org/10.1038/s41598-026-39559-4" TargetMode="External"/><Relationship Id="rId38" Type="http://schemas.openxmlformats.org/officeDocument/2006/relationships/hyperlink" Target="https://doi.org/10.1038/s41598-026-38694-2" TargetMode="External"/><Relationship Id="rId39" Type="http://schemas.openxmlformats.org/officeDocument/2006/relationships/hyperlink" Target="https://doi.org/10.1038/s41598-026-39380-z" TargetMode="External"/><Relationship Id="rId40" Type="http://schemas.openxmlformats.org/officeDocument/2006/relationships/hyperlink" Target="https://doi.org/10.1038/s41598-026-36785-8" TargetMode="External"/><Relationship Id="rId41" Type="http://schemas.openxmlformats.org/officeDocument/2006/relationships/hyperlink" Target="https://doi.org/10.1016/j.displa.2026.103389" TargetMode="External"/><Relationship Id="rId42" Type="http://schemas.openxmlformats.org/officeDocument/2006/relationships/hyperlink" Target="https://doi.org/10.1016/j.displa.2026.103391" TargetMode="External"/><Relationship Id="rId43" Type="http://schemas.openxmlformats.org/officeDocument/2006/relationships/hyperlink" Target="https://doi.org/10.1016/j.displa.2026.103357" TargetMode="External"/><Relationship Id="rId44" Type="http://schemas.openxmlformats.org/officeDocument/2006/relationships/hyperlink" Target="https://doi.org/10.1016/j.optlaseng.2026.109680" TargetMode="External"/><Relationship Id="rId45" Type="http://schemas.openxmlformats.org/officeDocument/2006/relationships/hyperlink" Target="https://doi.org/10.1016/j.optcom.2026.132987" TargetMode="External"/><Relationship Id="rId46" Type="http://schemas.openxmlformats.org/officeDocument/2006/relationships/hyperlink" Target="https://doi.org/10.1016/j.optcom.2026.133006" TargetMode="External"/><Relationship Id="rId47" Type="http://schemas.openxmlformats.org/officeDocument/2006/relationships/hyperlink" Target="https://doi.org/10.1364/ao.584283" TargetMode="External"/><Relationship Id="rId48" Type="http://schemas.openxmlformats.org/officeDocument/2006/relationships/hyperlink" Target="https://doi.org/10.1364/ao.574443" TargetMode="External"/><Relationship Id="rId49" Type="http://schemas.openxmlformats.org/officeDocument/2006/relationships/hyperlink" Target="https://doi.org/10.1364/ao.583050" TargetMode="External"/><Relationship Id="rId50" Type="http://schemas.openxmlformats.org/officeDocument/2006/relationships/hyperlink" Target="https://doi.org/10.1364/ao.566829" TargetMode="External"/><Relationship Id="rId51" Type="http://schemas.openxmlformats.org/officeDocument/2006/relationships/hyperlink" Target="https://doi.org/10.1364/ao.575365" TargetMode="External"/><Relationship Id="rId52" Type="http://schemas.openxmlformats.org/officeDocument/2006/relationships/hyperlink" Target="https://doi.org/10.1364/ao.580943" TargetMode="External"/><Relationship Id="rId53" Type="http://schemas.openxmlformats.org/officeDocument/2006/relationships/hyperlink" Target="https://doi.org/10.1364/ao.580426" TargetMode="External"/><Relationship Id="rId54" Type="http://schemas.openxmlformats.org/officeDocument/2006/relationships/hyperlink" Target="https://doi.org/10.1364/ao.586077" TargetMode="External"/><Relationship Id="rId55" Type="http://schemas.openxmlformats.org/officeDocument/2006/relationships/hyperlink" Target="https://doi.org/10.1364/ao.580121" TargetMode="External"/><Relationship Id="rId56" Type="http://schemas.openxmlformats.org/officeDocument/2006/relationships/hyperlink" Target="https://doi.org/10.1364/ao.588474" TargetMode="External"/><Relationship Id="rId57" Type="http://schemas.openxmlformats.org/officeDocument/2006/relationships/hyperlink" Target="https://doi.org/10.1364/ao.580558" TargetMode="External"/><Relationship Id="rId58" Type="http://schemas.openxmlformats.org/officeDocument/2006/relationships/hyperlink" Target="https://doi.org/10.1364/ao.580581" TargetMode="External"/><Relationship Id="rId59" Type="http://schemas.openxmlformats.org/officeDocument/2006/relationships/hyperlink" Target="https://doi.org/10.1364/ao.582540" TargetMode="External"/><Relationship Id="rId60" Type="http://schemas.openxmlformats.org/officeDocument/2006/relationships/hyperlink" Target="https://doi.org/10.1364/ao.581353" TargetMode="External"/><Relationship Id="rId61" Type="http://schemas.openxmlformats.org/officeDocument/2006/relationships/hyperlink" Target="https://doi.org/10.1364/ol.582287" TargetMode="External"/><Relationship Id="rId62" Type="http://schemas.openxmlformats.org/officeDocument/2006/relationships/hyperlink" Target="https://doi.org/10.1364/ol.584847" TargetMode="External"/><Relationship Id="rId63" Type="http://schemas.openxmlformats.org/officeDocument/2006/relationships/hyperlink" Target="https://doi.org/10.1364/ol.585801" TargetMode="External"/><Relationship Id="rId64" Type="http://schemas.openxmlformats.org/officeDocument/2006/relationships/hyperlink" Target="https://doi.org/10.1364/ol.585901" TargetMode="External"/><Relationship Id="rId65" Type="http://schemas.openxmlformats.org/officeDocument/2006/relationships/hyperlink" Target="https://doi.org/10.1364/ol.583394" TargetMode="External"/><Relationship Id="rId66" Type="http://schemas.openxmlformats.org/officeDocument/2006/relationships/hyperlink" Target="https://doi.org/10.1364/ol.586932" TargetMode="External"/><Relationship Id="rId67" Type="http://schemas.openxmlformats.org/officeDocument/2006/relationships/hyperlink" Target="https://doi.org/10.1364/ol.586072" TargetMode="External"/><Relationship Id="rId68" Type="http://schemas.openxmlformats.org/officeDocument/2006/relationships/hyperlink" Target="https://doi.org/10.1364/ol.581283" TargetMode="External"/><Relationship Id="rId69" Type="http://schemas.openxmlformats.org/officeDocument/2006/relationships/hyperlink" Target="https://doi.org/10.1364/josaa.583069" TargetMode="External"/><Relationship Id="rId70" Type="http://schemas.openxmlformats.org/officeDocument/2006/relationships/hyperlink" Target="https://doi.org/10.1364/prj.574200" TargetMode="External"/><Relationship Id="rId71" Type="http://schemas.openxmlformats.org/officeDocument/2006/relationships/hyperlink" Target="https://doi.org/10.1364/prj.574432" TargetMode="External"/><Relationship Id="rId72" Type="http://schemas.openxmlformats.org/officeDocument/2006/relationships/hyperlink" Target="https://doi.org/10.1364/prj.572887" TargetMode="External"/><Relationship Id="rId73" Type="http://schemas.openxmlformats.org/officeDocument/2006/relationships/hyperlink" Target="https://doi.org/10.1117/1.apn.5.2.026005" TargetMode="External"/><Relationship Id="rId74" Type="http://schemas.openxmlformats.org/officeDocument/2006/relationships/hyperlink" Target="https://doi.org/10.1063/5.0323522" TargetMode="External"/><Relationship Id="rId75" Type="http://schemas.openxmlformats.org/officeDocument/2006/relationships/hyperlink" Target="https://doi.org/10.1109/tvcg.2026.3662816" TargetMode="External"/><Relationship Id="rId76" Type="http://schemas.openxmlformats.org/officeDocument/2006/relationships/hyperlink" Target="https://doi.org/10.1109/tvcg.2026.3663050" TargetMode="External"/><Relationship Id="rId77" Type="http://schemas.openxmlformats.org/officeDocument/2006/relationships/hyperlink" Target="https://doi.org/10.1109/tvcg.2026.3662720" TargetMode="External"/><Relationship Id="rId78" Type="http://schemas.openxmlformats.org/officeDocument/2006/relationships/hyperlink" Target="https://doi.org/10.1021/acsphotonics.5c02402" TargetMode="External"/><Relationship Id="rId79" Type="http://schemas.openxmlformats.org/officeDocument/2006/relationships/hyperlink" Target="https://doi.org/10.1021/acsphotonics.5c02612" TargetMode="External"/><Relationship Id="rId80" Type="http://schemas.openxmlformats.org/officeDocument/2006/relationships/hyperlink" Target="https://doi.org/10.1109/tip.2026.3660576" TargetMode="External"/><Relationship Id="rId81" Type="http://schemas.openxmlformats.org/officeDocument/2006/relationships/hyperlink" Target="https://doi.org/10.1109/tip.2026.3659746" TargetMode="External"/><Relationship Id="rId82" Type="http://schemas.openxmlformats.org/officeDocument/2006/relationships/hyperlink" Target="https://doi.org/10.1109/tip.2026.3660575" TargetMode="External"/><Relationship Id="rId83" Type="http://schemas.openxmlformats.org/officeDocument/2006/relationships/hyperlink" Target="https://doi.org/10.1109/tpami.2026.3662389" TargetMode="External"/><Relationship Id="rId84" Type="http://schemas.openxmlformats.org/officeDocument/2006/relationships/hyperlink" Target="https://doi.org/10.1109/tpami.2026.3662990" TargetMode="External"/><Relationship Id="rId85" Type="http://schemas.openxmlformats.org/officeDocument/2006/relationships/hyperlink" Target="https://doi.org/10.1038/s41467-026-68890-7" TargetMode="External"/><Relationship Id="rId86" Type="http://schemas.openxmlformats.org/officeDocument/2006/relationships/hyperlink" Target="https://doi.org/10.1038/s41467-026-69434-9" TargetMode="External"/><Relationship Id="rId87" Type="http://schemas.openxmlformats.org/officeDocument/2006/relationships/hyperlink" Target="https://doi.org/10.1038/s41467-026-68650-7" TargetMode="External"/><Relationship Id="rId88" Type="http://schemas.openxmlformats.org/officeDocument/2006/relationships/hyperlink" Target="https://doi.org/10.1038/s41467-026-69316-0" TargetMode="External"/><Relationship Id="rId89" Type="http://schemas.openxmlformats.org/officeDocument/2006/relationships/hyperlink" Target="https://doi.org/10.1038/s41467-026-68985-1" TargetMode="External"/><Relationship Id="rId90" Type="http://schemas.openxmlformats.org/officeDocument/2006/relationships/hyperlink" Target="https://doi.org/10.1038/s41467-026-69039-2" TargetMode="External"/><Relationship Id="rId91" Type="http://schemas.openxmlformats.org/officeDocument/2006/relationships/hyperlink" Target="https://doi.org/10.1038/s41467-026-69346-8" TargetMode="External"/><Relationship Id="rId92" Type="http://schemas.openxmlformats.org/officeDocument/2006/relationships/hyperlink" Target="https://doi.org/10.1038/s41467-026-69179-5" TargetMode="External"/><Relationship Id="rId93" Type="http://schemas.openxmlformats.org/officeDocument/2006/relationships/hyperlink" Target="https://doi.org/10.1038/s41467-026-68875-6" TargetMode="External"/><Relationship Id="rId94" Type="http://schemas.openxmlformats.org/officeDocument/2006/relationships/hyperlink" Target="https://doi.org/10.1038/s41467-026-68927-x" TargetMode="External"/><Relationship Id="rId95" Type="http://schemas.openxmlformats.org/officeDocument/2006/relationships/hyperlink" Target="https://doi.org/10.1038/s41467-026-68546-6" TargetMode="External"/><Relationship Id="rId96" Type="http://schemas.openxmlformats.org/officeDocument/2006/relationships/hyperlink" Target="https://doi.org/10.1038/s41467-026-69473-2" TargetMode="External"/><Relationship Id="rId97" Type="http://schemas.openxmlformats.org/officeDocument/2006/relationships/hyperlink" Target="https://doi.org/10.1038/s41467-026-68534-w" TargetMode="External"/><Relationship Id="rId98" Type="http://schemas.openxmlformats.org/officeDocument/2006/relationships/hyperlink" Target="https://doi.org/10.1038/s41467-026-69378-0" TargetMode="External"/><Relationship Id="rId99" Type="http://schemas.openxmlformats.org/officeDocument/2006/relationships/hyperlink" Target="https://doi.org/10.1038/s41467-026-68821-6" TargetMode="External"/><Relationship Id="rId100" Type="http://schemas.openxmlformats.org/officeDocument/2006/relationships/hyperlink" Target="https://doi.org/10.1038/s41467-026-69446-5" TargetMode="External"/><Relationship Id="rId101" Type="http://schemas.openxmlformats.org/officeDocument/2006/relationships/hyperlink" Target="https://doi.org/10.1038/s41598-026-39041-1" TargetMode="External"/><Relationship Id="rId102" Type="http://schemas.openxmlformats.org/officeDocument/2006/relationships/hyperlink" Target="https://doi.org/10.1038/s41598-026-38764-5" TargetMode="External"/><Relationship Id="rId103" Type="http://schemas.openxmlformats.org/officeDocument/2006/relationships/hyperlink" Target="https://doi.org/10.1038/s41598-026-35812-y" TargetMode="External"/><Relationship Id="rId104" Type="http://schemas.openxmlformats.org/officeDocument/2006/relationships/hyperlink" Target="https://doi.org/10.1038/s41598-026-39206-y" TargetMode="External"/><Relationship Id="rId105" Type="http://schemas.openxmlformats.org/officeDocument/2006/relationships/hyperlink" Target="https://doi.org/10.1038/s41598-026-38431-9" TargetMode="External"/><Relationship Id="rId106" Type="http://schemas.openxmlformats.org/officeDocument/2006/relationships/hyperlink" Target="https://doi.org/10.1038/s41598-024-63807-0" TargetMode="External"/><Relationship Id="rId107" Type="http://schemas.openxmlformats.org/officeDocument/2006/relationships/hyperlink" Target="https://doi.org/10.1038/s41598-026-38591-8" TargetMode="External"/><Relationship Id="rId108" Type="http://schemas.openxmlformats.org/officeDocument/2006/relationships/hyperlink" Target="https://doi.org/10.1038/s41598-026-36203-z" TargetMode="External"/><Relationship Id="rId109" Type="http://schemas.openxmlformats.org/officeDocument/2006/relationships/hyperlink" Target="https://doi.org/10.1038/s41598-026-39704-z" TargetMode="External"/><Relationship Id="rId110" Type="http://schemas.openxmlformats.org/officeDocument/2006/relationships/hyperlink" Target="https://doi.org/10.1038/s41598-026-38988-5" TargetMode="External"/><Relationship Id="rId111" Type="http://schemas.openxmlformats.org/officeDocument/2006/relationships/hyperlink" Target="https://doi.org/10.1038/s41598-026-39139-6" TargetMode="External"/><Relationship Id="rId112" Type="http://schemas.openxmlformats.org/officeDocument/2006/relationships/hyperlink" Target="https://doi.org/10.1038/s41598-026-38784-1" TargetMode="External"/><Relationship Id="rId113" Type="http://schemas.openxmlformats.org/officeDocument/2006/relationships/hyperlink" Target="https://doi.org/10.1038/s41598-026-39193-0" TargetMode="External"/><Relationship Id="rId114" Type="http://schemas.openxmlformats.org/officeDocument/2006/relationships/hyperlink" Target="https://doi.org/10.1038/s41598-026-38768-1" TargetMode="External"/><Relationship Id="rId115" Type="http://schemas.openxmlformats.org/officeDocument/2006/relationships/hyperlink" Target="https://doi.org/10.1038/s41598-026-39755-2" TargetMode="External"/><Relationship Id="rId116" Type="http://schemas.openxmlformats.org/officeDocument/2006/relationships/hyperlink" Target="https://doi.org/10.1038/s41598-026-38301-4" TargetMode="External"/><Relationship Id="rId117" Type="http://schemas.openxmlformats.org/officeDocument/2006/relationships/hyperlink" Target="https://doi.org/10.1038/s41598-026-37246-y" TargetMode="External"/><Relationship Id="rId118" Type="http://schemas.openxmlformats.org/officeDocument/2006/relationships/hyperlink" Target="https://doi.org/10.1038/s41598-026-38022-8" TargetMode="External"/><Relationship Id="rId119" Type="http://schemas.openxmlformats.org/officeDocument/2006/relationships/hyperlink" Target="https://doi.org/10.1038/s41598-025-33617-z" TargetMode="External"/><Relationship Id="rId120" Type="http://schemas.openxmlformats.org/officeDocument/2006/relationships/hyperlink" Target="https://doi.org/10.1038/s41598-026-39421-7" TargetMode="External"/><Relationship Id="rId121" Type="http://schemas.openxmlformats.org/officeDocument/2006/relationships/hyperlink" Target="https://doi.org/10.1038/s41598-026-39865-x" TargetMode="External"/><Relationship Id="rId122" Type="http://schemas.openxmlformats.org/officeDocument/2006/relationships/hyperlink" Target="https://doi.org/10.1038/s41598-026-39813-9" TargetMode="External"/><Relationship Id="rId123" Type="http://schemas.openxmlformats.org/officeDocument/2006/relationships/hyperlink" Target="https://doi.org/10.1038/s41598-026-39563-8" TargetMode="External"/><Relationship Id="rId124" Type="http://schemas.openxmlformats.org/officeDocument/2006/relationships/hyperlink" Target="https://doi.org/10.1038/s41598-026-39753-4" TargetMode="External"/><Relationship Id="rId125" Type="http://schemas.openxmlformats.org/officeDocument/2006/relationships/hyperlink" Target="https://doi.org/10.1038/s41598-026-39185-0" TargetMode="External"/><Relationship Id="rId126" Type="http://schemas.openxmlformats.org/officeDocument/2006/relationships/hyperlink" Target="https://doi.org/10.1038/s41567-026-03175-w" TargetMode="External"/><Relationship Id="rId127" Type="http://schemas.openxmlformats.org/officeDocument/2006/relationships/hyperlink" Target="https://doi.org/10.37188/lam.2026.029" TargetMode="External"/><Relationship Id="rId128" Type="http://schemas.openxmlformats.org/officeDocument/2006/relationships/hyperlink" Target="https://doi.org/10.37188/lam.2026.028" TargetMode="External"/><Relationship Id="rId129" Type="http://schemas.openxmlformats.org/officeDocument/2006/relationships/hyperlink" Target="https://doi.org/10.1038/s41566-026-01846-x" TargetMode="External"/><Relationship Id="rId130" Type="http://schemas.openxmlformats.org/officeDocument/2006/relationships/hyperlink" Target="https://doi.org/10.29026/oea.2026.250267" TargetMode="External"/><Relationship Id="rId131" Type="http://schemas.openxmlformats.org/officeDocument/2006/relationships/hyperlink" Target="https://doi.org/10.29026/oea.2026.250218" TargetMode="External"/><Relationship Id="rId132" Type="http://schemas.openxmlformats.org/officeDocument/2006/relationships/hyperlink" Target="https://doi.org/10.1016/j.displa.2026.103390" TargetMode="External"/><Relationship Id="rId133" Type="http://schemas.openxmlformats.org/officeDocument/2006/relationships/hyperlink" Target="https://doi.org/10.1016/j.optlastec.2026.114909" TargetMode="External"/><Relationship Id="rId134" Type="http://schemas.openxmlformats.org/officeDocument/2006/relationships/hyperlink" Target="https://doi.org/10.1016/j.optlastec.2026.114920" TargetMode="External"/><Relationship Id="rId135" Type="http://schemas.openxmlformats.org/officeDocument/2006/relationships/hyperlink" Target="https://doi.org/10.1016/j.optlastec.2026.114872" TargetMode="External"/><Relationship Id="rId136" Type="http://schemas.openxmlformats.org/officeDocument/2006/relationships/hyperlink" Target="https://doi.org/10.1016/j.optlastec.2026.114884" TargetMode="External"/><Relationship Id="rId137" Type="http://schemas.openxmlformats.org/officeDocument/2006/relationships/hyperlink" Target="https://doi.org/10.1016/j.optlastec.2026.114850" TargetMode="External"/><Relationship Id="rId138" Type="http://schemas.openxmlformats.org/officeDocument/2006/relationships/hyperlink" Target="https://doi.org/10.1016/j.optlastec.2026.114846" TargetMode="External"/><Relationship Id="rId139" Type="http://schemas.openxmlformats.org/officeDocument/2006/relationships/hyperlink" Target="https://doi.org/10.1016/j.optlastec.2026.114902" TargetMode="External"/><Relationship Id="rId140" Type="http://schemas.openxmlformats.org/officeDocument/2006/relationships/hyperlink" Target="https://doi.org/10.1016/j.optlastec.2026.114903" TargetMode="External"/><Relationship Id="rId141" Type="http://schemas.openxmlformats.org/officeDocument/2006/relationships/hyperlink" Target="https://doi.org/10.1016/j.optlastec.2026.114862" TargetMode="External"/><Relationship Id="rId142" Type="http://schemas.openxmlformats.org/officeDocument/2006/relationships/hyperlink" Target="https://doi.org/10.1016/j.optlastec.2026.114881" TargetMode="External"/><Relationship Id="rId143" Type="http://schemas.openxmlformats.org/officeDocument/2006/relationships/hyperlink" Target="https://doi.org/10.1016/j.optlastec.2026.114870" TargetMode="External"/><Relationship Id="rId144" Type="http://schemas.openxmlformats.org/officeDocument/2006/relationships/hyperlink" Target="https://doi.org/10.1016/j.optlastec.2026.114890" TargetMode="External"/><Relationship Id="rId145" Type="http://schemas.openxmlformats.org/officeDocument/2006/relationships/hyperlink" Target="https://doi.org/10.1016/j.optlastec.2026.114910" TargetMode="External"/><Relationship Id="rId146" Type="http://schemas.openxmlformats.org/officeDocument/2006/relationships/hyperlink" Target="https://doi.org/10.1016/j.optlastec.2026.114883" TargetMode="External"/><Relationship Id="rId147" Type="http://schemas.openxmlformats.org/officeDocument/2006/relationships/hyperlink" Target="https://doi.org/10.1016/j.optlastec.2026.114892" TargetMode="External"/><Relationship Id="rId148" Type="http://schemas.openxmlformats.org/officeDocument/2006/relationships/hyperlink" Target="https://doi.org/10.1016/j.optlastec.2026.114866" TargetMode="External"/><Relationship Id="rId149" Type="http://schemas.openxmlformats.org/officeDocument/2006/relationships/hyperlink" Target="https://doi.org/10.1016/j.optlastec.2026.114838" TargetMode="External"/><Relationship Id="rId150" Type="http://schemas.openxmlformats.org/officeDocument/2006/relationships/hyperlink" Target="https://doi.org/10.1016/j.optlastec.2026.114896" TargetMode="External"/><Relationship Id="rId151" Type="http://schemas.openxmlformats.org/officeDocument/2006/relationships/hyperlink" Target="https://doi.org/10.1016/j.optlastec.2026.114915" TargetMode="External"/><Relationship Id="rId152" Type="http://schemas.openxmlformats.org/officeDocument/2006/relationships/hyperlink" Target="https://doi.org/10.1016/j.optlaseng.2026.109678" TargetMode="External"/><Relationship Id="rId153" Type="http://schemas.openxmlformats.org/officeDocument/2006/relationships/hyperlink" Target="https://doi.org/10.1016/j.optcom.2026.132997" TargetMode="External"/><Relationship Id="rId154" Type="http://schemas.openxmlformats.org/officeDocument/2006/relationships/hyperlink" Target="https://doi.org/10.1364/ao.584420" TargetMode="External"/><Relationship Id="rId155" Type="http://schemas.openxmlformats.org/officeDocument/2006/relationships/hyperlink" Target="https://doi.org/10.1364/ao.585070" TargetMode="External"/><Relationship Id="rId156" Type="http://schemas.openxmlformats.org/officeDocument/2006/relationships/hyperlink" Target="https://doi.org/10.1364/ao.582401" TargetMode="External"/><Relationship Id="rId157" Type="http://schemas.openxmlformats.org/officeDocument/2006/relationships/hyperlink" Target="https://doi.org/10.1364/ao.582896" TargetMode="External"/><Relationship Id="rId158" Type="http://schemas.openxmlformats.org/officeDocument/2006/relationships/hyperlink" Target="https://doi.org/10.1364/ao.581628" TargetMode="External"/><Relationship Id="rId159" Type="http://schemas.openxmlformats.org/officeDocument/2006/relationships/hyperlink" Target="https://doi.org/10.1364/oe.584909" TargetMode="External"/><Relationship Id="rId160" Type="http://schemas.openxmlformats.org/officeDocument/2006/relationships/hyperlink" Target="https://doi.org/10.1364/oe.583483" TargetMode="External"/><Relationship Id="rId161" Type="http://schemas.openxmlformats.org/officeDocument/2006/relationships/hyperlink" Target="https://doi.org/10.1364/oe.581510" TargetMode="External"/><Relationship Id="rId162" Type="http://schemas.openxmlformats.org/officeDocument/2006/relationships/hyperlink" Target="https://doi.org/10.1364/oe.584453" TargetMode="External"/><Relationship Id="rId163" Type="http://schemas.openxmlformats.org/officeDocument/2006/relationships/hyperlink" Target="https://doi.org/10.1364/oe.579162" TargetMode="External"/><Relationship Id="rId164" Type="http://schemas.openxmlformats.org/officeDocument/2006/relationships/hyperlink" Target="https://doi.org/10.1364/oe.585716" TargetMode="External"/><Relationship Id="rId165" Type="http://schemas.openxmlformats.org/officeDocument/2006/relationships/hyperlink" Target="https://doi.org/10.1364/oe.586384" TargetMode="External"/><Relationship Id="rId166" Type="http://schemas.openxmlformats.org/officeDocument/2006/relationships/hyperlink" Target="https://doi.org/10.1364/oe.583087" TargetMode="External"/><Relationship Id="rId167" Type="http://schemas.openxmlformats.org/officeDocument/2006/relationships/hyperlink" Target="https://doi.org/10.1364/oe.587287" TargetMode="External"/><Relationship Id="rId168" Type="http://schemas.openxmlformats.org/officeDocument/2006/relationships/hyperlink" Target="https://doi.org/10.1364/ol.585679" TargetMode="External"/><Relationship Id="rId169" Type="http://schemas.openxmlformats.org/officeDocument/2006/relationships/hyperlink" Target="https://doi.org/10.1364/ol.586042" TargetMode="External"/><Relationship Id="rId170" Type="http://schemas.openxmlformats.org/officeDocument/2006/relationships/hyperlink" Target="https://doi.org/10.1364/ol.584009" TargetMode="External"/><Relationship Id="rId171" Type="http://schemas.openxmlformats.org/officeDocument/2006/relationships/hyperlink" Target="https://doi.org/10.1364/ol.584532" TargetMode="External"/><Relationship Id="rId172" Type="http://schemas.openxmlformats.org/officeDocument/2006/relationships/hyperlink" Target="https://doi.org/10.1364/ol.584822" TargetMode="External"/><Relationship Id="rId173" Type="http://schemas.openxmlformats.org/officeDocument/2006/relationships/hyperlink" Target="https://doi.org/10.1364/ol.579731" TargetMode="External"/><Relationship Id="rId174" Type="http://schemas.openxmlformats.org/officeDocument/2006/relationships/hyperlink" Target="https://doi.org/10.1364/optica.579220" TargetMode="External"/><Relationship Id="rId175" Type="http://schemas.openxmlformats.org/officeDocument/2006/relationships/hyperlink" Target="https://doi.org/10.1364/boe.585939" TargetMode="External"/><Relationship Id="rId176" Type="http://schemas.openxmlformats.org/officeDocument/2006/relationships/hyperlink" Target="https://doi.org/10.1364/boe.583075" TargetMode="External"/><Relationship Id="rId177" Type="http://schemas.openxmlformats.org/officeDocument/2006/relationships/hyperlink" Target="https://doi.org/10.1364/josaa.584917" TargetMode="External"/><Relationship Id="rId178" Type="http://schemas.openxmlformats.org/officeDocument/2006/relationships/hyperlink" Target="https://doi.org/10.1002/lpor.202502110" TargetMode="External"/><Relationship Id="rId179" Type="http://schemas.openxmlformats.org/officeDocument/2006/relationships/hyperlink" Target="https://doi.org/10.1002/lpor.202502895" TargetMode="External"/><Relationship Id="rId180" Type="http://schemas.openxmlformats.org/officeDocument/2006/relationships/hyperlink" Target="https://doi.org/10.1002/lpor.202503131" TargetMode="External"/><Relationship Id="rId181" Type="http://schemas.openxmlformats.org/officeDocument/2006/relationships/hyperlink" Target="https://doi.org/10.1038/s41377-026-02221-9" TargetMode="External"/><Relationship Id="rId182" Type="http://schemas.openxmlformats.org/officeDocument/2006/relationships/hyperlink" Target="https://doi.org/10.1038/s41377-026-02193-w" TargetMode="External"/><Relationship Id="rId183" Type="http://schemas.openxmlformats.org/officeDocument/2006/relationships/hyperlink" Target="https://doi.org/10.1109/tvcg.2025.3629797" TargetMode="External"/><Relationship Id="rId184" Type="http://schemas.openxmlformats.org/officeDocument/2006/relationships/hyperlink" Target="https://doi.org/10.1109/tvcg.2025.3629768" TargetMode="External"/><Relationship Id="rId185" Type="http://schemas.openxmlformats.org/officeDocument/2006/relationships/hyperlink" Target="https://doi.org/10.1109/tvcg.2025.3629827" TargetMode="External"/><Relationship Id="rId186" Type="http://schemas.openxmlformats.org/officeDocument/2006/relationships/hyperlink" Target="https://doi.org/10.1109/tvcg.2025.3629798" TargetMode="External"/><Relationship Id="rId187" Type="http://schemas.openxmlformats.org/officeDocument/2006/relationships/hyperlink" Target="https://doi.org/10.1109/tvcg.2025.3629795" TargetMode="External"/><Relationship Id="rId188" Type="http://schemas.openxmlformats.org/officeDocument/2006/relationships/hyperlink" Target="https://doi.org/10.1109/tvcg.2025.3629765" TargetMode="External"/><Relationship Id="rId189" Type="http://schemas.openxmlformats.org/officeDocument/2006/relationships/hyperlink" Target="https://doi.org/10.1109/tvcg.2025.3629767" TargetMode="External"/><Relationship Id="rId190" Type="http://schemas.openxmlformats.org/officeDocument/2006/relationships/hyperlink" Target="https://doi.org/10.1109/tvcg.2025.3629793" TargetMode="External"/><Relationship Id="rId191" Type="http://schemas.openxmlformats.org/officeDocument/2006/relationships/hyperlink" Target="https://doi.org/10.1109/tvcg.2025.3629769" TargetMode="External"/><Relationship Id="rId192" Type="http://schemas.openxmlformats.org/officeDocument/2006/relationships/hyperlink" Target="https://doi.org/10.1109/tvcg.2025.3629826" TargetMode="External"/><Relationship Id="rId193" Type="http://schemas.openxmlformats.org/officeDocument/2006/relationships/hyperlink" Target="https://doi.org/10.1109/tvcg.2025.3629796" TargetMode="External"/><Relationship Id="rId194" Type="http://schemas.openxmlformats.org/officeDocument/2006/relationships/hyperlink" Target="https://doi.org/10.1109/tvcg.2025.3629794" TargetMode="External"/><Relationship Id="rId195" Type="http://schemas.openxmlformats.org/officeDocument/2006/relationships/hyperlink" Target="https://doi.org/10.1109/tvcg.2025.36297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