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Optics and Lasers in Engineering</w:t>
      </w:r>
    </w:p>
    <w:p>
      <w:pPr>
        <w:jc w:val="center"/>
      </w:pPr>
      <w:r>
        <w:t>--- 更新: 00:27 ---</w:t>
      </w:r>
    </w:p>
    <w:p>
      <w:pPr>
        <w:pStyle w:val="Heading2"/>
      </w:pPr>
      <w:r/>
      <w:r>
        <w:rPr>
          <w:rFonts w:ascii="Times New Roman" w:hAnsi="Times New Roman" w:eastAsia="宋体"/>
          <w:b/>
          <w:color w:val="000000"/>
          <w:sz w:val="24"/>
        </w:rPr>
        <w:t>用于浑浊环境下水下混凝土缺陷检测的鲁棒偏振图像恢复</w:t>
      </w:r>
    </w:p>
    <w:p>
      <w:r>
        <w:rPr>
          <w:rFonts w:ascii="Times New Roman" w:hAnsi="Times New Roman" w:eastAsia="宋体"/>
          <w:b/>
          <w:color w:val="003264"/>
          <w:sz w:val="24"/>
        </w:rPr>
        <w:t>Robust polarimetric image restoration for underwater concrete defect inspection in turbid environments</w:t>
      </w:r>
    </w:p>
    <w:p>
      <w:r>
        <w:rPr>
          <w:rFonts w:ascii="Times New Roman" w:hAnsi="Times New Roman" w:eastAsia="宋体"/>
          <w:sz w:val="21"/>
        </w:rPr>
        <w:t>作者: Yunmei Jiao, Huifeng Wang, Hao Du, Yuanhe Shan, Zefeng Pan, Chengyan Zhang, He Huang</w:t>
        <w:br/>
      </w:r>
      <w:r>
        <w:rPr>
          <w:rFonts w:ascii="Times New Roman" w:hAnsi="Times New Roman" w:eastAsia="宋体"/>
          <w:sz w:val="21"/>
        </w:rPr>
        <w:t xml:space="preserve">时间: 2026-06-01 | </w:t>
      </w:r>
      <w:r>
        <w:t xml:space="preserve">链接: </w:t>
      </w:r>
      <w:hyperlink r:id="rId10">
        <w:r>
          <w:rPr>
            <w:rFonts w:ascii="Times New Roman" w:hAnsi="Times New Roman" w:eastAsia="宋体"/>
            <w:color w:val="0000FF"/>
            <w:sz w:val="21"/>
            <w:u w:val="single"/>
          </w:rPr>
          <w:t>https://doi.org/10.1016/j.optlaseng.2026.109669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00:27 ---</w:t>
      </w:r>
    </w:p>
    <w:p>
      <w:pPr>
        <w:pStyle w:val="Heading2"/>
      </w:pPr>
      <w:r/>
      <w:r>
        <w:rPr>
          <w:rFonts w:ascii="Times New Roman" w:hAnsi="Times New Roman" w:eastAsia="宋体"/>
          <w:b/>
          <w:color w:val="000000"/>
          <w:sz w:val="24"/>
        </w:rPr>
        <w:t>用于定量甲烷泄漏监测的强度编码近红外激光单光子系统的校准和增强</w:t>
      </w:r>
    </w:p>
    <w:p>
      <w:r>
        <w:rPr>
          <w:rFonts w:ascii="Times New Roman" w:hAnsi="Times New Roman" w:eastAsia="宋体"/>
          <w:b/>
          <w:color w:val="003264"/>
          <w:sz w:val="24"/>
        </w:rPr>
        <w:t>Calibration and enhancement of an intensity-coded NIR laser single-photon system for quantitative methane leak monitoring</w:t>
      </w:r>
    </w:p>
    <w:p>
      <w:r>
        <w:rPr>
          <w:rFonts w:ascii="Times New Roman" w:hAnsi="Times New Roman" w:eastAsia="宋体"/>
          <w:sz w:val="21"/>
        </w:rPr>
        <w:t>作者: Shouzheng Zhu, Xu Liu, Yangyang Zhang, Ceyuan Wang, Wenhang Yang, Liu Yang, Senyuan Wang, Chenhui Hu, Siliang Li, Xin He, Zhao Cui, Shijie Liu, Yuwei Chen, Jianyu Wang</w:t>
        <w:br/>
      </w:r>
      <w:r>
        <w:rPr>
          <w:rFonts w:ascii="Times New Roman" w:hAnsi="Times New Roman" w:eastAsia="宋体"/>
          <w:sz w:val="21"/>
        </w:rPr>
        <w:t xml:space="preserve">时间: 2026-01-15 | </w:t>
      </w:r>
      <w:r>
        <w:t xml:space="preserve">链接: </w:t>
      </w:r>
      <w:hyperlink r:id="rId11">
        <w:r>
          <w:rPr>
            <w:rFonts w:ascii="Times New Roman" w:hAnsi="Times New Roman" w:eastAsia="宋体"/>
            <w:color w:val="0000FF"/>
            <w:sz w:val="21"/>
            <w:u w:val="single"/>
          </w:rPr>
          <w:t>https://doi.org/10.1364/oe.577018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甲烷（CH 4 ）泄漏监测是准确量化碳排放的关键研究方向。本文介绍了一种主动激光探测技术，该技术采用InGaAs单光子探测器（SPD）结合连续波激光和伪随机二进制序列（PRBS）调制来同时测量CH 4 浓度和距离。为了减轻单光子计数中探测器死区时间造成的信号失真，建立了实验验证系统。开发了专用信号校正算法来有效地重建接收信号。系统研究了不同CH 4 浓度下检测器死区时间和信号强度的校准特性。通过评估不同操作参数的校正系数，准确地恢复了 PRBS 调制的 CH 4 吸收信号​​，从而显着提高了气体吸收强度的恢复。与参考光电二极管检测器的比较验证显示，两种不同浓度水平的平均相对偏差为 2.8% 和 5.1%，证实了所提出的校正方法的有效性。该工作成功展示了单光子检测的信号重建框架，为InGaAs SPD未来在CH 4 等温室气体泄漏监测中的应用提供了新颖的解决方案和理论基础。</w:t>
      </w:r>
    </w:p>
    <w:p>
      <w:pPr>
        <w:spacing w:before="120"/>
      </w:pPr>
      <w:r>
        <w:rPr>
          <w:rFonts w:ascii="Times New Roman" w:hAnsi="Times New Roman" w:eastAsia="宋体"/>
          <w:b/>
          <w:sz w:val="21"/>
        </w:rPr>
        <w:t>English Abstract:</w:t>
      </w:r>
    </w:p>
    <w:p>
      <w:r>
        <w:rPr>
          <w:rFonts w:ascii="Times New Roman" w:hAnsi="Times New Roman" w:eastAsia="宋体"/>
          <w:sz w:val="21"/>
        </w:rPr>
        <w:t>Methane (CH 4 ) leakage monitoring represents a critical research direction for the accurate quantification of carbon emissions. This paper introduces an active laser detection technique that employs an InGaAs single-photon detector (SPD) combined with a continuous-wave laser and pseudo-random binary sequence (PRBS) modulation to simultaneously measure CH 4 concentration and distance. To mitigate the signal distortion caused by detector dead time in single-photon counting, an experimental validation system was established. A dedicated signal correction algorithm was developed to effectively reconstruct the received signals. The calibration characteristics of detector dead time and signal intensity under varying CH 4 concentrations were systematically investigated. By evaluating correction coefficients across different operational parameters, the PRBS-modulated CH 4 absorption signal was accurately restored, leading to significantly improved recovery of gas absorption intensity. Comparative validation with a reference photodiode detector showed average relative deviations of 2.8% and 5.1% for two different concentration levels, confirming the effectiveness of the proposed correction method. This work successfully demonstrates a signal reconstruction framework for single-photon detection and offers a novel solution and theoretical basis for future applications of InGaAs SPD in CH 4 and other greenhouse gas leakage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时间调制超表面在载波频率下具有幅度和相位控制能力</w:t>
      </w:r>
    </w:p>
    <w:p>
      <w:r>
        <w:rPr>
          <w:rFonts w:ascii="Times New Roman" w:hAnsi="Times New Roman" w:eastAsia="宋体"/>
          <w:b/>
          <w:color w:val="003264"/>
          <w:sz w:val="24"/>
        </w:rPr>
        <w:t>Time-modulated metasurfaces with both amplitude and phase control ability at carrier frequency</w:t>
      </w:r>
    </w:p>
    <w:p>
      <w:r>
        <w:rPr>
          <w:rFonts w:ascii="Times New Roman" w:hAnsi="Times New Roman" w:eastAsia="宋体"/>
          <w:sz w:val="21"/>
        </w:rPr>
        <w:t>作者: Xianbo Cao, Xiaosong Liu, Kai-Da Xu, Wen Wu, Tao Hong, Wen Jiang</w:t>
        <w:br/>
      </w:r>
      <w:r>
        <w:rPr>
          <w:rFonts w:ascii="Times New Roman" w:hAnsi="Times New Roman" w:eastAsia="宋体"/>
          <w:sz w:val="21"/>
        </w:rPr>
        <w:t xml:space="preserve">时间: 2026-01-20 | </w:t>
      </w:r>
      <w:r>
        <w:t xml:space="preserve">链接: </w:t>
      </w:r>
      <w:hyperlink r:id="rId12">
        <w:r>
          <w:rPr>
            <w:rFonts w:ascii="Times New Roman" w:hAnsi="Times New Roman" w:eastAsia="宋体"/>
            <w:color w:val="0000FF"/>
            <w:sz w:val="21"/>
            <w:u w:val="single"/>
          </w:rPr>
          <w:t>https://doi.org/10.1364/oe.581263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时间调制超表面（TMMS）具有灵活的光束操纵能力，但它们通常在谐波频率下工作，这削弱了其实用性。为了解决这个问题，提出并研究了一种使TMMS能够在载频上实现波束形成的方法。具体来说，通过可重构超表面（MS）控制相位，并利用反相位调制时间序列（APMTS）引入额外的时间调制（TM）幅度激励，以实现对每个元件的反射系数的完全控制。详细阐述了该方法的工作原理，并通过理论分析验证了该方法的有效性。作为概念证明，然后使用 10 × 10 1 位 TMMS 原型进行实验验证。理论和实验结果表明，该方法能够使1位TMMS具备在载频下同时独立、同时控制幅度和相位的能力。此外，本文首次引入了严格的 TMMS 效率定义，随后进行了准确的效率分析，证明所提出的方法与传统方法相比在波束形成方面实现了更高的 TM 效率。受益于物理视角分析，该方法原理清晰、结构简单、易于实现。它可能在无线通信、目标传感和雷达系统中具有潜在的应用。</w:t>
      </w:r>
    </w:p>
    <w:p>
      <w:pPr>
        <w:spacing w:before="120"/>
      </w:pPr>
      <w:r>
        <w:rPr>
          <w:rFonts w:ascii="Times New Roman" w:hAnsi="Times New Roman" w:eastAsia="宋体"/>
          <w:b/>
          <w:sz w:val="21"/>
        </w:rPr>
        <w:t>English Abstract:</w:t>
      </w:r>
    </w:p>
    <w:p>
      <w:r>
        <w:rPr>
          <w:rFonts w:ascii="Times New Roman" w:hAnsi="Times New Roman" w:eastAsia="宋体"/>
          <w:sz w:val="21"/>
        </w:rPr>
        <w:t>Although time-modulated metasurfaces (TMMS) possess flexible beam manipulation capability, they often operate at harmonic frequencies, which weakens their practicality. To solve this problem, a method enabling TMMS to achieve beam-forming at the carrier frequency is proposed and investigated. Specifically, the phase is controlled by a reconfigurable metasurface (MS), and additional time modulation (TM) amplitude excitation is introduced by utilizing an anti-phase modulation time sequence (APMTS) to achieve complete control of the reflection coefficient for each element. The working principle is elaborated in detail, and the effectiveness of the proposed method is verified by theoretical analysis. As a proof of concept, experimental validation is then carried out using a 10 × 10 1-bit TMMS prototype. The theoretical and experimental results show that the proposed method can enable the 1-bit TMMS to have the capability of controlling the amplitude and phase independently and simultaneously at the carrier frequency. Furthermore, this paper introduces, for the first time, a rigorous efficiency definition for TMMS, followed by an accurate efficiency analysis that demonstrates the proposed method achieves higher TM efficiency in beam-forming compared to conventional methods. Benefiting from the physical perspective analysis, the proposed method is clear in principle, simple in structure, and easy to implement. It may have potential applications in wireless communications, target sensing, and radar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通过二次谐波产生光子莫尔晶格的频率上转换</w:t>
      </w:r>
    </w:p>
    <w:p>
      <w:r>
        <w:rPr>
          <w:rFonts w:ascii="Times New Roman" w:hAnsi="Times New Roman" w:eastAsia="宋体"/>
          <w:b/>
          <w:color w:val="003264"/>
          <w:sz w:val="24"/>
        </w:rPr>
        <w:t>Frequency up-conversion of photonic moiré lattices via second-harmonic generation</w:t>
      </w:r>
    </w:p>
    <w:p>
      <w:r>
        <w:rPr>
          <w:rFonts w:ascii="Times New Roman" w:hAnsi="Times New Roman" w:eastAsia="宋体"/>
          <w:sz w:val="21"/>
        </w:rPr>
        <w:t>作者: Yidan Sun, Wuhong Zhang, Lixiang Chen</w:t>
        <w:br/>
      </w:r>
      <w:r>
        <w:rPr>
          <w:rFonts w:ascii="Times New Roman" w:hAnsi="Times New Roman" w:eastAsia="宋体"/>
          <w:sz w:val="21"/>
        </w:rPr>
        <w:t xml:space="preserve">时间: 2026-01-20 | </w:t>
      </w:r>
      <w:r>
        <w:t xml:space="preserve">链接: </w:t>
      </w:r>
      <w:hyperlink r:id="rId13">
        <w:r>
          <w:rPr>
            <w:rFonts w:ascii="Times New Roman" w:hAnsi="Times New Roman" w:eastAsia="宋体"/>
            <w:color w:val="0000FF"/>
            <w:sz w:val="21"/>
            <w:u w:val="single"/>
          </w:rPr>
          <w:t>https://doi.org/10.1364/oe.577205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我们从理论上和数值上研究了二维光子莫尔晶格的二次谐波产生（SHG）过程。使用 II 型相位匹配非线性相互作用，我们通过实验证明了莫尔晶格的空间调制特性在 SHG 过程中保持稳健，产生 532 nm 的二次谐波场，忠实地再现了在 1064 nm 基本波长下形成的晶格结构。通过实验，我们实现了光子莫尔晶格的二次谐波生成，莫尔周期达到~50 μm，而基本图案和倍频图案之间的图像保真度保持在 0.86-0.93 范围内。我们的研究结果强调了光子莫尔晶格作为非线性光学过程的可调且强大的平台的能力，提供稳定且可控的结构光源，对大容量光通信、自适应光子学和可重构光学系统具有重要意义。</w:t>
      </w:r>
    </w:p>
    <w:p>
      <w:pPr>
        <w:spacing w:before="120"/>
      </w:pPr>
      <w:r>
        <w:rPr>
          <w:rFonts w:ascii="Times New Roman" w:hAnsi="Times New Roman" w:eastAsia="宋体"/>
          <w:b/>
          <w:sz w:val="21"/>
        </w:rPr>
        <w:t>English Abstract:</w:t>
      </w:r>
    </w:p>
    <w:p>
      <w:r>
        <w:rPr>
          <w:rFonts w:ascii="Times New Roman" w:hAnsi="Times New Roman" w:eastAsia="宋体"/>
          <w:sz w:val="21"/>
        </w:rPr>
        <w:t>We theoretically and numerically investigate the second harmonic generation (SHG) process of two-dimensional photonic moiré lattices. Using a type-II phase-matched nonlinear interaction, we experimentally demonstrate that the spatial modulation characteristic of the moiré lattice remains robustly preserved through the SHG process, yielding second-harmonic fields at 532 nm that faithfully reproduce the lattice structures formed at the fundamental wavelength of 1064 nm. Experimentally, we realize second-harmonic generation of photonic moiré lattices that reach moiré periods of ∼50 μ m, while the image fidelity between the fundamental and SHG patterns remains in the range 0.86–0.93. Our findings highlight the capability of photonic moiré lattices to serve as a tunable and robust platform for nonlinear optical processes, offering stable and controllable structured light sources with significant implications for high-capacity optical communication, adaptive photonics, and reconfigurable optical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使用等离子体金纳米胆和介电光子晶体混合界面进行汞传感的淬灭衰减和荧光增强</w:t>
      </w:r>
    </w:p>
    <w:p>
      <w:r>
        <w:rPr>
          <w:rFonts w:ascii="Times New Roman" w:hAnsi="Times New Roman" w:eastAsia="宋体"/>
          <w:b/>
          <w:color w:val="003264"/>
          <w:sz w:val="24"/>
        </w:rPr>
        <w:t>Quenching attenuation and fluorescence augmentation using plasmonic gold nanourchin and dielectric photonic crystal hybrid interface for mercury sensing</w:t>
      </w:r>
    </w:p>
    <w:p>
      <w:r>
        <w:rPr>
          <w:rFonts w:ascii="Times New Roman" w:hAnsi="Times New Roman" w:eastAsia="宋体"/>
          <w:sz w:val="21"/>
        </w:rPr>
        <w:t>作者: Weinan Liu, Seemesh Bhaskar, Weijing Wang, Joseph Tibbs, Brian T. Cunningham</w:t>
        <w:br/>
      </w:r>
      <w:r>
        <w:rPr>
          <w:rFonts w:ascii="Times New Roman" w:hAnsi="Times New Roman" w:eastAsia="宋体"/>
          <w:sz w:val="21"/>
        </w:rPr>
        <w:t xml:space="preserve">时间: 2026-01-22 | </w:t>
      </w:r>
      <w:r>
        <w:t xml:space="preserve">链接: </w:t>
      </w:r>
      <w:hyperlink r:id="rId14">
        <w:r>
          <w:rPr>
            <w:rFonts w:ascii="Times New Roman" w:hAnsi="Times New Roman" w:eastAsia="宋体"/>
            <w:color w:val="0000FF"/>
            <w:sz w:val="21"/>
            <w:u w:val="single"/>
          </w:rPr>
          <w:t>https://doi.org/10.1364/oe.580173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荧光发射放大、寿命缩短和收集效率提高提供的高灵敏度，光子晶体增强荧光已成为环境和人类健康监测的通用技术。当等离子体纳米颗粒与光子晶体表面结合使用以提供荧光增强光子-等离子体谐振器混合体时，在“不活动区域”中观察到的猝灭现象代表了性能瓶颈。特别是，虽然等离激元金是一种用于荧光增强的优异等离激元材料，但其使用需要结合间隔层来避免猝灭效应。在这项工作中，我们利用辐射导模共振（GMR）模型和锐边等离子体金纳米海胆（AuNU）的特性，在不使用光学棱镜或显微镜物镜的情况下实现抑制猝灭和增强荧光输出。严格的耦合波分析 (RCWA) 和有限元法 (FEM) 分析用于提供证实实验观察到的 100 倍去淬火信号强度的见解。 AuNU-PC 系统中具有不同方向和位置的荧光辐射偶极子的多物理场模拟验证了实验观察到的偏振选择性。通过 AuNU 核心尖端等离激元与底层光子晶体 GMR 的协同耦合而增强的局部态密度，用于证明汞 (Hg 2+ ) 离子的检测限为十亿分之二，从而为受控条件下的无淬灭化学生物传感界面提供了代表性示例。</w:t>
      </w:r>
    </w:p>
    <w:p>
      <w:pPr>
        <w:spacing w:before="120"/>
      </w:pPr>
      <w:r>
        <w:rPr>
          <w:rFonts w:ascii="Times New Roman" w:hAnsi="Times New Roman" w:eastAsia="宋体"/>
          <w:b/>
          <w:sz w:val="21"/>
        </w:rPr>
        <w:t>English Abstract:</w:t>
      </w:r>
    </w:p>
    <w:p>
      <w:r>
        <w:rPr>
          <w:rFonts w:ascii="Times New Roman" w:hAnsi="Times New Roman" w:eastAsia="宋体"/>
          <w:sz w:val="21"/>
        </w:rPr>
        <w:t>Photonic crystal enhanced fluorescence has emerged as a versatile technology for environmental and human health monitoring owing to high sensitivity provided by fluorescence emission amplification, lifetime reduction, and collection efficiency improvement. When plasmonic nanoparticles are used in combination with photonic crystal surfaces to provide fluorescence-enhancing photonic-plasmonic resonator hybrids, quenching phenomena observed in the ‘zone of inactivity’ represent a performance bottleneck. In particular, although plasmonic Au is an excellent plasmonic material for fluorescence enhancement, its use requires the incorporation of a spacer layer to circumvent quenching effects. In this work, we exploit the properties of the radiating guided mode resonance (GMR) model and sharp-edged plasmonic Au nano-urchins (AuNUs) to realize suppressed quenching and augmented fluorescence output without the use of an optical prism or microscope objective. Rigorous coupled-wave analysis (RCWA) and finite element method (FEM) analysis are used to provide insights corroborating experimentally observed 100-fold dequenched signal intensity. Multiphysics simulations of a fluorescent radiating dipole with different orientations and placements within the AuNU-PC system validate the experimentally observed polarization selectivity. The enhanced local density of states rendered by the synergistic coupling of core-tip plasmons of AuNUs and the GMR of the underlying photonic crystal were applied to demonstrate a 2 part-per-billion limit of detection for mercury (Hg 2+ ) ions, thereby presenting a representative example for a quench-free chem-biosensing interface under controlled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双场框架内完全反事实的量子通信协议</w:t>
      </w:r>
    </w:p>
    <w:p>
      <w:r>
        <w:rPr>
          <w:rFonts w:ascii="Times New Roman" w:hAnsi="Times New Roman" w:eastAsia="宋体"/>
          <w:b/>
          <w:color w:val="003264"/>
          <w:sz w:val="24"/>
        </w:rPr>
        <w:t>Fully counterfactual quantum communication protocols within a twin-field framework</w:t>
      </w:r>
    </w:p>
    <w:p>
      <w:r>
        <w:rPr>
          <w:rFonts w:ascii="Times New Roman" w:hAnsi="Times New Roman" w:eastAsia="宋体"/>
          <w:sz w:val="21"/>
        </w:rPr>
        <w:t>作者: Na Hai, Zi-Jian Liu, Bo-Wen Zhang, Ting-Yu Li, Xiu-Qing Yang, Zheng-hong Li, Zhen-Qiang Yin</w:t>
        <w:br/>
      </w:r>
      <w:r>
        <w:rPr>
          <w:rFonts w:ascii="Times New Roman" w:hAnsi="Times New Roman" w:eastAsia="宋体"/>
          <w:sz w:val="21"/>
        </w:rPr>
        <w:t xml:space="preserve">时间: 2026-01-21 | </w:t>
      </w:r>
      <w:r>
        <w:t xml:space="preserve">链接: </w:t>
      </w:r>
      <w:hyperlink r:id="rId15">
        <w:r>
          <w:rPr>
            <w:rFonts w:ascii="Times New Roman" w:hAnsi="Times New Roman" w:eastAsia="宋体"/>
            <w:color w:val="0000FF"/>
            <w:sz w:val="21"/>
            <w:u w:val="single"/>
          </w:rPr>
          <w:t>https://doi.org/10.1364/oe.581538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反事实通信是指在两个远程方之间交换信息而没有实际传输物理粒子的情况。我们提出了一个完全三方反事实量子协议来完成身份认证任务。在这里，受信任的证书颁发机构 (Charlie) 使客户端 (Alice) 和实体 (Bob) 能够共享基于 Aharonov 和 Vaidman 对早期协议的修改的安全随机密钥，因此允许根据两种状态向量形式进行反事实的通信。该协议对环境噪声具有很高的鲁棒性，同时仍然通过了 Fisher 信息测试。通过半诚实的查理，反事实协议将身份授权转变为量子辅助密钥分发。我们证明，反事实量子密钥分发可以在双场框架内确保安全。我们的仿真结果表明，具有实际弱相干态的反事实协议的最大安全距离约为 190 公里。</w:t>
      </w:r>
    </w:p>
    <w:p>
      <w:pPr>
        <w:spacing w:before="120"/>
      </w:pPr>
      <w:r>
        <w:rPr>
          <w:rFonts w:ascii="Times New Roman" w:hAnsi="Times New Roman" w:eastAsia="宋体"/>
          <w:b/>
          <w:sz w:val="21"/>
        </w:rPr>
        <w:t>English Abstract:</w:t>
      </w:r>
    </w:p>
    <w:p>
      <w:r>
        <w:rPr>
          <w:rFonts w:ascii="Times New Roman" w:hAnsi="Times New Roman" w:eastAsia="宋体"/>
          <w:sz w:val="21"/>
        </w:rPr>
        <w:t>Counterfactual communication refers to cases in which information is exchanged between two remote parties without actual transmission of physical particles. We propose a fully tripartite counterfactual quantum protocol for the task of identity authentication. Here, a trusted certificate authority (Charlie) enables a client (Alice) and an entity (Bob) to share a secure random key based on the modification of early protocols by Aharonov and Vaidman, therefore permitting communication that is counterfactual according to the two-state vector formalism. The protocol has high robustness against environmental noise, while still passing the Fisher information test. With semi-honest Charlie, the counterfactual protocol transforms identity authorization into quantum-assisted key distribution. We show that the counterfactual quantum key distribution can be made secure within a twin-field framework. Our simulation results show that the maximal secure distance of the counterfactual protocol with a practical weak coherent state is around 190 km.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介观金属纳米结构非经典电磁边界条件下经典洛伦兹互易定理的有效性</w:t>
      </w:r>
    </w:p>
    <w:p>
      <w:r>
        <w:rPr>
          <w:rFonts w:ascii="Times New Roman" w:hAnsi="Times New Roman" w:eastAsia="宋体"/>
          <w:b/>
          <w:color w:val="003264"/>
          <w:sz w:val="24"/>
        </w:rPr>
        <w:t>Validity of classical Lorentz reciprocity theorem under nonclassical electromagnetic boundary condition for mesoscale metallic nanostructures</w:t>
      </w:r>
    </w:p>
    <w:p>
      <w:r>
        <w:rPr>
          <w:rFonts w:ascii="Times New Roman" w:hAnsi="Times New Roman" w:eastAsia="宋体"/>
          <w:sz w:val="21"/>
        </w:rPr>
        <w:t>作者: Lulu Chang, Can Tao, Haitao Liu</w:t>
        <w:br/>
      </w:r>
      <w:r>
        <w:rPr>
          <w:rFonts w:ascii="Times New Roman" w:hAnsi="Times New Roman" w:eastAsia="宋体"/>
          <w:sz w:val="21"/>
        </w:rPr>
        <w:t xml:space="preserve">时间: 2026-01-21 | </w:t>
      </w:r>
      <w:r>
        <w:t xml:space="preserve">链接: </w:t>
      </w:r>
      <w:hyperlink r:id="rId16">
        <w:r>
          <w:rPr>
            <w:rFonts w:ascii="Times New Roman" w:hAnsi="Times New Roman" w:eastAsia="宋体"/>
            <w:color w:val="0000FF"/>
            <w:sz w:val="21"/>
            <w:u w:val="single"/>
          </w:rPr>
          <w:t>https://doi.org/10.1364/oe.582222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极端纳米级特征尺寸的介观金属纳米结构（MMNS）的光学响应在很大程度上受到非经典量子效应的影响，这可以通过费贝尔曼d参数制定的非经典电磁边界条件（NEBC）来综合描述。在经典电动力学中，经典洛伦兹互易定理（CLRT）具有重要的基础性和广泛的应用。在这项工作中，我们在 NEBC 下建立了非经典洛伦兹互易定理 (NLRT)，其中严格考虑两个非微扰 d 参数。通过在经典电磁边界条件（CEBC）下比较NLRT和CLRT，我们推导了CLRT在NEBC框架内保持有效的具体条件，并通过数值例子验证了其有效性。我们的研究结果为直接将 CLRT 的广泛应用从经典电磁学扩展到非经典领域铺平了道路，并为 NEBC 在不违反 CLRT 的情况下描述非经典效应的合理性提供了理论依据。</w:t>
      </w:r>
    </w:p>
    <w:p>
      <w:pPr>
        <w:spacing w:before="120"/>
      </w:pPr>
      <w:r>
        <w:rPr>
          <w:rFonts w:ascii="Times New Roman" w:hAnsi="Times New Roman" w:eastAsia="宋体"/>
          <w:b/>
          <w:sz w:val="21"/>
        </w:rPr>
        <w:t>English Abstract:</w:t>
      </w:r>
    </w:p>
    <w:p>
      <w:r>
        <w:rPr>
          <w:rFonts w:ascii="Times New Roman" w:hAnsi="Times New Roman" w:eastAsia="宋体"/>
          <w:sz w:val="21"/>
        </w:rPr>
        <w:t>The optical response of mesoscale metallic nanostructures (MMNSs) with extreme nanoscale feature sizes is largely affected by the nonclassical quantum effects, which can be comprehensively described by the nonclassical electromagnetic boundary conditions (NEBC) formulated via Feibelman d -parameters. In classical electrodynamics, the classical Lorentz reciprocity theorem (CLRT) is of fundamental importance with extensive applications. In this work, we establish the nonclassical Lorentz reciprocity theorem (NLRT) under the NEBC, where the two non-perturbative d -parameters are considered in a rigorous manner. By comparing the NLRT with the CLRT under the classical electromagnetic boundary condition (CEBC), we derive the specific conditions under which the CLRT remains valid within the NEBC framework, and confirm their effectiveness by numerical examples. Our findings pave the way for directly extending the wide applications of the CLRT from classical electromagnetism to nonclassical regimes, and provide a theoretical justification for the rationality of the NEBC in describing the nonclassical effects without violating the CLRT.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由双层超表面实现的可调谐光学带阻滤波器</w:t>
      </w:r>
    </w:p>
    <w:p>
      <w:r>
        <w:rPr>
          <w:rFonts w:ascii="Times New Roman" w:hAnsi="Times New Roman" w:eastAsia="宋体"/>
          <w:b/>
          <w:color w:val="003264"/>
          <w:sz w:val="24"/>
        </w:rPr>
        <w:t>Tunable optical bandstop filter enabled by bilayer metasurface</w:t>
      </w:r>
    </w:p>
    <w:p>
      <w:r>
        <w:rPr>
          <w:rFonts w:ascii="Times New Roman" w:hAnsi="Times New Roman" w:eastAsia="宋体"/>
          <w:sz w:val="21"/>
        </w:rPr>
        <w:t>作者: H. S. Haroyan, L. T. Gevorgyan, Kh. V. Nerkararyan</w:t>
        <w:br/>
      </w:r>
      <w:r>
        <w:rPr>
          <w:rFonts w:ascii="Times New Roman" w:hAnsi="Times New Roman" w:eastAsia="宋体"/>
          <w:sz w:val="21"/>
        </w:rPr>
        <w:t xml:space="preserve">时间: 2026-01-22 | </w:t>
      </w:r>
      <w:r>
        <w:t xml:space="preserve">链接: </w:t>
      </w:r>
      <w:hyperlink r:id="rId17">
        <w:r>
          <w:rPr>
            <w:rFonts w:ascii="Times New Roman" w:hAnsi="Times New Roman" w:eastAsia="宋体"/>
            <w:color w:val="0000FF"/>
            <w:sz w:val="21"/>
            <w:u w:val="single"/>
          </w:rPr>
          <w:t>https://doi.org/10.1364/oe.582487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这项研究提出了一种由耦合金属纳米棒对组成的双层超表面，在光学频率范围内表现出可调谐阻带滤波。阻带源自等离激元杂交，产生对称和反对称共振。数值模拟和等效 RLC 电路分析表明，减小棒间距或增加棒尺寸会增强耦合、加宽阻带并移动其中心波长。滤波特性还受到介电常数的变化和棒材料的选择的影响。采用银或金等贵金属的超表面提供了最有利的性能，产生约 953 nm（跨度 600-1305 nm）的中心阻带，形状因子为 1.6，插入损耗低于 0.01。理论和数值分析提供了对双层元结构中耦合机制的全面理解，并为高性能纳米光子阻带滤波器提供了清晰的设计指南。</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 bilayer metasurface consisting of coupled metallic nanorod pairs exhibiting tunable stop-band filtering in the optical frequency range. The stop-band originates from plasmon hybridization, producing symmetric and antisymmetric resonances. Numerical simulations and equivalent RLC circuit analysis reveal that decreasing inter-rod spacing or increasing rod dimensions enhances coupling, broadens the stop band, and shifts its central wavelength. The filtering characteristics are additionally influenced by variations in the dielectric permittivity and the choice of rod material. Metasurfaces employing noble metals such as silver or gold provide the most favorable performance, yielding a central stop band around 953 nm (spanning 600–1305 nm) with a shape factor of 1.6 and an insertion loss below 0.01. Theoretical and numerical analyses provide a comprehensive understanding of the coupling mechanisms in the bilayer metastructure and offer clear design guidelines for high-performance nanophotonic stop-band filters.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工程截面飞秒激光刻写KTP凹陷包层波导的偏振特性和显微拉曼光谱研究</w:t>
      </w:r>
    </w:p>
    <w:p>
      <w:r>
        <w:rPr>
          <w:rFonts w:ascii="Times New Roman" w:hAnsi="Times New Roman" w:eastAsia="宋体"/>
          <w:b/>
          <w:color w:val="003264"/>
          <w:sz w:val="24"/>
        </w:rPr>
        <w:t>Study on polarization properties and micro-Raman spectroscopy of femtosecond-laser-written KTP depressed-cladding waveguides with engineered cross-sections</w:t>
      </w:r>
    </w:p>
    <w:p>
      <w:r>
        <w:rPr>
          <w:rFonts w:ascii="Times New Roman" w:hAnsi="Times New Roman" w:eastAsia="宋体"/>
          <w:sz w:val="21"/>
        </w:rPr>
        <w:t>作者: Lu Chen, Jiaxiang Zhou, Qingming Lu, Bin Zhang, Feng Chen</w:t>
        <w:br/>
      </w:r>
      <w:r>
        <w:rPr>
          <w:rFonts w:ascii="Times New Roman" w:hAnsi="Times New Roman" w:eastAsia="宋体"/>
          <w:sz w:val="21"/>
        </w:rPr>
        <w:t xml:space="preserve">时间: 2026-01-16 | </w:t>
      </w:r>
      <w:r>
        <w:t xml:space="preserve">链接: </w:t>
      </w:r>
      <w:hyperlink r:id="rId18">
        <w:r>
          <w:rPr>
            <w:rFonts w:ascii="Times New Roman" w:hAnsi="Times New Roman" w:eastAsia="宋体"/>
            <w:color w:val="0000FF"/>
            <w:sz w:val="21"/>
            <w:u w:val="single"/>
          </w:rPr>
          <w:t>https://doi.org/10.1364/oe.585016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我们通过飞秒激光写入，在磷酸钛氧钾（KTiOPO 4 或 KTP）晶体中制造了一系列具有工程横截面的凹陷包层波导。已研究了它们在 633 nm 和 1030 nm 下的偏振特性。结果表明，通过调整波导端面可以有效地调制凹陷包层波导的偏振特性。值得注意的是，通过截面工程实现了 633 nm 处几乎与偏振无关的制导。此外，微拉曼光谱表明，飞秒激光诱导轨迹中在691.68 cm -1 拉曼峰附近产生了光谱蓝移（∼0.73 cm -1 ）。这项研究为KTP晶体中凹陷包层波导的偏振控制提供了新的见解，这对于在集成光子学中制造偏振无关的波导结构具有重要意义。</w:t>
      </w:r>
    </w:p>
    <w:p>
      <w:pPr>
        <w:spacing w:before="120"/>
      </w:pPr>
      <w:r>
        <w:rPr>
          <w:rFonts w:ascii="Times New Roman" w:hAnsi="Times New Roman" w:eastAsia="宋体"/>
          <w:b/>
          <w:sz w:val="21"/>
        </w:rPr>
        <w:t>English Abstract:</w:t>
      </w:r>
    </w:p>
    <w:p>
      <w:r>
        <w:rPr>
          <w:rFonts w:ascii="Times New Roman" w:hAnsi="Times New Roman" w:eastAsia="宋体"/>
          <w:sz w:val="21"/>
        </w:rPr>
        <w:t>We have fabricated a series of depressed-cladding waveguides with engineered cross-sections in potassium titanyl phosphate (KTiOPO 4 or KTP) crystal by femtosecond laser writing. Their polarization properties at both 633 nm and 1030 nm have been studied. The results show that polarization properties of depressed-cladding waveguides could be effectively modulated by tailoring the waveguide end-face. Notably, nearly polarization-independent guidance at 633 nm has been realized by cross-section engineering. In addition, micro-Raman spectroscopy indicates that a spectral blueshift (∼0.73 cm -1 ) at around 691.68 cm -1 Raman peak has been produced in femtosecond-laser-induced tracks. This study provides new insights for polarization control of depressed-cladding waveguides in KTP crystal, which is important to fabricate polarization-independent waveguide structures in integrated photonics.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ME-FIRST：用于流体分析的超表面增强指纹红外光谱工具</w:t>
      </w:r>
    </w:p>
    <w:p>
      <w:r>
        <w:rPr>
          <w:rFonts w:ascii="Times New Roman" w:hAnsi="Times New Roman" w:eastAsia="宋体"/>
          <w:b/>
          <w:color w:val="003264"/>
          <w:sz w:val="24"/>
        </w:rPr>
        <w:t>ME-FIRST: a metasurface-enhanced fingerprint infrared spectroscopic tool for fluid analytes</w:t>
      </w:r>
    </w:p>
    <w:p>
      <w:r>
        <w:rPr>
          <w:rFonts w:ascii="Times New Roman" w:hAnsi="Times New Roman" w:eastAsia="宋体"/>
          <w:sz w:val="21"/>
        </w:rPr>
        <w:t>作者: Xiangyu Zhao, Yuqing Liu, Jingzhu Shao, Longsheng Fang, Chongzhao Wu</w:t>
        <w:br/>
      </w:r>
      <w:r>
        <w:rPr>
          <w:rFonts w:ascii="Times New Roman" w:hAnsi="Times New Roman" w:eastAsia="宋体"/>
          <w:sz w:val="21"/>
        </w:rPr>
        <w:t xml:space="preserve">时间: 2026-01-27 | </w:t>
      </w:r>
      <w:r>
        <w:t xml:space="preserve">链接: </w:t>
      </w:r>
      <w:hyperlink r:id="rId19">
        <w:r>
          <w:rPr>
            <w:rFonts w:ascii="Times New Roman" w:hAnsi="Times New Roman" w:eastAsia="宋体"/>
            <w:color w:val="0000FF"/>
            <w:sz w:val="21"/>
            <w:u w:val="single"/>
          </w:rPr>
          <w:t>https://doi.org/10.1364/oe.584567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红外 (IR) 光谱已成为生物医学诊断的关键工具，为检测多种疾病（特别是指纹区域）提供无标记光谱生物标记物。然而，缺乏快速、灵敏的红外光谱技术来分析复杂的液体分析物仍然是临床实践中的一个关键挑战。为了解决这一限制，我们提出了一种超表面增强指纹红外光谱工具（ME-FIRST），该工具通过设计超表面在 1900 cm -1 至 1000 cm -1 的整个指纹范围内产生的等离子体共振来增强亚波长体积中的光与物质相互作用。数值模拟揭示了有限且增强的电近场，平均探测深度为∼100 nm，增强因子|E/E 0 |共振峰时约为 60 倍。 ME-FIRST 设备经过进一步的实验制造和验证，作为概念证明，我们展示了分子振动模式的传感，在整个指纹红外光谱范围内对 L-赖氨酸具有相当高的灵敏度。所提出的 ME-FIRST 为流体分析物的高灵敏度红外光谱提供了一个有前景的平台，为红外光谱在生物流体分析和病理场景中的临床应用铺平了道路。</w:t>
      </w:r>
    </w:p>
    <w:p>
      <w:pPr>
        <w:spacing w:before="120"/>
      </w:pPr>
      <w:r>
        <w:rPr>
          <w:rFonts w:ascii="Times New Roman" w:hAnsi="Times New Roman" w:eastAsia="宋体"/>
          <w:b/>
          <w:sz w:val="21"/>
        </w:rPr>
        <w:t>English Abstract:</w:t>
      </w:r>
    </w:p>
    <w:p>
      <w:r>
        <w:rPr>
          <w:rFonts w:ascii="Times New Roman" w:hAnsi="Times New Roman" w:eastAsia="宋体"/>
          <w:sz w:val="21"/>
        </w:rPr>
        <w:t>Infrared (IR) spectroscopy has emerged as a pivotal tool in biomedical diagnostics, offering label-free spectral biomarkers for the detection of numerous diseases, particularly in the fingerprint region. However, the lack of rapid and sensitive IR spectroscopic techniques for analyzing complex fluid analytes remains a critical challenge in clinical practice. To address this limitation, we present a metasurface-enhanced fingerprint infrared spectroscopic tool (ME-FIRST) that enhances light-matter interactions in sub-wavelength volumes through plasmonic resonances generated with a designed metasurface across the entire fingerprint range from 1900 cm -1 to 1000 cm -1 . Numerical simulations reveal confined and enhanced electric near-field, with an average probing depth of ∼100 nm and an enhancement factor |E/E 0 | of ∼60-fold at resonant peaks. The ME-FIRST device is further experimentally fabricated and validated, and as a proof of concept, we demonstrate the sensing of molecular vibrational modes with a considerable sensitivity in L -lysine over the full fingerprint IR spectral range. The proposed ME-FIRST presents a promising platform for high-sensitivity IR spectroscopy of fluid analytes, paving the way for clinical applications of infrared spectroscopy in biofluid analysis and pathological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基于自由运行锁模光纤激光器的可穿戴 FBG 阵列解调双梳手势传感</w:t>
      </w:r>
    </w:p>
    <w:p>
      <w:r>
        <w:rPr>
          <w:rFonts w:ascii="Times New Roman" w:hAnsi="Times New Roman" w:eastAsia="宋体"/>
          <w:b/>
          <w:color w:val="003264"/>
          <w:sz w:val="24"/>
        </w:rPr>
        <w:t>Dual-comb sensing of hand gesture by wearable FBG arrays demodulation based on a free-running mode-locked fiber laser</w:t>
      </w:r>
    </w:p>
    <w:p>
      <w:r>
        <w:rPr>
          <w:rFonts w:ascii="Times New Roman" w:hAnsi="Times New Roman" w:eastAsia="宋体"/>
          <w:sz w:val="21"/>
        </w:rPr>
        <w:t>作者: Hairu Ren, Sijing Zhang, Xiangwen Zhang, Jinze Han, Yunhua Lv, Keming Wang, Jie Chen</w:t>
        <w:br/>
      </w:r>
      <w:r>
        <w:rPr>
          <w:rFonts w:ascii="Times New Roman" w:hAnsi="Times New Roman" w:eastAsia="宋体"/>
          <w:sz w:val="21"/>
        </w:rPr>
        <w:t xml:space="preserve">时间: 2026-01-20 | </w:t>
      </w:r>
      <w:r>
        <w:t xml:space="preserve">链接: </w:t>
      </w:r>
      <w:hyperlink r:id="rId20">
        <w:r>
          <w:rPr>
            <w:rFonts w:ascii="Times New Roman" w:hAnsi="Times New Roman" w:eastAsia="宋体"/>
            <w:color w:val="0000FF"/>
            <w:sz w:val="21"/>
            <w:u w:val="single"/>
          </w:rPr>
          <w:t>https://doi.org/10.1364/oe.580982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介绍了一种采用光纤布拉格光栅（FBG）阵列的快速、准确的可穿戴手势传感方法，并通过双梳光谱（DCS）技术进行询问。通过利用异步光学采样（ASOPS）方法，可以实现快速、高分辨率的动态手势传感。这是通过利用单腔双梳光纤光栅阵列解调方案来实时监测单次光纤光栅的反射光谱（由手势中的每个手指运动产生）来实现的。所提出的传感系统具有约 5 pm/度的高灵敏度，并以约 2 kHz 的刷新率捕获手势变化。此外，还进行了一系列测量，以评估基于 FBG 的双梳手势传感系统在捕捉动态手势方面的响应特性和有效性。该系统在指接测量中保持优于 1.9 度的均方根误差 (RMSE) 精度，对应于单次波长偏移中约 9.6 pm 的光谱分辨率。结果表明，在千赫兹级测量速度下实现皮米级分辨率的能力可以凸显基于 FBG 的双梳传感系统在高速、高分辨率手部运动传感方面的潜力，对于机器人手势识别和人机交互等应用具有重要意义。</w:t>
      </w:r>
    </w:p>
    <w:p>
      <w:pPr>
        <w:spacing w:before="120"/>
      </w:pPr>
      <w:r>
        <w:rPr>
          <w:rFonts w:ascii="Times New Roman" w:hAnsi="Times New Roman" w:eastAsia="宋体"/>
          <w:b/>
          <w:sz w:val="21"/>
        </w:rPr>
        <w:t>English Abstract:</w:t>
      </w:r>
    </w:p>
    <w:p>
      <w:r>
        <w:rPr>
          <w:rFonts w:ascii="Times New Roman" w:hAnsi="Times New Roman" w:eastAsia="宋体"/>
          <w:sz w:val="21"/>
        </w:rPr>
        <w:t>This paper introduces a rapid and accurate wearable hand gesture sensing approach with optical fiber Bragg grating (FBG) arrays, interrogated by the dual-comb spectroscopy (DCS) technique. By leveraging the asynchronous optical sampling (ASOPS) method, rapid and high-resolution dynamic hand gesture sensing can be achieved. This is facilitated by utilizing a single-cavity dual-comb FBG array demodulation scheme in real-time to monitor single-shot FBG’s reflective spectrum, resulting from each finger movement in hand gestures. The proposed sensing system offers a high sensitivity of ∼5 pm/degree, and captures the gesture changes at a refresh rate of ∼2 kHz. Furthermore, a series of measurements was conducted to assess the response characteristics and the effectiveness of the FBG-based dual-comb hand gesture sensing system in capturing dynamic gestures. The system maintains a root mean square error (RMSE) accuracy of better than 1.9 degrees in finger joint measurements, corresponding to a spectral resolution of ∼9.6 pm in single-shot wavelength shifts. The results demonstrate that the capabilities of picometer-level resolution at kilohertz-level measurement speeds could highlight the potential of the FBG-based dual-comb sensing system for high-speed, high-resolution hand motion sensing, with significance for applications such as robotic gesture recognition and human-machine interaction.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 Research</w:t>
      </w:r>
    </w:p>
    <w:p>
      <w:pPr>
        <w:jc w:val="center"/>
      </w:pPr>
      <w:r>
        <w:t>--- 更新: 00:28 ---</w:t>
      </w:r>
    </w:p>
    <w:p>
      <w:pPr>
        <w:pStyle w:val="Heading2"/>
      </w:pPr>
      <w:r/>
      <w:r>
        <w:rPr>
          <w:rFonts w:ascii="Times New Roman" w:hAnsi="Times New Roman" w:eastAsia="宋体"/>
          <w:b/>
          <w:color w:val="000000"/>
          <w:sz w:val="24"/>
        </w:rPr>
        <w:t>迈向硅光子波导的高分辨率微调</w:t>
      </w:r>
    </w:p>
    <w:p>
      <w:r>
        <w:rPr>
          <w:rFonts w:ascii="Times New Roman" w:hAnsi="Times New Roman" w:eastAsia="宋体"/>
          <w:b/>
          <w:color w:val="003264"/>
          <w:sz w:val="24"/>
        </w:rPr>
        <w:t>Towards High Resolution Trimming of Silicon Photonic Waveguides</w:t>
      </w:r>
    </w:p>
    <w:p>
      <w:r>
        <w:rPr>
          <w:rFonts w:ascii="Times New Roman" w:hAnsi="Times New Roman" w:eastAsia="宋体"/>
          <w:sz w:val="21"/>
        </w:rPr>
        <w:t>作者: April M. Logan, Xia Chen, Xingshi Yu, Weihong Shen, Xingzhao Yan, Weiwei Zhang, Goran Z. Mashanovich, Graham T. Reed, David J. Thomson</w:t>
        <w:br/>
      </w:r>
      <w:r>
        <w:rPr>
          <w:rFonts w:ascii="Times New Roman" w:hAnsi="Times New Roman" w:eastAsia="宋体"/>
          <w:sz w:val="21"/>
        </w:rPr>
        <w:t xml:space="preserve">时间: 2026-02-01 | </w:t>
      </w:r>
      <w:r>
        <w:t xml:space="preserve">链接: </w:t>
      </w:r>
      <w:hyperlink r:id="rId21">
        <w:r>
          <w:rPr>
            <w:rFonts w:ascii="Times New Roman" w:hAnsi="Times New Roman" w:eastAsia="宋体"/>
            <w:color w:val="0000FF"/>
            <w:sz w:val="21"/>
            <w:u w:val="single"/>
          </w:rPr>
          <w:t>https://doi.org/10.1002/adpr.202500298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了通过非晶化波导部分电退火对硅马赫-曾德干涉仪进行高分辨率相位微调的方法。高分辨率的相变对于精确调整单个器件的性能以纠正制造错误以及在缩放到大型可编程光子电路时是必要的。位于非晶波导部分上方的片上微型加热器由短电压脉冲驱动，引起一定程度的再结晶，从而可控地改变材料的折射率。如果采用自适应方法，则可以证明每个电压脉冲的相位变化的平均分辨率为 0.0007π，其中连续脉冲之间的电压阶跃设置为取决于前三个电压脉冲带来的平均相位变化。</w:t>
      </w:r>
    </w:p>
    <w:p>
      <w:pPr>
        <w:spacing w:before="120"/>
      </w:pPr>
      <w:r>
        <w:rPr>
          <w:rFonts w:ascii="Times New Roman" w:hAnsi="Times New Roman" w:eastAsia="宋体"/>
          <w:b/>
          <w:sz w:val="21"/>
        </w:rPr>
        <w:t>English Abstract:</w:t>
      </w:r>
    </w:p>
    <w:p>
      <w:r>
        <w:rPr>
          <w:rFonts w:ascii="Times New Roman" w:hAnsi="Times New Roman" w:eastAsia="宋体"/>
          <w:sz w:val="21"/>
        </w:rPr>
        <w:t>Methods for high resolution phase trimming of silicon Mach–Zehnder interferometers via the electrical annealing of amorphized waveguide sections are presented. A high resolution of phase change is necessary to accurately trim the performance of individual devices to correct fabrication errors and when scaling to large programmable photonic circuits. On‐chip microheaters positioned above amorphous waveguide sections are driven by short voltage pulses, causing a degree of recrystallization, controllably changing the material's refractive index. An average resolution of phase change per voltage pulse of 0.0007π is demonstrated if an adaptive method is employed, where the voltage step between successive pulses is set to be dependent on the average phase change brought about by the previous three voltage pulses.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无标题</w:t>
      </w:r>
    </w:p>
    <w:p>
      <w:r>
        <w:rPr>
          <w:rFonts w:ascii="Times New Roman" w:hAnsi="Times New Roman" w:eastAsia="宋体"/>
          <w:b/>
          <w:color w:val="003264"/>
          <w:sz w:val="24"/>
        </w:rPr>
        <w:t>No Title</w:t>
      </w:r>
    </w:p>
    <w:p>
      <w:r>
        <w:rPr>
          <w:rFonts w:ascii="Times New Roman" w:hAnsi="Times New Roman" w:eastAsia="宋体"/>
          <w:sz w:val="21"/>
        </w:rPr>
        <w:t>作者: Unknown</w:t>
        <w:br/>
      </w:r>
      <w:r>
        <w:rPr>
          <w:rFonts w:ascii="Times New Roman" w:hAnsi="Times New Roman" w:eastAsia="宋体"/>
          <w:sz w:val="21"/>
        </w:rPr>
        <w:t xml:space="preserve">时间: 2026-02-01 | </w:t>
      </w:r>
      <w:r>
        <w:t xml:space="preserve">链接: </w:t>
      </w:r>
      <w:hyperlink r:id="rId22">
        <w:r>
          <w:rPr>
            <w:rFonts w:ascii="Times New Roman" w:hAnsi="Times New Roman" w:eastAsia="宋体"/>
            <w:color w:val="0000FF"/>
            <w:sz w:val="21"/>
            <w:u w:val="single"/>
          </w:rPr>
          <w:t>https://doi.org/10.1002/adpr.v7.2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00:28 ---</w:t>
      </w:r>
    </w:p>
    <w:p>
      <w:pPr>
        <w:pStyle w:val="Heading2"/>
      </w:pPr>
      <w:r/>
      <w:r>
        <w:rPr>
          <w:rFonts w:ascii="Times New Roman" w:hAnsi="Times New Roman" w:eastAsia="宋体"/>
          <w:b/>
          <w:color w:val="000000"/>
          <w:sz w:val="24"/>
        </w:rPr>
        <w:t>通过协同水分和 BHT 双重策略，在钙钛矿中实现突破性的超低阈值放大自发发射</w:t>
      </w:r>
    </w:p>
    <w:p>
      <w:r>
        <w:rPr>
          <w:rFonts w:ascii="Times New Roman" w:hAnsi="Times New Roman" w:eastAsia="宋体"/>
          <w:b/>
          <w:color w:val="003264"/>
          <w:sz w:val="24"/>
        </w:rPr>
        <w:t>Break-through amplified spontaneous emission with ultra-low threshold in perovskite via synergetic moisture and BHT dual strategies</w:t>
      </w:r>
    </w:p>
    <w:p>
      <w:r>
        <w:rPr>
          <w:rFonts w:ascii="Times New Roman" w:hAnsi="Times New Roman" w:eastAsia="宋体"/>
          <w:sz w:val="21"/>
        </w:rPr>
        <w:t>作者: Dingke Zhang, Rui Li, Haoyue Luo, Zhen Meng, Jingwen Yao, Hongfang Liu, Yexiong Huang, Shuaiqi Li, Peng Yu, Jie Yang, Mingyu Pi, Shencheng Fu, Zhenxiang Cheng, Yichun Liu</w:t>
        <w:br/>
      </w:r>
      <w:r>
        <w:rPr>
          <w:rFonts w:ascii="Times New Roman" w:hAnsi="Times New Roman" w:eastAsia="宋体"/>
          <w:sz w:val="21"/>
        </w:rPr>
        <w:t xml:space="preserve">时间: 2026-02-02 | </w:t>
      </w:r>
      <w:r>
        <w:t xml:space="preserve">链接: </w:t>
      </w:r>
      <w:hyperlink r:id="rId23">
        <w:r>
          <w:rPr>
            <w:rFonts w:ascii="Times New Roman" w:hAnsi="Times New Roman" w:eastAsia="宋体"/>
            <w:color w:val="0000FF"/>
            <w:sz w:val="21"/>
            <w:u w:val="single"/>
          </w:rPr>
          <w:t>https://doi.org/10.1038/s41377-025-02171-8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微纳米激光器在片上集成光子学领域具有重大前景，尽管存在稳定性挑战，但钙钛矿材料仍成为引人注目的增益介质。虽然水分通常会降低钙钛矿结构，但其受控的整合却可以相反地增强结晶。在这里，我们展示了利用水分子和丁基羟基甲苯（BHT）添加剂的协同策略来获得具有低缺陷密度的高质量碘化铅铵（MAPbI₃）薄膜。通过优化的 BHT (4 wt%) 与 95% 相对湿度处理相结合，我们在纳秒脉冲激发下获得了前所未有的放大自发发射 (ASE) 阈值 8.987 μJ cm-2，这是迄今为止报道的最低值。这种双触发薄膜在 30 天的环境储存后仍能保持 ASE 强度。原位结构和光电表征表明，BHT 扩展了水-钙钛矿相互作用，促进有机阳离子垂直扩散和优先 (110) 取向结晶，垂直排列率为 53.02%。瞬态吸收 (TA) 光谱证实了非辐射复合受到抑制，载流子寿命延长了 11% (6145 ps)，而温度依赖性光致发光则表明激子结合能增强（73.50 meV 与 60.68 meV），有利于低阈值激光发射。这项工作将水分从降解剂转化为结晶促进剂，为同时具有效率和稳定性的高性能钙钛矿激光器建立了范例。</w:t>
      </w:r>
    </w:p>
    <w:p>
      <w:pPr>
        <w:spacing w:before="120"/>
      </w:pPr>
      <w:r>
        <w:rPr>
          <w:rFonts w:ascii="Times New Roman" w:hAnsi="Times New Roman" w:eastAsia="宋体"/>
          <w:b/>
          <w:sz w:val="21"/>
        </w:rPr>
        <w:t>English Abstract:</w:t>
      </w:r>
    </w:p>
    <w:p>
      <w:r>
        <w:rPr>
          <w:rFonts w:ascii="Times New Roman" w:hAnsi="Times New Roman" w:eastAsia="宋体"/>
          <w:sz w:val="21"/>
        </w:rPr>
        <w:t>Abstract Micro-nano lasers hold significant promise for on-chip integrated photonics, where perovskite materials emerge as compelling gain media despite stability challenges. While moisture typically degrades perovskite structures, its controlled integration can paradoxically enhance crystallization. Here, we demonstrate a synergistic strategy utilizing water molecules and butylated hydroxytoluene (BHT) additive to achieve high-quality methylammonium lead iodide (MAPbI₃) films with low defect density. Through optimized BHT (4 wt%) combined with 95% relative humidity treatment, we attain an unprecedented amplified spontaneous emission (ASE) threshold of 8.987 μJ cm⁻² under nanosecond pulse excitation – the lowest value reported to date. This dual-triggered film completes ASE intensity retention after 30-day ambient storage. In situ structural and optoelectronic characterization reveals that BHT extends water-perovskite interaction, facilitating organic cation vertical diffusion and preferential (110)-oriented crystallization with 53.02% perpendicular alignment. Transient absorption (TA) spectroscopy confirms suppressed non-radiative recombination, evidenced by 11% prolonged carrier lifetime (6145 ps), while temperature-dependent photoluminescence reveals enhanced exciton binding energy (73.50 meV vs. 60.68 meV) conducive to low-threshold lasing. This work transforms moisture from a degradation agent into a crystallization promoter, establishing a paradigm for high-performance perovskite lasers with simultaneous efficiency and stability.</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optlaseng.2026.109669" TargetMode="External"/><Relationship Id="rId11" Type="http://schemas.openxmlformats.org/officeDocument/2006/relationships/hyperlink" Target="https://doi.org/10.1364/oe.577018" TargetMode="External"/><Relationship Id="rId12" Type="http://schemas.openxmlformats.org/officeDocument/2006/relationships/hyperlink" Target="https://doi.org/10.1364/oe.581263" TargetMode="External"/><Relationship Id="rId13" Type="http://schemas.openxmlformats.org/officeDocument/2006/relationships/hyperlink" Target="https://doi.org/10.1364/oe.577205" TargetMode="External"/><Relationship Id="rId14" Type="http://schemas.openxmlformats.org/officeDocument/2006/relationships/hyperlink" Target="https://doi.org/10.1364/oe.580173" TargetMode="External"/><Relationship Id="rId15" Type="http://schemas.openxmlformats.org/officeDocument/2006/relationships/hyperlink" Target="https://doi.org/10.1364/oe.581538" TargetMode="External"/><Relationship Id="rId16" Type="http://schemas.openxmlformats.org/officeDocument/2006/relationships/hyperlink" Target="https://doi.org/10.1364/oe.582222" TargetMode="External"/><Relationship Id="rId17" Type="http://schemas.openxmlformats.org/officeDocument/2006/relationships/hyperlink" Target="https://doi.org/10.1364/oe.582487" TargetMode="External"/><Relationship Id="rId18" Type="http://schemas.openxmlformats.org/officeDocument/2006/relationships/hyperlink" Target="https://doi.org/10.1364/oe.585016" TargetMode="External"/><Relationship Id="rId19" Type="http://schemas.openxmlformats.org/officeDocument/2006/relationships/hyperlink" Target="https://doi.org/10.1364/oe.584567" TargetMode="External"/><Relationship Id="rId20" Type="http://schemas.openxmlformats.org/officeDocument/2006/relationships/hyperlink" Target="https://doi.org/10.1364/oe.580982" TargetMode="External"/><Relationship Id="rId21" Type="http://schemas.openxmlformats.org/officeDocument/2006/relationships/hyperlink" Target="https://doi.org/10.1002/adpr.202500298" TargetMode="External"/><Relationship Id="rId22" Type="http://schemas.openxmlformats.org/officeDocument/2006/relationships/hyperlink" Target="https://doi.org/10.1002/adpr.v7.2" TargetMode="External"/><Relationship Id="rId23" Type="http://schemas.openxmlformats.org/officeDocument/2006/relationships/hyperlink" Target="https://doi.org/10.1038/s41377-025-0217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