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人类 KV7.4 通道的两步电压传感器激活以及耳聋相关突变的影响</w:t>
      </w:r>
    </w:p>
    <w:p>
      <w:r>
        <w:rPr>
          <w:rFonts w:ascii="Times New Roman" w:hAnsi="Times New Roman" w:eastAsia="宋体"/>
          <w:b/>
          <w:color w:val="003264"/>
          <w:sz w:val="24"/>
        </w:rPr>
        <w:t>Two-step voltage-sensor activation of the human KV7.4 channel and effect of a deafness-associated mutation</w:t>
      </w:r>
    </w:p>
    <w:p>
      <w:r>
        <w:rPr>
          <w:rFonts w:ascii="Times New Roman" w:hAnsi="Times New Roman" w:eastAsia="宋体"/>
          <w:sz w:val="21"/>
        </w:rPr>
        <w:t>作者: Mario Nappi, Damon J. A. Frampton, Ali S. Kusay, Kaiqian Wang, S. Suheda Yasarbas, Serena Pozzi, Francesco Miceli, Sara I. Liin, Maurizio Taglialatela, Antonios Pantazis</w:t>
        <w:br/>
      </w:r>
      <w:r>
        <w:rPr>
          <w:rFonts w:ascii="Times New Roman" w:hAnsi="Times New Roman" w:eastAsia="宋体"/>
          <w:sz w:val="21"/>
        </w:rPr>
        <w:t xml:space="preserve">时间: 2026-02-05 | </w:t>
      </w:r>
      <w:r>
        <w:t xml:space="preserve">链接: </w:t>
      </w:r>
      <w:hyperlink r:id="rId10">
        <w:r>
          <w:rPr>
            <w:rFonts w:ascii="Times New Roman" w:hAnsi="Times New Roman" w:eastAsia="宋体"/>
            <w:color w:val="0000FF"/>
            <w:sz w:val="21"/>
            <w:u w:val="single"/>
          </w:rPr>
          <w:t>https://doi.org/10.1038/s41467-026-69249-8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KCNQ4 编码的 K V 7.4 电压门控钾通道在内耳毛细胞中表达。 KCNQ4 的功能丧失变异会导致非综合征性进行性听力损失 (DFNA2)。 K V 7.4 孔打开需要电压传感器域 (VSD) 的电压依赖性构象变化（激活）；然而，VSD 激活期间的快速电荷位移与缓慢的通道打开之间的耦合目前尚不清楚。在这里，我们利用电压钳荧光测定法，利用两种荧光团和脉冲激发，光学跟踪 K V 7.4 VSD 激活，发现 VSD 激活包含几个电压依赖性转变，其中一些具有与通道打开和关闭相匹配的动力学和电压依赖性。引起 DFNA2 的 R216H 突变通过破坏活性 VSD 配置的稳定性来损害 VSD 运动和通道开放，这一结果已通过分子动力学模拟得到证实。我们建议 K V 7.4 VSD 分两步激活：快速移动代表第一次过渡到中间激活状态，然后是完全激活 VSD 并驱动通道打开的较慢组件。</w:t>
      </w:r>
    </w:p>
    <w:p>
      <w:pPr>
        <w:spacing w:before="120"/>
      </w:pPr>
      <w:r>
        <w:rPr>
          <w:rFonts w:ascii="Times New Roman" w:hAnsi="Times New Roman" w:eastAsia="宋体"/>
          <w:b/>
          <w:sz w:val="21"/>
        </w:rPr>
        <w:t>English Abstract:</w:t>
      </w:r>
    </w:p>
    <w:p>
      <w:r>
        <w:rPr>
          <w:rFonts w:ascii="Times New Roman" w:hAnsi="Times New Roman" w:eastAsia="宋体"/>
          <w:sz w:val="21"/>
        </w:rPr>
        <w:t>Abstract KCNQ4 -encoded K V 7.4 voltage-gated potassium channels are expressed in hair-cells of the inner ear. Loss-of-function variants in KCNQ4 cause non-syndromic progressive hearing loss (DFNA2). K V 7.4 pore opening requires voltage-dependent conformational changes (activation) of the voltage-sensor domains (VSDs); however, how fast charge displacement during VSD activation is coupled to slow channel opening is currently unclear. Here, we optically tracked K V 7.4 VSD activation with voltage-clamp fluorometry, leveraging two fluorophores and pulsed excitation, and found that VSD activation comprises several voltage-dependent transitions, some with kinetics and voltage-dependence matching those of channel opening and closing. The DFNA2-causing R216H mutation impairs VSD movement and channel opening by destabilizing the active VSD configuration, a result confirmed by molecular dynamics simulations. We propose that the K V 7.4 VSD activates in two steps: a fast movement representing a first transition to an intermediate activation state, followed by slower component(s) that fully activate the VSD and drive channel opening.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miRNA 通过 ECM 和发育途径塑造小鼠年龄无关的组织对太空飞行的适应</w:t>
      </w:r>
    </w:p>
    <w:p>
      <w:r>
        <w:rPr>
          <w:rFonts w:ascii="Times New Roman" w:hAnsi="Times New Roman" w:eastAsia="宋体"/>
          <w:b/>
          <w:color w:val="003264"/>
          <w:sz w:val="24"/>
        </w:rPr>
        <w:t>MiRNAs shape mouse age-independent tissue adaptation to spaceflight via ECM and developmental pathways</w:t>
      </w:r>
    </w:p>
    <w:p>
      <w:r>
        <w:rPr>
          <w:rFonts w:ascii="Times New Roman" w:hAnsi="Times New Roman" w:eastAsia="宋体"/>
          <w:sz w:val="21"/>
        </w:rPr>
        <w:t>作者: Friederike Grandke, Shusruto Rishik, Viktoria Wagner, Annika Engel, Nicole Ludwig, Kruti Calcuttawala, Fabian Kern, Verena Keller, Marcin Krawczyk, Louis Stodieck, Virginia Ferguson, Amanda Roberts, Eckart Meese, Nicholas Schaum, Steven Quake, Tony Wyss-Coray, Andreas Keller</w:t>
        <w:br/>
      </w:r>
      <w:r>
        <w:rPr>
          <w:rFonts w:ascii="Times New Roman" w:hAnsi="Times New Roman" w:eastAsia="宋体"/>
          <w:sz w:val="21"/>
        </w:rPr>
        <w:t xml:space="preserve">时间: 2026-02-05 | </w:t>
      </w:r>
      <w:r>
        <w:t xml:space="preserve">链接: </w:t>
      </w:r>
      <w:hyperlink r:id="rId37">
        <w:r>
          <w:rPr>
            <w:rFonts w:ascii="Times New Roman" w:hAnsi="Times New Roman" w:eastAsia="宋体"/>
            <w:color w:val="0000FF"/>
            <w:sz w:val="21"/>
            <w:u w:val="single"/>
          </w:rPr>
          <w:t>https://doi.org/10.1038/s41467-026-68737-1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随着人类太空探索的加速，了解哺乳动物长时间太空飞行对整个生物体的分子影响变得越来越重要。 miRNA 等非编码 RNA 是调节这一景观的关键。因此，我们在国际空间站呆了至少 3 周后，分析了来自 3 个月大和 8 个月大的雌性小鼠 13 个实体器官的 686 个小 RNA 样本，并将它们与地球上的对照组进行比较。我们观察到太空飞行对沿着脂肪-肝脏-胰腺轴以及心脏、大脑、脾脏和胸腺的全身组织重塑途径有显着影响。 MIR-17/92 和 MIR-1/133 家族通过特定的基因靶向驱动不同的分子变化。与年龄无关的变化相比，年龄依赖性变化的幅度较小，主要涉及肠系膜脂肪组织、胰腺和膈肌中通过 MIR-8、MIR-154 和 MIR-15 家族进行的组织重塑。我们的研究结果为航天如何调节哺乳动物基因表达以准备星际航天提供了证据。</w:t>
      </w:r>
    </w:p>
    <w:p>
      <w:pPr>
        <w:spacing w:before="120"/>
      </w:pPr>
      <w:r>
        <w:rPr>
          <w:rFonts w:ascii="Times New Roman" w:hAnsi="Times New Roman" w:eastAsia="宋体"/>
          <w:b/>
          <w:sz w:val="21"/>
        </w:rPr>
        <w:t>English Abstract:</w:t>
      </w:r>
    </w:p>
    <w:p>
      <w:r>
        <w:rPr>
          <w:rFonts w:ascii="Times New Roman" w:hAnsi="Times New Roman" w:eastAsia="宋体"/>
          <w:sz w:val="21"/>
        </w:rPr>
        <w:t>Abstract As human space exploration accelerates, understanding the organism-wide molecular effects of longer spaceflight in mammals becomes increasingly critical. Non-coding RNAs like miRNAs are key to regulating this landscape. We thus analyze 686 small RNA samples of female mice from 13 solid organs at 3 and 8 months of age, after at least 3 weeks on the International Space Station and compare them to earth-bound controls. We observe significant spaceflight effects in systemic tissue remodeling pathways along the Fat-Liver-Pancreas axis and in heart, brain, spleen and thymus. The MIR-17/92 and MIR-1/133 families drive distinct molecular changes through specific gene targeting. Age-dependent changes, smaller in magnitude compared to age-independent changes, primarily involve tissue remodeling through MIR-8 , MIR-154 and MIR-15 families in mesenteric adipose tissue, pancreas, and diaphragm. Our findings provide evidence on how spaceflight regulates mammalian gene expression in preparation for interplanetary spaceflight.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稳定的实时布里渊显微镜揭示了活细胞中蛋白质凝聚物的分形组织</w:t>
      </w:r>
    </w:p>
    <w:p>
      <w:r>
        <w:rPr>
          <w:rFonts w:ascii="Times New Roman" w:hAnsi="Times New Roman" w:eastAsia="宋体"/>
          <w:b/>
          <w:color w:val="003264"/>
          <w:sz w:val="24"/>
        </w:rPr>
        <w:t>Stabilized real-time Brillouin microscopy reveals fractal organization of protein condensates in living cells</w:t>
      </w:r>
    </w:p>
    <w:p>
      <w:r>
        <w:rPr>
          <w:rFonts w:ascii="Times New Roman" w:hAnsi="Times New Roman" w:eastAsia="宋体"/>
          <w:sz w:val="21"/>
        </w:rPr>
        <w:t>作者: Claudia Testi, Emanuele Pontecorvo, Chiara Bartoli, Chiara Marzaro, Fabrizio Gala, Li Zhang, Giulia Zanini, Noemi D’Abbondanza, Maria Giovanna Garone, Valeria de Turris, Andrea Giuliani, Gaia Di Timoteo, Irene Bozzoni, Alessandro Rosa, Giancarlo Ruocco</w:t>
        <w:br/>
      </w:r>
      <w:r>
        <w:rPr>
          <w:rFonts w:ascii="Times New Roman" w:hAnsi="Times New Roman" w:eastAsia="宋体"/>
          <w:sz w:val="21"/>
        </w:rPr>
        <w:t xml:space="preserve">时间: 2026-02-05 | </w:t>
      </w:r>
      <w:r>
        <w:t xml:space="preserve">链接: </w:t>
      </w:r>
      <w:hyperlink r:id="rId78">
        <w:r>
          <w:rPr>
            <w:rFonts w:ascii="Times New Roman" w:hAnsi="Times New Roman" w:eastAsia="宋体"/>
            <w:color w:val="0000FF"/>
            <w:sz w:val="21"/>
            <w:u w:val="single"/>
          </w:rPr>
          <w:t>https://doi.org/10.1038/s41467-026-68984-2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蛋白质凝聚物的机械改变在几种神经退行性疾病的病因学中得到越来越多的认识，但其表征在技术上仍然具有挑战性。尽管布里渊显微镜可以提供一种有前途的解决方案，但其使用受到仪器不稳定的阻碍，需要频繁调整和使用参考材料进行手动校准。在这里，我们提出了一种增强型布里渊显微镜，它包含一个电光调制器，同时用作频率参考、光谱仪校准器和时间稳定器。这种集成可在全自动工作流程中实现多天内稳定、实时的光谱稳定性。使用该系统，我们量化了活细胞中几种蛋白质凝聚物的布里渊位移，并使用 FRAP 验证了我们的发现。技术之间的相关性揭示了冷凝物的分形内部结构，提供了对其物理性质的重要见解，同时探测了包含多种蛋白质种类的整个隔室的机械行为。我们的方法提供了一个独特的框架来区分生理和病理冷凝物，为活细胞中长期、独立于用户的高精度机械测量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Mechanical alterations of protein condensates are increasingly recognized in the etiology of several neurodegenerative diseases, yet their characterization remains technically challenging. Although Brillouin microscopy could offer a promising solution, its use is hindered by instrumental instabilities demanding frequent adjustments and manual calibrations with reference materials. Here, we present an enhanced Brillouin Microscope that incorporates an electro-optic modulator, serving simultaneously as frequency reference, spectrometer calibrator, and temporal stabilizer. This integration enables robust, real-time spectral stability over multiple days in a fully automated workflow. Using this system, we quantify Brillouin shifts of several protein condensates in living cells and validate our findings with FRAP. The correlation between techniques reveals a fractal internal architecture of the condensates, providing important insights into their physical nature while probing the mechanical behavior of entire compartments containing multiple protein species. Our method offers a unique framework for distinguishing physiological from pathological condensates, paving the way for long-term, user-independent, high-precision mechanical measurements in living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对荚膜多糖转运蛋白 Wza-Wzc 复合物的分子见解</w:t>
      </w:r>
    </w:p>
    <w:p>
      <w:r>
        <w:rPr>
          <w:rFonts w:ascii="Times New Roman" w:hAnsi="Times New Roman" w:eastAsia="宋体"/>
          <w:b/>
          <w:color w:val="003264"/>
          <w:sz w:val="24"/>
        </w:rPr>
        <w:t>Molecular insights into the capsular polysaccharide transporter Wza-Wzc complex</w:t>
      </w:r>
    </w:p>
    <w:p>
      <w:r>
        <w:rPr>
          <w:rFonts w:ascii="Times New Roman" w:hAnsi="Times New Roman" w:eastAsia="宋体"/>
          <w:sz w:val="21"/>
        </w:rPr>
        <w:t>作者: Biao Yuan, Christian Sieben, Prateek Raj, Tina Rietschel, Rory Hennell James, Anja Gatzemeier, Lothar Jänsch, Thomas C. Marlovits, Dirk W. Heinz</w:t>
        <w:br/>
      </w:r>
      <w:r>
        <w:rPr>
          <w:rFonts w:ascii="Times New Roman" w:hAnsi="Times New Roman" w:eastAsia="宋体"/>
          <w:sz w:val="21"/>
        </w:rPr>
        <w:t xml:space="preserve">时间: 2026-02-05 | </w:t>
      </w:r>
      <w:r>
        <w:t xml:space="preserve">链接: </w:t>
      </w:r>
      <w:hyperlink r:id="rId88">
        <w:r>
          <w:rPr>
            <w:rFonts w:ascii="Times New Roman" w:hAnsi="Times New Roman" w:eastAsia="宋体"/>
            <w:color w:val="0000FF"/>
            <w:sz w:val="21"/>
            <w:u w:val="single"/>
          </w:rPr>
          <w:t>https://doi.org/10.1038/s41467-026-69136-2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摘要荚膜多糖（CPS）是关键的毒力决定因素，构成细菌病原体周围的保护性荚膜。在这里，我们展示了由大肠杆菌 K12 Wza-Wzc 复合物形成的革兰氏阴性细菌 CPS 分泌机制的完整冷冻电镜结构。该结构揭示了一个跨越整个包膜的细长、连续的通道，有利于 CPS 的分泌。 ADP 结合的 Wza-Wzc 复合物的多个结构快照捕获了双膜组件的中间构象，突出了其非凡的内在动力学。对分离的 Wza 易位子和 Wzc 共聚酶的深入分析揭示了复合物形成和 CPS 运输的机制细节。我们进一步揭示了 Wzc 的果冻卷结构域作为 CPS 结合模块，可能引导 CPS 重复单元进入拟议的 Wzc-Wzy 聚合平台。总的来说，这项工作提供了对 CPS 合成和运输的结构和功能见解，增进了我们对细菌荚膜形成和毒力机制的理解。</w:t>
      </w:r>
    </w:p>
    <w:p>
      <w:pPr>
        <w:spacing w:before="120"/>
      </w:pPr>
      <w:r>
        <w:rPr>
          <w:rFonts w:ascii="Times New Roman" w:hAnsi="Times New Roman" w:eastAsia="宋体"/>
          <w:b/>
          <w:sz w:val="21"/>
        </w:rPr>
        <w:t>English Abstract:</w:t>
      </w:r>
    </w:p>
    <w:p>
      <w:r>
        <w:rPr>
          <w:rFonts w:ascii="Times New Roman" w:hAnsi="Times New Roman" w:eastAsia="宋体"/>
          <w:sz w:val="21"/>
        </w:rPr>
        <w:t>Abstract Capsular polysaccharides (CPS) are key virulence determinants, constituting the protective capsule that surrounds bacterial pathogens. Here, we present the complete cryo-EM structure of Gram-negative bacterial CPS secretion machinery formed by the E. coli K12 Wza-Wzc complex. The structure reveals an elongated, continuous channel spanning the entire envelope that facilitates CPS secretion. Multiple structural snapshots of the ADP-bound Wza-Wzc complex capture intermediate conformations of the double membrane assembly, highlighting its remarkable intrinsic dynamics. In-depth analysis of the isolated Wza translocon and Wzc co-polymerase, reveals mechanistic details of both complex formation and CPS transport. We further uncover the jellyroll domain of Wzc as a CPS-binding module, likely guiding CPS repeat units into a proposed Wzc-Wzy polymerization platform. Collectively, this work provides structural and functional insights into CPS synthesis and transport, advancing our understanding of bacterial capsule formation and virulence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从废橡胶到循环材料聚丁二烯改性的价值</w:t>
      </w:r>
    </w:p>
    <w:p>
      <w:r>
        <w:rPr>
          <w:rFonts w:ascii="Times New Roman" w:hAnsi="Times New Roman" w:eastAsia="宋体"/>
          <w:b/>
          <w:color w:val="003264"/>
          <w:sz w:val="24"/>
        </w:rPr>
        <w:t>From waste rubber to value polybutadiene modification for circular materials</w:t>
      </w:r>
    </w:p>
    <w:p>
      <w:r>
        <w:rPr>
          <w:rFonts w:ascii="Times New Roman" w:hAnsi="Times New Roman" w:eastAsia="宋体"/>
          <w:sz w:val="21"/>
        </w:rPr>
        <w:t>作者: Janna Jeschke, Hatice Mutlu</w:t>
        <w:br/>
      </w:r>
      <w:r>
        <w:rPr>
          <w:rFonts w:ascii="Times New Roman" w:hAnsi="Times New Roman" w:eastAsia="宋体"/>
          <w:sz w:val="21"/>
        </w:rPr>
        <w:t xml:space="preserve">时间: 2026-02-05 | </w:t>
      </w:r>
      <w:r>
        <w:t xml:space="preserve">链接: </w:t>
      </w:r>
      <w:hyperlink r:id="rId89">
        <w:r>
          <w:rPr>
            <w:rFonts w:ascii="Times New Roman" w:hAnsi="Times New Roman" w:eastAsia="宋体"/>
            <w:color w:val="0000FF"/>
            <w:sz w:val="21"/>
            <w:u w:val="single"/>
          </w:rPr>
          <w:t>https://doi.org/10.1038/s41467-026-69032-9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合成橡胶废料由于其交联、不可回收的性质而对环境造成了日益严重的挑战。本视角研究了线性聚丁二烯和硫化橡胶的新兴聚合后改性策略，涵盖催化、无金属和无催化剂方法，并评估它们与绿色和循环化学原理的一致性。通过将可持续性指标与技术准备度评估相结合，我们强调了当前这些方法在现实世界中实施的局限性和机遇。展望未来，我们概述了如何整合机械化学、机器学习和生命周期评估来实现可扩展的、低影响的转变，将硫化聚丁二烯从废物重铸为资源，为圆形弹性体框架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Synthetic rubber waste poses a growing environmental challenge due to its cross-linked, non-recyclable nature. This Perspective examines emerging post-polymerization modification strategies for linear polybutadiene and vulcanized rubber, spanning catalytic, metal-free, and catalyst-free approaches, and evaluates their alignment with Green and Circular Chemistry principles. By coupling sustainability metrics with assessments of technological readiness, we highlight current limitations and opportunities for the real-world implementation of these approaches. Looking ahead, we outline how integrating mechanochemistry, machine learning, and life-cycle assessment can enable scalable, low-impact transformations that recast vulcanized polybutadiene from waste to resource, paving the way toward a circular elastomer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NEO-STIM 推进个性化新抗原特异性过继 T 细胞疗法</w:t>
      </w:r>
    </w:p>
    <w:p>
      <w:r>
        <w:rPr>
          <w:rFonts w:ascii="Times New Roman" w:hAnsi="Times New Roman" w:eastAsia="宋体"/>
          <w:b/>
          <w:color w:val="003264"/>
          <w:sz w:val="24"/>
        </w:rPr>
        <w:t>NEO-STIM advances personalized neoantigen-specific adoptive T cell therapy</w:t>
      </w:r>
    </w:p>
    <w:p>
      <w:r>
        <w:rPr>
          <w:rFonts w:ascii="Times New Roman" w:hAnsi="Times New Roman" w:eastAsia="宋体"/>
          <w:sz w:val="21"/>
        </w:rPr>
        <w:t>作者: Divya Lenkala, Jessica Kohler, Brian McCarthy, Michael Nelson, Noor A. M. Bakker, Renate de Boer, Emily K. Jackson, Joong Hyuk F. Sheen, Susan Hannes, Ekaterina Esaulova, Kai Stewart, Claudia Gottstein, John Attanasio, Flavian D. Brown, Sebastian Hymson, Shirisha Meda, Maaike van Zon, Saskia Scheij, Rhianne Voogd, Brenda Raud, Ziyan Xu, Jessica S. W. Borgers, Maartje W. Rohaan, Kristen N. Balogh, Asaf Poran, Michael Rooney, Jesse Z. Dong, John R. Srouji, Vikram R. Juneja, Christina M. Arieta, Cynthia M. Nijenhuis, Bastiaan Nuijen, Mark DeMario, Kelledy Manson, Ton N. M. Schumacher, Richard B. Gaynor, John B. Haanen, Joost H. van den Berg, Marit M. van Buuren</w:t>
        <w:br/>
      </w:r>
      <w:r>
        <w:rPr>
          <w:rFonts w:ascii="Times New Roman" w:hAnsi="Times New Roman" w:eastAsia="宋体"/>
          <w:sz w:val="21"/>
        </w:rPr>
        <w:t xml:space="preserve">时间: 2026-02-05 | </w:t>
      </w:r>
      <w:r>
        <w:t xml:space="preserve">链接: </w:t>
      </w:r>
      <w:hyperlink r:id="rId90">
        <w:r>
          <w:rPr>
            <w:rFonts w:ascii="Times New Roman" w:hAnsi="Times New Roman" w:eastAsia="宋体"/>
            <w:color w:val="0000FF"/>
            <w:sz w:val="21"/>
            <w:u w:val="single"/>
          </w:rPr>
          <w:t>https://doi.org/10.1038/s41467-026-68680-1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基于新抗原的过继性 T 细胞疗法 (ACT) 因其精致的肿瘤特异性而代表了癌症免疫治疗的一种有前途的途径。第一种基于细胞的实体瘤免疫疗法（包括肿瘤浸润淋巴细胞）最近获得 FDA 批准。在此基础上，我们设计了一种独特的 ACT 方法，其中针对个性化新抗原的 T 细胞反应是从自体外周血系统地产生的。在这里，我们报告了 NEO-STIM 的建立，这是一种离体诱导过程，用于启动和扩展预先存在的记忆以及从头 CD8 + 和 CD4 + T 细胞反应，从而强调产生有效的新抗原特异性 T 细胞反应的关键参数。该药物产品包含突变反应性、多功能和细胞毒性 CD8 + 和 CD4 + T 细胞，能够识别自体肿瘤材料。输注后，在患者的肿瘤和血液中检测到 T 细胞反应，并显示出激活/耗尽和细胞毒性表型。最近的一项首次人体临床试验 (NCT04625205) 进一步验证了概念验证，支持这种 ACT 方法的持续开发。</w:t>
      </w:r>
    </w:p>
    <w:p>
      <w:pPr>
        <w:spacing w:before="120"/>
      </w:pPr>
      <w:r>
        <w:rPr>
          <w:rFonts w:ascii="Times New Roman" w:hAnsi="Times New Roman" w:eastAsia="宋体"/>
          <w:b/>
          <w:sz w:val="21"/>
        </w:rPr>
        <w:t>English Abstract:</w:t>
      </w:r>
    </w:p>
    <w:p>
      <w:r>
        <w:rPr>
          <w:rFonts w:ascii="Times New Roman" w:hAnsi="Times New Roman" w:eastAsia="宋体"/>
          <w:sz w:val="21"/>
        </w:rPr>
        <w:t>Abstract Neoantigen-based adoptive T cell therapies (ACTs) represent a promising avenue in cancer immunotherapy due to their exquisite tumor specificity. The first cell-based immunotherapy for a solid tumor, comprising tumor-infiltrating lymphocytes, recently received FDA approval. Building on this, we designed a distinct ACT approach, where T cell responses against personalized neoantigens are systematically generated from autologous peripheral blood. Here we report the establishment of NEO-STIM, an ex vivo induction process to prime and expand pre-existing memory and de novo CD8 + and CD4 + T cell responses, thereby highlighting critical parameters for generating potent neoantigen-specific T cell responses. The drug products comprise mutant-reactive, polyfunctional, and cytotoxic CD8 + and CD4 + T cells, able to recognize autologous tumor material. Following infusion, T cell responses are detected in tumor and blood of a patient, and display activated/exhausted and cytotoxic phenotypes. A first-in-human clinical trial (NCT04625205) recently further validated proof-of-concept, supporting continued development of this ACT approach.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00:27 ---</w:t>
      </w:r>
    </w:p>
    <w:p>
      <w:pPr>
        <w:pStyle w:val="Heading2"/>
      </w:pPr>
      <w:r/>
      <w:r>
        <w:rPr>
          <w:rFonts w:ascii="Times New Roman" w:hAnsi="Times New Roman" w:eastAsia="宋体"/>
          <w:b/>
          <w:color w:val="000000"/>
          <w:sz w:val="24"/>
        </w:rPr>
        <w:t>明显的眼部残余散光降低了角膜塑形镜控制近视的效果</w:t>
      </w:r>
    </w:p>
    <w:p>
      <w:r>
        <w:rPr>
          <w:rFonts w:ascii="Times New Roman" w:hAnsi="Times New Roman" w:eastAsia="宋体"/>
          <w:b/>
          <w:color w:val="003264"/>
          <w:sz w:val="24"/>
        </w:rPr>
        <w:t>Significant ocular residual astigmatism reduces the effect of orthokeratology lenses in controlling myopia</w:t>
      </w:r>
    </w:p>
    <w:p>
      <w:r>
        <w:rPr>
          <w:rFonts w:ascii="Times New Roman" w:hAnsi="Times New Roman" w:eastAsia="宋体"/>
          <w:sz w:val="21"/>
        </w:rPr>
        <w:t>作者: Jian Lin, Dexiang An, Yun Lu, Dongmei Yan</w:t>
        <w:br/>
      </w:r>
      <w:r>
        <w:rPr>
          <w:rFonts w:ascii="Times New Roman" w:hAnsi="Times New Roman" w:eastAsia="宋体"/>
          <w:sz w:val="21"/>
        </w:rPr>
        <w:t xml:space="preserve">时间: 2026-02-04 | </w:t>
      </w:r>
      <w:r>
        <w:t xml:space="preserve">链接: </w:t>
      </w:r>
      <w:hyperlink r:id="rId11">
        <w:r>
          <w:rPr>
            <w:rFonts w:ascii="Times New Roman" w:hAnsi="Times New Roman" w:eastAsia="宋体"/>
            <w:color w:val="0000FF"/>
            <w:sz w:val="21"/>
            <w:u w:val="single"/>
          </w:rPr>
          <w:t>https://doi.org/10.1038/s41598-026-38248-6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探讨眼部残余散光（ORA）对儿童近视治疗中角膜塑形镜治疗效果的影响。在这项回顾性队列研究中，60 名 7-12 岁近视儿童根据基线 ORA（定义为屈光散光与前角膜散光之间的矢量差）分为高 ORA（≥ 1.00 D；n = 30）和低 ORA（&lt; 1.00 D；n = 30）组。在镜片验配后 1 天、7 天、1、3、6 和 12 个月进行纵向随访评估。轴向伸长率 (ΔAL) 计算为连续测量值与基线值之间的差异。使用协方差重复测量分析（RM-ANCOVA）对随访期间轴向伸长率（ΔAL）的差异进行统计分析。进行多变量线性回归以确定 12 个月 ΔAL 的决定因素。平均年龄为8.8±1.3岁，年平均轴向生长为0.22±0.17毫米。重复测量 ANCOVA 显示，时间、组别以及时间 × 组别交互作用显着影响轴向伸长（ΔAL，均 P &lt; 0.01），而基线 ACA 则不会（P = 0.671）。除 1 个月外，高 ORA 组的平均轴向伸长率在所有基线后间隔均显着高于低 ORA 组（3 个月：P = 0.036；6 个月：P = 0.015；12 个月：P = 0.001）。回归分析显示，基线 ORA 大小（β = 0.219，P &lt; 0.001）和等效球镜屈光度（β = 0.043，P = 0.038）是年度 ΔAL 的正预测因子，而患者的基线年龄是负预测因子（β = -0.056，P &lt; 0.001）。高ORA（≥ 1.00 D）构成角膜塑形镜减少眼轴伸长效果降低的独立危险因素。这一结果强调了将 ORA 评估纳入角膜塑形镜验配的治疗前评估的重要性。 ORA 高的儿童可能会受益于其他干预措施，例如周边散焦软隐形眼镜，以优化近视管理结果。</w:t>
      </w:r>
    </w:p>
    <w:p>
      <w:pPr>
        <w:spacing w:before="120"/>
      </w:pPr>
      <w:r>
        <w:rPr>
          <w:rFonts w:ascii="Times New Roman" w:hAnsi="Times New Roman" w:eastAsia="宋体"/>
          <w:b/>
          <w:sz w:val="21"/>
        </w:rPr>
        <w:t>English Abstract:</w:t>
      </w:r>
    </w:p>
    <w:p>
      <w:r>
        <w:rPr>
          <w:rFonts w:ascii="Times New Roman" w:hAnsi="Times New Roman" w:eastAsia="宋体"/>
          <w:sz w:val="21"/>
        </w:rPr>
        <w:t>To investigate the influence of ocular residual astigmatism (ORA) on the therapeutic outcomes of orthokeratology lenses in pediatric myopia management. In this retrospective cohort study, 60 myopic children aged 7–12 years were classified into high-ORA (≥ 1.00 D; n = 30) and low-ORA (&lt; 1.00 D; n = 30) groups on the basis of their baseline ORA, defined as the vector difference between refractive astigmatism and anterior corneal astigmatism. Longitudinal follow-up assessments were conducted at 1 day, 7 days, 1, 3, 6, and 12 months post-lens fitting. Axial elongation (ΔAL) was calculated as the difference between sequential measurements and baseline values. Differences in axial elongation (ΔAL) during the follow-up period were statistically analyzed using repeated measures analysis of covariance (RM-ANCOVA). Multivariable linear regression was performed to identify determinants of 12-month ΔAL. The mean age was 8.8 ± 1.3 years, and the average annual axial growth was 0.22 ± 0.17 mm. Repeated-measures ANCOVA showed that time, group, and the time × group interaction significantly affected axial elongation (ΔAL, all P &lt; 0.01), whereas baseline ACA did not (P = 0.671). The high-ORA cohort presented significantly greater mean axial elongation than the low-ORA group at all post baseline intervals except 1 month (3 months: P = 0.036; 6 months: P = 0.015; 12 months: P = 0.001). Regression analysis showed that the baseline ORA magnitude (β = 0.219, P &lt; 0.001) and spherical equivalent refraction (β = 0.043, P = 0.038) were positive predictors of the annual ΔAL, whereas the patient’s baseline age was a negative predictor (β = -0.056, P &lt; 0.001). High ORA (≥ 1.00 D) constitutes an independent risk factor for reduced orthokeratology efficacy in reducing axial elongation. This result emphasizes the importance of incorporating ORA assessment into the pretreatment assessment of orthokeratology lenses fitting. Children with high ORA may benefit from alternative interventions such as peripheral defocus soft contact lenses to optimize myopia management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加权基因共表达网络分析表征了桉树对不同生物挑战的常见防御反应</w:t>
      </w:r>
    </w:p>
    <w:p>
      <w:r>
        <w:rPr>
          <w:rFonts w:ascii="Times New Roman" w:hAnsi="Times New Roman" w:eastAsia="宋体"/>
          <w:b/>
          <w:color w:val="003264"/>
          <w:sz w:val="24"/>
        </w:rPr>
        <w:t>A weighted gene co-expression network analysis characterises the common defence responses of Eucalyptus to diverse biotic challenges</w:t>
      </w:r>
    </w:p>
    <w:p>
      <w:r>
        <w:rPr>
          <w:rFonts w:ascii="Times New Roman" w:hAnsi="Times New Roman" w:eastAsia="宋体"/>
          <w:sz w:val="21"/>
        </w:rPr>
        <w:t>作者: Shae Swanepoel, Sanushka Naidoo</w:t>
        <w:br/>
      </w:r>
      <w:r>
        <w:rPr>
          <w:rFonts w:ascii="Times New Roman" w:hAnsi="Times New Roman" w:eastAsia="宋体"/>
          <w:sz w:val="21"/>
        </w:rPr>
        <w:t xml:space="preserve">时间: 2026-02-04 | </w:t>
      </w:r>
      <w:r>
        <w:t xml:space="preserve">链接: </w:t>
      </w:r>
      <w:hyperlink r:id="rId12">
        <w:r>
          <w:rPr>
            <w:rFonts w:ascii="Times New Roman" w:hAnsi="Times New Roman" w:eastAsia="宋体"/>
            <w:color w:val="0000FF"/>
            <w:sz w:val="21"/>
            <w:u w:val="single"/>
          </w:rPr>
          <w:t>https://doi.org/10.1038/s41598-025-32699-z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桉树是全球重要的林业属植物，为造纸、纸浆和生物燃料生产而种植。这些树木日益受到一系列新出现的害虫和病原体的威胁。虽然之前的研究主要集中在单一桉树与病原体相互作用的转录组上，但对多种生物挑战的防御基础的核心转录网络仍然知之甚少。在这里，我们整合了 180 个桉树生物胁迫 RNA 测序文库，以表征与五种不同病理系统相互作用期间的共同防御基因网络。我们构建了一个综合加权基因共表达网络，并鉴定了 38 个高度共表达基因模块，其中包含 40 至 3,328 个基因。该网络揭示了由病原体感染诱导的不同模块，丰富了防御反应，包括水杨酸信号传导和次级代谢物生物合成，尤其是硝酸盐转运和反应，表明氮代谢和免疫之间存在潜在联系。转录因子富集分析强调 WRKY 家族基因是诱导反应的关键调节因子，而 WRKY6 则成为广谱抗性的候选中心基因。总之，这项研究提供了桉树对不同生物应激源反应的第一个综合转录组网络，并为未来的功能验证提供候选基因和途径，以增强长寿树木的抗病资源。</w:t>
      </w:r>
    </w:p>
    <w:p>
      <w:pPr>
        <w:spacing w:before="120"/>
      </w:pPr>
      <w:r>
        <w:rPr>
          <w:rFonts w:ascii="Times New Roman" w:hAnsi="Times New Roman" w:eastAsia="宋体"/>
          <w:b/>
          <w:sz w:val="21"/>
        </w:rPr>
        <w:t>English Abstract:</w:t>
      </w:r>
    </w:p>
    <w:p>
      <w:r>
        <w:rPr>
          <w:rFonts w:ascii="Times New Roman" w:hAnsi="Times New Roman" w:eastAsia="宋体"/>
          <w:sz w:val="21"/>
        </w:rPr>
        <w:t>Eucalyptus is a globally important forestry genera cultivated for paper, pulp and biofuel production. These trees are increasingly threatened by a range of emerging pests and pathogens. While previous studies have focused on the transcriptomes of single Eucalyptus-pathogen interactions, the core transcriptional networks underlying defence across multiple biotic challenges remain poorly understood. Here we integrated 180 Eucalyptus-biotic stress RNA-sequencing libraries to characterise the common defence gene network during interactions with five distinct pathosystems. We constructed a comprehensive weighted gene co-expression network and identified 38 modules of highly co-expressed genes consisting of between 40 and 3,328 genes. The network revealed distinct modules that were induced by pathogen infection, enriched for defence responses including salicylic acid signalling and secondary metabolite biosynthesis and notably nitrate transport and responses, suggesting a potential link between nitrogen metabolism and immunity. Transcription factor enrichment analysis highlighted WRKY family genes as key regulators of induced responses, with WRKY6 emerging as a candidate hub gene in broad-spectrum resistance. Together, this study provides the first integrative transcriptome network of Eucalyptus responses to diverse biotic stressors, and offers candidate genes and pathways for future functional validation to enhance disease resistance resource in long-lived trees.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基于机器学习的中国东部大豆-小麦轮作土壤有机碳动态评估</w:t>
      </w:r>
    </w:p>
    <w:p>
      <w:r>
        <w:rPr>
          <w:rFonts w:ascii="Times New Roman" w:hAnsi="Times New Roman" w:eastAsia="宋体"/>
          <w:b/>
          <w:color w:val="003264"/>
          <w:sz w:val="24"/>
        </w:rPr>
        <w:t>Machine learning-based assessment of soil organic carbon dynamics in soybean–wheat rotations in eastern China</w:t>
      </w:r>
    </w:p>
    <w:p>
      <w:r>
        <w:rPr>
          <w:rFonts w:ascii="Times New Roman" w:hAnsi="Times New Roman" w:eastAsia="宋体"/>
          <w:sz w:val="21"/>
        </w:rPr>
        <w:t>作者: Zhi Yu</w:t>
        <w:br/>
      </w:r>
      <w:r>
        <w:rPr>
          <w:rFonts w:ascii="Times New Roman" w:hAnsi="Times New Roman" w:eastAsia="宋体"/>
          <w:sz w:val="21"/>
        </w:rPr>
        <w:t xml:space="preserve">时间: 2026-02-04 | </w:t>
      </w:r>
      <w:r>
        <w:t xml:space="preserve">链接: </w:t>
      </w:r>
      <w:hyperlink r:id="rId13">
        <w:r>
          <w:rPr>
            <w:rFonts w:ascii="Times New Roman" w:hAnsi="Times New Roman" w:eastAsia="宋体"/>
            <w:color w:val="0000FF"/>
            <w:sz w:val="21"/>
            <w:u w:val="single"/>
          </w:rPr>
          <w:t>https://doi.org/10.1038/s41598-026-38105-6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有机碳（SOC）是农业生态系统的重要组成部分，影响碳循环、土壤肥力和结构，从而影响作物生产力。本研究利用先进的机器学习模型评估了大豆-小麦轮作条件下中国东部土壤有机碳储量的空间分布和动态。数据收集自安徽、河北、河南、江苏、山东、天津和北京，测量了2022-2024年播种前和收获后两个土壤深度（0-15厘米和15-30厘米）的SOC。在测试的模型中，随机森林 (RF) 提供了最准确的 SOC 预测，特别是在 0–15 cm 层（R2 = 0.89，RMSE = 0.95，PRD = 3.41）。结果显示，大豆种植后 SOC 增加，小麦收获后减少，区域差异受标准化高度 (standh)、NDVI、温度季节性 (tempSeason) 和 LS 因子等环境因素影响。大豆较高的生物量和广泛的根系显着提高了 SOC，而小麦较低的生物量导致了 SOC 消耗。这些发现强调了作物类型和管理实践对土壤碳储量的影响，强调了含大豆轮作在改善土壤健康和减轻气候变化影响方面的潜力。</w:t>
      </w:r>
    </w:p>
    <w:p>
      <w:pPr>
        <w:spacing w:before="120"/>
      </w:pPr>
      <w:r>
        <w:rPr>
          <w:rFonts w:ascii="Times New Roman" w:hAnsi="Times New Roman" w:eastAsia="宋体"/>
          <w:b/>
          <w:sz w:val="21"/>
        </w:rPr>
        <w:t>English Abstract:</w:t>
      </w:r>
    </w:p>
    <w:p>
      <w:r>
        <w:rPr>
          <w:rFonts w:ascii="Times New Roman" w:hAnsi="Times New Roman" w:eastAsia="宋体"/>
          <w:sz w:val="21"/>
        </w:rPr>
        <w:t>Soil organic carbon (SOC) is a critical component of agroecosystems, influencing carbon cycling, soil fertility, and structure, thereby affecting crop productivity. This study evaluated the spatial distribution and dynamics of SOC stocks in eastern China under soybean–wheat rotations using advanced machine learning models. Data were collected from Anhui, Hebei, Henan, Jiangsu, Shandong, Tianjin, and Beijing, measuring SOC at two soil depths (0–15 cm and 15–30 cm) before sowing and after harvest during 2022–2024. Among the models tested, Random Forest (RF) provided the most accurate SOC predictions, particularly in the 0–15 cm layer (R2 = 0.89, RMSE = 0.95, PRD = 3.41). Results revealed SOC increases following soybean cultivation and decreases after wheat harvest, with regional variations shaped by environmental factors such as standardized height (standh), NDVI, temperature seasonality (tempSeason), and LS factor. The higher biomass and extensive root system of soybean significantly enhanced SOC, whereas wheat’s lower biomass contributed to SOC depletion. These findings underscore the influence of crop type and management practices on soil carbon stocks, highlighting the potential of soybean-inclusive rotations to improve soil health and mitigate climate change impacts.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泊马度胺和帕比司他协同靶向 ARID2-MYC 轴克服了多发性骨髓瘤中固有的 IMiD 耐药性</w:t>
      </w:r>
    </w:p>
    <w:p>
      <w:r>
        <w:rPr>
          <w:rFonts w:ascii="Times New Roman" w:hAnsi="Times New Roman" w:eastAsia="宋体"/>
          <w:b/>
          <w:color w:val="003264"/>
          <w:sz w:val="24"/>
        </w:rPr>
        <w:t>Synergistic targeting of the ARID2–MYC axis by pomalidomide and panobinostat overcomes intrinsic IMiD resistance in multiple myeloma</w:t>
      </w:r>
    </w:p>
    <w:p>
      <w:r>
        <w:rPr>
          <w:rFonts w:ascii="Times New Roman" w:hAnsi="Times New Roman" w:eastAsia="宋体"/>
          <w:sz w:val="21"/>
        </w:rPr>
        <w:t>作者: Junichi Yamamoto, Tomoko Asatsuma-Okumura, Takumi Ito, Yoshiko Iwai, Hiroshi Handa, Yuki Yamaguchi</w:t>
        <w:br/>
      </w:r>
      <w:r>
        <w:rPr>
          <w:rFonts w:ascii="Times New Roman" w:hAnsi="Times New Roman" w:eastAsia="宋体"/>
          <w:sz w:val="21"/>
        </w:rPr>
        <w:t xml:space="preserve">时间: 2026-02-05 | </w:t>
      </w:r>
      <w:r>
        <w:t xml:space="preserve">链接: </w:t>
      </w:r>
      <w:hyperlink r:id="rId14">
        <w:r>
          <w:rPr>
            <w:rFonts w:ascii="Times New Roman" w:hAnsi="Times New Roman" w:eastAsia="宋体"/>
            <w:color w:val="0000FF"/>
            <w:sz w:val="21"/>
            <w:u w:val="single"/>
          </w:rPr>
          <w:t>https://doi.org/10.1038/s41598-026-37740-3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尽管蛋白酶体抑制剂、免疫调节药物 (IMiD) 和单克隆抗体最近取得了进展，但多发性骨髓瘤仍然是一个治疗挑战。在新方法中，IMiD 和组蛋白脱乙酰酶抑制剂的组合在治疗复发性或难治性多发性骨髓瘤方面显示出了希望。在这里，我们阐明了它们协同作用的分子基础及其在克服骨髓瘤细胞耐药性中的作用。我们证明这些药物共同下调主癌基因 MYC，从而产生协同细胞毒性。重要的是，即使在本质上抵抗 IMiD 的模型中，这种效应仍然存在，其中规范的 IKZF1/3–IRF4/MYC 轴在功能上是解耦的。在这种情况下，该组合涉及另一种 ARID2-MYC 轴，由 IMiD 新底物 ARID2 的协同下调介导。这一发现强调了 IMiD 固有的多药理学在细胞水平上规避主要耐药机制的功能相关性。总之，我们的结果确定了含有 ARID2 的 PBAF 复合物是耐药性骨髓瘤细胞的一个关键弱点，并为设计共同靶向该复合物的联合策略提供了机制原理，并有可能通过克服耐药性来增强治疗效果。</w:t>
      </w:r>
    </w:p>
    <w:p>
      <w:pPr>
        <w:spacing w:before="120"/>
      </w:pPr>
      <w:r>
        <w:rPr>
          <w:rFonts w:ascii="Times New Roman" w:hAnsi="Times New Roman" w:eastAsia="宋体"/>
          <w:b/>
          <w:sz w:val="21"/>
        </w:rPr>
        <w:t>English Abstract:</w:t>
      </w:r>
    </w:p>
    <w:p>
      <w:r>
        <w:rPr>
          <w:rFonts w:ascii="Times New Roman" w:hAnsi="Times New Roman" w:eastAsia="宋体"/>
          <w:sz w:val="21"/>
        </w:rPr>
        <w:t>Multiple myeloma remains a therapeutic challenge despite recent advances with proteasome inhibitors, immunomodulatory drugs (IMiDs), and monoclonal antibodies. Among new approaches, the combination of IMiDs and histone deacetylase inhibitors has shown promise in relapsed or refractory multiple myeloma. Here, we elucidate the molecular basis of their synergy and its role in overcoming drug resistance in myeloma cells. We demonstrate that these agents converge to downregulate the master oncogene MYC, resulting in synergistic cytotoxicity. Importantly, this effect persists even in models intrinsically resistant to IMiDs, where the canonical IKZF1/3–IRF4/MYC axis is functionally uncoupled. In this context, the combination engages an alternative ARID2–MYC axis, mediated by the synergistic downregulation of the IMiD neosubstrate ARID2. This finding highlights the functional relevance of IMiD’s inherent polypharmacology in circumventing primary resistance mechanisms at the cellular level. Together, our results identify the ARID2-containing PBAF complex as a critical vulnerability in resistant myeloma cells and provide a mechanistic rationale for designing combination strategies that co-target this complex, with the potential to enhance therapeutic efficacy by overcoming drug resistance.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监督模型和集成模型与无监督探索阿尔茨海默病预测的比较分析</w:t>
      </w:r>
    </w:p>
    <w:p>
      <w:r>
        <w:rPr>
          <w:rFonts w:ascii="Times New Roman" w:hAnsi="Times New Roman" w:eastAsia="宋体"/>
          <w:b/>
          <w:color w:val="003264"/>
          <w:sz w:val="24"/>
        </w:rPr>
        <w:t>Comparative analysis of supervised and ensemble models with unsupervised exploration for alzheimer’s disease prediction</w:t>
      </w:r>
    </w:p>
    <w:p>
      <w:r>
        <w:rPr>
          <w:rFonts w:ascii="Times New Roman" w:hAnsi="Times New Roman" w:eastAsia="宋体"/>
          <w:sz w:val="21"/>
        </w:rPr>
        <w:t>作者: Youssef Amr, Walaa Gad, Victor Leiva, Carlos Martin-Barreiro, Tamer Abdelkader</w:t>
        <w:br/>
      </w:r>
      <w:r>
        <w:rPr>
          <w:rFonts w:ascii="Times New Roman" w:hAnsi="Times New Roman" w:eastAsia="宋体"/>
          <w:sz w:val="21"/>
        </w:rPr>
        <w:t xml:space="preserve">时间: 2026-02-05 | </w:t>
      </w:r>
      <w:r>
        <w:t xml:space="preserve">链接: </w:t>
      </w:r>
      <w:hyperlink r:id="rId38">
        <w:r>
          <w:rPr>
            <w:rFonts w:ascii="Times New Roman" w:hAnsi="Times New Roman" w:eastAsia="宋体"/>
            <w:color w:val="0000FF"/>
            <w:sz w:val="21"/>
            <w:u w:val="single"/>
          </w:rPr>
          <w:t>https://doi.org/10.1038/s41598-026-37122-9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阿尔茨海默病是一种进行性神经退行性疾病，其特征是记忆丧失和认知能力下降，目前尚无已知的治愈方法。痴呆症是阿尔茨海默病的主要表现，早期发现对于及时干预和制定治疗计划至关重要。本研究介绍了用于预测阿尔茨海默病的集成学习模型，并对传统机器学习和先进集成模型进行了比较分析。该评估是使用“开放获取影像研究系列”2 (OASIS-2) 数据集进行的。传统模型（包括逻辑回归、决策树、支持向量机和随机森林）以自适应增强、极端梯度增强和超参数调整的多数投票集成模型等集成模型为基准。使用准确度、精确度和接收者操作特征曲线下面积来评估性能。结果表明，集成模型，特别是优化的多数投票分类器，始终优于传统方法。为了补充监督比较，应用探索性无监督方法，使用多重对应分析和 k 均值聚类来揭示数据集中的潜在结构。通过对所有变量进行分类，这些无监督方法突出了临床和人口统计学相似性的模式。与之前仅关注预测准确性的研究不同，这项工作将监督分类、集成学习和无监督探索性分析集成在一个统一的框架内。这种组合方法既可以进行稳健的性能比较，又可以更深入地了解与阿尔茨海默病相关的潜在数据结构。所有计算实验均使用Python编程语言进行。</w:t>
      </w:r>
    </w:p>
    <w:p>
      <w:pPr>
        <w:spacing w:before="120"/>
      </w:pPr>
      <w:r>
        <w:rPr>
          <w:rFonts w:ascii="Times New Roman" w:hAnsi="Times New Roman" w:eastAsia="宋体"/>
          <w:b/>
          <w:sz w:val="21"/>
        </w:rPr>
        <w:t>English Abstract:</w:t>
      </w:r>
    </w:p>
    <w:p>
      <w:r>
        <w:rPr>
          <w:rFonts w:ascii="Times New Roman" w:hAnsi="Times New Roman" w:eastAsia="宋体"/>
          <w:sz w:val="21"/>
        </w:rPr>
        <w:t>Alzheimer’s disease is a progressive neurodegenerative disorder characterized by memory loss and cognitive decline, with no known cure. Early detection of dementia, a primary manifestation of Alzheimer’s disease, is critical to enable timely intervention and treatment planning. This study introduces ensemble learning models for predicting Alzheimer’s disease and presents a comparative analysis between traditional machine learning and advanced ensemble models. The evaluation is conducted using the “Open Access Series of Imaging Studies” 2 (OASIS-2) dataset. Traditional models, including logistic regression, decision tree, support vector machine, and random forest, are benchmarked against ensemble models such as adaptive boosting, extreme gradient boosting, and a hyperparameter-tuned majority voting ensemble models. Performance is assessed using accuracy, precision, and the area under the receiver operating characteristic curve. Results show that ensemble models, particularly the optimized majority voting classifier, consistently outperform traditional methods. To complement the supervised comparison, exploratory unsupervised methods were applied using multiple correspondence analysis and k-means clustering to uncover latent structures in the dataset. By categorizing all variables, these unsupervised methods highlight patterns of clinical and demographic similarity. Unlike prior studies that focus solely on predictive accuracy, this work integrates supervised classification, ensemble learning, and unsupervised exploratory analysis within a unified framework. This combined approach enables both robust performance comparison and deeper insights into latent data structures relevant to Alzheimer’s disease. All computational experiments were conducted using the Python programming language.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用于电机轴承故障诊断的解缠结聚合特征学习 (DAFNet)</w:t>
      </w:r>
    </w:p>
    <w:p>
      <w:r>
        <w:rPr>
          <w:rFonts w:ascii="Times New Roman" w:hAnsi="Times New Roman" w:eastAsia="宋体"/>
          <w:b/>
          <w:color w:val="003264"/>
          <w:sz w:val="24"/>
        </w:rPr>
        <w:t>Disentangle-and-aggregate feature learning (DAFNet) for motor bearing fault diagnosis</w:t>
      </w:r>
    </w:p>
    <w:p>
      <w:r>
        <w:rPr>
          <w:rFonts w:ascii="Times New Roman" w:hAnsi="Times New Roman" w:eastAsia="宋体"/>
          <w:sz w:val="21"/>
        </w:rPr>
        <w:t>作者: Jing Tang, Canjun Xiao, Dong Guo, Jiao Bao, Xu Ji, Chenyu Wang</w:t>
        <w:br/>
      </w:r>
      <w:r>
        <w:rPr>
          <w:rFonts w:ascii="Times New Roman" w:hAnsi="Times New Roman" w:eastAsia="宋体"/>
          <w:sz w:val="21"/>
        </w:rPr>
        <w:t xml:space="preserve">时间: 2026-02-05 | </w:t>
      </w:r>
      <w:r>
        <w:t xml:space="preserve">链接: </w:t>
      </w:r>
      <w:hyperlink r:id="rId39">
        <w:r>
          <w:rPr>
            <w:rFonts w:ascii="Times New Roman" w:hAnsi="Times New Roman" w:eastAsia="宋体"/>
            <w:color w:val="0000FF"/>
            <w:sz w:val="21"/>
            <w:u w:val="single"/>
          </w:rPr>
          <w:t>https://doi.org/10.1038/s41598-025-34490-6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针对传统卷积神经网络（CNN）用于电机轴承故障诊断中因网络深度增加而导致的参数冗余和计算效率低的问题，提出一种解缠聚特征学习网络（DAFNet）。该方法旨在克服资源受限的边缘设备上模型部署的挑战。 DAFNet 超越了传统的简单堆叠层的策略，创新性地采用了层次解缠和聚合机制。它利用二次分裂策略来解开浅层、中层和深层特征，然后进行终端特征融合，实现故障信息的有效表示。基于 CWRU 数据集的实验结果表明，DAFNet 在故障诊断方面实现了 100% 的平均准确率，同时显着降低了计算开销和参数数量。与现有主流轻量级模型相比，该方法表现出优越的泛化性能和推理速度，为深度学习在工业嵌入式系统中的高效应用提供了新的理论支撑。</w:t>
      </w:r>
    </w:p>
    <w:p>
      <w:pPr>
        <w:spacing w:before="120"/>
      </w:pPr>
      <w:r>
        <w:rPr>
          <w:rFonts w:ascii="Times New Roman" w:hAnsi="Times New Roman" w:eastAsia="宋体"/>
          <w:b/>
          <w:sz w:val="21"/>
        </w:rPr>
        <w:t>English Abstract:</w:t>
      </w:r>
    </w:p>
    <w:p>
      <w:r>
        <w:rPr>
          <w:rFonts w:ascii="Times New Roman" w:hAnsi="Times New Roman" w:eastAsia="宋体"/>
          <w:sz w:val="21"/>
        </w:rPr>
        <w:t>Abstract To address the issues of parameter redundancy and low computational efficiency in traditional convolutional neural networks (CNNs) for motor bearing fault diagnosis, which are caused by increasing network depth, this paper proposes a Disentangle-and-Aggregate Feature Learning Network (DAFNet). This method is designed to overcome the challenges of model deployment on resource-constrained edge devices. Moving beyond the conventional strategy of simply stacking layers, DAFNet innovatively adopts a hierarchical disentanglement and aggregation mechanism. It utilizes a secondary splitting strategy to disentangle shallow, medium, and deep features, followed by terminal feature fusion to achieve an effective representation of fault information. Experimental results based on the CWRU dataset demonstrate that DAFNet achieves a 100% average accuracy in fault diagnosis while significantly reducing both computational overhead and parameter count. Compared with existing mainstream lightweight models, this method exhibits superior generalization performance and inference speed, providing new theoretical support for the efficient application of deep learning in industrial embedded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气候变化下使用不同深度学习框架的土壤热状况高分辨率预测</w:t>
      </w:r>
    </w:p>
    <w:p>
      <w:r>
        <w:rPr>
          <w:rFonts w:ascii="Times New Roman" w:hAnsi="Times New Roman" w:eastAsia="宋体"/>
          <w:b/>
          <w:color w:val="003264"/>
          <w:sz w:val="24"/>
        </w:rPr>
        <w:t>High-resolution forecasting of soil thermal regimes using different deep learning frameworks under climate change</w:t>
      </w:r>
    </w:p>
    <w:p>
      <w:r>
        <w:rPr>
          <w:rFonts w:ascii="Times New Roman" w:hAnsi="Times New Roman" w:eastAsia="宋体"/>
          <w:sz w:val="21"/>
        </w:rPr>
        <w:t>作者: Mehri Saeidinia, Amir Hamzeh Haghiabi, Mohammad Nazeri Tahroudi, Aliheidar Nasrolahi, Carlo De Michele</w:t>
        <w:br/>
      </w:r>
      <w:r>
        <w:rPr>
          <w:rFonts w:ascii="Times New Roman" w:hAnsi="Times New Roman" w:eastAsia="宋体"/>
          <w:sz w:val="21"/>
        </w:rPr>
        <w:t xml:space="preserve">时间: 2026-02-05 | </w:t>
      </w:r>
      <w:r>
        <w:t xml:space="preserve">链接: </w:t>
      </w:r>
      <w:hyperlink r:id="rId40">
        <w:r>
          <w:rPr>
            <w:rFonts w:ascii="Times New Roman" w:hAnsi="Times New Roman" w:eastAsia="宋体"/>
            <w:color w:val="0000FF"/>
            <w:sz w:val="21"/>
            <w:u w:val="single"/>
          </w:rPr>
          <w:t>https://doi.org/10.1038/s41598-026-38496-6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温度是影响生态和水文过程的关键参数，但由于粗分辨率的气候模型和复杂的土壤-大气相互作用，其在气候变化下的准确预测仍然具有挑战性。本研究开发了一个深度学习框架，可在气候变化情景下降低伊朗西部的土壤温度（5 厘米深度）。使用随机森林 (Gini) 重要性、排列重要性和 SHAP（SHapley 加法解释）分析这三种互补技术的组合，我们从 26 个可用的 CanESM5 (CMIP6) 变量中确定了最佳预测变量。使用历史数据（1980-2014 年）评估了四种深度学习模型（CNN、LSTM、GRU 和混合 CNN-LSTM）的降尺度性能。混合 CNN-LSTM 模型的性能优于其他模型，通过捕获土壤热动力学的空间和时间依赖性，实现了最高精度（NSE &gt; 86%，RMSE &lt; 4.3°C）。评估每种情景趋势（2015-2020）的合理性揭示了区域气候模式：西部站更加干旱和变暖敏感，与SSP245/SSP370一致，而东部站受扎格罗斯山脉影响，显示出有利于SSP119/SSP126的降温和降水反馈。 SSP126、SSP245 和 SSP585 情景下的未来预测表明土壤温度响应呈非线性，高排放路径 (SSP585) 导致最初降温（到 2040 年为-4.11°C），随后加速变暖（到 2100 年为 + 2.09°C）。形成鲜明对比的是，低排放和中排放途径（SSP126、SSP245）会导致稳定、适度的变暖。这使得 SSP585 的十年趋势发生了戏剧性的逆转，从强烈冷却转变为快速加热，并改变了气候的统计概况。研究结果强调，高排放推迟但最终导致最强烈的变暖，凸显了排放途径对未来土壤温度变化速度和模式的关键影响。</w:t>
      </w:r>
    </w:p>
    <w:p>
      <w:pPr>
        <w:spacing w:before="120"/>
      </w:pPr>
      <w:r>
        <w:rPr>
          <w:rFonts w:ascii="Times New Roman" w:hAnsi="Times New Roman" w:eastAsia="宋体"/>
          <w:b/>
          <w:sz w:val="21"/>
        </w:rPr>
        <w:t>English Abstract:</w:t>
      </w:r>
    </w:p>
    <w:p>
      <w:r>
        <w:rPr>
          <w:rFonts w:ascii="Times New Roman" w:hAnsi="Times New Roman" w:eastAsia="宋体"/>
          <w:sz w:val="21"/>
        </w:rPr>
        <w:t>Soil temperature is a critical parameter influencing ecological and hydrological processes, yet its accurate projection under climate change remains challenging due to coarse-resolution climate models and complex soil-atmosphere interactions. This study develops a deep learning framework to downscale soil temperature (5 cm depth) in western Iran, under climate change scenarios. Using an ensemble of three complementary techniques—Random Forest (Gini) importance, Permutation Importance, and SHAP (SHapley Additive exPlanations) analysis—we identified optimal predictors from the 26 available CanESM5 (CMIP6) variables. Four deep learning models—CNN, LSTM, GRU, and a hybrid CNN-LSTM—were evaluated for downscaling performance using historical data (1980–2014). The hybrid CNN-LSTM model outperformed others, achieving the highest accuracy (NSE &gt; 86%, RMSE &lt; 4.3°C) by capturing spatial and temporal dependencies in soil thermal dynamics. Assessing the plausibility of each scenario’s trend (2015–2020) revealed regional climate patterns: western stations, more arid and warming-sensitive, aligned with SSP245/SSP370, while eastern stations, influenced by the Zagros Mountains, showed cooling and precipitation feedbacks favoring SSP119/SSP126. Future projections under SSP126, SSP245, and SSP585 scenarios indicated nonlinear soil temperature responses, with high-emission pathways (SSP585) causing initial cooling (-4.11°C by 2040) followed by accelerated warming (+ 2.09°C by 2100). In stark contrast, low- and mid-emission pathways (SSP126, SSP245) lead to stable, moderate warming. This creates a dramatic reversal in decadal trends for SSP585, shifting from strong cooling to rapid heating, and alters the climate’s statistical profile. The findings emphasize that high emissions defer but ultimately cause the most intense warming, highlighting the critical influence of emission pathways on the future pace and pattern of soil temperature change.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一种新的 Epseptimavirus 噬菌体 vB_SalS-SIY1lw 作为多重耐药婴儿沙门氏菌的潜在抗菌替代品</w:t>
      </w:r>
    </w:p>
    <w:p>
      <w:r>
        <w:rPr>
          <w:rFonts w:ascii="Times New Roman" w:hAnsi="Times New Roman" w:eastAsia="宋体"/>
          <w:b/>
          <w:color w:val="003264"/>
          <w:sz w:val="24"/>
        </w:rPr>
        <w:t>A new Epseptimavirus bacteriophage vB_SalS-SIY1lw as a potential antimicrobial alternative to multidrug-resistant Salmonella Infantis</w:t>
      </w:r>
    </w:p>
    <w:p>
      <w:r>
        <w:rPr>
          <w:rFonts w:ascii="Times New Roman" w:hAnsi="Times New Roman" w:eastAsia="宋体"/>
          <w:sz w:val="21"/>
        </w:rPr>
        <w:t>作者: Yen-Te Liao, Angela Voelker, Abigail R. Arellano, Yujie Zhang, Leslie A. Harden, Alexandra Salvador, Vivian C. H. Wu</w:t>
        <w:br/>
      </w:r>
      <w:r>
        <w:rPr>
          <w:rFonts w:ascii="Times New Roman" w:hAnsi="Times New Roman" w:eastAsia="宋体"/>
          <w:sz w:val="21"/>
        </w:rPr>
        <w:t xml:space="preserve">时间: 2026-02-05 | </w:t>
      </w:r>
      <w:r>
        <w:t xml:space="preserve">链接: </w:t>
      </w:r>
      <w:hyperlink r:id="rId41">
        <w:r>
          <w:rPr>
            <w:rFonts w:ascii="Times New Roman" w:hAnsi="Times New Roman" w:eastAsia="宋体"/>
            <w:color w:val="0000FF"/>
            <w:sz w:val="21"/>
            <w:u w:val="single"/>
          </w:rPr>
          <w:t>https://doi.org/10.1038/s41598-025-31311-8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婴儿沙门氏菌是一种与抗生素耐药性问题高度相关的新兴病原体，近年来导致食源性疾病的增加。因此，寻找新型抗菌药物刻不容缓。目的是表征新分离的 Epseptimavirus 噬菌体，该噬菌体对多重耐药婴儿链球菌菌株具有抗菌活性。沙门氏菌噬菌体 vB_SalS-SIY1lw（或 SIY1lw）是属于 Epseptimavirus 属噬菌体的新成员。 SIY1lw 含有受体结合蛋白 (ORF 23) 和尾部纤维蛋白 (ORF 43) 基因，两者都与细菌宿主识别和结合相关，分别与沙门氏菌噬菌体 OSY-STA（Epseptimavirus 属）和埃希氏菌噬菌体 DaisyDussoix（Tequintavirus 属）中的基因相似。对于生物学特性，SIY1lw 的潜伏期为 30 分钟，估计爆发大小为 42 PFU/CFU。该噬菌体对肠沙门氏菌（Infantis 和 Newport）和非致病性大肠杆菌菌株具有多价作用。体外抗菌活性测试表明，MOI 为 1,000 的噬菌体在 25 °C 处理 6 小时内最有效地减少婴儿链球菌 FSIS7823 和 FSIS4921，分别减少 1 和 0.8 个对数。这些发现表明，新的 Epseptimavirus 噬菌体 SIY1lw 未来有可能开发出多重耐药婴儿链球菌菌株的抗菌替代品。</w:t>
      </w:r>
    </w:p>
    <w:p>
      <w:pPr>
        <w:spacing w:before="120"/>
      </w:pPr>
      <w:r>
        <w:rPr>
          <w:rFonts w:ascii="Times New Roman" w:hAnsi="Times New Roman" w:eastAsia="宋体"/>
          <w:b/>
          <w:sz w:val="21"/>
        </w:rPr>
        <w:t>English Abstract:</w:t>
      </w:r>
    </w:p>
    <w:p>
      <w:r>
        <w:rPr>
          <w:rFonts w:ascii="Times New Roman" w:hAnsi="Times New Roman" w:eastAsia="宋体"/>
          <w:sz w:val="21"/>
        </w:rPr>
        <w:t>Salmonella Infantis is an emerging pathogen highly associated with antibiotic-resistant issues and has contributed to increasing foodborne illness in recent years. Thus, finding novel antimicrobial agents is urgent for the solution. The objective was to characterize a newly isolated Epseptimavirus phage with antimicrobial activity against multidrug-resistant S. Infantis strains. Salmonella phage vB_SalS-SIY1lw (or SIY1lw) is a new member of the phages belonging to the Epseptimavirus genus. SIY1lw contained the receptor binding protein (ORF 23) and tail fiber protein (ORF 43) genes—both associated with bacterial host recognition and binding—similar to that in Salmonella phage OSY-STA (the Epseptimavirus genus) and Escherichia phage DaisyDussoix (the Tequintavirus genus), respectively. For biological traits, SIY1lw has a latent period of 30 min and an estimated burst size of 42 PFU/CFU. The phage was polyvalent against S. enterica (Infantis and Newport) and non-pathogenic E. coli strains. The in vitro antimicrobial activity test showed that the phage with MOI of 1,000 is the most effective in reducing S. Infantis FSIS7823 and FSIS4921 by 1 and 0.8 log, respectively, over the 6-h treatment at 25 °C. These findings indicate that the new Epseptimavirus phage SIY1lw has future potential to develop an antimicrobial alternative to multidrug-resistant S. Infantis strains.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通过战略过渡金属掺杂推进 ZnO 纳米结构</w:t>
      </w:r>
    </w:p>
    <w:p>
      <w:r>
        <w:rPr>
          <w:rFonts w:ascii="Times New Roman" w:hAnsi="Times New Roman" w:eastAsia="宋体"/>
          <w:b/>
          <w:color w:val="003264"/>
          <w:sz w:val="24"/>
        </w:rPr>
        <w:t>Advancing ZnO nanostructures through strategic transition metal doping</w:t>
      </w:r>
    </w:p>
    <w:p>
      <w:r>
        <w:rPr>
          <w:rFonts w:ascii="Times New Roman" w:hAnsi="Times New Roman" w:eastAsia="宋体"/>
          <w:sz w:val="21"/>
        </w:rPr>
        <w:t>作者: Rasool Akhtar Alias Osama, Kamran Akhtar Siddiqui, Haoyun Wang, Hao Zhang, Iqra Akhtar Siddiqui, Peter Lomax, Rebecca Cheung</w:t>
        <w:br/>
      </w:r>
      <w:r>
        <w:rPr>
          <w:rFonts w:ascii="Times New Roman" w:hAnsi="Times New Roman" w:eastAsia="宋体"/>
          <w:sz w:val="21"/>
        </w:rPr>
        <w:t xml:space="preserve">时间: 2026-02-05 | </w:t>
      </w:r>
      <w:r>
        <w:t xml:space="preserve">链接: </w:t>
      </w:r>
      <w:hyperlink r:id="rId42">
        <w:r>
          <w:rPr>
            <w:rFonts w:ascii="Times New Roman" w:hAnsi="Times New Roman" w:eastAsia="宋体"/>
            <w:color w:val="0000FF"/>
            <w:sz w:val="21"/>
            <w:u w:val="single"/>
          </w:rPr>
          <w:t>https://doi.org/10.1038/s41598-026-37977-y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目前的研究论文提出了用钇 (Y) 和钒 (V) 等过渡金属掺杂 Zn对其结构、电子、热稳定性和光学特性的影响的第一性原理研究。用掺杂剂代替这些锌原子可以显着提高材料的介电性能和电导率。然后计算弹性常数以确定掺杂结构的机械稳定性，确认其结构完整性。利用NVT系综来证明热稳定性。计算建模在 Material Studio 中完成，模拟在 CASTEP 中完成，可以对掺杂 ZnO 系统进行详细分析。之前完成的测试包括能带结构、X 射线衍射 (XRD) 图案、热稳定性以及电导率、反射率和折射率等光学特性。结果表明，Y和V掺杂有可能极大地改变ZnO的电子结构，这为增强ZnO在光电和介电器件中的功能提供了良好的机会。除了拓宽我们对原子尺度上掺杂氧化锌的了解之外，这些发现还可以为未来的实验验证和材料开发奠定坚实的基础。</w:t>
      </w:r>
    </w:p>
    <w:p>
      <w:pPr>
        <w:spacing w:before="120"/>
      </w:pPr>
      <w:r>
        <w:rPr>
          <w:rFonts w:ascii="Times New Roman" w:hAnsi="Times New Roman" w:eastAsia="宋体"/>
          <w:b/>
          <w:sz w:val="21"/>
        </w:rPr>
        <w:t>English Abstract:</w:t>
      </w:r>
    </w:p>
    <w:p>
      <w:r>
        <w:rPr>
          <w:rFonts w:ascii="Times New Roman" w:hAnsi="Times New Roman" w:eastAsia="宋体"/>
          <w:sz w:val="21"/>
        </w:rPr>
        <w:t>The current research paper presents a first-principles study of the effects of doping Zno with transition metals such as Yttrium (Y) and Vanadium (V) on its structural, electronic, thermal stability, and optical characteristics. Replacing these Zn atoms with the dopants results in a significant increase in the dielectric properties and conductivity of the material. Elastic constants are then calculated to determine the mechanical stability of the doped structures, confirming their structural integrity. The NVT ensemble is utilized to prove the thermal stability. Computational modelling is done in Material Studio where the simulations are done in CASTEP which can allow a detailed analysis of the doped ZnO systems. The tests done prior are band structure, X-ray diffraction (XRD) patterns, thermal stability, and optical properties like conductivity, reflectivity, and the refractive index. The results indicate that Y and V doping have the potential to alter the electronic structure of ZnO greatly, which has bright opportunities to enhance the functioning of ZnO in optoelectronic and dielectric devices. Besides broadening our knowledge about doped ZnO on the atomic scale, these findings can form a powerful basis of experimental validation and developing materials in the future.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初级体感皮层经颅静态磁刺激后的体感诱发电位和高频振荡</w:t>
      </w:r>
    </w:p>
    <w:p>
      <w:r>
        <w:rPr>
          <w:rFonts w:ascii="Times New Roman" w:hAnsi="Times New Roman" w:eastAsia="宋体"/>
          <w:b/>
          <w:color w:val="003264"/>
          <w:sz w:val="24"/>
        </w:rPr>
        <w:t>Somatosensory evoked potentials and high-frequency oscillations after transcranial static magnetic stimulation over the primary somatosensory cortex</w:t>
      </w:r>
    </w:p>
    <w:p>
      <w:r>
        <w:rPr>
          <w:rFonts w:ascii="Times New Roman" w:hAnsi="Times New Roman" w:eastAsia="宋体"/>
          <w:sz w:val="21"/>
        </w:rPr>
        <w:t>作者: Yuki Tanaka, Aoki Takahashi, Riku Ishizaka, Kodai Minami, Taisei Miyazaki, Kenta Oguma, Nodoka Shimizume, Isamu Ozaki, Tatsunori Watanabe</w:t>
        <w:br/>
      </w:r>
      <w:r>
        <w:rPr>
          <w:rFonts w:ascii="Times New Roman" w:hAnsi="Times New Roman" w:eastAsia="宋体"/>
          <w:sz w:val="21"/>
        </w:rPr>
        <w:t xml:space="preserve">时间: 2026-02-05 | </w:t>
      </w:r>
      <w:r>
        <w:t xml:space="preserve">链接: </w:t>
      </w:r>
      <w:hyperlink r:id="rId43">
        <w:r>
          <w:rPr>
            <w:rFonts w:ascii="Times New Roman" w:hAnsi="Times New Roman" w:eastAsia="宋体"/>
            <w:color w:val="0000FF"/>
            <w:sz w:val="21"/>
            <w:u w:val="single"/>
          </w:rPr>
          <w:t>https://doi.org/10.1038/s41598-026-38767-2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经颅静磁场刺激（tSMS）是一种非侵入性脑刺激技术，可降低皮质兴奋性。尽管其有效性已在各个皮质区域得到证实，但仍不清楚体感处理是否受到这种刺激的影响。本研究的目的是调查初级体感皮层 (S1) 上的 tSMS 是否调节体感诱发电位 (SEP) 以及叠加在其上的高频振荡（体感 HFO）。在一项随机交叉研究中，20 名健康的年轻人在左侧 S1（对应于国际 10-20 系统的 C3）接受 tSMS 或假刺激 20 分钟。记录刺激前、刺激后立即和刺激后 20 分钟对右正中神经刺激的反应 SEP。通过对 SEP 波形应用 400-800 Hz 带通滤波器来提取体感 HFO，并根据 N20 峰值延迟将其分为早期和晚期分量。刺激后 20 分钟，左侧 S1 上的 TSMS 显着降低了早期 HFO 的振幅，而晚期 HFO 则保持不变。没有观察到 tSMS 对标准 SEP 的 N20 成分有影响，这反映了 S1 区域 3b 的神经活动。早期和晚期 HFO 被认为分别反映了丘脑皮质纤维的动作电位和 GABA 能中间神经元的活性。因此，这些发现表明，S1 上的 tSMS 选择性减弱丘脑皮质输入，同时对 GABA 能中间神经元活动没有影响。</w:t>
      </w:r>
    </w:p>
    <w:p>
      <w:pPr>
        <w:spacing w:before="120"/>
      </w:pPr>
      <w:r>
        <w:rPr>
          <w:rFonts w:ascii="Times New Roman" w:hAnsi="Times New Roman" w:eastAsia="宋体"/>
          <w:b/>
          <w:sz w:val="21"/>
        </w:rPr>
        <w:t>English Abstract:</w:t>
      </w:r>
    </w:p>
    <w:p>
      <w:r>
        <w:rPr>
          <w:rFonts w:ascii="Times New Roman" w:hAnsi="Times New Roman" w:eastAsia="宋体"/>
          <w:sz w:val="21"/>
        </w:rPr>
        <w:t>Abstract Transcranial static magnetic field stimulation (tSMS) is a non-invasive brain stimulation technique known to reduce cortical excitability. Although its effectiveness has been demonstrated in various cortical regions, it remains unclear whether somatosensory processing is influenced by this stimulation. The purpose of this study was to investigate whether tSMS over the primary somatosensory cortex (S1) modulates somatosensory evoked potentials (SEPs) and high-frequency oscillations superimposed on them (somatosensory HFOs). In a randomized crossover study, twenty healthy young adults received tSMS or sham stimulation over the left S1 (corresponding to C3 of the international 10–20 system) for 20 min. SEPs were recorded in response to right median nerve stimulation before, immediately after, and 20 min after stimulation. Somatosensory HFOs were extracted by applying a 400–800 Hz band-pass filter to SEP waveforms and separated into early and late components relative to the N20 peak latency. TSMS over the left S1 significantly reduced the amplitude of early HFOs 20 min after stimulation, whereas late HFOs remained unchanged. No effects of tSMS were observed on the N20 component of standard SEPs, which reflects neural activity in area 3b of the S1. Early and late HFOs are thought to reflect the action potentials of thalamocortical fibers and the activity of GABAergic interneurons, respectively. These findings therefore suggest that tSMS over the S1 selectively attenuates thalamocortical input while exerting no effect on GABAergic interneuron activity.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转移性癌症转录组的综合分析揭示了临床上不同的细胞状态和生态系统</w:t>
      </w:r>
    </w:p>
    <w:p>
      <w:r>
        <w:rPr>
          <w:rFonts w:ascii="Times New Roman" w:hAnsi="Times New Roman" w:eastAsia="宋体"/>
          <w:b/>
          <w:color w:val="003264"/>
          <w:sz w:val="24"/>
        </w:rPr>
        <w:t>Integrative analyses of metastatic cancer transcriptome reveal clinically distinct cellular States and ecosystems</w:t>
      </w:r>
    </w:p>
    <w:p>
      <w:r>
        <w:rPr>
          <w:rFonts w:ascii="Times New Roman" w:hAnsi="Times New Roman" w:eastAsia="宋体"/>
          <w:sz w:val="21"/>
        </w:rPr>
        <w:t>作者: Can Zhang, Si Li, Yun Yu, Meng Chi, Ziming Yuan, Kun Wang</w:t>
        <w:br/>
      </w:r>
      <w:r>
        <w:rPr>
          <w:rFonts w:ascii="Times New Roman" w:hAnsi="Times New Roman" w:eastAsia="宋体"/>
          <w:sz w:val="21"/>
        </w:rPr>
        <w:t xml:space="preserve">时间: 2026-02-05 | </w:t>
      </w:r>
      <w:r>
        <w:t xml:space="preserve">链接: </w:t>
      </w:r>
      <w:hyperlink r:id="rId44">
        <w:r>
          <w:rPr>
            <w:rFonts w:ascii="Times New Roman" w:hAnsi="Times New Roman" w:eastAsia="宋体"/>
            <w:color w:val="0000FF"/>
            <w:sz w:val="21"/>
            <w:u w:val="single"/>
          </w:rPr>
          <w:t>https://doi.org/10.1038/s41598-026-36512-3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定构成转移性肿瘤的不同细胞状态及其在细胞生态系统中的组织对于阐明癌症的生物学和预后多样性至关重要。然而，在转移性癌症中仍然缺乏分析这些细胞状态和生态型的临床相关性的大规模研究。在这项研究中，我们使用机器学习框架 EcoTyper 全面分析了涵盖 25 种癌症类型的 2822 名转移性癌症患者样本的转录组，从而能够表征转移性癌症不可或缺的基本细胞状态和肿瘤生态系统。我们鉴定了 12 种细胞类型中的 45 种不同的细胞状态，并在验证队列中验证了它们的稳健性。我们观察到它们在功能和预后关联方面存在差异。生存分析揭示了临床相关的细胞状态，突出了它们作为临床结果预测因子的前景。功能富集分析表明，细胞状态的标志基因在癌症标志和免疫相关通路中显着富集。此外，我们的分析确定了与不同临床结果相关的五种生态类型。转录因子富集分析揭示了与患者临床结果显着相关的关键转录因子（即 SPIB、SRF 和 NR1D1）。总之，这项研究提供了转移性肿瘤细胞状态和生态系统的高分辨率景观，为癌症治疗策略和预后评估的发展提供了新的潜在目标。</w:t>
      </w:r>
    </w:p>
    <w:p>
      <w:pPr>
        <w:spacing w:before="120"/>
      </w:pPr>
      <w:r>
        <w:rPr>
          <w:rFonts w:ascii="Times New Roman" w:hAnsi="Times New Roman" w:eastAsia="宋体"/>
          <w:b/>
          <w:sz w:val="21"/>
        </w:rPr>
        <w:t>English Abstract:</w:t>
      </w:r>
    </w:p>
    <w:p>
      <w:r>
        <w:rPr>
          <w:rFonts w:ascii="Times New Roman" w:hAnsi="Times New Roman" w:eastAsia="宋体"/>
          <w:sz w:val="21"/>
        </w:rPr>
        <w:t>Determining the diverse cellular states and their organization into cellular ecosystems that make up metastatic tumor is vital for elucidating the biological and prognostic diversity of cancer. However, large-scale studies profiling the clinical relevance of these cellular states and ecotypes are still lacking in metastatic cancers. In this study, we used EcoTyper, a machine learning framework, to comprehensively analyze transcriptomes from 2822 metastatic cancer patient samples covering 25 cancer types, enabling characterization of the fundamental cellular states and tumor ecosystems integral to metastatic cancer. We identified 45 distinct cellular states across 12 cell types and validated their robustness in validation cohorts. We observed that they differed in functional and prognostic associations. Survival analysis revealed that the clinically relevant cellular states, highlighting their promise as predictors of clinical outcomes. Functional enrichment analysis exhibited that the marker genes of cellular states were significantly enriched in cancer hallmark and immune-related pathways. In addition, our analysis identified five ecotypes associated with different clinical outcomes. Transcription factor enrichment analysis revealed key transcription factors (i.e. SPIB, SRF, and NR1D1) that were significantly associated with patient clinical outcomes. In conclusion, this study provided a high-resolution landscape of cellular states and ecosystems in metastatic tumors, offering new potential targets for the development of cancer treatment strategies and prognostic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局部红外刺激调节麻醉大鼠的自发皮质慢波动力学</w:t>
      </w:r>
    </w:p>
    <w:p>
      <w:r>
        <w:rPr>
          <w:rFonts w:ascii="Times New Roman" w:hAnsi="Times New Roman" w:eastAsia="宋体"/>
          <w:b/>
          <w:color w:val="003264"/>
          <w:sz w:val="24"/>
        </w:rPr>
        <w:t>Local infrared stimulation modulates spontaneous cortical slow wave dynamics in anesthetized rats</w:t>
      </w:r>
    </w:p>
    <w:p>
      <w:r>
        <w:rPr>
          <w:rFonts w:ascii="Times New Roman" w:hAnsi="Times New Roman" w:eastAsia="宋体"/>
          <w:sz w:val="21"/>
        </w:rPr>
        <w:t>作者: Ágnes Szabó, Richárd Fiáth, Ágoston Csaba Horváth, Péter Barthó, István Ulbert, Zoltán Fekete</w:t>
        <w:br/>
      </w:r>
      <w:r>
        <w:rPr>
          <w:rFonts w:ascii="Times New Roman" w:hAnsi="Times New Roman" w:eastAsia="宋体"/>
          <w:sz w:val="21"/>
        </w:rPr>
        <w:t xml:space="preserve">时间: 2026-02-05 | </w:t>
      </w:r>
      <w:r>
        <w:t xml:space="preserve">链接: </w:t>
      </w:r>
      <w:hyperlink r:id="rId45">
        <w:r>
          <w:rPr>
            <w:rFonts w:ascii="Times New Roman" w:hAnsi="Times New Roman" w:eastAsia="宋体"/>
            <w:color w:val="0000FF"/>
            <w:sz w:val="21"/>
            <w:u w:val="single"/>
          </w:rPr>
          <w:t>https://doi.org/10.1038/s41598-026-38781-4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皮质慢波是深度睡眠和某些麻醉条件下的标志性振荡，但控制其动态的神经生物学机制仍不完全清楚。在这里，我们研究了局部近红外 (NIR) 刺激对氯胺酮/甲苯噻嗪麻醉大鼠慢波活动的影响。使用硅基多模光极，我们同时传输近红外光并记录初级体感 (S1Tr) 和顶叶关联 (PtA) 皮质层的局部场电位 (LFP) 和多单元活动 (MUA)。近红外刺激会引起局部组织加热，从而导致慢波特性发生可重复和可逆的变化。具体来说，上态持续时间缩短，下态持续时间延长，上态期间的 MUA 振幅增加，状态转换时斜率更陡，表明神经元同步性增强。 LFP 幅度和频谱变化在不同皮质区域有所不同：PtA 表现出慢波（0.5-2 Hz）和高 delta（2-4 Hz）带活动增加，而 S1Tr 表现出减少的趋势。我们的研究结果表明，局部红外刺激可以可靠地调节皮质慢波动力学，可能是通过温度介导的神经元兴奋性变化。这种方法提供了一种微创方法，用于精确、局部操纵皮质网络活动，并为慢振荡的生物物理调节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Cortical slow waves are hallmark oscillations of deep sleep and certain anesthetic conditions, yet the neurobiological mechanisms controlling their dynamics remain incompletely understood. Here, we investigated the effects of local near-infrared (NIR) stimulation on slow-wave activity in ketamine/xylazine-anesthetized rats. Using a silicon-based multimodal optrode, we simultaneously delivered NIR light and recorded local field potentials (LFPs) and multi-unit activity (MUA) across cortical layers in the primary somatosensory (S1Tr) and parietal association (PtA) cortices. NIR stimulation induces local tissue heating, resulting in reproducible and reversible changes in the properties of slow waves. Specifically, up-state durations were shortened, down-states prolonged, and MUA amplitudes during up-states increased, with steeper slopes at state transitions, indicative of enhanced neuronal synchronization. LFP amplitude and spectral changes varied across cortical regions: PtA exhibited increased slow wave (0.5–2 Hz) and high delta (2–4 Hz) band activity, while S1Tr showed a trend toward reduction. Our findings demonstrate that local infrared stimulation can reliably modulate cortical slow-wave dynamics, likely through temperature-mediated changes in neuronal excitability. This approach provides a minimally invasive method for precise, local manipulation of cortical network activity and offers new insights into the biophysical regulation of slow oscillations.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用于生产用于营养和治疗应用的功能性人 α-乳清蛋白的转质体生物工厂</w:t>
      </w:r>
    </w:p>
    <w:p>
      <w:r>
        <w:rPr>
          <w:rFonts w:ascii="Times New Roman" w:hAnsi="Times New Roman" w:eastAsia="宋体"/>
          <w:b/>
          <w:color w:val="003264"/>
          <w:sz w:val="24"/>
        </w:rPr>
        <w:t>Transplastomic biofactory for the production of functional human α-lactalbumin for nutritional and therapeutic applications</w:t>
      </w:r>
    </w:p>
    <w:p>
      <w:r>
        <w:rPr>
          <w:rFonts w:ascii="Times New Roman" w:hAnsi="Times New Roman" w:eastAsia="宋体"/>
          <w:sz w:val="21"/>
        </w:rPr>
        <w:t>作者: Maryam Ehsasatvatan, Bahram Baghban Kohnehrouz</w:t>
        <w:br/>
      </w:r>
      <w:r>
        <w:rPr>
          <w:rFonts w:ascii="Times New Roman" w:hAnsi="Times New Roman" w:eastAsia="宋体"/>
          <w:sz w:val="21"/>
        </w:rPr>
        <w:t xml:space="preserve">时间: 2026-02-05 | </w:t>
      </w:r>
      <w:r>
        <w:t xml:space="preserve">链接: </w:t>
      </w:r>
      <w:hyperlink r:id="rId46">
        <w:r>
          <w:rPr>
            <w:rFonts w:ascii="Times New Roman" w:hAnsi="Times New Roman" w:eastAsia="宋体"/>
            <w:color w:val="0000FF"/>
            <w:sz w:val="21"/>
            <w:u w:val="single"/>
          </w:rPr>
          <w:t>https://doi.org/10.1038/s41598-026-38965-y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在植物中可持续生产功能性人类蛋白质为开发不含动物的营养和治疗化合物提供了一条变革之路。在这项研究中，我们通过叶绿体基因组工程在烟草中首次报道了人类 α-乳清蛋白 (hLA) 的表达，hLA 是一种具有营养和抗癌特性的关键乳蛋白。使用在强质体调控元件控制下的合成表达盒将密码子优化的 hLA 基因引入质体基因组。通过PCR和Southern印迹分析获得并确认同质转质体系。免疫印迹和 ELISA 定量显示，hLA 累积至总可溶性蛋白 (TSP) 的 23.4%，这是质体表达的人类蛋白报道的最高水平之一。远紫外圆二色性 (CD) 光谱证实叶绿体衍生的 hLA 采用类似天然的 α 螺旋结构。在功能上，重组蛋白在体外成功激活半乳糖基转移酶 (GalT)，使乳糖合成速度达到天然 hLA 的 93%。此外，叶绿体衍生的 hLA 在温和的热条件下与油酸结合转化为具有生物活性的 HAMLET 复合物。 MTT 和膜联蛋白 V/PI 检测证实，该复合物可诱导人结直肠 (WiDr) 和乳腺癌 (MCF-7) 细胞发生有效凋亡，将活力降低至 8% 以下。这些发现确立了叶绿体作为高产、正确折叠和功能性生产母乳蛋白的有效平台。从单一植物系统产生酶活性和治疗功能产品的能力强调了其在食品工程和合成生物学方面的潜力。这项工作为开发适用于婴儿营养、功能性食品和植物生物治疗的重组乳蛋白提供了可扩展、可持续和双重目的的策略。</w:t>
      </w:r>
    </w:p>
    <w:p>
      <w:pPr>
        <w:spacing w:before="120"/>
      </w:pPr>
      <w:r>
        <w:rPr>
          <w:rFonts w:ascii="Times New Roman" w:hAnsi="Times New Roman" w:eastAsia="宋体"/>
          <w:b/>
          <w:sz w:val="21"/>
        </w:rPr>
        <w:t>English Abstract:</w:t>
      </w:r>
    </w:p>
    <w:p>
      <w:r>
        <w:rPr>
          <w:rFonts w:ascii="Times New Roman" w:hAnsi="Times New Roman" w:eastAsia="宋体"/>
          <w:sz w:val="21"/>
        </w:rPr>
        <w:t>The sustainable production of functional human proteins in plants offers a transformative path for developing animal-free nutritional and therapeutic compounds. In this study, we report one of the first expression of human α-lactalbumin (hLA), a key milk protein with nutritional and anticancer properties, via chloroplast genome engineering in Nicotiana tabacum. A codon-optimized hLA gene was introduced into the plastid genome using a synthetic expression cassette under the control of strong plastid regulatory elements. Homoplasmic transplastomic lines were obtained and confirmed via PCR and Southern blot analysis. Immunoblotting and ELISA quantification revealed that hLA accumulated to 23.4% of total soluble protein (TSP), one of the highest levels reported for plastid-expressed human proteins. Far-UV circular dichroism (CD) spectroscopy confirmed that the chloroplast-derived hLA adopted a native-like α-helical structure. Functionally, the recombinant protein successfully activated galactosyltransferase (GalT) in vitro, enabling lactose synthesis at 93% of the rate observed with native hLA. Furthermore, chloroplast-derived hLA was converted into a bioactive HAMLET complex by combining with oleic acid under mild thermal conditions. This complex induced potent apoptosis in human colorectal (WiDr) and breast cancer (MCF-7) cells, reducing viability to less than 8%, as confirmed by MTT and Annexin V/PI assays. These findings establish chloroplasts as an effective platform for high-yield, correctly folded, and functional production of human milk proteins. The ability to generate both enzymatically active and therapeutically functional products from a single plant-based system underscores its potential in food engineering and synthetic biology. This work offers a scalable, sustainable, and dual-purpose strategy for the development of recombinant milk proteins applicable in infant nutrition, functional foods, and plant-made biotherapeutics.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越南存在四种遗传上不同的狂犬病病毒类型，包括亚洲分支中的 SEA1 和 SEA3 分支</w:t>
      </w:r>
    </w:p>
    <w:p>
      <w:r>
        <w:rPr>
          <w:rFonts w:ascii="Times New Roman" w:hAnsi="Times New Roman" w:eastAsia="宋体"/>
          <w:b/>
          <w:color w:val="003264"/>
          <w:sz w:val="24"/>
        </w:rPr>
        <w:t>Four genetically distinct types of rabies virus exist in Vietnam, including the SEA1 and SEA3 subclades within the Asian clade</w:t>
      </w:r>
    </w:p>
    <w:p>
      <w:r>
        <w:rPr>
          <w:rFonts w:ascii="Times New Roman" w:hAnsi="Times New Roman" w:eastAsia="宋体"/>
          <w:sz w:val="21"/>
        </w:rPr>
        <w:t>作者: Michiko Harada, Thu Tuyet Nguyen, Dong Vinh Nguyen, Giang Chau Ngo, Keita Ishijima, Huong T. T. Nguyen, Phuong T. M. Nguyen, Tho Dang Nguyen, Satoshi Inoue, Akiko Okutani, Ken Maeda</w:t>
        <w:br/>
      </w:r>
      <w:r>
        <w:rPr>
          <w:rFonts w:ascii="Times New Roman" w:hAnsi="Times New Roman" w:eastAsia="宋体"/>
          <w:sz w:val="21"/>
        </w:rPr>
        <w:t xml:space="preserve">时间: 2026-02-05 | </w:t>
      </w:r>
      <w:r>
        <w:t xml:space="preserve">链接: </w:t>
      </w:r>
      <w:hyperlink r:id="rId47">
        <w:r>
          <w:rPr>
            <w:rFonts w:ascii="Times New Roman" w:hAnsi="Times New Roman" w:eastAsia="宋体"/>
            <w:color w:val="0000FF"/>
            <w:sz w:val="21"/>
            <w:u w:val="single"/>
          </w:rPr>
          <w:t>https://doi.org/10.1038/s41598-026-38638-w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狂犬病是一种致命的人畜共患疾病，几乎所有哺乳动物都会患上脑炎。越南仍然是狂犬病流行地区，并与中国、老挝和柬埔寨接壤，狂犬病在这些国家也持续存在。核蛋白和全基因组测序是研究循环狂犬病病毒 (RABV) 毒株的遗传多样性和传播动态的重要工具。本研究旨在评估越南目前的狂犬病状况，并使用两种测序方法对狂犬病病毒株进行基因表征。越南每年都会报告人类和犬类狂犬病病例，每年约有 50 万人接受暴露后预防治疗，不过这一数字最近有所增加。对人类和狂犬病狗的流行病学数据和 RABV 进行了分析。越南 RABV 被分为四个不同的遗传组，所有这些组在系统发育上都与邻国传播的病毒相关。全基因组分析揭示了病毒分类的区域差异，表明当地因素可能影响越南与邻国之间的病毒传播。人类和狗源性狂犬病病毒之间的高度遗传相似性凸显了持续的人畜共患威胁，并强调越南及其邻近地区迫切需要采用“同一个健康”方法来预防和控制狂犬病。</w:t>
      </w:r>
    </w:p>
    <w:p>
      <w:pPr>
        <w:spacing w:before="120"/>
      </w:pPr>
      <w:r>
        <w:rPr>
          <w:rFonts w:ascii="Times New Roman" w:hAnsi="Times New Roman" w:eastAsia="宋体"/>
          <w:b/>
          <w:sz w:val="21"/>
        </w:rPr>
        <w:t>English Abstract:</w:t>
      </w:r>
    </w:p>
    <w:p>
      <w:r>
        <w:rPr>
          <w:rFonts w:ascii="Times New Roman" w:hAnsi="Times New Roman" w:eastAsia="宋体"/>
          <w:sz w:val="21"/>
        </w:rPr>
        <w:t>Rabies is a fatal zoonotic disease that causes encephalitis in almost all mammals. Vietnam remains endemic for rabies and shares borders with China, Laos, and Cambodia, where the disease also persists. Nucleoprotein and full-genome sequencing are valuable tools for investigating the genetic diversity and transmission dynamics of circulating rabies virus (RABV) strains. This study aimed to assess the current rabies situation in Vietnam and genetically characterize RABV strains using both sequencing approaches. Human and canine rabies cases are reported annually in Vietnam, where approximately half a million people receiving post-exposure prophylaxis each year, though this number has recently increased. Epidemiological data and RABVs from humans and rabid dogs were analyzed. Vietnamese RABVs were classified into four distinct genetic groups, all phylogenetically related to viruses circulating in neighboring countries. Full-genome analysis revealed regional differences in virus classification, suggesting that local factors may influence viral circulation between Vietnam and neighboring countries. The high genetic similarity between human- and dog-derived RABVs underscores the continued zoonotic threat and highlights the critical need for a One Health approach to rabies prevention and control in Vietnam and its neighboring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基于人工智能的临床恶化分析的随机对照试验</w:t>
      </w:r>
    </w:p>
    <w:p>
      <w:r>
        <w:rPr>
          <w:rFonts w:ascii="Times New Roman" w:hAnsi="Times New Roman" w:eastAsia="宋体"/>
          <w:b/>
          <w:color w:val="003264"/>
          <w:sz w:val="24"/>
        </w:rPr>
        <w:t>A randomized controlled trial of artificial intelligence-based analytics for clinical deterioration</w:t>
      </w:r>
    </w:p>
    <w:p>
      <w:r>
        <w:rPr>
          <w:rFonts w:ascii="Times New Roman" w:hAnsi="Times New Roman" w:eastAsia="宋体"/>
          <w:sz w:val="21"/>
        </w:rPr>
        <w:t>作者: Jessica Keim-Malpass, Sarah J. Ratcliffe, Matthew T. Clark, Katy N. Krahn, Oliver J. Monfredi, Susan Hamil, Gholamreza Yousefvand, Marieke K. Jones, Ashley Nelson, Liza P. Moorman, J. Randall Moorman, Jamieson M. Bourque</w:t>
        <w:br/>
      </w:r>
      <w:r>
        <w:rPr>
          <w:rFonts w:ascii="Times New Roman" w:hAnsi="Times New Roman" w:eastAsia="宋体"/>
          <w:sz w:val="21"/>
        </w:rPr>
        <w:t xml:space="preserve">时间: 2026-02-05 | </w:t>
      </w:r>
      <w:r>
        <w:t xml:space="preserve">链接: </w:t>
      </w:r>
      <w:hyperlink r:id="rId48">
        <w:r>
          <w:rPr>
            <w:rFonts w:ascii="Times New Roman" w:hAnsi="Times New Roman" w:eastAsia="宋体"/>
            <w:color w:val="0000FF"/>
            <w:sz w:val="21"/>
            <w:u w:val="single"/>
          </w:rPr>
          <w:t>https://doi.org/10.1038/s41598-026-39051-z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这项务实的随机对照试验旨在评估基于人工智能 (AI) 的预测分析的被动显示对急症护理心脏病内外科病房内科和外科患者无临床恶化事件的时间的影响。 10,422 名住院患者被随机分配到风险轨迹显示的干预组或常规医疗护理的对照组。该试验在一家学术医院拥有 85 个床位的心脏病科和心脏外科住院病房进行，并制定了实质性的实施和教育计划。这是一种被动展示，没有强制要求做出具体反应。主要分析比较了临床恶化事件（死亡、紧急 ICU 转移、紧急气管插管、心脏骤停或紧急手术），并比较了入院 21 天后的死亡率。风险评分大幅上升的患者平均住院时间延长了一倍（6.8 天 vs 3.4 天）。组间主要结局没有变化。在发生临床事件的患者中，与标准护理/展示关闭组相比，干预/展示组中的无事件时间更长，但这并未达到统计学显着性。临床医生选择将 11% 的患者转移到展示床或转移出展示床，这一审查事件将他们从分析中删除，从而破坏了研究随机性的各个方面。结合持续心肺监测和风险轨迹显示以及教育计划的预测分析监测并没有改善患者的治疗结果。虽然进行这项研究是必要的，但务实的设计使得对病情较重的患者进行干预/展示床位有了重大进展。未来的设计考虑必须侧重于理解临床医生的解释、护理流程和沟通实践。临床试验注册号：NCT04359641 2020 年 4 月 24 日注册。</w:t>
      </w:r>
    </w:p>
    <w:p>
      <w:pPr>
        <w:spacing w:before="120"/>
      </w:pPr>
      <w:r>
        <w:rPr>
          <w:rFonts w:ascii="Times New Roman" w:hAnsi="Times New Roman" w:eastAsia="宋体"/>
          <w:b/>
          <w:sz w:val="21"/>
        </w:rPr>
        <w:t>English Abstract:</w:t>
      </w:r>
    </w:p>
    <w:p>
      <w:r>
        <w:rPr>
          <w:rFonts w:ascii="Times New Roman" w:hAnsi="Times New Roman" w:eastAsia="宋体"/>
          <w:sz w:val="21"/>
        </w:rPr>
        <w:t>This pragmatic randomized controlled trial aimed to assess the effect of a passive display of artificial intelligence (AI)-based predictive analytics on hours free of clinical deterioration events among medical and surgical patients in an acute care cardiology medical-surgical ward. 10,422 inpatient visits were randomly assigned by cluster to the intervention group of a display of risk trajectories or to a control group of usual medical care. The trial was undertaken on an 85-bed inpatient cardiology and cardiac surgery ward of an academic hospital with a substantial implementation and education plan. This was a passive display with no specific response mandated. The primary analysis compared events of clinical deterioration (death, emergent ICU transfer, emergent endotracheal intubation, cardiac arrest, or emergent surgery) and compared mortality 21 days after admission. Patients with a large spike in risk score had, on average, twice the length of hospital stay (6.8 compared to 3.4 days). There was no change in the primary outcome between groups. Among those who had a clinical event, there were more event-free hours in the intervention/display-on group compared to the standard-of-care/display-off, but this did not reach statistical significance. Clinicians chose to transfer 11% of patients into or out of display beds, a censoring event removing them from the analysis, thereby undermining aspects of the randomized nature of the study. Predictive analytics monitoring incorporating continuous cardiorespiratory monitoring and displays of risk trajectories coupled with an education plan did not improve patient outcomes. While necessary to conduct the study, the pragmatic design allowed for significant movement towards intervention/displayed beds for sicker patients. Design considerations in the future must focus on understanding clinicians’ interpretation, care processes, and communication practices. Clinical trial registration number: NCT04359641 Registered 4/24/20.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综合宏基因组和 16S rRNA 分析揭示了奶牛粪便堆肥过程中抗性基因与微生物群落之间的时间关联</w:t>
      </w:r>
    </w:p>
    <w:p>
      <w:r>
        <w:rPr>
          <w:rFonts w:ascii="Times New Roman" w:hAnsi="Times New Roman" w:eastAsia="宋体"/>
          <w:b/>
          <w:color w:val="003264"/>
          <w:sz w:val="24"/>
        </w:rPr>
        <w:t>Integrated metagenomic and 16S rRNA analysis reveals temporal associations between resistance genes and microbial communities during dairy manure composting</w:t>
      </w:r>
    </w:p>
    <w:p>
      <w:r>
        <w:rPr>
          <w:rFonts w:ascii="Times New Roman" w:hAnsi="Times New Roman" w:eastAsia="宋体"/>
          <w:sz w:val="21"/>
        </w:rPr>
        <w:t>作者: Yuan Zhou, Kaiyue Liu, Ping Gong, Jian Wu, Zhuqing Ren, Erguang Jin</w:t>
        <w:br/>
      </w:r>
      <w:r>
        <w:rPr>
          <w:rFonts w:ascii="Times New Roman" w:hAnsi="Times New Roman" w:eastAsia="宋体"/>
          <w:sz w:val="21"/>
        </w:rPr>
        <w:t xml:space="preserve">时间: 2026-02-05 | </w:t>
      </w:r>
      <w:r>
        <w:t xml:space="preserve">链接: </w:t>
      </w:r>
      <w:hyperlink r:id="rId49">
        <w:r>
          <w:rPr>
            <w:rFonts w:ascii="Times New Roman" w:hAnsi="Times New Roman" w:eastAsia="宋体"/>
            <w:color w:val="0000FF"/>
            <w:sz w:val="21"/>
            <w:u w:val="single"/>
          </w:rPr>
          <w:t>https://doi.org/10.1038/s41598-026-37092-y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奶牛粪便堆肥被广泛应用于稳定有机废物和减少环境污染，但该过程中的阻力决定因素的行为仍未得到充分解决。在本研究中，鸟枪法宏基因组测序用于表征奶牛粪堆肥过程中抗生素抗性基因（ARG）、金属抗性基因（MRG）、杀菌剂抗性基因（BRG）、移动遗传元件（MGE）和微生物群落组成的时间变化。我们的分析不是推断直接的机械因果关系，而是侧重于识别统计支持的趋势、关联和堆肥阶段的共现模式。我们观察到，在嗜热阶段，与 MRG 和 BRG 相比，ARG 的相对丰度迅速下降，同时温度升高，而 sul2 等特定基因在整个过程中持续存在。微生物群落组成的变化，特别是放线菌和变形菌相对优势的变化，与耐药组谱的变化显着相关。相关性和网络分析进一步揭示了 ARG、MRG、BRG 和 MGE 之间的强关联，表明潜在的共选择和水平基因转移联系，但并不暗示直接的因果机制。此外，一些机会性细菌属与氨基糖苷类和大环内酯-林可酰胺-链阳菌素型ARG呈正相关，表明堆肥施用后可能存在传播风险。总体而言，本研究对奶牛粪便堆肥过程中的抗性组和微生物群落动态提供了基于关联的综合概述，并强调了在评估堆肥作为粪便管理策略时考虑多种抗性决定因素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Dairy manure composting is widely applied to stabilize organic waste and reduce environmental pollution, yet the behavior of resistance determinants during this process remains insufficiently resolved. In this study, shotgun metagenomic sequencing was used to characterize temporal changes in antibiotic resistance genes (ARGs), metal resistance genes (MRGs), biocide resistance genes (BRGs), mobile genetic elements (MGEs), and microbial community composition during dairy manure composting. Rather than inferring direct mechanistic causation, our analyses focused on identifying statistically supported trends, associations, and co-occurrence patterns across composting stages. We observed a rapid decline in the relative abundance of ARGs compared with MRGs and BRGs during the thermophilic phase, coinciding with increasing temperature, while specific genes such as sul2 persisted throughout the process. Shifts in microbial community composition, particularly changes in the relative dominance of Actinobacteria and Proteobacteria , were significantly associated with variations in resistome profiles. Correlation and network analyses further revealed strong associations among ARGs, MRGs, BRGs, and MGEs, suggesting potential co-selection and horizontal gene transfer linkages without implying direct causal mechanisms. In addition, several opportunistic bacterial genera showed positive associations with aminoglycoside- and macrolide–lincosamide–streptogramin-type ARGs, indicating possible dissemination risks following compost application. Overall, this study provides an integrated, association-based overview of resistome and microbial community dynamics during dairy manure composting and highlights the importance of considering multiple resistance determinants when evaluating composting as a manure management strategy.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目标检测从 CNN 到 Transformer 和多模态融合的演变</w:t>
      </w:r>
    </w:p>
    <w:p>
      <w:r>
        <w:rPr>
          <w:rFonts w:ascii="Times New Roman" w:hAnsi="Times New Roman" w:eastAsia="宋体"/>
          <w:b/>
          <w:color w:val="003264"/>
          <w:sz w:val="24"/>
        </w:rPr>
        <w:t>The evolution of object detection from CNNs to transformers and multi-modal fusion</w:t>
      </w:r>
    </w:p>
    <w:p>
      <w:r>
        <w:rPr>
          <w:rFonts w:ascii="Times New Roman" w:hAnsi="Times New Roman" w:eastAsia="宋体"/>
          <w:sz w:val="21"/>
        </w:rPr>
        <w:t>作者: Zeran Wang, Yuan Chen, Yuhao Gu, Jian Liu, Xudong Zhu, Mianwang He</w:t>
        <w:br/>
      </w:r>
      <w:r>
        <w:rPr>
          <w:rFonts w:ascii="Times New Roman" w:hAnsi="Times New Roman" w:eastAsia="宋体"/>
          <w:sz w:val="21"/>
        </w:rPr>
        <w:t xml:space="preserve">时间: 2026-02-05 | </w:t>
      </w:r>
      <w:r>
        <w:t xml:space="preserve">链接: </w:t>
      </w:r>
      <w:hyperlink r:id="rId50">
        <w:r>
          <w:rPr>
            <w:rFonts w:ascii="Times New Roman" w:hAnsi="Times New Roman" w:eastAsia="宋体"/>
            <w:color w:val="0000FF"/>
            <w:sz w:val="21"/>
            <w:u w:val="single"/>
          </w:rPr>
          <w:t>https://doi.org/10.1038/s41598-026-37052-6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目标检测是计算机视觉的基石，旨在对图像中的目标进行定位和分类。这项全面的调查回顾了现代目标检测方法，重点关注两个主要范例：卷积神经网络 (CNN) 和基于 Transformer 的架构。这项工作对基于 CNN 和基于 Transformer 的检测范例进行了结构化比较，强调了它们的互补优势和权衡。 CNN 在局部特征提取和计算效率方面表现出优势，而 Transformer 擅长通过自注意力机制捕获全局上下文。我们还分析了集成红绿蓝 (RGB)、光检测和测距 (LiDAR) 以及语言嵌入的多模态融合技术。代表性模型的基准测试结果包括：实时检测变压器 (RT-DETR) 在 0.5 : 0.95 的交集交集 (IoU) 处实现 53.1% 的平均平均精度 (mAP)，You Only Look Once 版本 8 (YOLOv8) 在 0.5:0.95 处实现 50.2% mAP，实时检测器超过每秒 100 帧 (FPS)，具有具有竞争力的精度，以及专用红外方法在 NUAA-SIRST 数据集上实现了 92.45% 的 F 测量。这项工作引入了一种新颖的多模态融合策略分类法，记录了整个领域和特定评论的局限性，并综合了不同数据集的最新 2024 年至 2025 年基准。尽管取得了这些进展，但在处理尺度变化、遮挡效应和域适应方面仍然存在重大挑战。这项调查概述了这些持续存在的障碍和有前途的研究方向，为研究人员和从业者提供了结构化的参考。</w:t>
      </w:r>
    </w:p>
    <w:p>
      <w:pPr>
        <w:spacing w:before="120"/>
      </w:pPr>
      <w:r>
        <w:rPr>
          <w:rFonts w:ascii="Times New Roman" w:hAnsi="Times New Roman" w:eastAsia="宋体"/>
          <w:b/>
          <w:sz w:val="21"/>
        </w:rPr>
        <w:t>English Abstract:</w:t>
      </w:r>
    </w:p>
    <w:p>
      <w:r>
        <w:rPr>
          <w:rFonts w:ascii="Times New Roman" w:hAnsi="Times New Roman" w:eastAsia="宋体"/>
          <w:sz w:val="21"/>
        </w:rPr>
        <w:t>Abstract Object detection, a cornerstone of computer vision, aims to localize and classify objects within images. This comprehensive survey reviews modern object detection methods, focusing on two dominant paradigms: Convolutional Neural Networks (CNNs) and Transformer-based architectures. This work provides a structured comparison of CNN-based and Transformer-based detection paradigms, highlighting their complementary strengths and trade-offs. CNNs demonstrate advantages in local feature extraction and computational efficiency, whereas Transformers excel at capturing global context through self-attention mechanisms. We also analyze multi-modal fusion techniques integrating Red-Green-Blue (RGB), Light Detection and Ranging (LiDAR), and language embeddings. Benchmark results from representative models include: Real-Time Detection Transformer (RT-DETR) achieves 53.1% mean Average Precision (mAP) at Intersection over Union (IoU) at 0.5 : 0.95, You Only Look Once version 8 (YOLOv8) achieves 50.2% mAP at 0.5:0.95, real-time detectors exceed 100 frames per second (FPS) with competitive accuracy, and specialized infrared methods achieve 92.45% F-measure on NUAA-SIRST dataset. The work introduces a novel taxonomy of multi-modal fusion strategies, documents field-wide and review-specific limitations, and synthesizes recent 2024 to 2025 benchmarks across diverse datasets. Despite these advances, significant challenges remain in handling scale variation, occlusion effects, and domain adaptation. This survey outlines these persistent obstacles and promising research directions, providing a structured reference for researchers and practitioners.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探索2000-2023年欧亚大陆高致病性甲型禽流感病毒基因重排时空变化的综合方法</w:t>
      </w:r>
    </w:p>
    <w:p>
      <w:r>
        <w:rPr>
          <w:rFonts w:ascii="Times New Roman" w:hAnsi="Times New Roman" w:eastAsia="宋体"/>
          <w:b/>
          <w:color w:val="003264"/>
          <w:sz w:val="24"/>
        </w:rPr>
        <w:t>Integrated approaches to explore temporal-spatial changes in gene reassortment of highly pathogenic avian influenza A(H5) virus in Eurasia, 2000–2023</w:t>
      </w:r>
    </w:p>
    <w:p>
      <w:r>
        <w:rPr>
          <w:rFonts w:ascii="Times New Roman" w:hAnsi="Times New Roman" w:eastAsia="宋体"/>
          <w:sz w:val="21"/>
        </w:rPr>
        <w:t>作者: Bo-Jia Chen, Chun-Chen Liang, Yao-Tsun Li, Ting-Wu Chuang, Hong-Dar Isaac Wu, Day-Yu Chao</w:t>
        <w:br/>
      </w:r>
      <w:r>
        <w:rPr>
          <w:rFonts w:ascii="Times New Roman" w:hAnsi="Times New Roman" w:eastAsia="宋体"/>
          <w:sz w:val="21"/>
        </w:rPr>
        <w:t xml:space="preserve">时间: 2026-02-05 | </w:t>
      </w:r>
      <w:r>
        <w:t xml:space="preserve">链接: </w:t>
      </w:r>
      <w:hyperlink r:id="rId51">
        <w:r>
          <w:rPr>
            <w:rFonts w:ascii="Times New Roman" w:hAnsi="Times New Roman" w:eastAsia="宋体"/>
            <w:color w:val="0000FF"/>
            <w:sz w:val="21"/>
            <w:u w:val="single"/>
          </w:rPr>
          <w:t>https://doi.org/10.1038/s41598-026-38466-y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鹅/广东/1996谱系(Gs/Gd)后代H5病毒在全球的传播具有高致病性，通过与低致病性禽流感病毒(LPAIV)的基因重配导致HA基因多样化，增加了它们对不同宿主的适应性。我们的研究旨在研究重配事件的时空动态，并确定与基因重配生态位相关的环境驱动因素。建立完整的 AIV 序列数据库是为了确定自 1997 年 Gs/Gd H5N1 出现以来 HPAIV 的全球基因型分布。开发了三阶段研究设计来确定 HPAIV H5 的基因重配热点（RA 热点），并检查 RA 热点与不同环境风险因素之间的关联。从1997年到2023年，HPAIV H5亚型表现出日益复杂的基因交换，本研究共鉴定出136种基因型。从单基因型主导（2000-2013年）到多基因型共循环（2014-2021年），再到区域流行（2022-2023年），观察到了三个不同的波。配对研究发现，雁形目、鸫形目和雀形目鸟类与 RA 热点呈显着正相关。 H5 HPAIV 基因型的动态变化与环境驱动因素从水禽到陆禽的转变一致，凸显了有针对性的监测对于促进缓解策略制定的重要性。</w:t>
      </w:r>
    </w:p>
    <w:p>
      <w:pPr>
        <w:spacing w:before="120"/>
      </w:pPr>
      <w:r>
        <w:rPr>
          <w:rFonts w:ascii="Times New Roman" w:hAnsi="Times New Roman" w:eastAsia="宋体"/>
          <w:b/>
          <w:sz w:val="21"/>
        </w:rPr>
        <w:t>English Abstract:</w:t>
      </w:r>
    </w:p>
    <w:p>
      <w:r>
        <w:rPr>
          <w:rFonts w:ascii="Times New Roman" w:hAnsi="Times New Roman" w:eastAsia="宋体"/>
          <w:sz w:val="21"/>
        </w:rPr>
        <w:t>The global circulation of the Goose/Guangdong/1996-lineage (Gs/Gd)-descended H5 viruses is highly pathogenic and has led to diversification of the HA gene through gene reassortment with low pathogenic avian influenza viruses (LPAIV), increasing their adaptability to different hosts. Our study aimed to investigate the spatial and temporal dynamics of reassortment events and identify the environmental drivers associated with the ecological niche of the gene reassortment. The complete AIV sequence database was curated to identify the global genotype distributions of HPAIV since the emergence of Gs/Gd H5N1 in 1997. The three-stage study design was developed to identify the gene reassortment hotspots (RA-hotspots) of HPAIV H5 and to examine the association between RA-hotspots and different environmental risk factors. From 1997 to 2023, HPAIV H5 subtype exhibited increasingly complex genetic exchanges, with a total of 136 genotypes identified in this study. Three distinct waves were observed from mono-genotype-dominant (2000–2013) to multi-genotypic co-circulation (2014–2021), followed by regional endemicity (2022–2023). The matched-pair study found that bird species in the orders Anseriformes, Charadriiformes, and Passeriformes are significantly positively associated with RA-hotspots. The dynamic changes in H5 HPAIV genotypes are consistent with the transition of environmental drivers from waterfowl to landfowl, highlighting the importance of targeted surveillance to facilitate the development of mitigation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修正：用于固体氧化物器件的 CGO-Cu 复合材料的原位高温 X 射线衍射和膨胀分析</w:t>
      </w:r>
    </w:p>
    <w:p>
      <w:r>
        <w:rPr>
          <w:rFonts w:ascii="Times New Roman" w:hAnsi="Times New Roman" w:eastAsia="宋体"/>
          <w:b/>
          <w:color w:val="003264"/>
          <w:sz w:val="24"/>
        </w:rPr>
        <w:t>Correction: In situ high temperature X-ray diffraction and dilatometric analysis of CGO–Cu composites for solid oxide devices</w:t>
      </w:r>
    </w:p>
    <w:p>
      <w:r>
        <w:rPr>
          <w:rFonts w:ascii="Times New Roman" w:hAnsi="Times New Roman" w:eastAsia="宋体"/>
          <w:sz w:val="21"/>
        </w:rPr>
        <w:t>作者: M. Balaguer, M. Fabuel, A. Kriele, A. Stark, J. M. Serra, C. Solís</w:t>
        <w:br/>
      </w:r>
      <w:r>
        <w:rPr>
          <w:rFonts w:ascii="Times New Roman" w:hAnsi="Times New Roman" w:eastAsia="宋体"/>
          <w:sz w:val="21"/>
        </w:rPr>
        <w:t xml:space="preserve">时间: 2026-02-05 | </w:t>
      </w:r>
      <w:r>
        <w:t xml:space="preserve">链接: </w:t>
      </w:r>
      <w:hyperlink r:id="rId52">
        <w:r>
          <w:rPr>
            <w:rFonts w:ascii="Times New Roman" w:hAnsi="Times New Roman" w:eastAsia="宋体"/>
            <w:color w:val="0000FF"/>
            <w:sz w:val="21"/>
            <w:u w:val="single"/>
          </w:rPr>
          <w:t>https://doi.org/10.1038/s41598-026-37894-0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城市热应激和青少年健康：印度尼西亚的影响和适应策略</w:t>
      </w:r>
    </w:p>
    <w:p>
      <w:r>
        <w:rPr>
          <w:rFonts w:ascii="Times New Roman" w:hAnsi="Times New Roman" w:eastAsia="宋体"/>
          <w:b/>
          <w:color w:val="003264"/>
          <w:sz w:val="24"/>
        </w:rPr>
        <w:t>Urban heat stress and adolescent health: impacts and adaptation strategies in Indonesia</w:t>
      </w:r>
    </w:p>
    <w:p>
      <w:r>
        <w:rPr>
          <w:rFonts w:ascii="Times New Roman" w:hAnsi="Times New Roman" w:eastAsia="宋体"/>
          <w:sz w:val="21"/>
        </w:rPr>
        <w:t>作者: D. Daniel, Vena Jaladara, Ragil Suciningsih, Xiang Ren Tan, Pearl Min Sze Tan, Yodi Mahendradhata, Jason Kai Wei Lee</w:t>
        <w:br/>
      </w:r>
      <w:r>
        <w:rPr>
          <w:rFonts w:ascii="Times New Roman" w:hAnsi="Times New Roman" w:eastAsia="宋体"/>
          <w:sz w:val="21"/>
        </w:rPr>
        <w:t xml:space="preserve">时间: 2026-02-05 | </w:t>
      </w:r>
      <w:r>
        <w:t xml:space="preserve">链接: </w:t>
      </w:r>
      <w:hyperlink r:id="rId79">
        <w:r>
          <w:rPr>
            <w:rFonts w:ascii="Times New Roman" w:hAnsi="Times New Roman" w:eastAsia="宋体"/>
            <w:color w:val="0000FF"/>
            <w:sz w:val="21"/>
            <w:u w:val="single"/>
          </w:rPr>
          <w:t>https://doi.org/10.1038/s41598-025-34800-y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候变化通过极端的室外高温对青少年的健康产生不利影响，导致脱水、认知障碍、慢性健康风险以及可能致命的中暑。青少年的高水平体力活动和对户外极端高温影响的认识有限，加剧了这些风险，凸显了有效适应策略的必要性。然而，关于热暴露对身心的影响、青少年采取的适应实践、心理决定因素、微气候感知和周围自然条件的综合研究仍然有限。这项研究调查了城市地区青少年的户外热暴露情况，重点关注印度尼西亚日惹市。我们结合社会生态模型和RANAS心理学理论进行分析。对 439 名青少年的采访显示，由于户外高温暴露和热适应实践参与度较低，他们出现了轻微的身体和精神症状。近一半的人认为暴露在户外高温下很可能会出现健康问题，并且对高温暴露有很好的了解。然而，风险感知和知识这两个因素不足以刺激受访者采取适应做法。由于适应实践的心理水平较高，年轻女性比年轻男性更有可能采取热适应实践。对适应实践影响最大的变量是经历过热暴露的身体影响，其次是经历过精神影响和对环​​境阳光的看法。在所有心理因素中，自我调节“记忆”与采取适应实践显着相关。这项研究为制定适应策略以改善城市青少年的气候适应行为提供了重要见解。</w:t>
      </w:r>
    </w:p>
    <w:p>
      <w:pPr>
        <w:spacing w:before="120"/>
      </w:pPr>
      <w:r>
        <w:rPr>
          <w:rFonts w:ascii="Times New Roman" w:hAnsi="Times New Roman" w:eastAsia="宋体"/>
          <w:b/>
          <w:sz w:val="21"/>
        </w:rPr>
        <w:t>English Abstract:</w:t>
      </w:r>
    </w:p>
    <w:p>
      <w:r>
        <w:rPr>
          <w:rFonts w:ascii="Times New Roman" w:hAnsi="Times New Roman" w:eastAsia="宋体"/>
          <w:sz w:val="21"/>
        </w:rPr>
        <w:t>Climate change adversely affects adolescent health through extreme outdoor heat, causing dehydration, cognitive impairment, chronic health risks, and potentially fatal heat stroke. Adolescents’ high levels of physical activity and limited awareness about the impacts of extreme outdoor heat exacerbate these risks, highlighting the need for effective adaptation strategies. However, comprehensive studies on the physical and mental effects of heat exposure, adaptation practices adopted by adolescents, psychological determinants, microclimatic perceptions, and ambient-natural conditions remain limited. This study examined outdoor heat exposure in adolescents in urban areas, focusing on Yogyakarta City, Indonesia. We combined the Social-Ecological Model and the RANAS psychological theories in the analysis. Interviews with 439 adolescents revealed mild physical and mental symptoms due to outdoor heat exposure and low engagement in heat adaptation practices. Nearly half perceived a high likelihood of experiencing health problems when exposed to heat outdoors and had good knowledge about heat exposure. However, these two factors on risk perception and knowledge were not sufficient to spur respondents to adopt adaptation practices. Young women were more likely than young men to adopt heat adaptation practices, driven by higher psychological levels towards adaptation practices. The most influential variables on adaptation practices were having experienced the physical impacts of heat exposure, followed by having experienced the mental impacts, and perceptions about ambient sunlight. Among all psychological factors, self-regulation ‘remembering’ was significantly associated with adopting adaptation practices. This study provides key insights into developing adaptation strategies to improve climate adaptation behavior in urban adolescents.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使用功能化氧化铝 (Al2O₃) 纳米粒子增强低碳钢上环氧复合涂层的耐腐蚀性</w:t>
      </w:r>
    </w:p>
    <w:p>
      <w:r>
        <w:rPr>
          <w:rFonts w:ascii="Times New Roman" w:hAnsi="Times New Roman" w:eastAsia="宋体"/>
          <w:b/>
          <w:color w:val="003264"/>
          <w:sz w:val="24"/>
        </w:rPr>
        <w:t>Enhancing corrosion resistance of Epoxy-Based composite coatings on mild steel using functionalized aluminium oxide (Al₂O₃) nanoparticles</w:t>
      </w:r>
    </w:p>
    <w:p>
      <w:r>
        <w:rPr>
          <w:rFonts w:ascii="Times New Roman" w:hAnsi="Times New Roman" w:eastAsia="宋体"/>
          <w:sz w:val="21"/>
        </w:rPr>
        <w:t>作者: Saraswati Kumari Ola, Ishita Chopra, Triveni Ola, Veena Dhayal</w:t>
        <w:br/>
      </w:r>
      <w:r>
        <w:rPr>
          <w:rFonts w:ascii="Times New Roman" w:hAnsi="Times New Roman" w:eastAsia="宋体"/>
          <w:sz w:val="21"/>
        </w:rPr>
        <w:t xml:space="preserve">时间: 2026-02-05 | </w:t>
      </w:r>
      <w:r>
        <w:t xml:space="preserve">链接: </w:t>
      </w:r>
      <w:hyperlink r:id="rId80">
        <w:r>
          <w:rPr>
            <w:rFonts w:ascii="Times New Roman" w:hAnsi="Times New Roman" w:eastAsia="宋体"/>
            <w:color w:val="0000FF"/>
            <w:sz w:val="21"/>
            <w:u w:val="single"/>
          </w:rPr>
          <w:t>https://doi.org/10.1038/s41598-026-35180-7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在本研究中，合成了 Al2O3 和功能化氧化铝 [Al2O3F]，并通过傅里叶变换红外光谱、透射电子显微镜热重分析和扫描电子显微镜与能量色散 X 射线分析进行表征。由于腐蚀性环境中低碳钢的腐蚀是一个持续存在的挑战，因此这项工作的重点是使用金属氧化物纳米粒子改进环氧涂层。采用电化学技术测定了环氧树脂、含Al2O3 的环氧树脂和Al2O3F 在3.5 wt% NaCl 溶液中的腐蚀行为。通过拉力测试、盐雾测试和接触角测量来分析涂层基材的表面变化。结果证实了环氧-Al2O3F涂层比纯环氧树脂具有优越的性能。添加更高浓度的 Al2O3 和功能化 Al2O3 显着提高了涂层的防护性能。总之，这项研究为开发具有增强防腐蚀性能的先进涂层提供了重要的理解，为在具有挑战性的环境条件下的实际应用铺平了道路。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study the Al2O3 and functionalized Aluminium oxide [Al2O3F] were synthesised and characterized by Fourier transform infrared spectroscopy Transmission Electron Microscopy thermal gravimetric analysis and Scanning Electron Microscopy with Energy Dispersive X-Ray Analysis. Since corrosion of mild steel in aggressive environments is a persistent challenge, this work focuses on improving epoxy coatings using metal oxide nanoparticles. The corrosion behaviour of the epoxy, epoxy containing Al2O3, and Al2O3F was determined by electrochemical technique in 3.5 wt% NaCl solution. Surface changes of the coated substrates were analysed by pull-off test, salt spray test, and contact angle measurement. The results confirmed the superior performance of epoxy-Al₂O₃F coating over neat epoxy. Adding higher concentrations of Al₂O₃ and functionalized Al₂O₃ significantly improved the coating’s protective performance. In summary, this research provides significant understanding for the development of advanced coatings with enhanced protective properties against corrosion, paving the way for practical applications in challenging environmental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肝移植候选者骨质疏松症与候补死亡率之间的关系</w:t>
      </w:r>
    </w:p>
    <w:p>
      <w:r>
        <w:rPr>
          <w:rFonts w:ascii="Times New Roman" w:hAnsi="Times New Roman" w:eastAsia="宋体"/>
          <w:b/>
          <w:color w:val="003264"/>
          <w:sz w:val="24"/>
        </w:rPr>
        <w:t>Association between osteoporosis and waitlist mortality in liver transplant candidates</w:t>
      </w:r>
    </w:p>
    <w:p>
      <w:r>
        <w:rPr>
          <w:rFonts w:ascii="Times New Roman" w:hAnsi="Times New Roman" w:eastAsia="宋体"/>
          <w:sz w:val="21"/>
        </w:rPr>
        <w:t>作者: Arzhang Naseri, Ehsan Shojaeefard, Alireza Keshtkar, Farnaz Atighi, Amirreza Sabahizadeh, Ramina Mofarrah, Marzieh Bakhshayeshkaram, Pedram Talezadeh, Fateme Sadat Sadeghi, Saeedreza Shirzadi, Yasaman Khadem, Mohammad Mahdi Dabbaghmanesh, Seyed Taghi Heydari, Mohammad Hossein Dabbaghmanesh</w:t>
        <w:br/>
      </w:r>
      <w:r>
        <w:rPr>
          <w:rFonts w:ascii="Times New Roman" w:hAnsi="Times New Roman" w:eastAsia="宋体"/>
          <w:sz w:val="21"/>
        </w:rPr>
        <w:t xml:space="preserve">时间: 2026-02-05 | </w:t>
      </w:r>
      <w:r>
        <w:t xml:space="preserve">链接: </w:t>
      </w:r>
      <w:hyperlink r:id="rId81">
        <w:r>
          <w:rPr>
            <w:rFonts w:ascii="Times New Roman" w:hAnsi="Times New Roman" w:eastAsia="宋体"/>
            <w:color w:val="0000FF"/>
            <w:sz w:val="21"/>
            <w:u w:val="single"/>
          </w:rPr>
          <w:t>https://doi.org/10.1038/s41598-026-38543-2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骨质疏松症是终末期肝病 (ESLD) 的常见合并症，但其对候补生存的影响仍未得到充分研究，特别是在非西方人群中。这项前瞻性横断面研究评估了 702 名成年候选者的骨矿物质密度 (BMD) 及其与死亡率的关系，其中包括 424 名男性 (60.4%) 和 278 名女性 (39.6%)，总体平均年龄为 45.13 ± 13.67 岁，正在伊朗一家主要转诊中心等待首次死亡供体肝移植。通过双能 X 射线吸收测定法 (DXA) 对腰椎、股骨颈和全髋关节的 BMD 进行评估。 43.4%的患者存在骨质疏松症，36.9%的患者存在骨质减少，只有19.7%的患者骨密度正常。终末期肝病模型 (MELD) 平均评分为 18.1 ± 6.53。在所有病因中，自身免疫性肝炎（AIH）患者的骨质疏松患病率最高（53.61%）。多变量 Cox 回归分析显示，骨质疏松症与候补死亡率增加独立相关（HR = 1.90，95% CI：1.17-3.07）。相反，原发性硬化性胆管炎 (PSC) 与死亡风险降低相关（HR = 0.42，95% CI：0.19–0.93）。这些发现强调了 ESLD 患者骨病的高患病率，将 AIH 确定为骨质疏松症的高风险病因，并将骨质疏松症确立为候补生存的重要预测因素，强调了 BMD 评估在移植前风险分层中的潜在价值。</w:t>
      </w:r>
    </w:p>
    <w:p>
      <w:pPr>
        <w:spacing w:before="120"/>
      </w:pPr>
      <w:r>
        <w:rPr>
          <w:rFonts w:ascii="Times New Roman" w:hAnsi="Times New Roman" w:eastAsia="宋体"/>
          <w:b/>
          <w:sz w:val="21"/>
        </w:rPr>
        <w:t>English Abstract:</w:t>
      </w:r>
    </w:p>
    <w:p>
      <w:r>
        <w:rPr>
          <w:rFonts w:ascii="Times New Roman" w:hAnsi="Times New Roman" w:eastAsia="宋体"/>
          <w:sz w:val="21"/>
        </w:rPr>
        <w:t>Osteoporosis is a common comorbidity in end-stage liver disease (ESLD), yet its impact on waitlist survival remains underexplored, particularly in non-Western populations. This prospective cross-sectional study evaluated bone mineral density (BMD) and its association with mortality in 702 adult candidates, including 424 (60.4%) males and 278 (39.6%) females with an overall mean age of 45.13 ± 13.67 years, awaiting their first deceased-donor liver transplantation at a major referral center in Iran. BMD was assessed via dual-energy X-ray absorptiometry (DXA) at the lumbar spine, femoral neck, and total hip. Osteoporosis was present in 43.4% of patients, osteopenia in 36.9%, and only 19.7% had normal BMD. The mean Model for End-Stage Liver Disease (MELD) score was 18.1 ± 6.53. Patients with autoimmune hepatitis (AIH) exhibited the highest prevalence of osteoporosis (53.61%) among all etiologies. Multivariate Cox regression analysis revealed that osteoporosis was independently associated with increased waitlist mortality (HR = 1.90, 95% CI: 1.17–3.07). Conversely, primary sclerosing cholangitis (PSC) was associated with reduced mortality risk (HR = 0.42, 95% CI: 0.19–0.93). These findings underscore the high prevalence of bone disease in ESLD patients, identify AIH as a high-risk etiology for osteoporosis, and establish osteoporosis as a significant predictor of waitlist survival, highlighting the potential value of BMD assessment in pre-transplant risk stratification.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混合来源引进成功增强了圈养林麝（Moschus berezovskii）的遗传多样性</w:t>
      </w:r>
    </w:p>
    <w:p>
      <w:r>
        <w:rPr>
          <w:rFonts w:ascii="Times New Roman" w:hAnsi="Times New Roman" w:eastAsia="宋体"/>
          <w:b/>
          <w:color w:val="003264"/>
          <w:sz w:val="24"/>
        </w:rPr>
        <w:t>Mixed-source introductions successfully enhance the genetic diversity of captive forest musk deer (Moschus berezovskii)</w:t>
      </w:r>
    </w:p>
    <w:p>
      <w:r>
        <w:rPr>
          <w:rFonts w:ascii="Times New Roman" w:hAnsi="Times New Roman" w:eastAsia="宋体"/>
          <w:sz w:val="21"/>
        </w:rPr>
        <w:t>作者: Xianna Lan, Yichen Wang, Yixin Li, Haonan Zhang, Zhengwei Luo, Luyao Hai, Han Jiang, Yuhan Ma, Wangshan Zheng, Pengfei Luo, Yu Zhang, Defu Hu, Xinghu Qin</w:t>
        <w:br/>
      </w:r>
      <w:r>
        <w:rPr>
          <w:rFonts w:ascii="Times New Roman" w:hAnsi="Times New Roman" w:eastAsia="宋体"/>
          <w:sz w:val="21"/>
        </w:rPr>
        <w:t xml:space="preserve">时间: 2026-02-05 | </w:t>
      </w:r>
      <w:r>
        <w:t xml:space="preserve">链接: </w:t>
      </w:r>
      <w:hyperlink r:id="rId82">
        <w:r>
          <w:rPr>
            <w:rFonts w:ascii="Times New Roman" w:hAnsi="Times New Roman" w:eastAsia="宋体"/>
            <w:color w:val="0000FF"/>
            <w:sz w:val="21"/>
            <w:u w:val="single"/>
          </w:rPr>
          <w:t>https://doi.org/10.1038/s41598-026-37358-5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持续的偷猎和栖息地丧失，野生森林麝（FMD）数量一直在减少。尽管圈养繁殖增加了种群数量，但由于野生种群的枯竭和圈养种群近亲繁殖导致的遗传多样性丧失，维持这些养殖种群的遗传多样性变得越来越紧迫和具有挑战性。我们使用 683 个个体的样本，评估了中国西部新建立的异地种群（BB；于 2019 年成立，有 44 个育种者）及其三个创始来源种群（PZH、TZL、GL）的线粒体遗传多样性（ATP8-6、Cytb、控制区 [CR]）、结构和母系谱系模式。我们的结果表明，异位群体在 ATP8-6 和 Cytb 中比其来源群体保持更高的核苷酸多样性 (π)，同时表现出可比的单倍型多样性 (Hd)。系统发育和单倍型网络分析确定了整个种群的三个母系谱系，异地种群包含所有谱系的代表，并显示出与至少一些创始群体的显着遗传分化，表明混合来源引入策略成功地创建了一个遗传上不同的种群。中性测试和错配分布表明基线种群存在历史瓶颈，而异地种群则显示出近期混合和扩张的特征。这些发现强调了混合来源引入在迁地保护期间增强遗传多样性的潜在好处。我们建议对人口历史进行长期遗传监测和深入分析，以完善易位策略并支持口蹄疫在管理护理下的长期生存能力。</w:t>
      </w:r>
    </w:p>
    <w:p>
      <w:pPr>
        <w:spacing w:before="120"/>
      </w:pPr>
      <w:r>
        <w:rPr>
          <w:rFonts w:ascii="Times New Roman" w:hAnsi="Times New Roman" w:eastAsia="宋体"/>
          <w:b/>
          <w:sz w:val="21"/>
        </w:rPr>
        <w:t>English Abstract:</w:t>
      </w:r>
    </w:p>
    <w:p>
      <w:r>
        <w:rPr>
          <w:rFonts w:ascii="Times New Roman" w:hAnsi="Times New Roman" w:eastAsia="宋体"/>
          <w:sz w:val="21"/>
        </w:rPr>
        <w:t>Wild Forest musk deer (FMD) has been declining due to continuing poaching and habitat loss. Although captive breeding has increased population numbers, maintaining genetic diversity in these farmed populations has become increasingly urgent and challenging due to depleted wild stocks and loss of genetic diversity from inbreeding in captive populations. Using samples from 683 individuals, we assessed mitochondrial genetic diversity (ATP8-6, Cytb, control region [CR]), structure, and maternal lineage patterns in a newly established ex-situ population (BB; founded 2019 with 44 breeders) and its three founding source populations (PZH, TZL, GL) in western China. Our results demonstrate that the ex-situ population maintains higher nucleotide diversity (π) in ATP8-6 and Cytb than its source populations, while exhibiting comparable haplotype diversity (Hd). Phylogenetic and haplotype network analyses identified three maternal lineages across populations, with the ex-situ population containing representatives of all lineages and showing significant genetic differentiation from at least some founder groups, indicating the mixed-source introduction strategy successfully created a genetically distinct population. Neutrality tests and mismatch distributions suggested historical bottlenecks in baseline populations, whereas the ex-situ population showed signatures of recent admixture and expansion. These findings highlight the potential benefits of mixed-source introductions in enhancing genetic diversity during ex-situ conservation. We recommend long-term genetic monitoring and in-depth analysis of population history to refine translocation strategies and support the long-term viability of FMD under managed care.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通过实验研究和机器学习分析沸石和废陶瓷粉末混凝土的力学性能和耐久性</w:t>
      </w:r>
    </w:p>
    <w:p>
      <w:r>
        <w:rPr>
          <w:rFonts w:ascii="Times New Roman" w:hAnsi="Times New Roman" w:eastAsia="宋体"/>
          <w:b/>
          <w:color w:val="003264"/>
          <w:sz w:val="24"/>
        </w:rPr>
        <w:t>Mechanical properties and durability of concrete with zeolite and waste ceramic powder through experimental investigation and machine learning analysis</w:t>
      </w:r>
    </w:p>
    <w:p>
      <w:r>
        <w:rPr>
          <w:rFonts w:ascii="Times New Roman" w:hAnsi="Times New Roman" w:eastAsia="宋体"/>
          <w:sz w:val="21"/>
        </w:rPr>
        <w:t>作者: Danial Nasr, Rezvan Babagoli, Peyman Shirani Bidabadi</w:t>
        <w:br/>
      </w:r>
      <w:r>
        <w:rPr>
          <w:rFonts w:ascii="Times New Roman" w:hAnsi="Times New Roman" w:eastAsia="宋体"/>
          <w:sz w:val="21"/>
        </w:rPr>
        <w:t xml:space="preserve">时间: 2026-02-05 | </w:t>
      </w:r>
      <w:r>
        <w:t xml:space="preserve">链接: </w:t>
      </w:r>
      <w:hyperlink r:id="rId83">
        <w:r>
          <w:rPr>
            <w:rFonts w:ascii="Times New Roman" w:hAnsi="Times New Roman" w:eastAsia="宋体"/>
            <w:color w:val="0000FF"/>
            <w:sz w:val="21"/>
            <w:u w:val="single"/>
          </w:rPr>
          <w:t>https://doi.org/10.1038/s41598-026-38184-5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沸石和陶瓷粉末作为辅助胶凝材料对混凝土机械和耐久性能的综合影响，并开发了机器学习模型来准确预测这些性能。尽管之前的研究已经单独评估了这些材料，但之前没有任何工作系统地检验它们在多个替代水平上的协同效应或将实验结果与先进的预测模型相结合。进行了全面的实验计划来评估混合混合物的抗压强度和氯化物渗透阻力。结果表明，最佳组合（15% 沸石和 30% 陶瓷粉末）显着增强了耐用性，将 RCPT 电荷从 3235.1 库仑降低至 425.7 库仑，降低了 86.8%，具有统计显着性（p &lt; 0.05）。为了将研究结果的适用性扩展到测试的混合设计之外，使用实验数据集训练了几种机器学习算法，XGBoost 展示了最高的预测准确性（RMSE = 1.5，R2 = 0.91）。这些模型提供了混凝土性能的可靠估计，并减少了广泛的实验室测试的需要。总体而言，结果表明，沸石和陶瓷粉末的协同使用不仅可以提高机械和耐久性能，还可以减少水泥需求并回收工业废物，为生产更耐用的混凝土提供了一种实用且环境可持续的方法。</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combined influence of zeolite and ceramic powder as supplementary cementitious materials on the mechanical and durability performance of concrete and develops machine-learning models to accurately predict these properties. Although previous studies have evaluated these materials individually, no prior work has systematically examined their synergistic effects across multiple replacement levels or integrated experimental findings with advanced predictive modeling. A comprehensive experimental program was conducted to assess the compressive strength and chloride penetration resistance of hybrid mixtures. Results show that the optimal combination (15% zeolite and 30% ceramic powder) significantly enhanced durability, reducing the RCPT charge from 3235.1 to 425.7 coulombs w 86.8% reduction, statistically significant (p &lt; 0.05). To extend the applicability of the findings beyond the tested mix designs, several machine-learning algorithms were trained using the experimental dataset, with XGBoost demonstrating the highest predictive accuracy (RMSE = 1.5, R2 = 0.91). These models provide reliable estimations of concrete performance and reduce the need for extensive laboratory testing. Overall, the results highlight that the synergistic use of zeolite and ceramic powder not only improves mechanical and durability performance but also reduces cement demand and recycles industrial waste, offering a practical and environmentally sustainable approach for producing more durable concrete.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UCMSC 衍生的外泌体通过调节中性粒细胞的 Th17/Treg 平衡改善干眼病发病机制</w:t>
      </w:r>
    </w:p>
    <w:p>
      <w:r>
        <w:rPr>
          <w:rFonts w:ascii="Times New Roman" w:hAnsi="Times New Roman" w:eastAsia="宋体"/>
          <w:b/>
          <w:color w:val="003264"/>
          <w:sz w:val="24"/>
        </w:rPr>
        <w:t>UCMSC-derived exosomes ameliorate dry eye disease pathogenesis by modulating neutrophils on Th17/Treg balance</w:t>
      </w:r>
    </w:p>
    <w:p>
      <w:r>
        <w:rPr>
          <w:rFonts w:ascii="Times New Roman" w:hAnsi="Times New Roman" w:eastAsia="宋体"/>
          <w:sz w:val="21"/>
        </w:rPr>
        <w:t>作者: Yuxing Gong, Yufei Ding, Jingyi Yang, Tao Ding, Bin Li, Junfeng Ma, Wahid Shah, Youcai Deng, Ping Duan, Yu Zhang, Yuan Gao</w:t>
        <w:br/>
      </w:r>
      <w:r>
        <w:rPr>
          <w:rFonts w:ascii="Times New Roman" w:hAnsi="Times New Roman" w:eastAsia="宋体"/>
          <w:sz w:val="21"/>
        </w:rPr>
        <w:t xml:space="preserve">时间: 2026-02-05 | </w:t>
      </w:r>
      <w:r>
        <w:t xml:space="preserve">链接: </w:t>
      </w:r>
      <w:hyperlink r:id="rId84">
        <w:r>
          <w:rPr>
            <w:rFonts w:ascii="Times New Roman" w:hAnsi="Times New Roman" w:eastAsia="宋体"/>
            <w:color w:val="0000FF"/>
            <w:sz w:val="21"/>
            <w:u w:val="single"/>
          </w:rPr>
          <w:t>https://doi.org/10.1038/s41598-026-38010-y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干眼病 (DED) 是一种以 Th17/Treg 细胞失衡为特征的慢性眼表疾病，尤其在老年女性中普遍存在。目前的治疗方法正在从仅仅缓解症状发展到针对免疫功能障碍。间充质干细胞衍生的外泌体 (MSC-Exos) 已被证明能够在 DED 中调节免疫反应并促进角膜上皮细胞再生。尽管如此，MSC-Exos 发挥这些作用的确切机制尚未完全清楚。因此，本研究的目的是探讨脐带间充质干细胞来源的外泌体（UCMSC-Exos）在 DED 小鼠模型中的治疗作用背后的机制。我们发现 UCMSC-Exos 在体外刺激人角膜上皮细胞系伤口愈合。 UCMSC-Exos 的局部或全身给药显着改变了中性粒细胞的细胞因子表达，导致促炎细胞因子表达减少和抗炎细胞因子表达增加。细胞因子谱的这种变化重新建立了 Treg/Th17 细胞平衡，从而减少炎症并缓解 DED 症状，年轻小鼠表现出更明显的益处。这些结果凸显了 UCMSC-Exos 作为 DED 治疗方法的潜力，可调节免疫失调并增强眼表修复。</w:t>
      </w:r>
    </w:p>
    <w:p>
      <w:pPr>
        <w:spacing w:before="120"/>
      </w:pPr>
      <w:r>
        <w:rPr>
          <w:rFonts w:ascii="Times New Roman" w:hAnsi="Times New Roman" w:eastAsia="宋体"/>
          <w:b/>
          <w:sz w:val="21"/>
        </w:rPr>
        <w:t>English Abstract:</w:t>
      </w:r>
    </w:p>
    <w:p>
      <w:r>
        <w:rPr>
          <w:rFonts w:ascii="Times New Roman" w:hAnsi="Times New Roman" w:eastAsia="宋体"/>
          <w:sz w:val="21"/>
        </w:rPr>
        <w:t>Dry eye disease (DED) is a chronic ocular surface disorder characterized by Th17/Treg cells imbalance, particularly prevalent among elderly females. Current treatment approaches are evolving from merely providing symptomatic relief to targeting immune dysfunction. Mesenchymal stem cell-derived exosomes (MSC-Exos) have demonstrated the ability to modulate the immune response and promote corneal epithelial cell regeneration in DED. Nonetheless, the precise mechanism through which MSC-Exos exert these effects is not yet fully understood. Consequently, the objective of this study was to explore the mechanisms behind the therapeutic effects of umbilical cord mesenchymal stem cell-derived exosomes (UCMSC-Exos) in a murine model of DED. We discovered that UCMSC-Exos stimulated human corneal epithelial cell lines wound healing in vitro. The topical or systemic administration of UCMSC-Exos significantly altered cytokine expression by neutrophils, leading to a reduction in proinflammatory cytokine expression and an increase in anti-inflammatory cytokine expression. This shift in the cytokine profile reestablished the Treg/Th17 cells balance, resulting in decreased inflammation and alleviation of DED symptoms, with younger mice showing more pronounced benefits. These results highlight the potential of UCMSC-Exos as a therapeutic approach for DED that modulates immune dysregulation and enhances ocular surface repair.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Al2O3 全面增强 PVC 纳米复合材料，用于先进光电器件</w:t>
      </w:r>
    </w:p>
    <w:p>
      <w:r>
        <w:rPr>
          <w:rFonts w:ascii="Times New Roman" w:hAnsi="Times New Roman" w:eastAsia="宋体"/>
          <w:b/>
          <w:color w:val="003264"/>
          <w:sz w:val="24"/>
        </w:rPr>
        <w:t>Comprehensive enhancement of PVC nanocomposites through Al2O3 for advanced optoelectronics</w:t>
      </w:r>
    </w:p>
    <w:p>
      <w:r>
        <w:rPr>
          <w:rFonts w:ascii="Times New Roman" w:hAnsi="Times New Roman" w:eastAsia="宋体"/>
          <w:sz w:val="21"/>
        </w:rPr>
        <w:t>作者: M. A. Attallah</w:t>
        <w:br/>
      </w:r>
      <w:r>
        <w:rPr>
          <w:rFonts w:ascii="Times New Roman" w:hAnsi="Times New Roman" w:eastAsia="宋体"/>
          <w:sz w:val="21"/>
        </w:rPr>
        <w:t xml:space="preserve">时间: 2026-02-05 | </w:t>
      </w:r>
      <w:r>
        <w:t xml:space="preserve">链接: </w:t>
      </w:r>
      <w:hyperlink r:id="rId85">
        <w:r>
          <w:rPr>
            <w:rFonts w:ascii="Times New Roman" w:hAnsi="Times New Roman" w:eastAsia="宋体"/>
            <w:color w:val="0000FF"/>
            <w:sz w:val="21"/>
            <w:u w:val="single"/>
          </w:rPr>
          <w:t>https://doi.org/10.1038/s41598-025-32078-8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随着弹性和半透明光电子学的快速发展，对低成本材料的需求已成为一个主要的研究课题。因此，本文研究了 Al 2 O 3 的掺入如何改变 PVC 的性能。采用经济高效且简单的工艺（铸造法）调节Al 2 O 3 浓度，制备了新型PVC/xAl 2 O 3 (x = 0, 0.01, 0.03, 0.07, 0.1, 0.2 wt%)纳米复合材料。使用 X 射线衍射 (XRD)、傅里叶变换红外光谱 (FTIR)、扫描电子显微镜 (SEM)、紫外-可见 (UV-可见) 光谱和阻抗测量来分析 PVC/xAl 2 O 3 (x = 0、0.01、0.03、0.07、0.1、0.2 wt%) 纳米复合材料。使用 Scherrer 和 Williamson-Hall 方法评估位错密度 (δ)、畸变参数 (g)、纳米颗粒尺寸 (D) 和晶格应变 (ε)。观察到晶体尺寸和微晶数量随着Al 2 O 3 含量的增加而增加，表明材料中的结晶度较高。发现 PVC/xAl 2 O 3 (x = 0.1wt%) 的粒径约为 30.22 nm。 SEM 分析表明，在低 Al 2 O 3 浓度下，PVC 内 Al 2 O 3 的分布一致。这些PVC/Al 2 O 3 薄膜根据其取决于填料浓度的可见吸收特性，在不同柔性光电器件的封装中用作可调节的光漫射薄膜。 PVC和PVC/x(Al 2 O 3 )（其中x=0.2）的光学带隙分别为5.05 eV和3 eV。这种减少与带隙中局域态的产生有关。获得的折射率值大于早期研究中发现的值，表明少量Al 2 O 3 纳米粒子的掺入提高了PVC的折射率。值得注意的是，随着Al 2 O 3 浓度的升高，色散参数E d 、M 2 和M 3 呈现增加，而E 0 呈现下降。相反，随着 PVC 基体中氧化铝含量的增加，合成纳米复合材料的介电特性得到改善。研究结果得出结论，廉价的 PVC/xAl 2 O 3 (x = 0.1wt%) 纳米复合材料可用作复杂光电应用的重要组成部分。</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advancement of elastic and translucent optoelectronics, the demand for low-cost materials has emerged as a major research topic. As a result, this paper investigated how Al 2 O 3 incorporation altered the properties of PVC. New PVC/xAl 2 O 3 (x = 0, 0.01, 0.03, 0.07, 0.1, 0.2 wt%) nanocomposites were manufactured by using a cost-effective and simple process (casting method) to adjust the Al 2 O 3 concentration. The PVC/xAl 2 O 3 (x = 0, 0.01, 0.03, 0.07, 0.1, 0.2 wt%) nanocomposites were analyzed using X-ray diffraction (XRD), Fourier Transform Infrared spectroscopy (FTIR), scanning electron microscopy (SEM), ultraviolet-visible (UV–visible) spectroscopy, and impedance measurements. Dislocation density (δ), Distortion parameter (g), nanoparticle size (D), and lattice strain (ε) were assessed using the Scherrer and Williamson–Hall methods. Crystal size and the number of crystallites were observed to increase with Al 2 O 3 content, revealing the higher crystallinity in the material. It was found that the particle size was ~ 30.22 nm for PVC/xAl 2 O 3 (x = 0.1wt%). SEM analysis showed a consistent distribution of Al 2 O 3 within the PVC at low concentrations of Al 2 O 3 . These PVC/Al 2 O 3 films were used as adjustable light- diffusing films in the packaging of different flexible photoelectric devices, according to their visible absorbance characteristic depending on filler concentrations. The optical bandgaps of PVC and PVC/x(Al 2 O 3 ) (where x = 0.2) were 5.05 eV and 3 eV, respectively. This decrease was associated with the creation of localized states in the bandgap. The refractive index values obtained were greater than those found in earlier studies, suggesting that the incorporation of a small amount of Al 2 O 3 nanoparticles improved the refractive index of PVC. It was noted that as the concentration of Al 2 O 3 rose, the dispersion parameters E d , M 2, and M 3 showed an increase, while E 0 exhibited a decrease. Conversely, the dielectric characteristics of the synthesized nanocomposites improved as the alumina content in the PVC matrix increased. The findings concluded that inexpensive PVC/xAl 2 O 3 (x = 0.1wt%) nanocomposites can be used as an essential component in sophisticated optoelectronic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与多重耐药肺炎克雷伯菌耐药性逆转相关的全局调节因子和外排基因的综合分析</w:t>
      </w:r>
    </w:p>
    <w:p>
      <w:r>
        <w:rPr>
          <w:rFonts w:ascii="Times New Roman" w:hAnsi="Times New Roman" w:eastAsia="宋体"/>
          <w:b/>
          <w:color w:val="003264"/>
          <w:sz w:val="24"/>
        </w:rPr>
        <w:t>Integrated analysis of global regulators and efflux genes associated with antimicrobial resistance reversal in multidrug resistant Klebsiella pneumoniae</w:t>
      </w:r>
    </w:p>
    <w:p>
      <w:r>
        <w:rPr>
          <w:rFonts w:ascii="Times New Roman" w:hAnsi="Times New Roman" w:eastAsia="宋体"/>
          <w:sz w:val="21"/>
        </w:rPr>
        <w:t>作者: Ali J. Obaid, Ali J. Alkawaz, Maryam S. Naser</w:t>
        <w:br/>
      </w:r>
      <w:r>
        <w:rPr>
          <w:rFonts w:ascii="Times New Roman" w:hAnsi="Times New Roman" w:eastAsia="宋体"/>
          <w:sz w:val="21"/>
        </w:rPr>
        <w:t xml:space="preserve">时间: 2026-02-05 | </w:t>
      </w:r>
      <w:r>
        <w:t xml:space="preserve">链接: </w:t>
      </w:r>
      <w:hyperlink r:id="rId86">
        <w:r>
          <w:rPr>
            <w:rFonts w:ascii="Times New Roman" w:hAnsi="Times New Roman" w:eastAsia="宋体"/>
            <w:color w:val="0000FF"/>
            <w:sz w:val="21"/>
            <w:u w:val="single"/>
          </w:rPr>
          <w:t>https://doi.org/10.1038/s41598-026-37272-w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多重耐药肺炎克雷伯菌由于能够逃避抗生素治疗，特别是通过外排系统的过度表达，带来了越来越大的临床挑战。其中，AcrAB-TolC 泵是抵抗氟喹诺酮类药物的核心。虽然全球监管机构的 MarA、SoxS 和 Rob 是已知的肠杆菌科外排调节剂，但它们在临床肺炎克雷伯菌中的功能相关性仍未得到充分定义，并且很大程度上基于相关性。本研究旨在 (1) 确定多重耐药 (MDR) 肺炎克雷伯菌中全局调节因子 MarA、SoxS 和 Rob 与 AcrAB-TolC 外排系统之间的转录关联，以及 (2) 通过基于 PAβN 的抑制测定，功能性评估外排是否有助于氟喹诺酮耐药。这两个分析层共同表明调节剂表达和外排相关的耐药逆转之间可能存在联系，但未确认直接调节激活。通过抗生素敏感性测试对 30 种临床 MDR 分离株和 10 种敏感对照进行了表征。使用 qRT-PCR 对基因表达进行定量，标准化为 16S rRNA，并通过 2^–ΔΔCt 方法进行分析。皮尔逊相关性评估了基因表达与耐药性之间的关系。使用 AcrAB-TolC 抑制剂 PAβN 进行外排活性的表型验证。 MDR 分离株表现出 marA（5.0 倍）、soxS（4.0 倍）、acrB（7.9 倍）和其他外排成分的显着过表达（p &lt; 0.001）。在 marA/soxS 和 acrB 表达之间观察到强正相关性，表明潜在的调控关联。在 80% 高 acrB 表达分离株中，PAβN 暴露使环丙沙星 MIC 降低了四倍以上，支持主动外排机制的参与。我们的综合研究结果表明，较高的 marA/soxS 表达与临床 MDR 分离株中 AcrAB-TolC 外排泵基因表达的增加和氟喹诺酮耐药性相关，而 PAβN 介导的外排抑制与部分敏感性恢复相关。总之，这些结果凸显了全球调节剂和外排泵作为耐药逆转的可行治疗靶点。</w:t>
      </w:r>
    </w:p>
    <w:p>
      <w:pPr>
        <w:spacing w:before="120"/>
      </w:pPr>
      <w:r>
        <w:rPr>
          <w:rFonts w:ascii="Times New Roman" w:hAnsi="Times New Roman" w:eastAsia="宋体"/>
          <w:b/>
          <w:sz w:val="21"/>
        </w:rPr>
        <w:t>English Abstract:</w:t>
      </w:r>
    </w:p>
    <w:p>
      <w:r>
        <w:rPr>
          <w:rFonts w:ascii="Times New Roman" w:hAnsi="Times New Roman" w:eastAsia="宋体"/>
          <w:sz w:val="21"/>
        </w:rPr>
        <w:t>Multidrug-resistant Klebsiella pneumoniae poses a growing clinical challenge due to its ability to evade antibiotic treatment, particularly through the overexpression of efflux systems. Among these, the AcrAB-TolC pump is central to resistance against fluoroquinolones. While the global regulator’s MarA, SoxS, and Rob are known modulators of efflux in Enterobacteriaceae, their functional relevance in clinical K. pneumoniae remains insufficiently defined and largely correlation-based. This study was designed to (1) determine the transcriptional association between the global regulators MarA, SoxS, and Rob with the AcrAB-TolC efflux system in multidrug-resistant (MDR) Klebsiella pneumoniae, and (2) functionally assess whether efflux contributes to fluoroquinolone resistance through PAβN-based inhibition assays. Together, these two analytical layers suggest a possible link between regulator expression and efflux-associated resistance reversal, without confirming direct regulatory activation. Thirty clinical MDR isolates and ten susceptible controls were characterized via antibiotic susceptibility testing. Gene expression was quantified using qRT-PCR, normalized to 16S rRNA, and analyzed by the 2^–ΔΔCt method. Pearson correlation assessed relationships between gene expression and resistance. Phenotypic validation of efflux activity was performed using PAβN, an AcrAB-TolC inhibitor. MDR isolates exhibited significant overexpression of marA (5.0-fold), soxS (4.0-fold), acrB (7.9-fold), and other efflux components (p &lt; 0.001). Strong positive correlations were observed between marA/soxS and acrB expression, suggesting a potential regulatory association. PAβN exposure reduced ciprofloxacin MICs by ≥ fourfold in 80% of high acrB expression isolates, supporting the involvement of active efflux mechanisms. Our integrated findings indicate that higher marA/soxS expression is associated with increased gene expression of the AcrAB-TolC efflux pump and fluoroquinolone resistance in clinical MDR isolates, while PAβN-mediated efflux inhibition is associated with partial susceptibility restoration. Together, these results highlight global regulators and efflux pumps as actionable therapeutic targets for resistance reversal.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CNN 级联森林框架的半监督多类肺炎分类</w:t>
      </w:r>
    </w:p>
    <w:p>
      <w:r>
        <w:rPr>
          <w:rFonts w:ascii="Times New Roman" w:hAnsi="Times New Roman" w:eastAsia="宋体"/>
          <w:b/>
          <w:color w:val="003264"/>
          <w:sz w:val="24"/>
        </w:rPr>
        <w:t>Semi-supervised multi-class pneumonia classification using a CNN-cascade forest framework</w:t>
      </w:r>
    </w:p>
    <w:p>
      <w:r>
        <w:rPr>
          <w:rFonts w:ascii="Times New Roman" w:hAnsi="Times New Roman" w:eastAsia="宋体"/>
          <w:sz w:val="21"/>
        </w:rPr>
        <w:t>作者: P. Muthukumaraswamy, T. Yuvaraj, R. Krishnamoorthy</w:t>
        <w:br/>
      </w:r>
      <w:r>
        <w:rPr>
          <w:rFonts w:ascii="Times New Roman" w:hAnsi="Times New Roman" w:eastAsia="宋体"/>
          <w:sz w:val="21"/>
        </w:rPr>
        <w:t xml:space="preserve">时间: 2026-02-05 | </w:t>
      </w:r>
      <w:r>
        <w:t xml:space="preserve">链接: </w:t>
      </w:r>
      <w:hyperlink r:id="rId91">
        <w:r>
          <w:rPr>
            <w:rFonts w:ascii="Times New Roman" w:hAnsi="Times New Roman" w:eastAsia="宋体"/>
            <w:color w:val="0000FF"/>
            <w:sz w:val="21"/>
            <w:u w:val="single"/>
          </w:rPr>
          <w:t>https://doi.org/10.1038/s41598-026-38849-1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炎的医学影像诊断必须准确区分各种疾病亚型，但必须能够抵抗稀疏注释证据以及交叉影像变异性。目前的深度学习方法大多是单变量和二元分类，这限制了其临床应用。为了解决这些缺点，本文提出了一种半监督的 CNN 增强级联森林（CE-Cascade）方案，根据胸部 X 射线和 CT 图像对多类肺炎进行分类。基于所提出的方法，首先使用卷积神经网络来测试医学图像，以提取有区别的深层特征，然后通过级联森林对所得特征进行细化，以检测对肺炎检测具有重要意义的分层和多尺度模式。还结合了半监督伪标记策略，以便充分利用未标记的数据并在注释需求稀缺的情况下更好地泛化。该框架在由 4578 张胸部 X 光和 CT 图像组成的数据集上进行了测试，这些图像分为细菌、病毒、真菌、普通肺炎和正常类别。实验结果证明，给定的CE-Cascade模型的总体分类率达到98.86，高于一些最先进的深度学习系统。研究结果证实，半监督学习与 CNN 和 Cascade Forest 的集成可以自动化创建一种稳健且具有临床意义的方法来对多类肺炎进行分类。</w:t>
      </w:r>
    </w:p>
    <w:p>
      <w:pPr>
        <w:spacing w:before="120"/>
      </w:pPr>
      <w:r>
        <w:rPr>
          <w:rFonts w:ascii="Times New Roman" w:hAnsi="Times New Roman" w:eastAsia="宋体"/>
          <w:b/>
          <w:sz w:val="21"/>
        </w:rPr>
        <w:t>English Abstract:</w:t>
      </w:r>
    </w:p>
    <w:p>
      <w:r>
        <w:rPr>
          <w:rFonts w:ascii="Times New Roman" w:hAnsi="Times New Roman" w:eastAsia="宋体"/>
          <w:sz w:val="21"/>
        </w:rPr>
        <w:t>Medical imaging diagnosis of pneumonia must be accurate at distinguishing between the various disease subtypes but must be resistant to sparse annotated evidence as well as cross-imaging variability. The current deep learning methods are mostly univariate and binary-classification, which limits their clinical use. As a solution to these shortcomings, this paper suggests a semi-supervised CNN-Enhanced Cascade Forest (CE-Cascade) scheme to classify multi-class pneumonia based on X-ray and CT images of the chest. Based on the approach proposed, a convolutional neural network will first be used to test the medical images to extract discriminative deep features and the resultant features will be refined by a cascade forest to detect hierarchal and multi-scale patterns with great significance in terms of pneumonia detection. A semi-supervised pseudo-labelling strategy is also incorporated in order to competently utilize unlabelled data and better generalization with scarce annotation requirements. The framework is tested over a data set that consists of 4578 chest X-ray and CT images that are divided into categories of bacterial, viral, fungal, general pneumonia, and normal. The experimental findings prove that the given CE-Cascade model reaches the overall classification rate of 98.86 that is higher than some state-of-the-art deep learning systems. Findings validate that semi-supervised learning with the integration of CNN and Cascade Forest to create a robust and clinically meaningful method to classify multi-classes of pneumonia is automated.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CD3+RUNX3+淋巴细胞密度；是结肠癌和肺腺癌的独立预后因素，但不是肺鳞状细胞癌的独立预后因素</w:t>
      </w:r>
    </w:p>
    <w:p>
      <w:r>
        <w:rPr>
          <w:rFonts w:ascii="Times New Roman" w:hAnsi="Times New Roman" w:eastAsia="宋体"/>
          <w:b/>
          <w:color w:val="003264"/>
          <w:sz w:val="24"/>
        </w:rPr>
        <w:t>CD3+RUNX3+ lymphocyte density; an independent prognostic factor in colon and lung adenocarcinoma but not in lung squamous cell carcinoma</w:t>
      </w:r>
    </w:p>
    <w:p>
      <w:r>
        <w:rPr>
          <w:rFonts w:ascii="Times New Roman" w:hAnsi="Times New Roman" w:eastAsia="宋体"/>
          <w:sz w:val="21"/>
        </w:rPr>
        <w:t>作者: Thomas K. Kilvaer, Dagny Førde, Erna-Elise Paulsen, Mona Irene Pedersen, Ana Paola Lombardi, Mehrdad Rakaee, Hallgeir Selven, Tom Donnem, Lill-Tove Rasmussen Busund, Sigve Andersen</w:t>
        <w:br/>
      </w:r>
      <w:r>
        <w:rPr>
          <w:rFonts w:ascii="Times New Roman" w:hAnsi="Times New Roman" w:eastAsia="宋体"/>
          <w:sz w:val="21"/>
        </w:rPr>
        <w:t xml:space="preserve">时间: 2026-02-05 | </w:t>
      </w:r>
      <w:r>
        <w:t xml:space="preserve">链接: </w:t>
      </w:r>
      <w:hyperlink r:id="rId92">
        <w:r>
          <w:rPr>
            <w:rFonts w:ascii="Times New Roman" w:hAnsi="Times New Roman" w:eastAsia="宋体"/>
            <w:color w:val="0000FF"/>
            <w:sz w:val="21"/>
            <w:u w:val="single"/>
          </w:rPr>
          <w:t>https://doi.org/10.1038/s41598-026-38765-4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RUNX3 是 T 细胞分化的重要调节因子，在各种 T 细胞（包括细胞毒性细胞、辅助细胞和记忆细胞）的激活和维持中发挥着至关重要的作用。之前的研究强调 RUNX3 作为多种癌症类型的预后因素，但很少有人研究其细胞类型特异性表达模式。我们使用多重免疫组织化学来评估和量化三个队列中共表达 CD3 和 RUNX3 的细胞，其中包括 452 名结肠腺癌 (COAD)、239 名肺腺癌 (LUAD) 和 307 名肺鳞状细胞癌 (LUSC) 患者。此外，我们将 CD3/RUNX3 的表达与疾病特异性生存率以及先前研究的这些队列中的免疫标记物相关联。我们发现，高密度的 CD3 + RUNX3 + 细胞是 COAD（HR 0.37，95% CI 0.21–0.64）和 LUAD（HR 0.61，95% CI（0.39–0.97））疾病特异性生存的独立预后因素，但在 LUSC 中并非如此。有趣的是，RUNX3 表达在所有队列中与 CD8 呈正相关，在所有队列中与 CD20 呈正相关。 LUSC 中的 LUAD 和 FOXP3 单变量亚组分析显示，CD3 + RUNX3 + 和 CD8 + 细胞数量较高的 COAD 患者很少发生 DSS 事件（HR 0.24，95% CI 0.15–0.39），与之前的研究相比，我们没有观察到上皮细胞中高水平的 CD3 + RUNX3 + 密度是 COAD 的独立预后因素。和 LUAD 中，但在 COAD 中，CD3 + RUNX3 + 高/CD8 + 高的 II/III 期患者可能由于预后良好而无需接受辅助治疗，但是，需要进一步的研究来证实和阐明 CD3 + RUNX3 + 细胞在 COAD 和 LUAD 中的保护作用。</w:t>
      </w:r>
    </w:p>
    <w:p>
      <w:pPr>
        <w:spacing w:before="120"/>
      </w:pPr>
      <w:r>
        <w:rPr>
          <w:rFonts w:ascii="Times New Roman" w:hAnsi="Times New Roman" w:eastAsia="宋体"/>
          <w:b/>
          <w:sz w:val="21"/>
        </w:rPr>
        <w:t>English Abstract:</w:t>
      </w:r>
    </w:p>
    <w:p>
      <w:r>
        <w:rPr>
          <w:rFonts w:ascii="Times New Roman" w:hAnsi="Times New Roman" w:eastAsia="宋体"/>
          <w:sz w:val="21"/>
        </w:rPr>
        <w:t>Abstract RUNX3, an important regulator of T-cell differentiation plays a crucial role in activation and maintenance of various T-cells including cytotoxic-, helper- and memory-cells. Former studies have highlighted RUNX3 as a prognostic factor across several cancer types, but few have studied its cell-type specific expression patterns. We used multiplex immunohistochemistry to assess and quantify cells co-expressing CD3 and RUNX3 in three cohorts consisting of 452 colon adenocarcinoma (COAD), 239 lung adenocarcinoma (LUAD) and 307 lung squamous cell carcinoma (LUSC) patients. Further, we correlated the expression of CD3/RUNX3 to disease-specific survival and to previously investigated immune markers in these cohorts. We found that a high density of CD3 + RUNX3 + cells was an independent prognostic factor for disease-specific survival in COAD (HR 0.37, 95% CI 0.21–0.64) and LUAD (HR 0.61, 95% CI (0.39–0.97), but not in LUSC. Interestingly, RUNX3 expression was positively correlated with CD8 in all cohorts, CD20 in LUAD and FOXP3 in LUSC. Univariate subgroup analyses revealed that COAD patients with high numbers of both CD3 + RUNX3 + and CD8 + cells rarely experienced a DSS event (HR 0.24, 95% CI 0.15–0.39). Contrasting previous studies, we did not observe RUNX3 expression in epithelial cells. A high level of CD3 + RUNX3 + density is an independent prognostic factor in COAD and LUAD, but not in LUSC. In COAD, a subset of patients in stage II/III with CD3 + RUNX3 + high /CD8 + high may be spared adjuvant treatment due to excellent prognosis. However, further studies are needed to confirm and elucidate the protective role of CD3 + RUNX3 + cells in COAD and LUAD.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跨域情感分析的模糊决策和具有复杂 T 球模糊算子的 MABAC 方法</w:t>
      </w:r>
    </w:p>
    <w:p>
      <w:r>
        <w:rPr>
          <w:rFonts w:ascii="Times New Roman" w:hAnsi="Times New Roman" w:eastAsia="宋体"/>
          <w:b/>
          <w:color w:val="003264"/>
          <w:sz w:val="24"/>
        </w:rPr>
        <w:t>Fuzzy decision making for cross domain sentiment analysis and MABAC approach with complex T-spherical fuzzy operators</w:t>
      </w:r>
    </w:p>
    <w:p>
      <w:r>
        <w:rPr>
          <w:rFonts w:ascii="Times New Roman" w:hAnsi="Times New Roman" w:eastAsia="宋体"/>
          <w:sz w:val="21"/>
        </w:rPr>
        <w:t>作者: Yina Qi</w:t>
        <w:br/>
      </w:r>
      <w:r>
        <w:rPr>
          <w:rFonts w:ascii="Times New Roman" w:hAnsi="Times New Roman" w:eastAsia="宋体"/>
          <w:sz w:val="21"/>
        </w:rPr>
        <w:t xml:space="preserve">时间: 2026-02-05 | </w:t>
      </w:r>
      <w:r>
        <w:t xml:space="preserve">链接: </w:t>
      </w:r>
      <w:hyperlink r:id="rId182">
        <w:r>
          <w:rPr>
            <w:rFonts w:ascii="Times New Roman" w:hAnsi="Times New Roman" w:eastAsia="宋体"/>
            <w:color w:val="0000FF"/>
            <w:sz w:val="21"/>
            <w:u w:val="single"/>
          </w:rPr>
          <w:t>https://doi.org/10.1038/s41598-025-31800-w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域情感分析是自然语言处理中的一种高级方法，专注于将情感知识从一个域转移到另一个域，其中标记数据可能稀缺或模糊。为了克服情感表达的冗余和模糊信息的影响，我们探索了一种使用决策分析系统的鲁棒算法的模糊框架的有效方法。本文首创了一种先进的多属性边界近似区域比较（MABAC）方法的决策方法，可以准确地聚合人类的判断或意见。为了实现演示的目标，我们提出了复杂 t 球模糊集 (CT-SFS) 的概念，它用于管理聚合过程中的不确定性和模糊性。在复杂t球模糊信息系统下，制定了Sugeno-Weber t-范数和t-conorm的一些可行运算。还基于复杂的 t 球模糊框架开发了一系列 Sugeno-Weber 加权平均和加权几何算子。为了展示所讨论的数学模型的有效性和强度，建立了 MABAC 方法的智能决策算法来解决复杂 t 球模糊环境下的多标准决策（MCDM）问题。讨论了一个实验案例研究，以评估冲突标准和聚合算子下的不同情感识别方法。此外，还进行了比较分析，以突出所诊断的数学术语的优越性和有效性。</w:t>
      </w:r>
    </w:p>
    <w:p>
      <w:pPr>
        <w:spacing w:before="120"/>
      </w:pPr>
      <w:r>
        <w:rPr>
          <w:rFonts w:ascii="Times New Roman" w:hAnsi="Times New Roman" w:eastAsia="宋体"/>
          <w:b/>
          <w:sz w:val="21"/>
        </w:rPr>
        <w:t>English Abstract:</w:t>
      </w:r>
    </w:p>
    <w:p>
      <w:r>
        <w:rPr>
          <w:rFonts w:ascii="Times New Roman" w:hAnsi="Times New Roman" w:eastAsia="宋体"/>
          <w:sz w:val="21"/>
        </w:rPr>
        <w:t>Cross-domain sentiment analysis is an advanced approach in natural language processing that focuses on transferring sentiment knowledge from one domain to another, where labeled data may be scarce or vague. To overcome the impact of redundant and ambiguous information about the sentiment expressions, we explore a potent approach of a fuzzy framework with robust algorithms of a decision analysis system. This article initiates an advanced decision-making approach of the multi-attributive border approximation area comparison (MABAC) method to aggregate human judgments or opinions precisely and accurately. To achieve the goals of the presentation, we expose the notion of complex t-spherical fuzzy set (CT-SFS), which is used to manage uncertainty and vagueness during the aggregation process. Some feasible operations of Sugeno–Weber t-norm and t-conorm are formulated under the system of complex t-spherical fuzzy information. A family of Sugeno–Weber weighted average and weighted geometric operators is also developed based on a complex t-spherical fuzzy framework. To showcase the validation and strength of the discussed mathematical models, an intelligent decision algorithm of the MABAC method is established to resolve multi-criteria decision-making (MCDM) problems under complex t-spherical fuzzy environments. An experimental case study is discussed to evaluate different sentiment recognition methods under conflicting criteria and aggregation operators. Additionally, a comparative analysis is conducted to highlight the superiority and effectiveness of the diagnosed mathematical terminologies.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TikTok 和 Bilibili 上体重管理短视频的质量和可靠性：横断面研究</w:t>
      </w:r>
    </w:p>
    <w:p>
      <w:r>
        <w:rPr>
          <w:rFonts w:ascii="Times New Roman" w:hAnsi="Times New Roman" w:eastAsia="宋体"/>
          <w:b/>
          <w:color w:val="003264"/>
          <w:sz w:val="24"/>
        </w:rPr>
        <w:t>Quality and reliability of weight management short videos on TikTok and Bilibili: cross-sectional study</w:t>
      </w:r>
    </w:p>
    <w:p>
      <w:r>
        <w:rPr>
          <w:rFonts w:ascii="Times New Roman" w:hAnsi="Times New Roman" w:eastAsia="宋体"/>
          <w:sz w:val="21"/>
        </w:rPr>
        <w:t>作者: Lijun Han, Feifan Liu, Zibing Wang, Ning Tang, Xiaobin Li, Xiaoyan Liu, Yixin Wang, Haizhen Liu</w:t>
        <w:br/>
      </w:r>
      <w:r>
        <w:rPr>
          <w:rFonts w:ascii="Times New Roman" w:hAnsi="Times New Roman" w:eastAsia="宋体"/>
          <w:sz w:val="21"/>
        </w:rPr>
        <w:t xml:space="preserve">时间: 2026-02-05 | </w:t>
      </w:r>
      <w:r>
        <w:t xml:space="preserve">链接: </w:t>
      </w:r>
      <w:hyperlink r:id="rId183">
        <w:r>
          <w:rPr>
            <w:rFonts w:ascii="Times New Roman" w:hAnsi="Times New Roman" w:eastAsia="宋体"/>
            <w:color w:val="0000FF"/>
            <w:sz w:val="21"/>
            <w:u w:val="single"/>
          </w:rPr>
          <w:t>https://doi.org/10.1038/s41598-026-38404-y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体重管理已成为全球健康领域的一大焦点，TikTok 和 Bilibili 等平台现在在健康信息方面很受欢迎。然而，这些平台上体重管理内容的质量和可靠性仍不确定。这项研究系统地评估了此类视频，为公共卫生传播提供循证指导。我们分析了 TikTok 和 Bilibili 中排名前 100 的体重管理视频，记录其来源、内容和特征。 DISCERN 仪器、JAMA 基准标准和全球质量得分 (GQS) 用于评估视频质量和可靠性。进一步分析以探索视频质量和视频特征之间的关系。虽然 TikTok 视频吸引了更多的点赞、保存、评论和分享，但 Bilibili 视频更长，并且表现出更高的质量和可靠性（所有 P &lt; 0.001）。来自医生和非营利组织的视频的 DISCERN 和 GQS 得分最高，而来自健身博主和个人用户的视频更受欢迎，但质量较低。视频时长与质量呈正相关，而参与度指标（点赞、评论、分享、保存）与 GQS 和 DISCERN 呈负相关。总体而言，TikTok 和 Bilibili 上的体重管理视频质量较差，尽管 Bilibili 的表现优于 TikTok。医生和非营利组织制作了更高质量的内容，强调需要加强平台审查和做出更大的专业贡献，以改善可靠健康信息的传播。</w:t>
      </w:r>
    </w:p>
    <w:p>
      <w:pPr>
        <w:spacing w:before="120"/>
      </w:pPr>
      <w:r>
        <w:rPr>
          <w:rFonts w:ascii="Times New Roman" w:hAnsi="Times New Roman" w:eastAsia="宋体"/>
          <w:b/>
          <w:sz w:val="21"/>
        </w:rPr>
        <w:t>English Abstract:</w:t>
      </w:r>
    </w:p>
    <w:p>
      <w:r>
        <w:rPr>
          <w:rFonts w:ascii="Times New Roman" w:hAnsi="Times New Roman" w:eastAsia="宋体"/>
          <w:sz w:val="21"/>
        </w:rPr>
        <w:t>Weight management has become a major focus in worldwide health, and platforms like TikTok and Bilibili are now popular for health information. However, the quality and reliability of weight management content on these platforms remain uncertain. This research systematically evaluated such videos to provide evidence-based guidance for public health communication. We analyzed the top 100 weight management videos from TikTok and Bilibili, recording their sources, content, and characteristics. The DISCERN instrument, JAMA benchmark criteria, and Global Quality Score (GQS) were used to evaluate video quality and reliability. Further analysis was conducted to explore the relationship between video quality and video characteristics. While TikTok videos attracted more likes, saves, comments, and shares, Bilibili videos were longer and exhibited higher quality and reliability (all P &lt; 0.001). Videos from doctors and non-profit organizations had the highest DISCERN and GQS scores, while those from fitness bloggers and individual users were more popular but of lower quality. Video duration was positively associated with quality, whereas engagement indicators (likes, comments, shares, saves) were negatively associated with both GQS and DISCERN. Overall, the quality of weight management videos on TikTok and Bilibili was poor, although Bilibili performed better than TikTok. Doctors and non-profit organizations produced higher-quality content, highlighting the need for stronger platform review and greater professional contributions to improve the dissemination of reliable health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酸奶与葡萄渣果胶寡糖和胶囊益生菌的联合强化</w:t>
      </w:r>
    </w:p>
    <w:p>
      <w:r>
        <w:rPr>
          <w:rFonts w:ascii="Times New Roman" w:hAnsi="Times New Roman" w:eastAsia="宋体"/>
          <w:b/>
          <w:color w:val="003264"/>
          <w:sz w:val="24"/>
        </w:rPr>
        <w:t>Combined fortification of yogurt with grape pomace pectic oligosaccharides and encapsulated probiotics</w:t>
      </w:r>
    </w:p>
    <w:p>
      <w:r>
        <w:rPr>
          <w:rFonts w:ascii="Times New Roman" w:hAnsi="Times New Roman" w:eastAsia="宋体"/>
          <w:sz w:val="21"/>
        </w:rPr>
        <w:t>作者: Mohamad Savarolyia, Sara Amiri Samani, Mina Ghorbani, Maedeh Khezri, Milad Kazemi, Manochehr Momeni Shahraki, Faramarz Khodaiyan, Seyed Saeid Hosseini</w:t>
        <w:br/>
      </w:r>
      <w:r>
        <w:rPr>
          <w:rFonts w:ascii="Times New Roman" w:hAnsi="Times New Roman" w:eastAsia="宋体"/>
          <w:sz w:val="21"/>
        </w:rPr>
        <w:t xml:space="preserve">时间: 2026-02-05 | </w:t>
      </w:r>
      <w:r>
        <w:t xml:space="preserve">链接: </w:t>
      </w:r>
      <w:hyperlink r:id="rId184">
        <w:r>
          <w:rPr>
            <w:rFonts w:ascii="Times New Roman" w:hAnsi="Times New Roman" w:eastAsia="宋体"/>
            <w:color w:val="0000FF"/>
            <w:sz w:val="21"/>
            <w:u w:val="single"/>
          </w:rPr>
          <w:t>https://doi.org/10.1038/s41598-026-35862-2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本研究研究了添加葡萄渣果胶寡糖 (GPPOS) 和嗜酸乳杆菌（游离和封装）对合生酸奶不同特性的影响。 GPPOS 以 0.1% 至 1.4%（w/v）的浓度作为益生元掺入酸奶中，而游离和封装的嗜酸乳杆菌则用作益生菌。对冷藏 21 天的理化、功能、存活率和感官特性进行评估。含有 0.4% GPPOS 和封装的嗜酸乳杆菌的制剂表现出显着改善的粘度 (1442.23 mPas)、减少的脱水收缩 (14.17%)、增强的抗自由基清除活性 (47.28%)，并在储存和模拟胃肠道条件下保持益生菌活力（≤ 0.65 log cfu/mL 减少）。此外，感官评价显示，尽管封装降低了感官评分，但 0.1-0.7% GPPOS 的可接受性有所提高。这项研究的结果证明了 GPPOS 的益生元潜力，并强调了封装在增强益生菌存活、理化特性和合生酸奶整体功能方面的作用。</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effects of adding grape pomace pectic oligosaccharides (GPPOS) and Lactobacillus acidophilus (free and encapsulated) on different properties of synbiotic yogurts. GPPOS was incorporated at concentrations ranging from 0.1% to 1.4% (w/v) in yogurts as prebiotics, while free and encapsulated L. acidophilus were used as probiotics. The physicochemical, functional, survival rate and sensory characteristics were evaluated over 21 days of refrigerated storage. The formulation containing 0.4% GPPOS and encapsulated L. acidophilus exhibited significantly improved viscosity (1442.23 mPas), reduced syneresis (14.17%), enhanced antiradical scavenging activity (47.28%) and maintained probiotic viability under storage and simulated gastrointestinal conditions (≤ 0.65 log cfu/mL reduction). In addition, sensory evaluation showed improved acceptability at 0.1–0.7% GPPOS, although encapsulation reduced sensory scores. The findings of this study demonstrate the prebiotic potential of GPPOS and highlight the role of encapsulation in enhancing probiotic survival, physicochemical properties and overall functionality of synbiotic yogurts.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APMSR：由自适应提示和多源知识检索支持的合成生物学智能问答系统</w:t>
      </w:r>
    </w:p>
    <w:p>
      <w:r>
        <w:rPr>
          <w:rFonts w:ascii="Times New Roman" w:hAnsi="Times New Roman" w:eastAsia="宋体"/>
          <w:b/>
          <w:color w:val="003264"/>
          <w:sz w:val="24"/>
        </w:rPr>
        <w:t>APMSR: an intelligent QA system for synthetic biology empowered by adaptive prompting and multi-source knowledge retrieval</w:t>
      </w:r>
    </w:p>
    <w:p>
      <w:r>
        <w:rPr>
          <w:rFonts w:ascii="Times New Roman" w:hAnsi="Times New Roman" w:eastAsia="宋体"/>
          <w:sz w:val="21"/>
        </w:rPr>
        <w:t>作者: Jinlin Wang, Zhizheng Cao, Zhiyong Tian, Bin Sun, Li Cheng</w:t>
        <w:br/>
      </w:r>
      <w:r>
        <w:rPr>
          <w:rFonts w:ascii="Times New Roman" w:hAnsi="Times New Roman" w:eastAsia="宋体"/>
          <w:sz w:val="21"/>
        </w:rPr>
        <w:t xml:space="preserve">时间: 2026-02-05 | </w:t>
      </w:r>
      <w:r>
        <w:t xml:space="preserve">链接: </w:t>
      </w:r>
      <w:hyperlink r:id="rId185">
        <w:r>
          <w:rPr>
            <w:rFonts w:ascii="Times New Roman" w:hAnsi="Times New Roman" w:eastAsia="宋体"/>
            <w:color w:val="0000FF"/>
            <w:sz w:val="21"/>
            <w:u w:val="single"/>
          </w:rPr>
          <w:t>https://doi.org/10.1038/s41598-026-38006-8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合成生物学是一门高度专业化的学科，其特点是知识来源多样且异构。利用大型语言模型 (LLM) 实现准确的、上下文感知的特定领域问答仍然是一项重大挑战，特别是由于知识差距和幻觉等长期存在的问题。为了解决这个问题，我们提出了 APMSR（自适应提示和多源检索），这是一种优化策略，在 LinUCB 算法的指导下，将基于问题特征的自适应提示生成与动态多源知识检索相结合。这种方法平衡了探索和利用，以提高特定领域信息检索的相关性和精度。我们在专为合成生物学量身定制的问答系统中实施了 APMSR，并评估了其在复杂、专业级查询上的性能。实验结果表明，经过 APMSR 优化的系统在多项选择题和对错题上的准确率高达 93%。这些准确性和稳健性方面的改进凸显了将法学硕士与检索增强策略相结合以实现高级特定领域问答的潜力。</w:t>
      </w:r>
    </w:p>
    <w:p>
      <w:pPr>
        <w:spacing w:before="120"/>
      </w:pPr>
      <w:r>
        <w:rPr>
          <w:rFonts w:ascii="Times New Roman" w:hAnsi="Times New Roman" w:eastAsia="宋体"/>
          <w:b/>
          <w:sz w:val="21"/>
        </w:rPr>
        <w:t>English Abstract:</w:t>
      </w:r>
    </w:p>
    <w:p>
      <w:r>
        <w:rPr>
          <w:rFonts w:ascii="Times New Roman" w:hAnsi="Times New Roman" w:eastAsia="宋体"/>
          <w:sz w:val="21"/>
        </w:rPr>
        <w:t>Synthetic biology is a highly specialized discipline characterized by diverse and heterogeneous knowledge sources. Leveraging large language models (LLMs) to achieve accurate, context-aware domain-specific question answering remains a significant challenge, particularly due to persistent issues such as knowledge gaps and hallucinations. To address this, we propose APMSR (Adaptive Prompt and Multi-Source Retrieval), an optimization strategy that integrates adaptive prompt generation based on question features with dynamic multi-source knowledge retrieval, guided by the LinUCB algorithm. This approach balances exploration and exploitation to enhance the relevance and precision of domain-specific information retrieval. We implemented APMSR in a question-answering system tailored to synthetic biology and evaluated its performance on complex, professional-level queries. Experimental results demonstrate that the APMSR-optimized system achieves up to 93% accuracy on multiple-choice and true/false questions. These improvements in accuracy and robustness highlight the potential of combining LLMs with retrieval-augmented strategies for advanced domain-specific question answering.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00:27 ---</w:t>
      </w:r>
    </w:p>
    <w:p>
      <w:pPr>
        <w:pStyle w:val="Heading2"/>
      </w:pPr>
      <w:r/>
      <w:r>
        <w:rPr>
          <w:rFonts w:ascii="Times New Roman" w:hAnsi="Times New Roman" w:eastAsia="宋体"/>
          <w:b/>
          <w:color w:val="000000"/>
          <w:sz w:val="24"/>
        </w:rPr>
        <w:t>通过冲突感知提示学习实现轻量级多天气图像恢复</w:t>
      </w:r>
    </w:p>
    <w:p>
      <w:r>
        <w:rPr>
          <w:rFonts w:ascii="Times New Roman" w:hAnsi="Times New Roman" w:eastAsia="宋体"/>
          <w:b/>
          <w:color w:val="003264"/>
          <w:sz w:val="24"/>
        </w:rPr>
        <w:t>A lightweight multi-weather image restoration via conflict-aware prompt learning</w:t>
      </w:r>
    </w:p>
    <w:p>
      <w:r>
        <w:rPr>
          <w:rFonts w:ascii="Times New Roman" w:hAnsi="Times New Roman" w:eastAsia="宋体"/>
          <w:sz w:val="21"/>
        </w:rPr>
        <w:t>作者: Pengyun Chen, Ning Cao, Minghui Jiang, Zhuoyu Jin, Hao Liu, Xiaoheng Jiang, Mingliang Xu</w:t>
        <w:br/>
      </w:r>
      <w:r>
        <w:rPr>
          <w:rFonts w:ascii="Times New Roman" w:hAnsi="Times New Roman" w:eastAsia="宋体"/>
          <w:sz w:val="21"/>
        </w:rPr>
        <w:t xml:space="preserve">时间: 2026-02-01 | </w:t>
      </w:r>
      <w:r>
        <w:t xml:space="preserve">链接: </w:t>
      </w:r>
      <w:hyperlink r:id="rId15">
        <w:r>
          <w:rPr>
            <w:rFonts w:ascii="Times New Roman" w:hAnsi="Times New Roman" w:eastAsia="宋体"/>
            <w:color w:val="0000FF"/>
            <w:sz w:val="21"/>
            <w:u w:val="single"/>
          </w:rPr>
          <w:t>https://doi.org/10.1016/j.displa.2026.103378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基于视觉注意力的 VR 疾病评估模型</w:t>
      </w:r>
    </w:p>
    <w:p>
      <w:r>
        <w:rPr>
          <w:rFonts w:ascii="Times New Roman" w:hAnsi="Times New Roman" w:eastAsia="宋体"/>
          <w:b/>
          <w:color w:val="003264"/>
          <w:sz w:val="24"/>
        </w:rPr>
        <w:t>A visual Attention-Based model for VR sickness assessment</w:t>
      </w:r>
    </w:p>
    <w:p>
      <w:r>
        <w:rPr>
          <w:rFonts w:ascii="Times New Roman" w:hAnsi="Times New Roman" w:eastAsia="宋体"/>
          <w:sz w:val="21"/>
        </w:rPr>
        <w:t>作者: Yongqing Cai, Cheng Han, Wei Quan, Yuechen Zhang</w:t>
        <w:br/>
      </w:r>
      <w:r>
        <w:rPr>
          <w:rFonts w:ascii="Times New Roman" w:hAnsi="Times New Roman" w:eastAsia="宋体"/>
          <w:sz w:val="21"/>
        </w:rPr>
        <w:t xml:space="preserve">时间: 2026-02-01 | </w:t>
      </w:r>
      <w:r>
        <w:t xml:space="preserve">链接: </w:t>
      </w:r>
      <w:hyperlink r:id="rId16">
        <w:r>
          <w:rPr>
            <w:rFonts w:ascii="Times New Roman" w:hAnsi="Times New Roman" w:eastAsia="宋体"/>
            <w:color w:val="0000FF"/>
            <w:sz w:val="21"/>
            <w:u w:val="single"/>
          </w:rPr>
          <w:t>https://doi.org/10.1016/j.displa.2026.103376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00:28 ---</w:t>
      </w:r>
    </w:p>
    <w:p>
      <w:pPr>
        <w:pStyle w:val="Heading2"/>
      </w:pPr>
      <w:r/>
      <w:r>
        <w:rPr>
          <w:rFonts w:ascii="Times New Roman" w:hAnsi="Times New Roman" w:eastAsia="宋体"/>
          <w:b/>
          <w:color w:val="000000"/>
          <w:sz w:val="24"/>
        </w:rPr>
        <w:t>“基于双端点检测和迭代 VMD 的非对称干涉仪宽频振动定位”的勘误表 [选项 1]激光技术。 187（2025）112882]</w:t>
      </w:r>
    </w:p>
    <w:p>
      <w:r>
        <w:rPr>
          <w:rFonts w:ascii="Times New Roman" w:hAnsi="Times New Roman" w:eastAsia="宋体"/>
          <w:b/>
          <w:color w:val="003264"/>
          <w:sz w:val="24"/>
        </w:rPr>
        <w:t>Corrigendum to “Wide-Frequency vibration positioning of asymmetric interferometers based on dual endpoint detection and iterative VMD” [Opt. Laser Technol. 187 (2025) 112882]</w:t>
      </w:r>
    </w:p>
    <w:p>
      <w:r>
        <w:rPr>
          <w:rFonts w:ascii="Times New Roman" w:hAnsi="Times New Roman" w:eastAsia="宋体"/>
          <w:sz w:val="21"/>
        </w:rPr>
        <w:t>作者: Chaoxiang Chen, Kun Liu, Jianying Jing, Xinxin Hu, Kang Xue, Dongqi Zhang, Ziwen Du, Guixian Li, Tianhua Xu, Junfeng Jiang, Tiegen Liu</w:t>
        <w:br/>
      </w:r>
      <w:r>
        <w:rPr>
          <w:rFonts w:ascii="Times New Roman" w:hAnsi="Times New Roman" w:eastAsia="宋体"/>
          <w:sz w:val="21"/>
        </w:rPr>
        <w:t xml:space="preserve">时间: 2026-02-01 | </w:t>
      </w:r>
      <w:r>
        <w:t xml:space="preserve">链接: </w:t>
      </w:r>
      <w:hyperlink r:id="rId17">
        <w:r>
          <w:rPr>
            <w:rFonts w:ascii="Times New Roman" w:hAnsi="Times New Roman" w:eastAsia="宋体"/>
            <w:color w:val="0000FF"/>
            <w:sz w:val="21"/>
            <w:u w:val="single"/>
          </w:rPr>
          <w:t>https://doi.org/10.1016/j.optlastec.2026.114799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Ti-6Al-4V合金T型接头非水平双激光束双边同步焊接熔池和小孔重力变形动力学</w:t>
      </w:r>
    </w:p>
    <w:p>
      <w:r>
        <w:rPr>
          <w:rFonts w:ascii="Times New Roman" w:hAnsi="Times New Roman" w:eastAsia="宋体"/>
          <w:b/>
          <w:color w:val="003264"/>
          <w:sz w:val="24"/>
        </w:rPr>
        <w:t>Gravity-induced distortion dynamics of molten pool and keyhole during non-horizontal dual laser beam bilateral synchronous welding for Ti-6Al-4V alloy T-joints</w:t>
      </w:r>
    </w:p>
    <w:p>
      <w:r>
        <w:rPr>
          <w:rFonts w:ascii="Times New Roman" w:hAnsi="Times New Roman" w:eastAsia="宋体"/>
          <w:sz w:val="21"/>
        </w:rPr>
        <w:t>作者: Yanqiu Zhao, Tingyan Yan, Rui Li, Jiangfeng Wang, Chao Ma, Xiaohong Zhan</w:t>
        <w:br/>
      </w:r>
      <w:r>
        <w:rPr>
          <w:rFonts w:ascii="Times New Roman" w:hAnsi="Times New Roman" w:eastAsia="宋体"/>
          <w:sz w:val="21"/>
        </w:rPr>
        <w:t xml:space="preserve">时间: 2026-06-01 | </w:t>
      </w:r>
      <w:r>
        <w:t xml:space="preserve">链接: </w:t>
      </w:r>
      <w:hyperlink r:id="rId18">
        <w:r>
          <w:rPr>
            <w:rFonts w:ascii="Times New Roman" w:hAnsi="Times New Roman" w:eastAsia="宋体"/>
            <w:color w:val="0000FF"/>
            <w:sz w:val="21"/>
            <w:u w:val="single"/>
          </w:rPr>
          <w:t>https://doi.org/10.1016/j.optlastec.2026.114815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激光冲击波作用下CFRP胶层分层机理</w:t>
      </w:r>
    </w:p>
    <w:p>
      <w:r>
        <w:rPr>
          <w:rFonts w:ascii="Times New Roman" w:hAnsi="Times New Roman" w:eastAsia="宋体"/>
          <w:b/>
          <w:color w:val="003264"/>
          <w:sz w:val="24"/>
        </w:rPr>
        <w:t>Delamination mechanism of CFRP adhesive layer under laser-induced shock waves</w:t>
      </w:r>
    </w:p>
    <w:p>
      <w:r>
        <w:rPr>
          <w:rFonts w:ascii="Times New Roman" w:hAnsi="Times New Roman" w:eastAsia="宋体"/>
          <w:sz w:val="21"/>
        </w:rPr>
        <w:t>作者: Wangfan Zhou, Tao Wang, Jun Chen, Haoyu Zhou, Gui Zhang, Enoch Asuako Larson, Yu Yang</w:t>
        <w:br/>
      </w:r>
      <w:r>
        <w:rPr>
          <w:rFonts w:ascii="Times New Roman" w:hAnsi="Times New Roman" w:eastAsia="宋体"/>
          <w:sz w:val="21"/>
        </w:rPr>
        <w:t xml:space="preserve">时间: 2026-06-01 | </w:t>
      </w:r>
      <w:r>
        <w:t xml:space="preserve">链接: </w:t>
      </w:r>
      <w:hyperlink r:id="rId19">
        <w:r>
          <w:rPr>
            <w:rFonts w:ascii="Times New Roman" w:hAnsi="Times New Roman" w:eastAsia="宋体"/>
            <w:color w:val="0000FF"/>
            <w:sz w:val="21"/>
            <w:u w:val="single"/>
          </w:rPr>
          <w:t>https://doi.org/10.1016/j.optlastec.2026.114876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基于激光功率调制的4H-SiC晶圆皮秒激光多层改性及隐形切割研究</w:t>
      </w:r>
    </w:p>
    <w:p>
      <w:r>
        <w:rPr>
          <w:rFonts w:ascii="Times New Roman" w:hAnsi="Times New Roman" w:eastAsia="宋体"/>
          <w:b/>
          <w:color w:val="003264"/>
          <w:sz w:val="24"/>
        </w:rPr>
        <w:t>Study on picosecond laser multi-layer modification and stealth dicing of 4H-SiC wafers based on laser power modulation</w:t>
      </w:r>
    </w:p>
    <w:p>
      <w:r>
        <w:rPr>
          <w:rFonts w:ascii="Times New Roman" w:hAnsi="Times New Roman" w:eastAsia="宋体"/>
          <w:sz w:val="21"/>
        </w:rPr>
        <w:t>作者: Yixiong Yan, Sijia Chen, Yuxuan Cheng, Cong Mao, Mingjun Zhang, Yu Zheng, Weidong Tang, Ji’an Duan</w:t>
        <w:br/>
      </w:r>
      <w:r>
        <w:rPr>
          <w:rFonts w:ascii="Times New Roman" w:hAnsi="Times New Roman" w:eastAsia="宋体"/>
          <w:sz w:val="21"/>
        </w:rPr>
        <w:t xml:space="preserve">时间: 2026-06-01 | </w:t>
      </w:r>
      <w:r>
        <w:t xml:space="preserve">链接: </w:t>
      </w:r>
      <w:hyperlink r:id="rId20">
        <w:r>
          <w:rPr>
            <w:rFonts w:ascii="Times New Roman" w:hAnsi="Times New Roman" w:eastAsia="宋体"/>
            <w:color w:val="0000FF"/>
            <w:sz w:val="21"/>
            <w:u w:val="single"/>
          </w:rPr>
          <w:t>https://doi.org/10.1016/j.optlastec.2026.114882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基于海藻酸钙水凝胶涂层 STMS 纤维结构的高性能湿度和压力传感器</w:t>
      </w:r>
    </w:p>
    <w:p>
      <w:r>
        <w:rPr>
          <w:rFonts w:ascii="Times New Roman" w:hAnsi="Times New Roman" w:eastAsia="宋体"/>
          <w:b/>
          <w:color w:val="003264"/>
          <w:sz w:val="24"/>
        </w:rPr>
        <w:t>High-performance humidity and pressure sensor based on STMS fiber structure coated with Ca-alginate hydrogel</w:t>
      </w:r>
    </w:p>
    <w:p>
      <w:r>
        <w:rPr>
          <w:rFonts w:ascii="Times New Roman" w:hAnsi="Times New Roman" w:eastAsia="宋体"/>
          <w:sz w:val="21"/>
        </w:rPr>
        <w:t>作者: Jiachen Guo, Benyu Zhang, Zhifang Xu, Lina Bi, Shuang Li, Yueyan Shi, Liang Zhou, Shiqing Zhou, Jiaqi Zhang</w:t>
        <w:br/>
      </w:r>
      <w:r>
        <w:rPr>
          <w:rFonts w:ascii="Times New Roman" w:hAnsi="Times New Roman" w:eastAsia="宋体"/>
          <w:sz w:val="21"/>
        </w:rPr>
        <w:t xml:space="preserve">时间: 2026-06-01 | </w:t>
      </w:r>
      <w:r>
        <w:t xml:space="preserve">链接: </w:t>
      </w:r>
      <w:hyperlink r:id="rId55">
        <w:r>
          <w:rPr>
            <w:rFonts w:ascii="Times New Roman" w:hAnsi="Times New Roman" w:eastAsia="宋体"/>
            <w:color w:val="0000FF"/>
            <w:sz w:val="21"/>
            <w:u w:val="single"/>
          </w:rPr>
          <w:t>https://doi.org/10.1016/j.optlastec.2026.114820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水射流引导激光加工 NdFeB 永磁体的冷热热平衡控制机制</w:t>
      </w:r>
    </w:p>
    <w:p>
      <w:r>
        <w:rPr>
          <w:rFonts w:ascii="Times New Roman" w:hAnsi="Times New Roman" w:eastAsia="宋体"/>
          <w:b/>
          <w:color w:val="003264"/>
          <w:sz w:val="24"/>
        </w:rPr>
        <w:t>Mechanisms of Hot–Cold thermal balance control in Water-Jet-Guided laser machining of NdFeB permanent magnets</w:t>
      </w:r>
    </w:p>
    <w:p>
      <w:r>
        <w:rPr>
          <w:rFonts w:ascii="Times New Roman" w:hAnsi="Times New Roman" w:eastAsia="宋体"/>
          <w:sz w:val="21"/>
        </w:rPr>
        <w:t>作者: Ping Huang, Guanghui Zhang, Zhichuang Chen, Xinping He, Qingan Lu, Yuxing Huang, Hui Jiao, Tanggao Feng, Yuhong Long</w:t>
        <w:br/>
      </w:r>
      <w:r>
        <w:rPr>
          <w:rFonts w:ascii="Times New Roman" w:hAnsi="Times New Roman" w:eastAsia="宋体"/>
          <w:sz w:val="21"/>
        </w:rPr>
        <w:t xml:space="preserve">时间: 2026-06-01 | </w:t>
      </w:r>
      <w:r>
        <w:t xml:space="preserve">链接: </w:t>
      </w:r>
      <w:hyperlink r:id="rId56">
        <w:r>
          <w:rPr>
            <w:rFonts w:ascii="Times New Roman" w:hAnsi="Times New Roman" w:eastAsia="宋体"/>
            <w:color w:val="0000FF"/>
            <w:sz w:val="21"/>
            <w:u w:val="single"/>
          </w:rPr>
          <w:t>https://doi.org/10.1016/j.optlastec.2026.114879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NH3/H2/空气等速平流混合物的激光诱导等离子体点火和燃烧特性</w:t>
      </w:r>
    </w:p>
    <w:p>
      <w:r>
        <w:rPr>
          <w:rFonts w:ascii="Times New Roman" w:hAnsi="Times New Roman" w:eastAsia="宋体"/>
          <w:b/>
          <w:color w:val="003264"/>
          <w:sz w:val="24"/>
        </w:rPr>
        <w:t>Laser-induced plasma ignition and combustion characteristics for advective NH3/H2/Air mixtures with constant velocity</w:t>
      </w:r>
    </w:p>
    <w:p>
      <w:r>
        <w:rPr>
          <w:rFonts w:ascii="Times New Roman" w:hAnsi="Times New Roman" w:eastAsia="宋体"/>
          <w:sz w:val="21"/>
        </w:rPr>
        <w:t>作者: Junjie Zhang, Erjiang Hu, Zihao Chen, Geyuan Yin, Zuohua Huang</w:t>
        <w:br/>
      </w:r>
      <w:r>
        <w:rPr>
          <w:rFonts w:ascii="Times New Roman" w:hAnsi="Times New Roman" w:eastAsia="宋体"/>
          <w:sz w:val="21"/>
        </w:rPr>
        <w:t xml:space="preserve">时间: 2026-06-01 | </w:t>
      </w:r>
      <w:r>
        <w:t xml:space="preserve">链接: </w:t>
      </w:r>
      <w:hyperlink r:id="rId87">
        <w:r>
          <w:rPr>
            <w:rFonts w:ascii="Times New Roman" w:hAnsi="Times New Roman" w:eastAsia="宋体"/>
            <w:color w:val="0000FF"/>
            <w:sz w:val="21"/>
            <w:u w:val="single"/>
          </w:rPr>
          <w:t>https://doi.org/10.1016/j.optlastec.2026.114877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00:28 ---</w:t>
      </w:r>
    </w:p>
    <w:p>
      <w:pPr>
        <w:pStyle w:val="Heading2"/>
      </w:pPr>
      <w:r/>
      <w:r>
        <w:rPr>
          <w:rFonts w:ascii="Times New Roman" w:hAnsi="Times New Roman" w:eastAsia="宋体"/>
          <w:b/>
          <w:color w:val="000000"/>
          <w:sz w:val="24"/>
        </w:rPr>
        <w:t>集成基于 TIE 的相位成像和边缘 AI 分析的电动可调台式显微镜</w:t>
      </w:r>
    </w:p>
    <w:p>
      <w:r>
        <w:rPr>
          <w:rFonts w:ascii="Times New Roman" w:hAnsi="Times New Roman" w:eastAsia="宋体"/>
          <w:b/>
          <w:color w:val="003264"/>
          <w:sz w:val="24"/>
        </w:rPr>
        <w:t>Electrically tunable benchtop microscope integrating TIE-based phase imaging and edge AI analysis</w:t>
      </w:r>
    </w:p>
    <w:p>
      <w:r>
        <w:rPr>
          <w:rFonts w:ascii="Times New Roman" w:hAnsi="Times New Roman" w:eastAsia="宋体"/>
          <w:sz w:val="21"/>
        </w:rPr>
        <w:t>作者: Hsieh-Fu Tsai, Soumyajit Podder, I-Ming Chang, Mao-Chang Ho</w:t>
        <w:br/>
      </w:r>
      <w:r>
        <w:rPr>
          <w:rFonts w:ascii="Times New Roman" w:hAnsi="Times New Roman" w:eastAsia="宋体"/>
          <w:sz w:val="21"/>
        </w:rPr>
        <w:t xml:space="preserve">时间: 2026-06-01 | </w:t>
      </w:r>
      <w:r>
        <w:t xml:space="preserve">链接: </w:t>
      </w:r>
      <w:hyperlink r:id="rId21">
        <w:r>
          <w:rPr>
            <w:rFonts w:ascii="Times New Roman" w:hAnsi="Times New Roman" w:eastAsia="宋体"/>
            <w:color w:val="0000FF"/>
            <w:sz w:val="21"/>
            <w:u w:val="single"/>
          </w:rPr>
          <w:t>https://doi.org/10.1016/j.optlaseng.2026.109659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迈向精确的超分辨率重建：数字全息显微镜的分数频域位置映射模型</w:t>
      </w:r>
    </w:p>
    <w:p>
      <w:r>
        <w:rPr>
          <w:rFonts w:ascii="Times New Roman" w:hAnsi="Times New Roman" w:eastAsia="宋体"/>
          <w:b/>
          <w:color w:val="003264"/>
          <w:sz w:val="24"/>
        </w:rPr>
        <w:t>Toward accurate super-resolution reconstruction: Fractional - frequency domain position mapping model for digital holographic microscopy</w:t>
      </w:r>
    </w:p>
    <w:p>
      <w:r>
        <w:rPr>
          <w:rFonts w:ascii="Times New Roman" w:hAnsi="Times New Roman" w:eastAsia="宋体"/>
          <w:sz w:val="21"/>
        </w:rPr>
        <w:t>作者: Mengyao Li, Bingcai Liu, Jiaxin Meng, Kaixiang Xie, Hongjun Wang, Xueliang Zhu, Jintao Xu, Ailing Tian</w:t>
        <w:br/>
      </w:r>
      <w:r>
        <w:rPr>
          <w:rFonts w:ascii="Times New Roman" w:hAnsi="Times New Roman" w:eastAsia="宋体"/>
          <w:sz w:val="21"/>
        </w:rPr>
        <w:t xml:space="preserve">时间: 2026-06-01 | </w:t>
      </w:r>
      <w:r>
        <w:t xml:space="preserve">链接: </w:t>
      </w:r>
      <w:hyperlink r:id="rId57">
        <w:r>
          <w:rPr>
            <w:rFonts w:ascii="Times New Roman" w:hAnsi="Times New Roman" w:eastAsia="宋体"/>
            <w:color w:val="0000FF"/>
            <w:sz w:val="21"/>
            <w:u w:val="single"/>
          </w:rPr>
          <w:t>https://doi.org/10.1016/j.optlaseng.2026.109672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面内和面外磁场中等离子体纳米结构的手性光学响应的​​各向异性变化</w:t>
      </w:r>
    </w:p>
    <w:p>
      <w:r>
        <w:rPr>
          <w:rFonts w:ascii="Times New Roman" w:hAnsi="Times New Roman" w:eastAsia="宋体"/>
          <w:b/>
          <w:color w:val="003264"/>
          <w:sz w:val="24"/>
        </w:rPr>
        <w:t>Anisotropic Variation in Chiroptical Response of Plasmonic Nanostructure in In-plane and Out-of-Plane Magnetic Fields</w:t>
      </w:r>
    </w:p>
    <w:p>
      <w:r>
        <w:rPr>
          <w:rFonts w:ascii="Times New Roman" w:hAnsi="Times New Roman" w:eastAsia="宋体"/>
          <w:sz w:val="21"/>
        </w:rPr>
        <w:t>作者: Muhammad Ikram, Shaohua Tao, Muhammad Akram</w:t>
        <w:br/>
      </w:r>
      <w:r>
        <w:rPr>
          <w:rFonts w:ascii="Times New Roman" w:hAnsi="Times New Roman" w:eastAsia="宋体"/>
          <w:sz w:val="21"/>
        </w:rPr>
        <w:t xml:space="preserve">时间: 2026-02-01 | </w:t>
      </w:r>
      <w:r>
        <w:t xml:space="preserve">链接: </w:t>
      </w:r>
      <w:hyperlink r:id="rId22">
        <w:r>
          <w:rPr>
            <w:rFonts w:ascii="Times New Roman" w:hAnsi="Times New Roman" w:eastAsia="宋体"/>
            <w:color w:val="0000FF"/>
            <w:sz w:val="21"/>
            <w:u w:val="single"/>
          </w:rPr>
          <w:t>https://doi.org/10.1016/j.optcom.2026.132998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具有可控方位角对称性的等离激元增强二维原子定位</w:t>
      </w:r>
    </w:p>
    <w:p>
      <w:r>
        <w:rPr>
          <w:rFonts w:ascii="Times New Roman" w:hAnsi="Times New Roman" w:eastAsia="宋体"/>
          <w:b/>
          <w:color w:val="003264"/>
          <w:sz w:val="24"/>
        </w:rPr>
        <w:t>Plasmon-enhanced two-dimensional atomic localization with controllable azimuthal symmetry</w:t>
      </w:r>
    </w:p>
    <w:p>
      <w:r>
        <w:rPr>
          <w:rFonts w:ascii="Times New Roman" w:hAnsi="Times New Roman" w:eastAsia="宋体"/>
          <w:sz w:val="21"/>
        </w:rPr>
        <w:t>作者: Muhammad Idrees, Yuanping Chen, Beibing Huang, Hui-Jun Li, Zareen A. Khan, Yuee Xie</w:t>
        <w:br/>
      </w:r>
      <w:r>
        <w:rPr>
          <w:rFonts w:ascii="Times New Roman" w:hAnsi="Times New Roman" w:eastAsia="宋体"/>
          <w:sz w:val="21"/>
        </w:rPr>
        <w:t xml:space="preserve">时间: 2026-02-01 | </w:t>
      </w:r>
      <w:r>
        <w:t xml:space="preserve">链接: </w:t>
      </w:r>
      <w:hyperlink r:id="rId23">
        <w:r>
          <w:rPr>
            <w:rFonts w:ascii="Times New Roman" w:hAnsi="Times New Roman" w:eastAsia="宋体"/>
            <w:color w:val="0000FF"/>
            <w:sz w:val="21"/>
            <w:u w:val="single"/>
          </w:rPr>
          <w:t>https://doi.org/10.1016/j.optcom.2026.132990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采用大直径和低数值孔径侧芯设计的改进手性耦合芯光纤具有低损耗、宽带宽和良好的热负载耐受性</w:t>
      </w:r>
    </w:p>
    <w:p>
      <w:r>
        <w:rPr>
          <w:rFonts w:ascii="Times New Roman" w:hAnsi="Times New Roman" w:eastAsia="宋体"/>
          <w:b/>
          <w:color w:val="003264"/>
          <w:sz w:val="24"/>
        </w:rPr>
        <w:t>Low loss, broad bandwidth and good heat load tolerance in a modified chirally-coupled-core fiber with large-diameter and low-NA side-core design</w:t>
      </w:r>
    </w:p>
    <w:p>
      <w:r>
        <w:rPr>
          <w:rFonts w:ascii="Times New Roman" w:hAnsi="Times New Roman" w:eastAsia="宋体"/>
          <w:sz w:val="21"/>
        </w:rPr>
        <w:t>作者: Yifeng Hong, Jianchang Tan, He Hao, Jiabin Bai, Zupei Zhan, Dong Li, Shuiliang Zhou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00:28 ---</w:t>
      </w:r>
    </w:p>
    <w:p>
      <w:pPr>
        <w:pStyle w:val="Heading2"/>
      </w:pPr>
      <w:r/>
      <w:r>
        <w:rPr>
          <w:rFonts w:ascii="Times New Roman" w:hAnsi="Times New Roman" w:eastAsia="宋体"/>
          <w:b/>
          <w:color w:val="000000"/>
          <w:sz w:val="24"/>
        </w:rPr>
        <w:t>吸收聚焦激光微分干涉仪可近乎同时进行稳定和脉动流动特性测量</w:t>
      </w:r>
    </w:p>
    <w:p>
      <w:r>
        <w:rPr>
          <w:rFonts w:ascii="Times New Roman" w:hAnsi="Times New Roman" w:eastAsia="宋体"/>
          <w:b/>
          <w:color w:val="003264"/>
          <w:sz w:val="24"/>
        </w:rPr>
        <w:t>Absorption focused laser differential interferometry for near-simultaneous steady and fluctuating flow property measurements</w:t>
      </w:r>
    </w:p>
    <w:p>
      <w:r>
        <w:rPr>
          <w:rFonts w:ascii="Times New Roman" w:hAnsi="Times New Roman" w:eastAsia="宋体"/>
          <w:sz w:val="21"/>
        </w:rPr>
        <w:t>作者: Joshua M. Weisberger, Brett F. Bathel, Gregory C. Herring</w:t>
        <w:br/>
      </w:r>
      <w:r>
        <w:rPr>
          <w:rFonts w:ascii="Times New Roman" w:hAnsi="Times New Roman" w:eastAsia="宋体"/>
          <w:sz w:val="21"/>
        </w:rPr>
        <w:t xml:space="preserve">时间: 2026-02-03 | </w:t>
      </w:r>
      <w:r>
        <w:t xml:space="preserve">链接: </w:t>
      </w:r>
      <w:hyperlink r:id="rId25">
        <w:r>
          <w:rPr>
            <w:rFonts w:ascii="Times New Roman" w:hAnsi="Times New Roman" w:eastAsia="宋体"/>
            <w:color w:val="0000FF"/>
            <w:sz w:val="21"/>
            <w:u w:val="single"/>
          </w:rPr>
          <w:t>https://doi.org/10.1364/ao.580653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使用单个可调谐二极管激光器的聚焦激光差分干涉仪（FLDI）系统已在实验室中组装和测试，以便对高频流密度波动和其他稳定流特性进行近同步和共线测量。可调谐二极管发射近 760 nm 波长的光，可探测分子氧（许多风洞设施中普遍存在的气体种类）的 A 波段吸收光谱，从而避免了这些测量中使用流动播种的需要。使用具有 100% O 2 的压力控制测试单元对非聚焦 LDI 和聚焦版本的吸收干涉仪系统进行了测试，两个系统均在 0.01 atm 至 0.3 atm 的测试范围内准确测量压力，而使用 FLDI 系统的压力估计具有更高的不确定性。还观察到了 LDI 和 FLDI 系统干涉仪方面的预期操作，其中 LDI 系统表现出对沿光束路径的压缩空气射流的恒定灵敏度，而 FLDI 系统表现出过滤远离焦点平面的信号的能力。在 NASA 兰利研究中心的探头校准隧道对该系统进行了进一步测试，用于评估激光调制的各种选项及其对测量的干涉仪和吸收部分的影响。该系统演示了直接吸收和波长调制技术，并讨论了每种方法的优点和缺点。</w:t>
      </w:r>
    </w:p>
    <w:p>
      <w:pPr>
        <w:spacing w:before="120"/>
      </w:pPr>
      <w:r>
        <w:rPr>
          <w:rFonts w:ascii="Times New Roman" w:hAnsi="Times New Roman" w:eastAsia="宋体"/>
          <w:b/>
          <w:sz w:val="21"/>
        </w:rPr>
        <w:t>English Abstract:</w:t>
      </w:r>
    </w:p>
    <w:p>
      <w:r>
        <w:rPr>
          <w:rFonts w:ascii="Times New Roman" w:hAnsi="Times New Roman" w:eastAsia="宋体"/>
          <w:sz w:val="21"/>
        </w:rPr>
        <w:t>A focused laser differential interferometer (FLDI) system using a single tunable diode laser has been assembled and tested in the lab, in order to make near-simultaneous and colinear measurements of high-frequency flow density fluctuations and other steady flow properties. The tunable diode, emitting near 760 nm, probes the A-band absorption spectrum of molecular oxygen, a gas species ubiquitous in many wind tunnel facilities, avoiding the need for flow seeding for these measurements. Non-focused LDI and focused versions of the absorption interferometer system were tested using a pressure-controlled test cell with 100% O 2 , where both systems accurately measured the pressure over the tested range from 0.01 atm to 0.3 atm, with higher uncertainties in pressure estimates using the FLDI system. The expected operation of the interferometer aspect of LDI and FLDI systems was also observed, where the LDI system demonstrated constant sensitivity to a compressed air jet along the beam path, whereas the FLDI system demonstrated the ability to filter the signal away from the plane of focus. Further testing of the system at NASA Langley Research Center’s Probe Calibration Tunnel was used to evaluate various options for laser modulation and their impact on the interferometer and absorption portions of the measurement. Both direct absorption and wavelength modulation techniques are demonstrated for this system, as well as a discussion of the benefits and drawbacks of each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SNG超表面增强两端硅石墨烯太赫兹天线，具有波束倾斜、圆极化和隔离改进功能</w:t>
      </w:r>
    </w:p>
    <w:p>
      <w:r>
        <w:rPr>
          <w:rFonts w:ascii="Times New Roman" w:hAnsi="Times New Roman" w:eastAsia="宋体"/>
          <w:b/>
          <w:color w:val="003264"/>
          <w:sz w:val="24"/>
        </w:rPr>
        <w:t>SNG metasurface-enhanced two-terminal silicon–graphene THz antenna with beam tilting, circular polarization, and isolation improvement</w:t>
      </w:r>
    </w:p>
    <w:p>
      <w:r>
        <w:rPr>
          <w:rFonts w:ascii="Times New Roman" w:hAnsi="Times New Roman" w:eastAsia="宋体"/>
          <w:sz w:val="21"/>
        </w:rPr>
        <w:t>作者: P. Narahari Sastry, A. Krishna Kumar, D. Deepika, M. Lakshmi Narasimha Charyulu, Vivek Singh Kushwah, M. Ramana Reddy</w:t>
        <w:br/>
      </w:r>
      <w:r>
        <w:rPr>
          <w:rFonts w:ascii="Times New Roman" w:hAnsi="Times New Roman" w:eastAsia="宋体"/>
          <w:sz w:val="21"/>
        </w:rPr>
        <w:t xml:space="preserve">时间: 2026-01-27 | </w:t>
      </w:r>
      <w:r>
        <w:t xml:space="preserve">链接: </w:t>
      </w:r>
      <w:hyperlink r:id="rId93">
        <w:r>
          <w:rPr>
            <w:rFonts w:ascii="Times New Roman" w:hAnsi="Times New Roman" w:eastAsia="宋体"/>
            <w:color w:val="0000FF"/>
            <w:sz w:val="21"/>
            <w:u w:val="single"/>
          </w:rPr>
          <w:t>https://doi.org/10.1364/ao.582729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在这项研究中，设计并分析了一种工作在太赫兹（THz）频率范围内、通过圆形孔径激励的两端电介质天线。悬挂式单负超表面允许在 3.19-3.55 THz 频段内实现圆极化 (CP)，同时将天线端子之间的隔离度提高 30 dB 以上，并且在端口之间集成超表面 (MS) 构建的角反射器，以实现 ±45 ∘ 波束倾斜，从而提高模式多样性。这是所提出的天线的三个主要创新。此外，硅电介质上涂有一层石墨烯小涂层，以实现频率重新配置。 HFSS 和 CST 仿真结果验证了天线在 2.61 至 3.91 THz 范围内高效运行，在整个频谱范围内保持一致的远场和 MIMO 性能。建议的散热器对于太赫兹构建的 6G 通信系统来说是一个有前途的选择。</w:t>
      </w:r>
    </w:p>
    <w:p>
      <w:pPr>
        <w:spacing w:before="120"/>
      </w:pPr>
      <w:r>
        <w:rPr>
          <w:rFonts w:ascii="Times New Roman" w:hAnsi="Times New Roman" w:eastAsia="宋体"/>
          <w:b/>
          <w:sz w:val="21"/>
        </w:rPr>
        <w:t>English Abstract:</w:t>
      </w:r>
    </w:p>
    <w:p>
      <w:r>
        <w:rPr>
          <w:rFonts w:ascii="Times New Roman" w:hAnsi="Times New Roman" w:eastAsia="宋体"/>
          <w:sz w:val="21"/>
        </w:rPr>
        <w:t>In this study, a two-terminal dielectric antenna working in the terahertz (THz) frequency range that is stimulated via a circular aperture is designed and analyzed. A hanged single negative metasurface allows circular polarization (CP) in the 3.19–3.55 THz band, along with improving isolation between antenna terminals by more than 30 dB, and a metasurface (MS)-built corner reflector is integrated between the ports to achieve a ±45 ∘ beam tilt, which improves pattern diversity. These are the three main innovations of the proposed antenna. Additionally, a small coating of graphene is applied to the silicon dielectric to enable frequency reconfiguration. The HFSS and CST simulation results verify that the antenna functions efficiently between 2.61 and 3.91 THz, sustaining consistent far-field and MIMO performance throughout the spectrum. The suggested radiator is a promising option for the THz built 6G communication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氨火焰中温度和浓度的稀疏断层扫描重建</w:t>
      </w:r>
    </w:p>
    <w:p>
      <w:r>
        <w:rPr>
          <w:rFonts w:ascii="Times New Roman" w:hAnsi="Times New Roman" w:eastAsia="宋体"/>
          <w:b/>
          <w:color w:val="003264"/>
          <w:sz w:val="24"/>
        </w:rPr>
        <w:t>Sparse tomographic reconstruction of temperature and concentration in ammonia flames</w:t>
      </w:r>
    </w:p>
    <w:p>
      <w:r>
        <w:rPr>
          <w:rFonts w:ascii="Times New Roman" w:hAnsi="Times New Roman" w:eastAsia="宋体"/>
          <w:sz w:val="21"/>
        </w:rPr>
        <w:t>作者: Samuel E. Feltis, Mirka M. Mandich, Bilge Kaan Gokcecik, Zhili Zhang</w:t>
        <w:br/>
      </w:r>
      <w:r>
        <w:rPr>
          <w:rFonts w:ascii="Times New Roman" w:hAnsi="Times New Roman" w:eastAsia="宋体"/>
          <w:sz w:val="21"/>
        </w:rPr>
        <w:t xml:space="preserve">时间: 2026-01-27 | </w:t>
      </w:r>
      <w:r>
        <w:t xml:space="preserve">链接: </w:t>
      </w:r>
      <w:hyperlink r:id="rId94">
        <w:r>
          <w:rPr>
            <w:rFonts w:ascii="Times New Roman" w:hAnsi="Times New Roman" w:eastAsia="宋体"/>
            <w:color w:val="0000FF"/>
            <w:sz w:val="21"/>
            <w:u w:val="single"/>
          </w:rPr>
          <w:t>https://doi.org/10.1364/ao.579901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使用空间稀疏激光吸收光谱和代数重建断层扫描 (ART) 在 Hencken 燃烧器中的稳态富 NH 3 -O 2 空气火焰中重建二维温度和一氧化氮浓度场。使用分别以 5.263 和 5.397μm 为中心的两个量子级联激光器探测火焰，以获得稀疏视线吸光度测量。数据是在氨火焰上以 0.7 至 1.3 的当量比（以 0.1 增量）、离散偏移位置 (0−12.25mm) 以及燃烧器表面上方的三个轴向高度（1、2 和 3cm）处获取的。使用 ART 处理生成的有限角度、欠定数据集以恢复二维场。温度场通过两线测温获得。这项工作证明了稀疏断层扫描方法用于反应流中空间分辨诊断的可行性和有效性，特别是在完整​​数据覆盖可能不切实际的环境中。</w:t>
      </w:r>
    </w:p>
    <w:p>
      <w:pPr>
        <w:spacing w:before="120"/>
      </w:pPr>
      <w:r>
        <w:rPr>
          <w:rFonts w:ascii="Times New Roman" w:hAnsi="Times New Roman" w:eastAsia="宋体"/>
          <w:b/>
          <w:sz w:val="21"/>
        </w:rPr>
        <w:t>English Abstract:</w:t>
      </w:r>
    </w:p>
    <w:p>
      <w:r>
        <w:rPr>
          <w:rFonts w:ascii="Times New Roman" w:hAnsi="Times New Roman" w:eastAsia="宋体"/>
          <w:sz w:val="21"/>
        </w:rPr>
        <w:t>Two-dimensional temperature and nitric oxide concentration fields are reconstructed in a steady-state NH 3 −O 2 -enriched air flame in a Hencken burner using spatially sparse laser absorption spectroscopy and algebraic reconstruction tomography (ART). The flame is probed with two quantum cascade lasers centered at 5.263 and 5.397µm, respectively, to obtain sparse line-of-sight absorbance measurements. Data are taken across the ammonia flame at equivalence ratios ranging from 0.7 to 1.3 in 0.1 increments, at discrete offset positions (0−12.25mm), and at three axial heights (1, 2, and 3cm) above the burner surface. The resulting limited-angle, underdetermined dataset is processed using ART to recover two-dimensional fields. The temperature field is obtained by two-line thermometry. This work demonstrates the feasibility and effectiveness of sparse tomographic methods for spatially resolved diagnostics in reactive flows, particularly in environments where full data coverage may be impractical.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00:28 ---</w:t>
      </w:r>
    </w:p>
    <w:p>
      <w:pPr>
        <w:pStyle w:val="Heading2"/>
      </w:pPr>
      <w:r/>
      <w:r>
        <w:rPr>
          <w:rFonts w:ascii="Times New Roman" w:hAnsi="Times New Roman" w:eastAsia="宋体"/>
          <w:b/>
          <w:color w:val="000000"/>
          <w:sz w:val="24"/>
        </w:rPr>
        <w:t>统一分数拉盖尔-高斯光束</w:t>
      </w:r>
    </w:p>
    <w:p>
      <w:r>
        <w:rPr>
          <w:rFonts w:ascii="Times New Roman" w:hAnsi="Times New Roman" w:eastAsia="宋体"/>
          <w:b/>
          <w:color w:val="003264"/>
          <w:sz w:val="24"/>
        </w:rPr>
        <w:t>Unified fractional Laguerre–Gaussian beams</w:t>
      </w:r>
    </w:p>
    <w:p>
      <w:r>
        <w:rPr>
          <w:rFonts w:ascii="Times New Roman" w:hAnsi="Times New Roman" w:eastAsia="宋体"/>
          <w:sz w:val="21"/>
        </w:rPr>
        <w:t>作者: Javier Alejandro Pérez-Garza, Pedro Oliva-Sanchez, Ruben Aguilar-Marquez, Servando López-Aguayo</w:t>
        <w:br/>
      </w:r>
      <w:r>
        <w:rPr>
          <w:rFonts w:ascii="Times New Roman" w:hAnsi="Times New Roman" w:eastAsia="宋体"/>
          <w:sz w:val="21"/>
        </w:rPr>
        <w:t xml:space="preserve">时间: 2026-01-27 | </w:t>
      </w:r>
      <w:r>
        <w:t xml:space="preserve">链接: </w:t>
      </w:r>
      <w:hyperlink r:id="rId26">
        <w:r>
          <w:rPr>
            <w:rFonts w:ascii="Times New Roman" w:hAnsi="Times New Roman" w:eastAsia="宋体"/>
            <w:color w:val="0000FF"/>
            <w:sz w:val="21"/>
            <w:u w:val="single"/>
          </w:rPr>
          <w:t>https://doi.org/10.1364/ol.578134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傅立叶-拉普拉斯分数阶框架，该框架通过精确的近轴解将标准和优雅的拉盖尔-高斯族统一起来。通过施加高斯型包络约束，我们恢复整数索引标准模式，并同时生成具有分数径向顺序的有界、优雅的分支。利用切比雪夫结构探索了方位角依赖性，并通过整数轨道角动量 (OAM) 模式的香农-正弦叠加来物理实现，该叠加保留了单值性，但实现了连续可调的平均 OAM。我们推导了封闭形式的归一化场，在数值上验证了它们的自由空间传播，并揭示了标准分支和优雅分支之间的 OAM 简并性，每个分支都表现出独特的横向鲁棒性。</w:t>
      </w:r>
    </w:p>
    <w:p>
      <w:pPr>
        <w:spacing w:before="120"/>
      </w:pPr>
      <w:r>
        <w:rPr>
          <w:rFonts w:ascii="Times New Roman" w:hAnsi="Times New Roman" w:eastAsia="宋体"/>
          <w:b/>
          <w:sz w:val="21"/>
        </w:rPr>
        <w:t>English Abstract:</w:t>
      </w:r>
    </w:p>
    <w:p>
      <w:r>
        <w:rPr>
          <w:rFonts w:ascii="Times New Roman" w:hAnsi="Times New Roman" w:eastAsia="宋体"/>
          <w:sz w:val="21"/>
        </w:rPr>
        <w:t>We introduce a Fourier–Laplace fractional framework that unifies the standard and elegant Laguerre–Gaussian families through exact paraxial solutions. By imposing a Gaussian-type envelope constraint, we recover the integer-indexed standard modes and simultaneously generate a bounded, elegant branch with fractional-radial order. The azimuthal dependence is explored with Chebyshev structures and realized physically through a Shannon–sinc superposition of integer orbital-angular-momentum (OAM) modes, which preserves single-valuedness yet enables continuously tunable mean OAM. We derive closed-form normalized fields, numerically validate their free-space propagation, and uncover an OAM degeneracy between the standard and elegant branches, each exhibiting distinct transverse robustness.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超短 X 射线脉冲形状对多原子系统衍射的影响</w:t>
      </w:r>
    </w:p>
    <w:p>
      <w:r>
        <w:rPr>
          <w:rFonts w:ascii="Times New Roman" w:hAnsi="Times New Roman" w:eastAsia="宋体"/>
          <w:b/>
          <w:color w:val="003264"/>
          <w:sz w:val="24"/>
        </w:rPr>
        <w:t>Influence of the shape of ultrashort X-ray pulses on diffraction in polyatomic systems</w:t>
      </w:r>
    </w:p>
    <w:p>
      <w:r>
        <w:rPr>
          <w:rFonts w:ascii="Times New Roman" w:hAnsi="Times New Roman" w:eastAsia="宋体"/>
          <w:sz w:val="21"/>
        </w:rPr>
        <w:t>作者: D. N. Makarov, M. K. Eseev, E. S. Gusarevich, A. A. Kharlamova</w:t>
        <w:br/>
      </w:r>
      <w:r>
        <w:rPr>
          <w:rFonts w:ascii="Times New Roman" w:hAnsi="Times New Roman" w:eastAsia="宋体"/>
          <w:sz w:val="21"/>
        </w:rPr>
        <w:t xml:space="preserve">时间: 2026-02-03 | </w:t>
      </w:r>
      <w:r>
        <w:t xml:space="preserve">链接: </w:t>
      </w:r>
      <w:hyperlink r:id="rId27">
        <w:r>
          <w:rPr>
            <w:rFonts w:ascii="Times New Roman" w:hAnsi="Times New Roman" w:eastAsia="宋体"/>
            <w:color w:val="0000FF"/>
            <w:sz w:val="21"/>
            <w:u w:val="single"/>
          </w:rPr>
          <w:t>https://doi.org/10.1364/ol.582649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由于新的脉冲源的出现，超短 X 射线脉冲在研究物质结构方面的应用最近变得越来越重要。在结构研究中通常很少考虑脉冲持续时间，并且其形状的影响实际上仍未被探索。本文证明，当在多原子系统上散射超短 X 射线脉冲时，脉冲形状是使用阿秒脉冲时的一个重要特征。还表明，脉冲形状对散射光谱的影响可以用简单的分析形式表示。例如，考虑具有 NV 中心的金刚石晶体和 DNA 分子片段对三个不同形状的超短脉冲的散射。</w:t>
      </w:r>
    </w:p>
    <w:p>
      <w:pPr>
        <w:spacing w:before="120"/>
      </w:pPr>
      <w:r>
        <w:rPr>
          <w:rFonts w:ascii="Times New Roman" w:hAnsi="Times New Roman" w:eastAsia="宋体"/>
          <w:b/>
          <w:sz w:val="21"/>
        </w:rPr>
        <w:t>English Abstract:</w:t>
      </w:r>
    </w:p>
    <w:p>
      <w:r>
        <w:rPr>
          <w:rFonts w:ascii="Times New Roman" w:hAnsi="Times New Roman" w:eastAsia="宋体"/>
          <w:sz w:val="21"/>
        </w:rPr>
        <w:t>The use of ultrashort X-ray pulses in studying the structure of matter has recently gained increasing relevance due to the emergence of new sources of such pulses. Pulse duration is typically rarely considered in structural studies, and the influence of its shape remains virtually unexplored. This article demonstrates that, when scattering ultrashort X-ray pulses on polyatomic systems, pulse shape is an important characteristic when using attosecond pulses. It is also shown that the influence of pulse shape on scattering spectra can be represented in a simple analytical form. As an example, the scattering of three ultrashort pulses of different shapes by a diamond crystal with NV centers and a fragment of a DNA molecule is considered.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基于彩色图像的蜡烛火焰多光谱重建方法研究</w:t>
      </w:r>
    </w:p>
    <w:p>
      <w:r>
        <w:rPr>
          <w:rFonts w:ascii="Times New Roman" w:hAnsi="Times New Roman" w:eastAsia="宋体"/>
          <w:b/>
          <w:color w:val="003264"/>
          <w:sz w:val="24"/>
        </w:rPr>
        <w:t>Research on color image-based multispectral reconstruction methods for candle flames</w:t>
      </w:r>
    </w:p>
    <w:p>
      <w:r>
        <w:rPr>
          <w:rFonts w:ascii="Times New Roman" w:hAnsi="Times New Roman" w:eastAsia="宋体"/>
          <w:sz w:val="21"/>
        </w:rPr>
        <w:t>作者: Zehui Yang, Zhixin Wang, Hu Ni, Hua Yan, Bin Yang</w:t>
        <w:br/>
      </w:r>
      <w:r>
        <w:rPr>
          <w:rFonts w:ascii="Times New Roman" w:hAnsi="Times New Roman" w:eastAsia="宋体"/>
          <w:sz w:val="21"/>
        </w:rPr>
        <w:t xml:space="preserve">时间: 2026-01-20 | </w:t>
      </w:r>
      <w:r>
        <w:t xml:space="preserve">链接: </w:t>
      </w:r>
      <w:hyperlink r:id="rId188">
        <w:r>
          <w:rPr>
            <w:rFonts w:ascii="Times New Roman" w:hAnsi="Times New Roman" w:eastAsia="宋体"/>
            <w:color w:val="0000FF"/>
            <w:sz w:val="21"/>
            <w:u w:val="single"/>
          </w:rPr>
          <w:t>https://doi.org/10.1364/ol.586780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针对彩色RGB三波段辐射图像温度测量光谱分辨率低的问题，提出一种基于K均值聚类和反向传播神经网络（BPNN）的火焰彩色图像多光谱重建方法。建立了一个带有 RGB 相机和 25 波段多光谱相机的同步成像系统来捕获蜡烛火焰图像。图像分区创建了一个连接三波段 RGB 和 25 波段多光谱响应的训练集。神经网络训练建立了它们之间的映射。蜡烛火焰图像的光谱重建实现了低于 5% 的平均相对误差。温度反演的平均误差为31.5 K，误差分布的平均误差为1.79%，测试集R 2 值为0.97-0.99，证实了模型的较高精度。这项工作证明了将RGB图像的空间优势与多光谱数据的光谱优势相结合的可行性，为动态火焰温度场监测提供了一种新方法。</w:t>
      </w:r>
    </w:p>
    <w:p>
      <w:pPr>
        <w:spacing w:before="120"/>
      </w:pPr>
      <w:r>
        <w:rPr>
          <w:rFonts w:ascii="Times New Roman" w:hAnsi="Times New Roman" w:eastAsia="宋体"/>
          <w:b/>
          <w:sz w:val="21"/>
        </w:rPr>
        <w:t>English Abstract:</w:t>
      </w:r>
    </w:p>
    <w:p>
      <w:r>
        <w:rPr>
          <w:rFonts w:ascii="Times New Roman" w:hAnsi="Times New Roman" w:eastAsia="宋体"/>
          <w:sz w:val="21"/>
        </w:rPr>
        <w:t>A multispectral reconstruction method for flame color images based on K-means clustering and backpropagation neural networks (BPNN) is proposed to overcome the low spectral resolution of temperature measurement using color RGB three-band radiation images. A synchronized imaging system with an RGB camera and a 25-band multispectral camera was built to capture candle flame images. Image partitioning created a training set linking the three-band RGB and 25-band multi-spectral responses. Neural network training established a mapping between them. Spectral reconstruction of the candle flame images achieved an average relative error below 5%. The temperature inversion yielded an average error of 31.5 K, with a mean error of 1.79% in the error distribution, respectively, with test set R 2 values of 0.97–0.99, confirming high model accuracy. This work demonstrates the feasibility of merging the spatial advantages of RGB images with the spectral advantages of multispectral data, offering a new approach for dynamic flame temperature field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基于混合角偏振复用的全息复振幅存储</w:t>
      </w:r>
    </w:p>
    <w:p>
      <w:r>
        <w:rPr>
          <w:rFonts w:ascii="Times New Roman" w:hAnsi="Times New Roman" w:eastAsia="宋体"/>
          <w:b/>
          <w:color w:val="003264"/>
          <w:sz w:val="24"/>
        </w:rPr>
        <w:t>Holographic complex-amplitude storage based on hybrid angle-polarization multiplexing</w:t>
      </w:r>
    </w:p>
    <w:p>
      <w:r>
        <w:rPr>
          <w:rFonts w:ascii="Times New Roman" w:hAnsi="Times New Roman" w:eastAsia="宋体"/>
          <w:sz w:val="21"/>
        </w:rPr>
        <w:t>作者: Xueyan Chen, Hongjie Liu, Shujun Zheng, Jinyu Wang, Ruixian Chen, Shenghui Ke, Xinyi Yuan, Dakui Lin, Yi Yang, Xiaodi Tan</w:t>
        <w:br/>
      </w:r>
      <w:r>
        <w:rPr>
          <w:rFonts w:ascii="Times New Roman" w:hAnsi="Times New Roman" w:eastAsia="宋体"/>
          <w:sz w:val="21"/>
        </w:rPr>
        <w:t xml:space="preserve">时间: 2026-01-28 | </w:t>
      </w:r>
      <w:r>
        <w:t xml:space="preserve">链接: </w:t>
      </w:r>
      <w:hyperlink r:id="rId189">
        <w:r>
          <w:rPr>
            <w:rFonts w:ascii="Times New Roman" w:hAnsi="Times New Roman" w:eastAsia="宋体"/>
            <w:color w:val="0000FF"/>
            <w:sz w:val="21"/>
            <w:u w:val="single"/>
          </w:rPr>
          <w:t>https://doi.org/10.1364/ol.583755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全息光存储的混合复用方法，该方法将复振幅编码与基于偏振和角度的复用相结合，以显着超出传统方法的存储密度和容量。通过利用偏振全息术，可以选择性地将复振幅数据记录到正交偏振通道中。此外，角度复用还应用于在同一空间位置共同记录多个全息图。在读取过程中，每个全息图可以在其特定的布拉格和偏振条件下选择性地重建。值得注意的是，尽管利用了这些度数，重建保真度仍然非常高，退化或串扰可以忽略不计。这展示了一种为下一代数据密集型应用提供高容量、高保真全息存储器的可扩展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hybrid multiplexing method for holographic optical storage that combines complex-amplitude encoding with polarization- and angle-based multiplexing to enhance storage density and capacity significantly beyond conventional approaches. By leveraging polarization holography, complex-amplitude data can be selectively recorded into orthogonal polarization channels. Furthermore, angular multiplexing is also applied to co-record multiple holograms at the same spatial location. During the reading process, each hologram can be selectively reconstructed under its specific Bragg and polarization conditions. Remarkably, despite exploiting these degrees, the reconstruction fidelity remains exceptionally high, with negligible degradation or crosstalk. This demonstrates a scalable route to high‑capacity, high‑fidelity holographic memories for next‑generation data‑intensive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使用飞秒激光贝塞尔光束刻写光纤布拉格光栅</w:t>
      </w:r>
    </w:p>
    <w:p>
      <w:r>
        <w:rPr>
          <w:rFonts w:ascii="Times New Roman" w:hAnsi="Times New Roman" w:eastAsia="宋体"/>
          <w:b/>
          <w:color w:val="003264"/>
          <w:sz w:val="24"/>
        </w:rPr>
        <w:t>Fiber Bragg gratings inscribed using femtosecond laser Bessel beams</w:t>
      </w:r>
    </w:p>
    <w:p>
      <w:r>
        <w:rPr>
          <w:rFonts w:ascii="Times New Roman" w:hAnsi="Times New Roman" w:eastAsia="宋体"/>
          <w:sz w:val="21"/>
        </w:rPr>
        <w:t>作者: Junxian Luo, Xiaoyu Chen, Hanwen Liu, Mengmeng Chen, Fei Xu</w:t>
        <w:br/>
      </w:r>
      <w:r>
        <w:rPr>
          <w:rFonts w:ascii="Times New Roman" w:hAnsi="Times New Roman" w:eastAsia="宋体"/>
          <w:sz w:val="21"/>
        </w:rPr>
        <w:t xml:space="preserve">时间: 2026-01-21 | </w:t>
      </w:r>
      <w:r>
        <w:t xml:space="preserve">链接: </w:t>
      </w:r>
      <w:hyperlink r:id="rId190">
        <w:r>
          <w:rPr>
            <w:rFonts w:ascii="Times New Roman" w:hAnsi="Times New Roman" w:eastAsia="宋体"/>
            <w:color w:val="0000FF"/>
            <w:sz w:val="21"/>
            <w:u w:val="single"/>
          </w:rPr>
          <w:t>https://doi.org/10.1364/ol.586582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由飞秒 (fs) 激光器刻写的光纤布拉格光栅 (FBG) 已成为基于紫外激光的方法的重要替代方案，为各种光纤类型提供了灵活性。然而，现有的飞秒激光刻印策略仍然面临速度和光谱质量之间的权衡，限制了它们在大规模光子系统中的应用。在这项工作中，我们展示了一种专门为光纤光栅制造量身定制的基于贝塞尔光束的刻写方法。通过利用贝塞尔光束的长焦距与飞行时间逐行 (LbL) 策略相结合，可以以比传统 LbL 方法高得多的速度写入 FBG，同时保持良好的光谱质量（改善短波长损耗）。此外，我们将这种方法扩展到商用多包层七芯光纤（SCF）中的逐平面（PlbPl）刻录，从而能够同时制造多个光纤光栅，而无需专用的逐芯横向对准。结果展示了基于贝塞尔光束的铭刻在特定光纤约束下的价值，以及实现高速、低损耗和多芯兼容 FBG 制造的实用途径。</w:t>
      </w:r>
    </w:p>
    <w:p>
      <w:pPr>
        <w:spacing w:before="120"/>
      </w:pPr>
      <w:r>
        <w:rPr>
          <w:rFonts w:ascii="Times New Roman" w:hAnsi="Times New Roman" w:eastAsia="宋体"/>
          <w:b/>
          <w:sz w:val="21"/>
        </w:rPr>
        <w:t>English Abstract:</w:t>
      </w:r>
    </w:p>
    <w:p>
      <w:r>
        <w:rPr>
          <w:rFonts w:ascii="Times New Roman" w:hAnsi="Times New Roman" w:eastAsia="宋体"/>
          <w:sz w:val="21"/>
        </w:rPr>
        <w:t>Fiber Bragg gratings (FBGs) inscribed by femtosecond (fs) lasers have become an important alternative to ultraviolet laser-based methods, offering flexibility across a wide range of fiber types. However, existing fs laser inscription strategies still face a tradeoff between speed and spectral quality, limiting their application in large-scale photonic systems. In this work, we demonstrate a Bessel-beam-based inscription approach specifically tailored for FBG fabrication. By exploiting the long focus length of the Bessel beam in combination with a time-of-flight line-by-line (LbL) strategy, FBGs can be written at significantly higher speeds than conventional LbL methods while retaining good spectral quality (improved short-wavelength loss). Furthermore, we extend this approach to plane-by-plane (PlbPl) inscription in a commercial multi-cladding, seven-core fiber (SCF), enabling the simultaneous fabrication of multiple FBGs without dedicated core-by-core lateral alignment. The results exhibit the value of Bessel-beam-based inscription under fiber-specific constraints and a practical route toward high-speed, low-loss, and multi-core-compatible FBG 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通过紧凑边缘模式的拓扑红欧曼德尔干涉</w:t>
      </w:r>
    </w:p>
    <w:p>
      <w:r>
        <w:rPr>
          <w:rFonts w:ascii="Times New Roman" w:hAnsi="Times New Roman" w:eastAsia="宋体"/>
          <w:b/>
          <w:color w:val="003264"/>
          <w:sz w:val="24"/>
        </w:rPr>
        <w:t>Topological Hong-Ou-Mandel interference via compact edge modes</w:t>
      </w:r>
    </w:p>
    <w:p>
      <w:r>
        <w:rPr>
          <w:rFonts w:ascii="Times New Roman" w:hAnsi="Times New Roman" w:eastAsia="宋体"/>
          <w:sz w:val="21"/>
        </w:rPr>
        <w:t>作者: Shuai-Peng Guo, Cheng-Feng Yang, Chuang Jiang, Jia-Sheng Li, Shaolin Ke, Zhen-Nan Tian</w:t>
        <w:br/>
      </w:r>
      <w:r>
        <w:rPr>
          <w:rFonts w:ascii="Times New Roman" w:hAnsi="Times New Roman" w:eastAsia="宋体"/>
          <w:sz w:val="21"/>
        </w:rPr>
        <w:t xml:space="preserve">时间: 2026-01-27 | </w:t>
      </w:r>
      <w:r>
        <w:t xml:space="preserve">链接: </w:t>
      </w:r>
      <w:hyperlink r:id="rId191">
        <w:r>
          <w:rPr>
            <w:rFonts w:ascii="Times New Roman" w:hAnsi="Times New Roman" w:eastAsia="宋体"/>
            <w:color w:val="0000FF"/>
            <w:sz w:val="21"/>
            <w:u w:val="single"/>
          </w:rPr>
          <w:t>https://doi.org/10.1364/ol.587730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我们提出了一种基于合成通量诱导拓扑边缘模式的方案，用于实现长周期光栅波导中空间偏振模式之间的红欧曼德尔（HOM）干涉。通过设计光栅的相对调制相位，生成可调谐的合成磁通量，从而实现 TE 和 TM 模式之间的受控转换，并形成有效的模式晶格。在 π 通量下，耦合波导系统支持紧凑、高度局域化的拓扑边缘模式。利用这些边界态，我们实现了具有接近统一可见度的 HOM 干扰，该干扰对传播距离不敏感，并且对耦合系数的变化具有鲁棒性。这些结果可能为容错片上光子量子电路提供一条途径。</w:t>
      </w:r>
    </w:p>
    <w:p>
      <w:pPr>
        <w:spacing w:before="120"/>
      </w:pPr>
      <w:r>
        <w:rPr>
          <w:rFonts w:ascii="Times New Roman" w:hAnsi="Times New Roman" w:eastAsia="宋体"/>
          <w:b/>
          <w:sz w:val="21"/>
        </w:rPr>
        <w:t>English Abstract:</w:t>
      </w:r>
    </w:p>
    <w:p>
      <w:r>
        <w:rPr>
          <w:rFonts w:ascii="Times New Roman" w:hAnsi="Times New Roman" w:eastAsia="宋体"/>
          <w:sz w:val="21"/>
        </w:rPr>
        <w:t>We propose a scheme based on synthetic-flux–induced topological edge modes for realizing Hong–Ou–Mandel (HOM) interference between spatial polarization modes in a long-period grating waveguide. By engineering the relative modulation phase of the gratings, a tunable synthetic magnetic flux is generated, enabling controlled conversion between the TE and TM modes and forming an effective mode lattice. At a flux of π, the coupled-waveguide system supports compact, highly localized topological edge modes. Harnessing these boundary states, we achieve HOM interference with near-unity visibility that is insensitive to propagation distance and robust against variations of the coupling coefficients. These results may provide a route for fault-tolerant on-chip photonic quantum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具有高精度光学腔的法布里-珀罗干涉超声波传感器实现超低检测限</w:t>
      </w:r>
    </w:p>
    <w:p>
      <w:r>
        <w:rPr>
          <w:rFonts w:ascii="Times New Roman" w:hAnsi="Times New Roman" w:eastAsia="宋体"/>
          <w:b/>
          <w:color w:val="003264"/>
          <w:sz w:val="24"/>
        </w:rPr>
        <w:t>Achieving ultralow detection limit in Fabry–Perot interferometric ultrasonic sensors with a high-finesse optical cavity</w:t>
      </w:r>
    </w:p>
    <w:p>
      <w:r>
        <w:rPr>
          <w:rFonts w:ascii="Times New Roman" w:hAnsi="Times New Roman" w:eastAsia="宋体"/>
          <w:sz w:val="21"/>
        </w:rPr>
        <w:t>作者: Zhicheng Wu, Zhengnan Sun, Junjie Zhou, Jinyang He, Yuhao Luo, Ruofan Yang, Ke Zhao, Qiaogen Zhang</w:t>
        <w:br/>
      </w:r>
      <w:r>
        <w:rPr>
          <w:rFonts w:ascii="Times New Roman" w:hAnsi="Times New Roman" w:eastAsia="宋体"/>
          <w:sz w:val="21"/>
        </w:rPr>
        <w:t xml:space="preserve">时间: 2026-01-29 | </w:t>
      </w:r>
      <w:r>
        <w:t xml:space="preserve">链接: </w:t>
      </w:r>
      <w:hyperlink r:id="rId192">
        <w:r>
          <w:rPr>
            <w:rFonts w:ascii="Times New Roman" w:hAnsi="Times New Roman" w:eastAsia="宋体"/>
            <w:color w:val="0000FF"/>
            <w:sz w:val="21"/>
            <w:u w:val="single"/>
          </w:rPr>
          <w:t>https://doi.org/10.1364/ol.585241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满足超声波检测中超低检测限的迫切需求，构建高精度光学腔已成为提高外本征法布里-珀罗干涉（EFPI）声学传感器灵敏度的有效方法。这需要同时实现高光束准直和法布里-珀罗（F-P）腔的高反射率。在这封信中，这两个方面被解耦：使用渐变折射率（GRIN）透镜来实现光束准直，同时采用微机电系统（MEMS）技术来制造高反射率光学腔。通过在设计过程中使用角谱方法考虑衍射和制造误差，制造了光学腔精细度为 25 的 EFPI 声学传感器。该传感器在保持 26.46 nm/Pa 机械灵敏度的同时，在 32.7 kHz 谐振频率下实现了 3.92V/Pa 的显着增强灵敏度，最小可检测压力 (MDP) 低至 1.03 μPa/√Hz，与报道的 EFPI 传感器相比，展现了领先的性能。通过利用高精度光学腔进一步提高传感器灵敏度，同时保持其机械灵敏度，所提出的方法在局部放电检测和工业无损检测等领域展现出巨大的应用潜力。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To address the pressing need for ultralow detection limits in ultrasonic detection, constructing a high-finesse optical cavity has become an effective approach to enhance the sensitivity of Extrinsic Fabry–Perot Interferometric (EFPI) acoustic sensors. This requires the simultaneous achievement of high beam collimation and high reflectivity of the Fabry–Perot (F–P) cavity. In this Letter, these two aspects are decoupled: a graded index (GRIN) lens is used to achieve beam collimation, while microelectromechanical system (MEMS) technology is employed to fabricate the high-reflectivity optical cavity. By accounting for diffraction and fabrication errors using the angular spectrum method in the design process, an EFPI acoustic sensor with an optical cavity finesse of 25 was fabricated. While maintaining a mechanical sensitivity of 26.46 nm/Pa, the sensor achieves a significantly enhanced sensitivity of 3.92V/Pa at the resonant frequency 32.7 kHz, with a minimum detectable pressure (MDP) as low as 1.03 μPa/√Hz, demonstrating leading-edge performance compared to reported EFPI sensors. By utilizing a high-finesse optical cavity to provide a further boost to the sensor sensitivity while preserving its mechanical sensitivity, the proposed method demonstrates significant application potential in areas such as partial discharge detection and industrial non-destructive testing.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使用自适应光学器件和轴抛物线快速可调超宽带飞行焦点</w:t>
      </w:r>
    </w:p>
    <w:p>
      <w:r>
        <w:rPr>
          <w:rFonts w:ascii="Times New Roman" w:hAnsi="Times New Roman" w:eastAsia="宋体"/>
          <w:b/>
          <w:color w:val="003264"/>
          <w:sz w:val="24"/>
        </w:rPr>
        <w:t>Rapidly tunable ultrabroadband flying focus using adaptive optics and an axiparabola</w:t>
      </w:r>
    </w:p>
    <w:p>
      <w:r>
        <w:rPr>
          <w:rFonts w:ascii="Times New Roman" w:hAnsi="Times New Roman" w:eastAsia="宋体"/>
          <w:sz w:val="21"/>
        </w:rPr>
        <w:t>作者: H. S. Markland, J. Rosenbluth, R. Boni, M. V. Ambat, C. Dorrer, J. P. Palastro, D. H. Froula, J. J. Pigeon</w:t>
        <w:br/>
      </w:r>
      <w:r>
        <w:rPr>
          <w:rFonts w:ascii="Times New Roman" w:hAnsi="Times New Roman" w:eastAsia="宋体"/>
          <w:sz w:val="21"/>
        </w:rPr>
        <w:t xml:space="preserve">时间: 2026-01-27 | </w:t>
      </w:r>
      <w:r>
        <w:t xml:space="preserve">链接: </w:t>
      </w:r>
      <w:hyperlink r:id="rId193">
        <w:r>
          <w:rPr>
            <w:rFonts w:ascii="Times New Roman" w:hAnsi="Times New Roman" w:eastAsia="宋体"/>
            <w:color w:val="0000FF"/>
            <w:sz w:val="21"/>
            <w:u w:val="single"/>
          </w:rPr>
          <w:t>https://doi.org/10.1364/ol.585270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自适应光学器件和带有连续波超发光二极管的轴抛物线产生了可编程超宽带飞行焦点。使用可变形镜和空间光调制器来添加可编程量的径向群延迟，并使用轴抛物线通过赋予球面像差来创建扩展的焦点。使用光谱干涉测量法测量了三种不同的飞焦点轨迹，两种具有匀速速度，一种具有加速速度。单独飞焦光学器件的时间响应函数宽度经计算为 52 ± 6 fs，并且通过扩展焦点测量焦斑尺寸比衍射极限光斑尺寸大 (1.2 ± 0.1) ×。</w:t>
      </w:r>
    </w:p>
    <w:p>
      <w:pPr>
        <w:spacing w:before="120"/>
      </w:pPr>
      <w:r>
        <w:rPr>
          <w:rFonts w:ascii="Times New Roman" w:hAnsi="Times New Roman" w:eastAsia="宋体"/>
          <w:b/>
          <w:sz w:val="21"/>
        </w:rPr>
        <w:t>English Abstract:</w:t>
      </w:r>
    </w:p>
    <w:p>
      <w:r>
        <w:rPr>
          <w:rFonts w:ascii="Times New Roman" w:hAnsi="Times New Roman" w:eastAsia="宋体"/>
          <w:sz w:val="21"/>
        </w:rPr>
        <w:t>A programmable ultrabroadband flying focus was produced using adaptive optics and an axiparabola with a continuous wave superluminescent diode. A deformable mirror and spatial light modulator were used to add a programmable amount of radial group delay, and an axiparabola was used to create an extended focus by imparting spherical aberration. Three different flying focus trajectories were measured using spectral interferometry, two with uniform velocity and one with an accelerating velocity. The temporal response function width of the flying focus optics alone was calculated to be 52 ± 6 fs, and the focal spot size was measured to be (1.2 ± 0.1) × larger than the diffraction-limited spot size through the extended focus.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基于非线性波导自相位调制的光子柯尔莫哥洛夫-阿诺德网络</w:t>
      </w:r>
    </w:p>
    <w:p>
      <w:r>
        <w:rPr>
          <w:rFonts w:ascii="Times New Roman" w:hAnsi="Times New Roman" w:eastAsia="宋体"/>
          <w:b/>
          <w:color w:val="003264"/>
          <w:sz w:val="24"/>
        </w:rPr>
        <w:t>Photonic Kolmogorov-Arnold networks based on self-phase modulation in nonlinear waveguides</w:t>
      </w:r>
    </w:p>
    <w:p>
      <w:r>
        <w:rPr>
          <w:rFonts w:ascii="Times New Roman" w:hAnsi="Times New Roman" w:eastAsia="宋体"/>
          <w:sz w:val="21"/>
        </w:rPr>
        <w:t>作者: Kostas Sozos, Dimitrios Spanos, Stavros Deligiannidis, George Sarantoglou, Nikolaos Passalis, Nikos Pleros, Charis Mesaritakis, Anastasios Tefas, Adonis Bogris</w:t>
        <w:br/>
      </w:r>
      <w:r>
        <w:rPr>
          <w:rFonts w:ascii="Times New Roman" w:hAnsi="Times New Roman" w:eastAsia="宋体"/>
          <w:sz w:val="21"/>
        </w:rPr>
        <w:t xml:space="preserve">时间: 2026-01-27 | </w:t>
      </w:r>
      <w:r>
        <w:t xml:space="preserve">链接: </w:t>
      </w:r>
      <w:hyperlink r:id="rId194">
        <w:r>
          <w:rPr>
            <w:rFonts w:ascii="Times New Roman" w:hAnsi="Times New Roman" w:eastAsia="宋体"/>
            <w:color w:val="0000FF"/>
            <w:sz w:val="21"/>
            <w:u w:val="single"/>
          </w:rPr>
          <w:t>https://doi.org/10.1364/ol.584316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在过去的十年中，光子神经网络引起了人们的浓厚兴趣，大量的命题试图模仿各种形式的已建立的数字模型。该领域设想依靠光子学的巨大能力实现低功耗、低延迟、高度并行化的硬件实现。最近提出了 Kolmogorov-Arnold 网络，与传统的多层感知器相比，它提供了改进的可扩展性和可解释性。从这个角度来看，柯尔莫哥洛夫-阿诺德网络构成了一个有前途的领域，可以利用光子的全部优势，减轻可扩展性障碍。在这里，我们提出并通过实验展示了非线性波导中自相位调制作为任意非线性激活函数的多功能生成器的潜力，用于柯尔莫哥洛夫-阿诺德网络的超快光子实现。所提出方法的有效性在回归和分类任务中得到了证明，其中光子实现与数字性能相匹配，并且在特定情况下超越了我们比较中使用的数字基线。</w:t>
      </w:r>
    </w:p>
    <w:p>
      <w:pPr>
        <w:spacing w:before="120"/>
      </w:pPr>
      <w:r>
        <w:rPr>
          <w:rFonts w:ascii="Times New Roman" w:hAnsi="Times New Roman" w:eastAsia="宋体"/>
          <w:b/>
          <w:sz w:val="21"/>
        </w:rPr>
        <w:t>English Abstract:</w:t>
      </w:r>
    </w:p>
    <w:p>
      <w:r>
        <w:rPr>
          <w:rFonts w:ascii="Times New Roman" w:hAnsi="Times New Roman" w:eastAsia="宋体"/>
          <w:sz w:val="21"/>
        </w:rPr>
        <w:t>Photonic neural networks have attracted intense interest during the past decade, with an extensive number of propositions trying to mimic various forms of the established digital models. This field envisages low-power and low-latency, highly parallelized hardware implementations that count on the vast capacity of photonics. Kolmogorov-Arnold networks were recently proposed, offering improved scalability and interpretability compared to conventional multilayer perceptrons. From this point of view, Kolmogorov-Arnold networks constitute a promising field for implementations which exploit the full pallet of photonic strengths, mitigating the scalability barrier. Here, we propose and experimentally showcase the potential of self-phase modulation in nonlinear waveguides as a versatile generator of arbitrary nonlinear activation functions for the ultra-fast photonic implementation of Kolmogorov-Arnold networks. The efficacy of the proposed approach is demonstrated on both regression and classification tasks, where the photonic implementation matches digital performance and, in specific cases, surpasses the digital baseline used in our comparison.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用于紫外线防伪应用的白光激发 NaYF 4 :Nd 3+</w:t>
      </w:r>
    </w:p>
    <w:p>
      <w:r>
        <w:rPr>
          <w:rFonts w:ascii="Times New Roman" w:hAnsi="Times New Roman" w:eastAsia="宋体"/>
          <w:b/>
          <w:color w:val="003264"/>
          <w:sz w:val="24"/>
        </w:rPr>
        <w:t>White-light excitable NaYF 4 :Nd 3+ for ultraviolet anti-counterfeiting applications</w:t>
      </w:r>
    </w:p>
    <w:p>
      <w:r>
        <w:rPr>
          <w:rFonts w:ascii="Times New Roman" w:hAnsi="Times New Roman" w:eastAsia="宋体"/>
          <w:sz w:val="21"/>
        </w:rPr>
        <w:t>作者: Bingbing Yang, Jinhao Si, Kaifeng Wu, Kaiyue Zhang, Mina Liu, Zhirui Zhang, Ziyi Wang, Gina Ma, Yimo Li, Athena Liu, Yanfang Sun</w:t>
        <w:br/>
      </w:r>
      <w:r>
        <w:rPr>
          <w:rFonts w:ascii="Times New Roman" w:hAnsi="Times New Roman" w:eastAsia="宋体"/>
          <w:sz w:val="21"/>
        </w:rPr>
        <w:t xml:space="preserve">时间: 2026-01-28 | </w:t>
      </w:r>
      <w:r>
        <w:t xml:space="preserve">链接: </w:t>
      </w:r>
      <w:hyperlink r:id="rId195">
        <w:r>
          <w:rPr>
            <w:rFonts w:ascii="Times New Roman" w:hAnsi="Times New Roman" w:eastAsia="宋体"/>
            <w:color w:val="0000FF"/>
            <w:sz w:val="21"/>
            <w:u w:val="single"/>
          </w:rPr>
          <w:t>https://doi.org/10.1364/ol.586201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利用发光技术进行安全验证有望实现光学防伪。然而，由于环境光干扰，现有策略常常在明亮的环境中陷入困境。为了解决这个问题，我们引入了 NaYF 4 :Nd 3+ 作为安全应用中紫外 (UV) 发光的灵活平台。这种荧光粉在强白光照射下表现出易于检测的上转换发光，发射波长为 354 nm（超出了典型室内光谱的波长），可实现无背景信号检测。在照度阈值为80 mW·cm -2 的双光子激发机制驱动下，日光下的紫外成像验证了其可靠性。这种方法为有效的防伪提供了强大的、现实的解决方案。</w:t>
      </w:r>
    </w:p>
    <w:p>
      <w:pPr>
        <w:spacing w:before="120"/>
      </w:pPr>
      <w:r>
        <w:rPr>
          <w:rFonts w:ascii="Times New Roman" w:hAnsi="Times New Roman" w:eastAsia="宋体"/>
          <w:b/>
          <w:sz w:val="21"/>
        </w:rPr>
        <w:t>English Abstract:</w:t>
      </w:r>
    </w:p>
    <w:p>
      <w:r>
        <w:rPr>
          <w:rFonts w:ascii="Times New Roman" w:hAnsi="Times New Roman" w:eastAsia="宋体"/>
          <w:sz w:val="21"/>
        </w:rPr>
        <w:t>Using luminescent technology for security verification holds promise for optical anti-counterfeiting. However, existing strategies often struggle in brightly lit environments due to ambient light interference. To address this issue, we introduce NaYF 4 :Nd 3+ as a flexible platform for ultraviolet (UV) luminescence in security applications. This phosphor exhibits readily detectable upconversion luminescence under intense white-light illumination, emitting at 354 nm—a wavelength beyond the typical indoor spectrum—for background-free signal detection. Driven by a two-photon excitation mechanism with an illumination threshold of 80 mW·cm −2 , UV imaging under daylight validates its reliability. This approach offers a robust, real-world solution for effective anti-counterfeiting.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基于相位调制的周期性偏振加扰，用于减轻脉冲编码布里渊光纤传感器中的偏振噪声</w:t>
      </w:r>
    </w:p>
    <w:p>
      <w:r>
        <w:rPr>
          <w:rFonts w:ascii="Times New Roman" w:hAnsi="Times New Roman" w:eastAsia="宋体"/>
          <w:b/>
          <w:color w:val="003264"/>
          <w:sz w:val="24"/>
        </w:rPr>
        <w:t>Phase-modulation-based periodic polarization scrambling for polarization noise mitigation in a pulse-coded Brillouin fiber sensor</w:t>
      </w:r>
    </w:p>
    <w:p>
      <w:r>
        <w:rPr>
          <w:rFonts w:ascii="Times New Roman" w:hAnsi="Times New Roman" w:eastAsia="宋体"/>
          <w:sz w:val="21"/>
        </w:rPr>
        <w:t>作者: Zonglei Li, Gai Ying, Yin Zhou, Jia Ye, Xihua Zou, Wei Pan, Lianshan Yan</w:t>
        <w:br/>
      </w:r>
      <w:r>
        <w:rPr>
          <w:rFonts w:ascii="Times New Roman" w:hAnsi="Times New Roman" w:eastAsia="宋体"/>
          <w:sz w:val="21"/>
        </w:rPr>
        <w:t xml:space="preserve">时间: 2026-01-27 | </w:t>
      </w:r>
      <w:r>
        <w:t xml:space="preserve">链接: </w:t>
      </w:r>
      <w:hyperlink r:id="rId196">
        <w:r>
          <w:rPr>
            <w:rFonts w:ascii="Times New Roman" w:hAnsi="Times New Roman" w:eastAsia="宋体"/>
            <w:color w:val="0000FF"/>
            <w:sz w:val="21"/>
            <w:u w:val="single"/>
          </w:rPr>
          <w:t>https://doi.org/10.1364/ol.587005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人们发现，周期性偏振加扰 (PS) 是消除脉冲编码布里渊光时域分析光纤传感器中偏振噪声的有效方法。它是通过周期性地改变光的两个正交分量之间的相位差来实现的。在这里，我们使用相位调制来生成周期性 PS，它利用了相位调制器快轴和慢轴的不同调制效率。与我们之前基于异频声光调制（AOM）的方法相比，该方法不仅降低了系统复杂性，而且减轻了非局部效应。实验结果表明，与常用的随机PS相比，它使布里渊增益的信噪比提高了~4 dB。此外，由于非局部效应的减少，与基于 AOM 的方法相比，可以避免约 4 MHz 布里渊频移测量误差。</w:t>
      </w:r>
    </w:p>
    <w:p>
      <w:pPr>
        <w:spacing w:before="120"/>
      </w:pPr>
      <w:r>
        <w:rPr>
          <w:rFonts w:ascii="Times New Roman" w:hAnsi="Times New Roman" w:eastAsia="宋体"/>
          <w:b/>
          <w:sz w:val="21"/>
        </w:rPr>
        <w:t>English Abstract:</w:t>
      </w:r>
    </w:p>
    <w:p>
      <w:r>
        <w:rPr>
          <w:rFonts w:ascii="Times New Roman" w:hAnsi="Times New Roman" w:eastAsia="宋体"/>
          <w:sz w:val="21"/>
        </w:rPr>
        <w:t>Periodic polarization scrambling (PS) has been found to be an effective way of eliminating polarization noises in a pulse-coded Brillouin optical time-domain analysis fiber sensor. It is realized by periodically changing the phase difference between the two orthogonal components of a light. Here, we use phase modulation to generate periodic PS, which utilizes the different modulation efficiencies of the fast and slow axes of a phase modulator. This method not only reduces system complexity but also alleviates the non-local effect compared to our previous approach based on differ-frequency acousto-optic modulation (AOM). Experimental results show that it enhances the signal-to-noise ratio of Brillouin gain by ~4 dB compared to the commonly used random PS. Further, owing to the reduction of the non-local effect, ~4-MHz Brillouin frequency shift measurement error is avoided compared to the AOM-based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环境稳定的晶体 WGM 谐振器</w:t>
      </w:r>
    </w:p>
    <w:p>
      <w:r>
        <w:rPr>
          <w:rFonts w:ascii="Times New Roman" w:hAnsi="Times New Roman" w:eastAsia="宋体"/>
          <w:b/>
          <w:color w:val="003264"/>
          <w:sz w:val="24"/>
        </w:rPr>
        <w:t>Environmentally stabilized crystalline WGM resonator</w:t>
      </w:r>
    </w:p>
    <w:p>
      <w:r>
        <w:rPr>
          <w:rFonts w:ascii="Times New Roman" w:hAnsi="Times New Roman" w:eastAsia="宋体"/>
          <w:sz w:val="21"/>
        </w:rPr>
        <w:t>作者: Wei Zhang, Yu-Hung Lai, Anatoliy Savchenkov, Vladimir Ilchenko, Miguel Maldonado, George Keseyan, Kayla Kulish, Scott Singer, Gautam Vasisht, Lute Maleki, Andrey B. Matsko</w:t>
        <w:br/>
      </w:r>
      <w:r>
        <w:rPr>
          <w:rFonts w:ascii="Times New Roman" w:hAnsi="Times New Roman" w:eastAsia="宋体"/>
          <w:sz w:val="21"/>
        </w:rPr>
        <w:t xml:space="preserve">时间: 2026-01-30 | </w:t>
      </w:r>
      <w:r>
        <w:t xml:space="preserve">链接: </w:t>
      </w:r>
      <w:hyperlink r:id="rId197">
        <w:r>
          <w:rPr>
            <w:rFonts w:ascii="Times New Roman" w:hAnsi="Times New Roman" w:eastAsia="宋体"/>
            <w:color w:val="0000FF"/>
            <w:sz w:val="21"/>
            <w:u w:val="single"/>
          </w:rPr>
          <w:t>https://doi.org/10.1364/ol.586875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我们报告了一种具有低振动灵敏度的封装光学回音壁模式 (WGM) 谐振器的开发。沿垂直轴测得分数频移约为10 -10 /g，沿水平轴测得分数频移约为10 -11 /g。该谐振器在光域中工作，固有品质因数为 Q ∼10 9 ，用于激光频率稳定。所得激光器在10ms积分时间下表现出3×10 -12 水平的相对频率稳定性。这些结果凸显了光学 WGM 谐振器作为精密光子系统的紧凑、机械稳健的频率基准的潜力。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on the development of a packaged optical whispering-gallery-mode (WGM) resonator exhibiting low vibration sensitivity. The fractional frequency shift is measured to be on the order of 10 −10 / g along the vertical axis and 10 −11 / g along the horizontal axis. The resonator, operating in the optical domain with an intrinsic quality factor of Q ∼10 9 , is employed for laser frequency stabilization. The resulting laser exhibited a relative frequency stability 3×10 −12 level at 10 ms integration time. These results highlight the potential of optical WGM resonators as compact, mechanically robust frequency references for precision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用于多组分混合物溶液检测的光流控微泡谐振器中的腔体光热振荡光谱生成</w:t>
      </w:r>
    </w:p>
    <w:p>
      <w:r>
        <w:rPr>
          <w:rFonts w:ascii="Times New Roman" w:hAnsi="Times New Roman" w:eastAsia="宋体"/>
          <w:b/>
          <w:color w:val="003264"/>
          <w:sz w:val="24"/>
        </w:rPr>
        <w:t>Cavity photothermal oscillation spectroscopy generation in an optofluidic microbubble resonator for multi-component mixture solution detection</w:t>
      </w:r>
    </w:p>
    <w:p>
      <w:r>
        <w:rPr>
          <w:rFonts w:ascii="Times New Roman" w:hAnsi="Times New Roman" w:eastAsia="宋体"/>
          <w:sz w:val="21"/>
        </w:rPr>
        <w:t>作者: Weida Chen, Tianhe Wu, Ya Hu, Xiang Li, Zheng Huang, Hongliang Ren, Chang-Ling Zou, Xiankai Sun, Xianzeng Zhang, Qijing Lu</w:t>
        <w:br/>
      </w:r>
      <w:r>
        <w:rPr>
          <w:rFonts w:ascii="Times New Roman" w:hAnsi="Times New Roman" w:eastAsia="宋体"/>
          <w:sz w:val="21"/>
        </w:rPr>
        <w:t xml:space="preserve">时间: 2026-01-30 | </w:t>
      </w:r>
      <w:r>
        <w:t xml:space="preserve">链接: </w:t>
      </w:r>
      <w:hyperlink r:id="rId198">
        <w:r>
          <w:rPr>
            <w:rFonts w:ascii="Times New Roman" w:hAnsi="Times New Roman" w:eastAsia="宋体"/>
            <w:color w:val="0000FF"/>
            <w:sz w:val="21"/>
            <w:u w:val="single"/>
          </w:rPr>
          <w:t>https://doi.org/10.1364/ol.582789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流控回音壁模式微泡腔具有多种优势，包括高品质因数、小模式体积和实时检测功能，使其非常适合高精度传感应用。基于微腔的溶液传感器的传感机制通常依赖于检测由分析物的折射率变化引起的模式转变、加宽或分裂。在这项研究中，据我们所知，我们介绍了一种新颖的检测方法，该方法将腔光热振荡光谱与深度神经网络相结合。这种混合技术能够高精度检测多组分混合物溶液中的无水乙醇浓度，同时对模式转换保持不敏感。实验结果表明，在 0-1% 浓度范围内，预测精度为 0.992，均方误差为 5.29 × 10 -4。</w:t>
      </w:r>
    </w:p>
    <w:p>
      <w:pPr>
        <w:spacing w:before="120"/>
      </w:pPr>
      <w:r>
        <w:rPr>
          <w:rFonts w:ascii="Times New Roman" w:hAnsi="Times New Roman" w:eastAsia="宋体"/>
          <w:b/>
          <w:sz w:val="21"/>
        </w:rPr>
        <w:t>English Abstract:</w:t>
      </w:r>
    </w:p>
    <w:p>
      <w:r>
        <w:rPr>
          <w:rFonts w:ascii="Times New Roman" w:hAnsi="Times New Roman" w:eastAsia="宋体"/>
          <w:sz w:val="21"/>
        </w:rPr>
        <w:t>Optofluidic whispering gallery mode microbubble cavities offer several advantages, including high quality factors, small mode volumes, and real-time detection capabilities, making them well-suited for applications in high-precision sensing. The sensing mechanism of microcavity-based solution sensors typically relies on detecting mode shifts, broadening, or splitting induced by variations in the refractive index of the analyte. In this study, we introduce a novel, to the best of our knowledge, detection method that integrates cavity photothermal oscillation spectroscopy with a deep neural network. This hybrid technique enables high-precision detection of anhydrous ethanol concentrations in multi-component mixture solution while remaining insensitive to mode shifts. Experimental results demonstrate a predicted accuracy of 0.992 and a mean squared error of 5.29 × 10 −4 within the 0–1% concentration range.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高功率脉冲电化学发光用于果蝇幼虫行为的光遗传学操作</w:t>
      </w:r>
    </w:p>
    <w:p>
      <w:r>
        <w:rPr>
          <w:rFonts w:ascii="Times New Roman" w:hAnsi="Times New Roman" w:eastAsia="宋体"/>
          <w:b/>
          <w:color w:val="003264"/>
          <w:sz w:val="24"/>
        </w:rPr>
        <w:t>High-power pulsed electrochemiluminescence for optogenetic manipulation of Drosophila larval behaviour</w:t>
      </w:r>
    </w:p>
    <w:p>
      <w:r>
        <w:rPr>
          <w:rFonts w:ascii="Times New Roman" w:hAnsi="Times New Roman" w:eastAsia="宋体"/>
          <w:sz w:val="21"/>
        </w:rPr>
        <w:t>作者: Chang-Ki Moon, Matthias König, Ranjini Sircar, Julian F. Butscher, Ronald Alle, Klaus Meerholz, Stefan R. Pulver, Malte C. Gather</w:t>
        <w:br/>
      </w:r>
      <w:r>
        <w:rPr>
          <w:rFonts w:ascii="Times New Roman" w:hAnsi="Times New Roman" w:eastAsia="宋体"/>
          <w:sz w:val="21"/>
        </w:rPr>
        <w:t xml:space="preserve">时间: 2026-02-05 | </w:t>
      </w:r>
      <w:r>
        <w:t xml:space="preserve">链接: </w:t>
      </w:r>
      <w:hyperlink r:id="rId28">
        <w:r>
          <w:rPr>
            <w:rFonts w:ascii="Times New Roman" w:hAnsi="Times New Roman" w:eastAsia="宋体"/>
            <w:color w:val="0000FF"/>
            <w:sz w:val="21"/>
            <w:u w:val="single"/>
          </w:rPr>
          <w:t>https://doi.org/10.1038/s41377-025-02143-y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摘要电化学发光（ECL）通过电化学反应产生光，并在生物医学的各种分析应用中显示出前景。然而，由于光输出不足和运行稳定性低，ECL器件（ECLD）作为光源的使用受到限制。在这项研究中，我们提出了一种 ECLD 的高功率脉冲操作策略，以解决这些局限性并证明其在光遗传学操作中的有效性。通过应用具有短相反相位的双相电压序列，我们通过激基复合物形成反应途径实现了强烈且高效的 ECL。这种方法可产生极高的光功率密度，对于数千个脉冲超过 100 μW mm − ²。通过优化电压波形来平衡离子浓度进一步提高了设备​​的稳定性。通过将多个优化的脉冲合并到由短休息期分隔的脉冲串中，获得了高亮度且随着时间的推移功率损失最小的延长光脉冲。利用这些策略在表达光遗传学效应子 CsChrimson 的果蝇 (Drosophila melanogaster) 幼虫中引发强烈的光遗传学反应。 ECLD 的半透明特性有助于通过设备从下方同时对幼虫行为进行成像。这些发现凸显了 ECLD 作为生物医学和神经光子学研究中多功能光学工具的潜力。</w:t>
      </w:r>
    </w:p>
    <w:p>
      <w:pPr>
        <w:spacing w:before="120"/>
      </w:pPr>
      <w:r>
        <w:rPr>
          <w:rFonts w:ascii="Times New Roman" w:hAnsi="Times New Roman" w:eastAsia="宋体"/>
          <w:b/>
          <w:sz w:val="21"/>
        </w:rPr>
        <w:t>English Abstract:</w:t>
      </w:r>
    </w:p>
    <w:p>
      <w:r>
        <w:rPr>
          <w:rFonts w:ascii="Times New Roman" w:hAnsi="Times New Roman" w:eastAsia="宋体"/>
          <w:sz w:val="21"/>
        </w:rPr>
        <w:t>Abstract Electrochemiluminescence (ECL) produces light through electrochemical reactions and has shown promise for various analytic applications in biomedicine. However, the use of ECL devices (ECLDs) as light sources has been limited due to insufficient light output and low operational stability. In this study, we present a high-power pulsed operation strategy for ECLDs to address these limitations and demonstrate their effectiveness in optogenetic manipulation. By applying a biphasic voltage sequence with short opposing phases, we achieve intense and efficient ECL through an exciplex-formation reaction pathway. This approach results in an exceptionally high optical power density, exceeding 100 μW mm − ², for several thousand pulses. Balancing the ion concentration by optimizing the voltage waveform further improves device stability. By incorporating multiple optimized pulses into a pulse train separated by short rest periods, extended light pulses of high brightness and with minimal power loss over time were obtained. These strategies were leveraged to elicit a robust optogenetic response in fruit fly ( Drosophila melanogaster ) larvae expressing the optogenetic effector CsChrimson. The semi-transparent nature of ECLDs facilitates simultaneous imaging of larval behaviour from underneath, through the device. These findings highlight the potential of ECLDs as versatile optical tools in biomedical and neurophotonics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游离卤化物离子的取代可解锁锰基金属卤化物中的响应性光致发光切换</w:t>
      </w:r>
    </w:p>
    <w:p>
      <w:r>
        <w:rPr>
          <w:rFonts w:ascii="Times New Roman" w:hAnsi="Times New Roman" w:eastAsia="宋体"/>
          <w:b/>
          <w:color w:val="003264"/>
          <w:sz w:val="24"/>
        </w:rPr>
        <w:t>Substitution of free halide ions unlocks responsive photoluminescence switching in manganese-based metal halides</w:t>
      </w:r>
    </w:p>
    <w:p>
      <w:r>
        <w:rPr>
          <w:rFonts w:ascii="Times New Roman" w:hAnsi="Times New Roman" w:eastAsia="宋体"/>
          <w:sz w:val="21"/>
        </w:rPr>
        <w:t>作者: Sisi Li, Kaitong Luo, Yali Zhou, Junhao Wang, Zhen Zhang, Zhao-Qing Liu, Yibo Chen</w:t>
        <w:br/>
      </w:r>
      <w:r>
        <w:rPr>
          <w:rFonts w:ascii="Times New Roman" w:hAnsi="Times New Roman" w:eastAsia="宋体"/>
          <w:sz w:val="21"/>
        </w:rPr>
        <w:t xml:space="preserve">时间: 2026-02-05 | </w:t>
      </w:r>
      <w:r>
        <w:t xml:space="preserve">链接: </w:t>
      </w:r>
      <w:hyperlink r:id="rId74">
        <w:r>
          <w:rPr>
            <w:rFonts w:ascii="Times New Roman" w:hAnsi="Times New Roman" w:eastAsia="宋体"/>
            <w:color w:val="0000FF"/>
            <w:sz w:val="21"/>
            <w:u w:val="single"/>
          </w:rPr>
          <w:t>https://doi.org/10.1038/s41377-025-02161-w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刺激响应有机-无机金属卤化物在新兴的信息相关应用中具有广阔的前景。在这项工作中，用Br - 取代C 5 H 11 N 3 (MnCl 3 ·H 2 O)X（其中C 5 H 11 N 3 2+代表组胺阳离子，X代表游离卤离子）中的游离卤离子Cl - 将非响应性杂化物C 5 H 11 N 3 (MnCl 3 ·H 2 O)Cl转化为刺激响应性C 5 H 11 N 3 (MnCl 3 ·H 2 O)Br。后者在热或水暴露时表现出红色和绿色之间的可逆光致发光颜色转换。大量的实验和理论分析表明，响应特性主要源于Br - 取代后H 2 O 分子周围的氢键减弱，这有利于H 2 O 分子在加热下的初始逃逸。随后的结构重组和配位转变引起光致发光的变化。此外，所制备的卤化物/聚合物发光薄膜被证明在平面温度传感、热冲压和加密/解密等多种场景中具有高度适用性。这项研究强调了金属卤化物中游离卤化物离子的关键但经常被忽视的作用，并为其结构-性能关系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Abstract Stimuli-responsive organic-inorganic metal halides hold great promise for emerging information-related applications. In this work, replacing the free halide ion Cl − with Br − in C 5 H 11 N 3 (MnCl 3 ·H 2 O)X (where C 5 H 11 N 3 2+ represents histamine cation, X represents free halide ions) converts the non-responsive hybrid C 5 H 11 N 3 (MnCl 3 ·H 2 O)Cl into a stimuli-responsive C 5 H 11 N 3 (MnCl 3 ·H 2 O)Br. The latter exhibits reversible photoluminescence color switching between red and green upon thermal or water exposure. Extensive experimental and theoretical analyses reveal that the responsive property primarily stems from weakened hydrogen bonding surrounding H 2 O molecules after Br − substitution, which facilitates the initial escape of H 2 O molecules under heating. Subsequent structural reorganization and coordination transformation then induce the change in photoluminescence. Furthermore, the fabricated halide/polymer luminescent films are demonstrated to be highly applicable in multiple scenarios, such as planar temperature sensing, thermal stamping, and encryption/decryption. This study highlights the crucial yet often overlooked role of free halide ions in metal halides and offers new insights into their structure–property relationships.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癌症模型成像和 AI 辅助类器官分析的光学相干光声显微镜</w:t>
      </w:r>
    </w:p>
    <w:p>
      <w:r>
        <w:rPr>
          <w:rFonts w:ascii="Times New Roman" w:hAnsi="Times New Roman" w:eastAsia="宋体"/>
          <w:b/>
          <w:color w:val="003264"/>
          <w:sz w:val="24"/>
        </w:rPr>
        <w:t>Optical coherence photoacoustic microscopy for 3D cancer model imaging with AI-assisted organoid analysis</w:t>
      </w:r>
    </w:p>
    <w:p>
      <w:r>
        <w:rPr>
          <w:rFonts w:ascii="Times New Roman" w:hAnsi="Times New Roman" w:eastAsia="宋体"/>
          <w:sz w:val="21"/>
        </w:rPr>
        <w:t>作者: Abigail J. Deloria, Agnes Csiszar, Shiyu Deng, Mohammad Ali Sabbaghi, Francesco Branciforti, Lukasz Bugyi, Giulia Rotunno, Richard Haindl, Rainer Leitgeb, Massimo Salvi, Manojit Pramanik, Yi Yuan, Leopold Schmetterer, Gergely Szakacs, Wolfgang Drexler, Kristen M. Meiburger, Mengyang Liu</w:t>
        <w:br/>
      </w:r>
      <w:r>
        <w:rPr>
          <w:rFonts w:ascii="Times New Roman" w:hAnsi="Times New Roman" w:eastAsia="宋体"/>
          <w:sz w:val="21"/>
        </w:rPr>
        <w:t xml:space="preserve">时间: 2026-02-05 | </w:t>
      </w:r>
      <w:r>
        <w:t xml:space="preserve">链接: </w:t>
      </w:r>
      <w:hyperlink r:id="rId75">
        <w:r>
          <w:rPr>
            <w:rFonts w:ascii="Times New Roman" w:hAnsi="Times New Roman" w:eastAsia="宋体"/>
            <w:color w:val="0000FF"/>
            <w:sz w:val="21"/>
            <w:u w:val="single"/>
          </w:rPr>
          <w:t>https://doi.org/10.1038/s41377-025-02177-2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癌症类器官和癌症球体是 3D 细胞培养模型，在癌症研究中具有不同但重叠的目的。各种商业光学成像技术已被用来研究这些细胞培养物，但这些方法受到各种限制，例如荧光标记的要求、复杂的样品处理和有限的图像体积大小。在这项工作中，我们展示了用于研究这些模型的多模态光学相干光声显微镜（OC-PAM）系统，克服了这些限制。我们首先使用光学相干显微镜（OCM）对乳腺癌类器官进行了纵向研究。利用 OCM 成像结果，开发了基于人工智能 (AI) 的算法，可自动分割单个类器官，并使用放射组学纹理特征方法对其随时间的活力进行分类，从而在单个类器官水平上实现稳健、定量的跟踪和分类。为了补充 OCM 的对比度，我们对含有黑色素阳性和黑色素阴性细胞的球体模型进行了 OC-PAM 成像。在第二项研究中，OC-PAM 图像清楚地映射了隐藏在黑色素阴性细胞中的黑色素阳性细胞的分布。这些结果表明，OC-PAM 与人工智能技术相结合可以成为研究癌症类器官和癌症球体的强大工具。</w:t>
      </w:r>
    </w:p>
    <w:p>
      <w:pPr>
        <w:spacing w:before="120"/>
      </w:pPr>
      <w:r>
        <w:rPr>
          <w:rFonts w:ascii="Times New Roman" w:hAnsi="Times New Roman" w:eastAsia="宋体"/>
          <w:b/>
          <w:sz w:val="21"/>
        </w:rPr>
        <w:t>English Abstract:</w:t>
      </w:r>
    </w:p>
    <w:p>
      <w:r>
        <w:rPr>
          <w:rFonts w:ascii="Times New Roman" w:hAnsi="Times New Roman" w:eastAsia="宋体"/>
          <w:sz w:val="21"/>
        </w:rPr>
        <w:t>Abstract Cancer organoids and cancer spheroids are 3D cell culture models with distinct yet overlapping purposes in cancer research. Various commercially available optical imaging techniques have been employed to study these cell cultures, but these methods suffer from various limitations such as the requirement of fluorescence labeling, complicated sample handling, and limited image volume size. In this work, we demonstrate a multimodal optical coherence photoacoustic microscopy (OC-PAM) system for the study of these models, overcoming these limitations. We first performed a longitudinal study using optical coherence microscopy (OCM) for breast cancer organoids. Using the OCM imaging results, artificial intelligence (AI)-based algorithms were developed to automatically segment individual organoids and classify their viability over time using a radiomics texture feature approach, enabling robust, quantitative tracking and classification at the single-organoid level. To supplement OCM’s contrast, we then performed OC-PAM imaging of spheroid models with both melanin positive and melanin negative cells. In the second study, the OC-PAM images clearly mapped the distribution of melanin positive cells hidden amongst melanin negative cells. These results suggest that OC-PAM coupled with AI techniques can be a powerful tool to study cancer organoids and cancer spheroids.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00:28 ---</w:t>
      </w:r>
    </w:p>
    <w:p>
      <w:pPr>
        <w:pStyle w:val="Heading2"/>
      </w:pPr>
      <w:r/>
      <w:r>
        <w:rPr>
          <w:rFonts w:ascii="Times New Roman" w:hAnsi="Times New Roman" w:eastAsia="宋体"/>
          <w:b/>
          <w:color w:val="000000"/>
          <w:sz w:val="24"/>
        </w:rPr>
        <w:t>用于大规模重建的结构引导内存高效 3D 高斯</w:t>
      </w:r>
    </w:p>
    <w:p>
      <w:r>
        <w:rPr>
          <w:rFonts w:ascii="Times New Roman" w:hAnsi="Times New Roman" w:eastAsia="宋体"/>
          <w:b/>
          <w:color w:val="003264"/>
          <w:sz w:val="24"/>
        </w:rPr>
        <w:t>Structure-guided Memory-efficient 3D Gaussians for Large-scale Reconstruction</w:t>
      </w:r>
    </w:p>
    <w:p>
      <w:r>
        <w:rPr>
          <w:rFonts w:ascii="Times New Roman" w:hAnsi="Times New Roman" w:eastAsia="宋体"/>
          <w:sz w:val="21"/>
        </w:rPr>
        <w:t>作者: Zinan Lv, Yeqian Qian, Chunxiang Wang, and Ming Yang</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https://doi.org/10.1109/tvcg.2025.3637033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重建是一项关键技术，对城市规划、自动驾驶和虚拟现实等应用具有重大影响。 3D 高斯溅射 (3DGS) 的最新进展在小规模场景中展示了令人印象深刻的结果，通过实时渲染功能实现了高质量重建。然而，当应用于大规模场景时，由于模型尺寸呈指数级增长，现有的3DGS方法面临着巨大的挑战，常常超出消费级GPU的内存容量，导致训练和渲染变得不可行。在本文中，我们提出了一种结构引导的内存高效 3DGS 框架，该框架仅使用当前大规模 3DGS 方法一半的内存，同时保持最先进的重建精度。具体来说，我们引入了一种结构引导的密度控制机制，该机制使用启发式方法在具有挑战性的区域中分割高斯椭球体，并在致密化过程中优化其属性，显着降低内存存储需求，同时用更少的椭球体保留结构细节。此外，我们提出了一种新颖的结构损失来监督场景结构信息的学习，使模型能够更好地捕获和保留直线和边缘等几何细节，进一步提高重建精度。我们还提出了已知最大的用于 3D 重建的无人机数据集，其中包含 10,000 多张高分辨率图像，覆盖面积超过 250 万平方米。对多个基准数据集和我们提出的数据集的广泛实验表明，我们的新方法具有高内存效率和高精度。</w:t>
      </w:r>
    </w:p>
    <w:p>
      <w:pPr>
        <w:spacing w:before="120"/>
      </w:pPr>
      <w:r>
        <w:rPr>
          <w:rFonts w:ascii="Times New Roman" w:hAnsi="Times New Roman" w:eastAsia="宋体"/>
          <w:b/>
          <w:sz w:val="21"/>
        </w:rPr>
        <w:t>English Abstract:</w:t>
      </w:r>
    </w:p>
    <w:p>
      <w:r>
        <w:rPr>
          <w:rFonts w:ascii="Times New Roman" w:hAnsi="Times New Roman" w:eastAsia="宋体"/>
          <w:sz w:val="21"/>
        </w:rPr>
        <w:t>3D reconstruction is a critical technology with significant implications for applications such as urban planning, autonomous driving, and virtual reality. Recent advances in 3D Gaussian Splatting (3DGS) have demonstrated impressive results in small-scale scenes, achieving high-quality reconstructions with real-time rendering capabilities. However, when applied to large-scale scenes, existing 3DGS methods face significant challenges due to the exponential growth of model size, often exceeding the memory capacity of consumer-grade GPUs and making training and rendering infeasible. In this paper, we propose a structure-guided memory-efficient 3DGS framework that uses only half the memory of current large-scale 3DGS methods while maintaining state-of-the-art reconstruction accuracy. Specifically, we introduce a structure-guided density control mechanism that uses a heuristic approach to split Gaussian ellipsoids in challenging regions and optimizes their attributes during densification, significantly reducing memory storage requirements while preserving structural details with fewer ellipsoids. Moreover, we propose a novel structure loss to supervise the learning of scene structural information, enabling the model to better capture and preserve geometric details such as straight lines and edges, further enhancing reconstruction accuracy. We also propose the largest known drone dataset for 3D reconstruction, comprising over 10,000 high-resolution images covering more than 2.5 million square meters. Extensive experiments on multiple benchmark datasets and our proposed dataset demonstrate that our new method is highly memory-efficient with high accuracy.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通过简并准 BIC 超表面产生可调谐二次谐波</w:t>
      </w:r>
    </w:p>
    <w:p>
      <w:r>
        <w:rPr>
          <w:rFonts w:ascii="Times New Roman" w:hAnsi="Times New Roman" w:eastAsia="宋体"/>
          <w:b/>
          <w:color w:val="003264"/>
          <w:sz w:val="24"/>
        </w:rPr>
        <w:t>Tunable Second Harmonic Generation by Degenerate Quasi-BIC Metasurfaces</w:t>
      </w:r>
    </w:p>
    <w:p>
      <w:r>
        <w:rPr>
          <w:rFonts w:ascii="Times New Roman" w:hAnsi="Times New Roman" w:eastAsia="宋体"/>
          <w:sz w:val="21"/>
        </w:rPr>
        <w:t>作者: Mingsheng Gao, Zhenyu Wang, Jiadian Yan, Zixian Ma, Lu Peng, Yang Chen, Qing Zhang, Yuanjie Yang</w:t>
        <w:br/>
      </w:r>
      <w:r>
        <w:rPr>
          <w:rFonts w:ascii="Times New Roman" w:hAnsi="Times New Roman" w:eastAsia="宋体"/>
          <w:sz w:val="21"/>
        </w:rPr>
        <w:t xml:space="preserve">时间: 2026-02-04 | </w:t>
      </w:r>
      <w:r>
        <w:t xml:space="preserve">链接: </w:t>
      </w:r>
      <w:hyperlink r:id="rId30">
        <w:r>
          <w:rPr>
            <w:rFonts w:ascii="Times New Roman" w:hAnsi="Times New Roman" w:eastAsia="宋体"/>
            <w:color w:val="0000FF"/>
            <w:sz w:val="21"/>
            <w:u w:val="single"/>
          </w:rPr>
          <w:t>https://doi.org/10.1021/acsphotonics.5c02490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AlGaN 基深紫外 LED 的外延和芯片结构的设计和优化：提高效率和可靠性</w:t>
      </w:r>
    </w:p>
    <w:p>
      <w:r>
        <w:rPr>
          <w:rFonts w:ascii="Times New Roman" w:hAnsi="Times New Roman" w:eastAsia="宋体"/>
          <w:b/>
          <w:color w:val="003264"/>
          <w:sz w:val="24"/>
        </w:rPr>
        <w:t>Design and Optimization of Epitaxial and Chip Structures in AlGaN-Based Deep-Ultraviolet LEDs: Toward Enhanced Efficiency and Reliability</w:t>
      </w:r>
    </w:p>
    <w:p>
      <w:r>
        <w:rPr>
          <w:rFonts w:ascii="Times New Roman" w:hAnsi="Times New Roman" w:eastAsia="宋体"/>
          <w:sz w:val="21"/>
        </w:rPr>
        <w:t>作者: Yifang Chen, Quanjiang Lv, Tianpeng Yang, Tingting Mi, Xiaowen Wang, Junlin Liu</w:t>
        <w:br/>
      </w:r>
      <w:r>
        <w:rPr>
          <w:rFonts w:ascii="Times New Roman" w:hAnsi="Times New Roman" w:eastAsia="宋体"/>
          <w:sz w:val="21"/>
        </w:rPr>
        <w:t xml:space="preserve">时间: 2026-02-04 | </w:t>
      </w:r>
      <w:r>
        <w:t xml:space="preserve">链接: </w:t>
      </w:r>
      <w:hyperlink r:id="rId76">
        <w:r>
          <w:rPr>
            <w:rFonts w:ascii="Times New Roman" w:hAnsi="Times New Roman" w:eastAsia="宋体"/>
            <w:color w:val="0000FF"/>
            <w:sz w:val="21"/>
            <w:u w:val="single"/>
          </w:rPr>
          <w:t>https://doi.org/10.1021/acsphotonics.5c02187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通过散射和光致发光光谱法实现等离子体纳米腔中单层 WS 2 的鲁棒强耦合</w:t>
      </w:r>
    </w:p>
    <w:p>
      <w:r>
        <w:rPr>
          <w:rFonts w:ascii="Times New Roman" w:hAnsi="Times New Roman" w:eastAsia="宋体"/>
          <w:b/>
          <w:color w:val="003264"/>
          <w:sz w:val="24"/>
        </w:rPr>
        <w:t>Robust Strong Coupling of Monolayer WS 2 in Plasmonic Nanocavities via Scattering and Photoluminescence Spectroscopy</w:t>
      </w:r>
    </w:p>
    <w:p>
      <w:r>
        <w:rPr>
          <w:rFonts w:ascii="Times New Roman" w:hAnsi="Times New Roman" w:eastAsia="宋体"/>
          <w:sz w:val="21"/>
        </w:rPr>
        <w:t>作者: Jing Li, Qingzhang You, Wenjing Bo, Menglei Li, Xi Liang, Lisheng Zhang, Longkun Yang, Ze Li, Duan Zhang, Yan Fang, Peter Nordlander, Peijie Wang</w:t>
        <w:br/>
      </w:r>
      <w:r>
        <w:rPr>
          <w:rFonts w:ascii="Times New Roman" w:hAnsi="Times New Roman" w:eastAsia="宋体"/>
          <w:sz w:val="21"/>
        </w:rPr>
        <w:t xml:space="preserve">时间: 2026-02-05 | </w:t>
      </w:r>
      <w:r>
        <w:t xml:space="preserve">链接: </w:t>
      </w:r>
      <w:hyperlink r:id="rId77">
        <w:r>
          <w:rPr>
            <w:rFonts w:ascii="Times New Roman" w:hAnsi="Times New Roman" w:eastAsia="宋体"/>
            <w:color w:val="0000FF"/>
            <w:sz w:val="21"/>
            <w:u w:val="single"/>
          </w:rPr>
          <w:t>https://doi.org/10.1021/acsphotonics.5c01950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减轻全息术视场和高图像保真度的权衡：多功能可调谐 3D 全息显示器</w:t>
      </w:r>
    </w:p>
    <w:p>
      <w:r>
        <w:rPr>
          <w:rFonts w:ascii="Times New Roman" w:hAnsi="Times New Roman" w:eastAsia="宋体"/>
          <w:b/>
          <w:color w:val="003264"/>
          <w:sz w:val="24"/>
        </w:rPr>
        <w:t>Alleviating the Field of View and High Image Fidelity Trade-off in Holography: Multifunctional Tunable 3D Holographic Display</w:t>
      </w:r>
    </w:p>
    <w:p>
      <w:r>
        <w:rPr>
          <w:rFonts w:ascii="Times New Roman" w:hAnsi="Times New Roman" w:eastAsia="宋体"/>
          <w:sz w:val="21"/>
        </w:rPr>
        <w:t>作者: Chi Hu, Guobin Sun, Yuyan Lu, Dacheng Jiang, Jin Zhang</w:t>
        <w:br/>
      </w:r>
      <w:r>
        <w:rPr>
          <w:rFonts w:ascii="Times New Roman" w:hAnsi="Times New Roman" w:eastAsia="宋体"/>
          <w:sz w:val="21"/>
        </w:rPr>
        <w:t xml:space="preserve">时间: 2026-02-05 | </w:t>
      </w:r>
      <w:r>
        <w:t xml:space="preserve">链接: </w:t>
      </w:r>
      <w:hyperlink r:id="rId96">
        <w:r>
          <w:rPr>
            <w:rFonts w:ascii="Times New Roman" w:hAnsi="Times New Roman" w:eastAsia="宋体"/>
            <w:color w:val="0000FF"/>
            <w:sz w:val="21"/>
            <w:u w:val="single"/>
          </w:rPr>
          <w:t>https://doi.org/10.1021/acsphotonics.5c02757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00:28 ---</w:t>
      </w:r>
    </w:p>
    <w:p>
      <w:pPr>
        <w:pStyle w:val="Heading2"/>
      </w:pPr>
      <w:r/>
      <w:r>
        <w:rPr>
          <w:rFonts w:ascii="Times New Roman" w:hAnsi="Times New Roman" w:eastAsia="宋体"/>
          <w:b/>
          <w:color w:val="000000"/>
          <w:sz w:val="24"/>
        </w:rPr>
        <w:t>使用弱监督剩余变压器进行准确的工业异常检测和定位</w:t>
      </w:r>
    </w:p>
    <w:p>
      <w:r>
        <w:rPr>
          <w:rFonts w:ascii="Times New Roman" w:hAnsi="Times New Roman" w:eastAsia="宋体"/>
          <w:b/>
          <w:color w:val="003264"/>
          <w:sz w:val="24"/>
        </w:rPr>
        <w:t>Accurate Industrial Anomaly Detection and Localization using Weakly-Supervised Residual Transformers</w:t>
      </w:r>
    </w:p>
    <w:p>
      <w:r>
        <w:rPr>
          <w:rFonts w:ascii="Times New Roman" w:hAnsi="Times New Roman" w:eastAsia="宋体"/>
          <w:sz w:val="21"/>
        </w:rPr>
        <w:t>作者: Hanxi Li, Jingqi Wu, Deyin Liu, Lin Yuanbo Wu, Hao Chen, Chunhua Shen</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https://doi.org/10.1109/tip.2026.3659337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业异常检测（AD）的最新进展表明，在训练过程中纳入少量异常样本可以显着提高准确性。然而，这种改进通常是以大量注释工作为代价的，这对于许多实际应用程序来说是不切实际的。在本文中，我们介绍了一种新颖的框架“弱监督RES idual Transformer”（WeakREST），旨在实现高异常检测精度，同时最大限度地减少对手动注释的依赖。首先，我们将逐像素异常定位任务重新表述为逐块分类问题。其次，我们引入了一种基于残差的特征表示，称为“位置快速异常残差”（PosFAR），它可以更有效地捕获异常模式。为了利用此功能，我们采用 Swin Transformer 来增强异常检测和定位。此外，我们提出了一种利用边界框和图像标签来定义异常区域的弱注释方法。这种方法建立了一个半监督学习环境，减少了对精确像素级标签的依赖。为了进一步改进学习过程，我们开发了一种新颖的 ResMixMatch 算法，能够处理弱标签和基于残差的表示之间的相互作用。在基准数据集 MVTec-AD 上，我们的方法实现了 83:0% 的平均精度 (AP)，超过了之前在无监督设置下 82:7% 的最佳结果。在有监督的 AD 设置中，WeakREST 的 AP 达到 87:6%，超过了之前最好的 86:0%。值得注意的是，即使使用边界框等较弱的注释，WeakREST 也超过了依赖于像素级监督的领先方法的性能，与 MVTec-AD 上之前最好的 86:0% 相比，AP 达到了 87:1%。这种卓越的性能在其他成熟的 AD 数据集上得到了一致的复制，包括 MVTec 3D、KSDD2 和 Real-IAD。代码位于：https://github.com/BeJane/Semi REST。</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industrial anomaly detection (AD) have demonstrated that incorporating a small number of anomalous samples during training can significantly enhance accuracy. However, this improvement often comes at the cost of extensive annotation efforts, which are impractical for many real-world applications. In this paper, we introduce a novel framework, “ Weakly -supervised RES idual T ransformer” (WeakREST) , designed to achieve high anomaly detection accuracy while minimizing the reliance on manual annotations. First, we reformulate the pixel-wise anomaly localization task into a block-wise classification problem. Second, we introduce a residual-based feature representation called “ Pos itional F ast A nomaly R esiduals” (PosFAR) which captures anomalous patterns more effectively. To leverage this feature, we adapt the Swin Transformer for enhanced anomaly detection and localization. Additionally, we propose a weak annotation approach utilizing bounding boxes and image tags to define anomalous regions. This approach establishes a semi-supervised learning context that reduces the dependency on precise pixel-level labels. To further improve the learning process, we develop a novel ResMixMatch algorithm, capable of handling the interplay between weak labels and residual-based representations. On the benchmark dataset MVTec-AD, our method achieves an Average Precision (AP) of 83:0%, surpassing the previous best result of 82:7% in the unsupervised setting. In the supervised AD setting, WeakREST attains an AP of 87:6%, outperforming the previous best of 86:0%. Notably, even when using weaker annotations such as bounding boxes, WeakREST exceeds the performance of leading methods relying on pixel-wise supervision, achieving an AP of 87:1% compared to the prior best of 86:0% on MVTec-AD. This superior performance is consistently replicated across other well-established AD datasets, including MVTec 3D, KSDD2 and Real-IAD. Code is available at: https://github.com/BeJane/Semi REST.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无约束环境下多视角掌纹识别的高置信度块对角线分析</w:t>
      </w:r>
    </w:p>
    <w:p>
      <w:r>
        <w:rPr>
          <w:rFonts w:ascii="Times New Roman" w:hAnsi="Times New Roman" w:eastAsia="宋体"/>
          <w:b/>
          <w:color w:val="003264"/>
          <w:sz w:val="24"/>
        </w:rPr>
        <w:t>High-Confident Block Diagonal Analysis for Multi-View Palmprint Recognition in Unrestrained Environment</w:t>
      </w:r>
    </w:p>
    <w:p>
      <w:r>
        <w:rPr>
          <w:rFonts w:ascii="Times New Roman" w:hAnsi="Times New Roman" w:eastAsia="宋体"/>
          <w:sz w:val="21"/>
        </w:rPr>
        <w:t>作者: Shuping Zhao, Lunke Fei, Tingting Cai, Jie Wen, Bob Zhang, Jinrong Cui</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https://doi.org/10.1109/tip.2026.3659325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限制掌纹识别是指在智能手机摄像头、监控录像、近红外场景等非受控环境下，根据采集到的掌纹图像进行个人身份认证的综合身份认证技术。然而，由于此类环境中图像质量、照明条件和手部姿势的变化，无限制的掌纹识别面临着巨大的挑战。我们观察到许多现有方法都利用子空间结构作为先验，其中数据的块对角线属性已经得到证明。在本文中，我们考虑一种统一的学习模型来保证所有视图的一致块对角线属性，称为多视图掌纹识别的高置信块对角线分析（HCBDA MPR）。特别是，本文提出了一种多视图块对角正则器来指导所有视图学习一致的块对角结构。以这种方式，可以保留每个视图的主要判别特征，同时学习所有视图的严格块对角线结构。在多个真实世界无约束掌纹数据库上的实验结果证明了该方法的优越性，与其他最先进的相关方法相比，获得了最高的识别精度。</w:t>
      </w:r>
    </w:p>
    <w:p>
      <w:pPr>
        <w:spacing w:before="120"/>
      </w:pPr>
      <w:r>
        <w:rPr>
          <w:rFonts w:ascii="Times New Roman" w:hAnsi="Times New Roman" w:eastAsia="宋体"/>
          <w:b/>
          <w:sz w:val="21"/>
        </w:rPr>
        <w:t>English Abstract:</w:t>
      </w:r>
    </w:p>
    <w:p>
      <w:r>
        <w:rPr>
          <w:rFonts w:ascii="Times New Roman" w:hAnsi="Times New Roman" w:eastAsia="宋体"/>
          <w:sz w:val="21"/>
        </w:rPr>
        <w:t>Unrestrained palmprint recognition refers to a comprehensive identity authentication technology, that performs personal authentication based on the palmprint images captured in uncontrolled environments, i.e., smartphone cameras, surveillance footage, or near-infrared scenarios. However, unrestrained palmprint recognition faces significant challenges due to the variability in image quality, lighting conditions, and hand poses present in such settings. We observed that many existing methods utilize the subspace structure as a prior, where the block diagonal property of the data has been proved. In this paper, we consider a unified learning model to guarantee the consensus block diagonal property for all views, named high-confident block diagonal analysis for multi-view palmprint recognition (HCBDA MPR). Particularly, this paper proposed a multi-view block diagonal regularizer to guide that all views learn a consensus block diagonal structure. In such a manner, the main discriminant features from each view can be preserved while the learning of the strict block diagonal structure across all views. Experimental results on a number of real-world unrestrained palmprint databases proved the superiority of the proposed method, where the highest recognition accuracies were obtained in comparison with the other state-of-the-art related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野外单图像反射分离的互补专家混合和互补交叉注意</w:t>
      </w:r>
    </w:p>
    <w:p>
      <w:r>
        <w:rPr>
          <w:rFonts w:ascii="Times New Roman" w:hAnsi="Times New Roman" w:eastAsia="宋体"/>
          <w:b/>
          <w:color w:val="003264"/>
          <w:sz w:val="24"/>
        </w:rPr>
        <w:t>Complementary Mixture-of-Experts and Complementary Cross-Attention for Single Image Reflection Separation in the Wild</w:t>
      </w:r>
    </w:p>
    <w:p>
      <w:r>
        <w:rPr>
          <w:rFonts w:ascii="Times New Roman" w:hAnsi="Times New Roman" w:eastAsia="宋体"/>
          <w:sz w:val="21"/>
        </w:rPr>
        <w:t>作者: Jonghyuk Park, Jae-Young Sim</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https://doi.org/10.1109/tip.2026.3659334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单图像反射分离 (SIRS) 旨在从通过玻璃状反射表面捕获的包含两者叠加的单个图像重建透射图像和反射图像。最近基于学习的 SIRS 方法显着提高了具有轻微反射伪影的典型图像的性能；然而，他们经常与包含在野外拍摄的具有挑战性的反射的各种图像作斗争。在本文中，我们提出了一种基于灵活的双流架构的通用 SIRS 框架，能够处理不同的反射工件。具体来说，我们采用了专家混合机制，可以根据空间异构反射特性动态地将专业专家分配给图像块。然后，指定的专家合作以自适应方式提取传输流和反射流之间的互补特征。此外，我们利用 Transformers 的多头注意力机制来同时利用高和低互相关性，然后将其互补地用于促进自适应流间特征交互。在不同的现实世界数据集上评估的实验结果表明，所提出的方法在定性和定量上都显着优于现有的最先进方法。</w:t>
      </w:r>
    </w:p>
    <w:p>
      <w:pPr>
        <w:spacing w:before="120"/>
      </w:pPr>
      <w:r>
        <w:rPr>
          <w:rFonts w:ascii="Times New Roman" w:hAnsi="Times New Roman" w:eastAsia="宋体"/>
          <w:b/>
          <w:sz w:val="21"/>
        </w:rPr>
        <w:t>English Abstract:</w:t>
      </w:r>
    </w:p>
    <w:p>
      <w:r>
        <w:rPr>
          <w:rFonts w:ascii="Times New Roman" w:hAnsi="Times New Roman" w:eastAsia="宋体"/>
          <w:sz w:val="21"/>
        </w:rPr>
        <w:t>Single Image Reflection Separation (SIRS) aims to reconstruct both the transmitted and reflected images from a single image that contains a superimposition of both, captured through a glass-like reflective surface. Recent learning-based methods of SIRS have significantly improved performance on typical images with mild reflection artifacts; however, they often struggle with diverse images containing challenging reflections captured in the wild. In this paper, we propose a universal SIRS framework based on a flexible dual-stream architecture, capable of handling diverse reflection artifacts. Specifically, we incorporate a Mixture-of-Experts mechanism that dynamically assigns specialized experts to image patches based on spatially heterogeneous reflection characteristics. The assigned experts then cooperate to extract complementary features between the transmission and reflection streams in an adaptive manner. In addition, we leverage the multi-head attention mechanism of Transformers to simultaneously exploit both high and low cross-correlations, which are then complementarily used to facilitate adaptive inter-stream feature interactions. Experimental results evaluated on diverse real-world datasets demonstrate that the proposed method significantly outperforms existing state-of-the-art methods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通过频率空间特征过滤和高斯混合建模改进无监督超声图像异常检测</w:t>
      </w:r>
    </w:p>
    <w:p>
      <w:r>
        <w:rPr>
          <w:rFonts w:ascii="Times New Roman" w:hAnsi="Times New Roman" w:eastAsia="宋体"/>
          <w:b/>
          <w:color w:val="003264"/>
          <w:sz w:val="24"/>
        </w:rPr>
        <w:t>Improving Unsupervised Ultrasonic Image Anomaly Detection via Frequency-Spatial Feature Filtering and Gaussian Mixture Modeling</w:t>
      </w:r>
    </w:p>
    <w:p>
      <w:r>
        <w:rPr>
          <w:rFonts w:ascii="Times New Roman" w:hAnsi="Times New Roman" w:eastAsia="宋体"/>
          <w:sz w:val="21"/>
        </w:rPr>
        <w:t>作者: Wenjing Zhang, Ke Lu, Jinbao Wang, Hao Liang, Can Gao, Jian Xue</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https://doi.org/10.1109/tip.2026.3659292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由于有限的标记数据、强烈的结构和随机噪声以及高度多样化的缺陷表现，超声图像异常检测面临重大挑战。为了克服这些障碍，我们推出了 UltraChip，这是一种新的大规模 C 扫描基准测试，包含来自各种芯片封装类型的约 8,000 张真实图像，每张图像都用像素级掩模仔细注释了裂纹、孔洞和层。在此资源的基础上，我们提出了 FSGM-Net，这是一个专为异常检测量身定制的完全无监督框架。 FSGM-Net 利用自适应频率空间特征过滤机制：可学习的 FFT 空间补丁滤波器首先抑制噪声，并动态地将正态权重分配给视觉变换器 (ViT) 补丁特征。随后，自适应高斯混合模型（Ada-GMM）捕获正常特征的分布，并指导深浅多尺度交互解码器进行准确的像素级异常推断。此外，我们提出了一种强制编码器-滤波器一致性和基于熵的稀疏门控的滤波器损失，以及鼓励特征重建和置信高斯混合建模的分布损失。大量实验表明，FSGM-Net 不仅在 UltraChip 上取得了最先进的结果，而且还表现出优于 MVTec-AD 和 VisA 的跨域泛化能力，同时支持在单个 GPU 上进行实时推理。该数据集和框架共同推进了实际应用中稳健、无注释的超声无损检测。</w:t>
      </w:r>
    </w:p>
    <w:p>
      <w:pPr>
        <w:spacing w:before="120"/>
      </w:pPr>
      <w:r>
        <w:rPr>
          <w:rFonts w:ascii="Times New Roman" w:hAnsi="Times New Roman" w:eastAsia="宋体"/>
          <w:b/>
          <w:sz w:val="21"/>
        </w:rPr>
        <w:t>English Abstract:</w:t>
      </w:r>
    </w:p>
    <w:p>
      <w:r>
        <w:rPr>
          <w:rFonts w:ascii="Times New Roman" w:hAnsi="Times New Roman" w:eastAsia="宋体"/>
          <w:sz w:val="21"/>
        </w:rPr>
        <w:t>Ultrasonic image anomaly detection faces significant challenges due to limited labeled data, strong structural and random noise, and highly diverse defect manifestations. To overcome these obstacles, we introduce UltraChip, a new large-scale C-scan benchmark containing about 8,000 real-world images from various chip packaging types, each meticulously annotated with pixel-level masks for cracks, holes, and layers. Building on this resource, we present FSGM-Net, a fully unsupervised framework tailored for anomaly detection. FSGM-Net leverages an adaptive Frequency-Spatial feature filtering mechanism: a learnable FFT-Spatial patch filter first suppresses noise and dynamically assigns normality weights to Vision Transformer (ViT) patch features. Subsequently, an Adaptive Gaussian Mixture Model (Ada-GMM) captures the distribution of normal features and guides a deep–shallow multi-scale interaction decoder for accurate, pixel-level anomaly inference. In addition, we propose a filter loss that enforces encoder–filter consistency and entropy-based sparse gating, together with a distributional loss that encourages both feature reconstruction and confident Gaussian mixture modeling. Extensive experiments demonstrate that FSGM-Net not only achieves state-of-the-art results on UltraChip but also exhibits superior cross-domain generalization to MVTec-AD and VisA, while supporting real-time inference on a single GPU. Together, the dataset and framework advance robust, annotation-free ultrasonic NDT in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攻击增强混合对比骨骼表示学习</w:t>
      </w:r>
    </w:p>
    <w:p>
      <w:r>
        <w:rPr>
          <w:rFonts w:ascii="Times New Roman" w:hAnsi="Times New Roman" w:eastAsia="宋体"/>
          <w:b/>
          <w:color w:val="003264"/>
          <w:sz w:val="24"/>
        </w:rPr>
        <w:t>Attack-Augmented Mixing-Contrastive Skeletal Representation Learning</w:t>
      </w:r>
    </w:p>
    <w:p>
      <w:r>
        <w:rPr>
          <w:rFonts w:ascii="Times New Roman" w:hAnsi="Times New Roman" w:eastAsia="宋体"/>
          <w:sz w:val="21"/>
        </w:rPr>
        <w:t>作者: Binqian Xu, Xiangbo Shu, Jiachao Zhang, Rui Yan, Guo-Sen Xie</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https://doi.org/10.1109/tip.2026.3659331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学习通过利用有效的正样本和负样本对来促进无监督动作识别的信息骨架表示的获取。然而，大多数现有方法通过弱或强的数据增强来构建这些对，这通常依赖于骨骼的随机外观改变。虽然这种增强在某种程度上是有效的，但它们只是间接引入语义变化，并且面临两个固有的局限性。首先，简单地修改骨架的外观通常无法反映有意义的语义变化。其次，随机扰动可能会无意中模糊正负对之间的界限，削弱对比目标。为了应对这些挑战，我们提出了一种攻击驱动的增强框架，明确引入了语义级扰动。这种方法有助于生成硬阳性，同时指导模型挖掘信息更丰富的硬阴性。基于这个想法，我们提出了攻击增强混合对比骨骼表示学习（A 2 MC），这是一个新颖的框架，专注于对比硬正样本和硬负样本，以实现更稳健的表示学习。在 A 2 MC 中，我们设计了一个攻击增强 (Att-Aug) 模块，该模块集成了目标（基于攻击）和非目标（基于增强）扰动，以生成信息丰富的硬阳性样本。与此同时，我们提出了正负混合器（PNM），它将硬正负特征混合在一起，以合成具有挑战性的硬负特征。然后将它们用于更新混合记忆库，以实现更有效的对比学习。对三个公共基准的综合评估表明，我们的方法（称为 A 2 MC）实现了与现有最​​先进方法相当或超过的性能。</w:t>
      </w:r>
    </w:p>
    <w:p>
      <w:pPr>
        <w:spacing w:before="120"/>
      </w:pPr>
      <w:r>
        <w:rPr>
          <w:rFonts w:ascii="Times New Roman" w:hAnsi="Times New Roman" w:eastAsia="宋体"/>
          <w:b/>
          <w:sz w:val="21"/>
        </w:rPr>
        <w:t>English Abstract:</w:t>
      </w:r>
    </w:p>
    <w:p>
      <w:r>
        <w:rPr>
          <w:rFonts w:ascii="Times New Roman" w:hAnsi="Times New Roman" w:eastAsia="宋体"/>
          <w:sz w:val="21"/>
        </w:rPr>
        <w:t>Contrastive learning facilitates the acquisition of informative skeleton representations for unsupervised action recognition by leveraging effective positive and negative sample pairs. However, most existing methods construct these pairs through weak or strong data augmentations, which typically rely on random appearance alterations of skeletons. While such augmentations are somewhat effective, they introduce semantic variations only indirectly and face two inherent limitations. First, simply modifying the appearance of skeletons often fails to reflect meaningful semantic variations. Second, random perturbations can unintentionally blur the boundary between positive and negative pairs, weakening the contrastive objective. To address these challenges, we propose an attack-driven augmentation framework that explicitly introduces semantic-level perturbations. This approach facilitates the generation of hard positives while guiding the model to mine more informative hard negatives. Building on this idea, we present Attack-Augmented Mixing-Contrastive Skeletal Representation Learning (A 2 MC), a novel framework that focuses on contrasting hard positive and hard negative samples for more robust representation learning. Within A 2 MC, we design an Attack-Augmentation (Att-Aug) module that integrates both targeted (attack-based) and untargeted (augmentation-based) perturbations to generate informative hard positive samples. In parallel, we propose the Positive-Negative Mixer (PNM), which blends hard positive and negative features to synthesize challenging hard negatives. These are then used to update a mixed memory bank for more effective contrastive learning. Comprehensive evaluations across three public benchmarks demonstrate that our approach, termed A 2 MC, achieves performance on par with or exceeding existing state-of-the-art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00:28 ---</w:t>
      </w:r>
    </w:p>
    <w:p>
      <w:pPr>
        <w:pStyle w:val="Heading2"/>
      </w:pPr>
      <w:r/>
      <w:r>
        <w:rPr>
          <w:rFonts w:ascii="Times New Roman" w:hAnsi="Times New Roman" w:eastAsia="宋体"/>
          <w:b/>
          <w:color w:val="000000"/>
          <w:sz w:val="24"/>
        </w:rPr>
        <w:t>通过语言指导和表示对齐快速解开领域泛化</w:t>
      </w:r>
    </w:p>
    <w:p>
      <w:r>
        <w:rPr>
          <w:rFonts w:ascii="Times New Roman" w:hAnsi="Times New Roman" w:eastAsia="宋体"/>
          <w:b/>
          <w:color w:val="003264"/>
          <w:sz w:val="24"/>
        </w:rPr>
        <w:t>Prompt Disentanglement via Language Guidance and Representation Alignment for Domain Generalization</w:t>
      </w:r>
    </w:p>
    <w:p>
      <w:r>
        <w:rPr>
          <w:rFonts w:ascii="Times New Roman" w:hAnsi="Times New Roman" w:eastAsia="宋体"/>
          <w:sz w:val="21"/>
        </w:rPr>
        <w:t>作者: De Cheng, Zhipeng Xu, Xinyang Jiang, Dongsheng Li, Nannan Wang, Xinbo Gao</w:t>
        <w:br/>
      </w:r>
      <w:r>
        <w:rPr>
          <w:rFonts w:ascii="Times New Roman" w:hAnsi="Times New Roman" w:eastAsia="宋体"/>
          <w:sz w:val="21"/>
        </w:rPr>
        <w:t xml:space="preserve">时间: 2026 | </w:t>
      </w:r>
      <w:r>
        <w:t xml:space="preserve">链接: </w:t>
      </w:r>
      <w:hyperlink r:id="rId36">
        <w:r>
          <w:rPr>
            <w:rFonts w:ascii="Times New Roman" w:hAnsi="Times New Roman" w:eastAsia="宋体"/>
            <w:color w:val="0000FF"/>
            <w:sz w:val="21"/>
            <w:u w:val="single"/>
          </w:rPr>
          <w:t>https://doi.org/10.1109/tpami.2026.3661049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域泛化（DG）旨在通过学习域不变表示来开发在未见过的目标域上表现良好的模型。预训练视觉基础模型 (VFM)（例如 CLIP）的最新进展显示出通过即时调整增强 DG 的强大潜力。然而，现有的基于 VFM 的提示调整方法通常侧重于特定于任务的适应，而不是解开域不变特征，导致跨域泛化的探索不够充分。在本文中，我们通过充分利用 VFM 中可控且灵活的语言提示来应对这一挑战。观察到文本模态本质上具有丰富的语义并且更容易解开，我们提出了一种新颖的框架，称为通过语言指导和表示对齐进行提示解开（PADG）。 PADG 首先采用大型语言模型 (LLM) 将文本提示分解为领域不变和领域特定的组件，然后指导领域不变视觉表示的学习。为了补充纯文本指导的局限性，我们进一步引入了最差显式表示对齐（WERA）模块，该模块通过可学习的风格化提示模拟有界域的变化以及对齐原始样本和扰动样本之间的表示来增强视觉不变性。对主流 DG 基准（包括 PACS、VLCS、OfficeHome、DomainNet 和 TerraInc）的大量实验表明，PADG 始终优于现有的最先进方法，验证了其在鲁棒域不变表示学习中的有效性。该代码位于：https://anonymous.4open.science/r/paper-5403/</w:t>
      </w:r>
    </w:p>
    <w:p>
      <w:pPr>
        <w:spacing w:before="120"/>
      </w:pPr>
      <w:r>
        <w:rPr>
          <w:rFonts w:ascii="Times New Roman" w:hAnsi="Times New Roman" w:eastAsia="宋体"/>
          <w:b/>
          <w:sz w:val="21"/>
        </w:rPr>
        <w:t>English Abstract:</w:t>
      </w:r>
    </w:p>
    <w:p>
      <w:r>
        <w:rPr>
          <w:rFonts w:ascii="Times New Roman" w:hAnsi="Times New Roman" w:eastAsia="宋体"/>
          <w:sz w:val="21"/>
        </w:rPr>
        <w:t>Domain Generalization (DG) seeks to develop models that perform well on unseen target domains by learning domain-invariant representations. Recent advances in pre-trained Visual Foundation Models (VFMs), such as CLIP, have shown strong potential for enhancing DG through prompt tuning. However, existing VFM-based prompt tuning methods often focus on task-specific adaptation rather than disentangling domain invariant features, leaving cross-domain generalization insufficiently explored. In this paper, we address this challenge by fully leveraging the controllable and flexible language prompt in VFMs. Observing that the text modality is inherently rich in semantics and easier to disentangle, we propose a novel frame work termed Prompt Disentanglement via Language Guidance and Representation Alignment (PADG). PADG first employs a large language model (LLM) to disentangle textual prompts into domain-invariant and domain-specific components, which then guide the learning of domain-invariant visual representations. To complement the limitations of text-only guidance, we further introduce the Worst Explicit Representation Alignment (WERA) module, which enhances visual invariance by simulating bounded domain shifts through learnable stylization prompts and aligning representations between original and perturbed samples. Extensive experiments on mainstream DG benchmarks, including PACS, VLCS, OfficeHome, DomainNet, and TerraInc, demonstrate that PADG consistently outperforms existing state of-the-art methods, validating its effectiveness in robust domain invariant representation learning. The code is available at: https://anonymous.4open.science/r/paper-5403/</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06:29 ---</w:t>
      </w:r>
    </w:p>
    <w:p>
      <w:pPr>
        <w:pStyle w:val="Heading2"/>
      </w:pPr>
      <w:r/>
      <w:r>
        <w:rPr>
          <w:rFonts w:ascii="Times New Roman" w:hAnsi="Times New Roman" w:eastAsia="宋体"/>
          <w:b/>
          <w:color w:val="000000"/>
          <w:sz w:val="24"/>
        </w:rPr>
        <w:t>高度稳定的全钙钛矿串联太阳能电池，具有锡铅表面的目标转化</w:t>
      </w:r>
    </w:p>
    <w:p>
      <w:r>
        <w:rPr>
          <w:rFonts w:ascii="Times New Roman" w:hAnsi="Times New Roman" w:eastAsia="宋体"/>
          <w:b/>
          <w:color w:val="003264"/>
          <w:sz w:val="24"/>
        </w:rPr>
        <w:t>Highly stable all-perovskite tandem solar cells with targeted conversion of tin–lead surfaces</w:t>
      </w:r>
    </w:p>
    <w:p>
      <w:r>
        <w:rPr>
          <w:rFonts w:ascii="Times New Roman" w:hAnsi="Times New Roman" w:eastAsia="宋体"/>
          <w:sz w:val="21"/>
        </w:rPr>
        <w:t>作者: Nannan Sun, Sheng Fu, Yunfei Li, Tianshu Ma, Feng Wang, Wentai Ouyang, Bo Feng, Xiaotian Zhu, Zhengbo Cui, Canglang Yao, Wenxiao Zhang, Xiaodong Li, Changlei Wang, Feng Gao, Junfeng Fang</w:t>
        <w:br/>
      </w:r>
      <w:r>
        <w:rPr>
          <w:rFonts w:ascii="Times New Roman" w:hAnsi="Times New Roman" w:eastAsia="宋体"/>
          <w:sz w:val="21"/>
        </w:rPr>
        <w:t xml:space="preserve">时间: 2026-02-05 | </w:t>
      </w:r>
      <w:r>
        <w:t xml:space="preserve">链接: </w:t>
      </w:r>
      <w:hyperlink r:id="rId53">
        <w:r>
          <w:rPr>
            <w:rFonts w:ascii="Times New Roman" w:hAnsi="Times New Roman" w:eastAsia="宋体"/>
            <w:color w:val="0000FF"/>
            <w:sz w:val="21"/>
            <w:u w:val="single"/>
          </w:rPr>
          <w:t>https://doi.org/10.1038/s41566-025-01815-w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氢氧化铯处理钙钛矿薄膜中的锡铅表面，形成固体金属氧化物，稳定表面，防止光热降解。当用于全钙钛矿串联太阳能电池时，经认证的功率转换效率为28.56%，在ISOS-L-3条件下测试500小时后，其中90%的效率保持不变。</w:t>
      </w:r>
    </w:p>
    <w:p>
      <w:pPr>
        <w:spacing w:before="120"/>
      </w:pPr>
      <w:r>
        <w:rPr>
          <w:rFonts w:ascii="Times New Roman" w:hAnsi="Times New Roman" w:eastAsia="宋体"/>
          <w:b/>
          <w:sz w:val="21"/>
        </w:rPr>
        <w:t>English Abstract:</w:t>
      </w:r>
    </w:p>
    <w:p>
      <w:r>
        <w:rPr>
          <w:rFonts w:ascii="Times New Roman" w:hAnsi="Times New Roman" w:eastAsia="宋体"/>
          <w:sz w:val="21"/>
        </w:rPr>
        <w:t>Treating the tin–lead surface in perovskite films with caesium hydroxide forms solid metal oxides that stabilize the surface against photothermal degradation. When used in all-perovskite tandem solar cells, a certified power conversion efficiency of 28.56% is achieved, 90% of which is retained after 500 h of testing under ISOS-L-3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06:29 ---</w:t>
      </w:r>
    </w:p>
    <w:p>
      <w:pPr>
        <w:pStyle w:val="Heading2"/>
      </w:pPr>
      <w:r/>
      <w:r>
        <w:rPr>
          <w:rFonts w:ascii="Times New Roman" w:hAnsi="Times New Roman" w:eastAsia="宋体"/>
          <w:b/>
          <w:color w:val="000000"/>
          <w:sz w:val="24"/>
        </w:rPr>
        <w:t>一种混合集成高精度可调谐半导体激光器</w:t>
      </w:r>
    </w:p>
    <w:p>
      <w:r>
        <w:rPr>
          <w:rFonts w:ascii="Times New Roman" w:hAnsi="Times New Roman" w:eastAsia="宋体"/>
          <w:b/>
          <w:color w:val="003264"/>
          <w:sz w:val="24"/>
        </w:rPr>
        <w:t>A hybrid integrated high-precision tunable semiconductor laser</w:t>
      </w:r>
    </w:p>
    <w:p>
      <w:r>
        <w:rPr>
          <w:rFonts w:ascii="Times New Roman" w:hAnsi="Times New Roman" w:eastAsia="宋体"/>
          <w:sz w:val="21"/>
        </w:rPr>
        <w:t>作者: Yiran Zhu, Botao Fu, Zhiwei Fang, Qiyue Hu, Jianping Yu, Yunpeng Song, Yu Ma, Min Wang, Kunpeng Jia, Zhenda Xie, Ya Cheng</w:t>
        <w:br/>
      </w:r>
      <w:r>
        <w:rPr>
          <w:rFonts w:ascii="Times New Roman" w:hAnsi="Times New Roman" w:eastAsia="宋体"/>
          <w:sz w:val="21"/>
        </w:rPr>
        <w:t xml:space="preserve">时间: 2026 | </w:t>
      </w:r>
      <w:r>
        <w:t xml:space="preserve">链接: </w:t>
      </w:r>
      <w:hyperlink r:id="rId54">
        <w:r>
          <w:rPr>
            <w:rFonts w:ascii="Times New Roman" w:hAnsi="Times New Roman" w:eastAsia="宋体"/>
            <w:color w:val="0000FF"/>
            <w:sz w:val="21"/>
            <w:u w:val="single"/>
          </w:rPr>
          <w:t>https://doi.org/10.29026/oea.2026.250274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薄膜铌酸锂由于其出色的电光和非线性特性，已成为集成光子学的一个有前途的平台。然而，对于从光通信和传感到计量和量子技术等众多应用至关重要的片上可调谐激光器的发展仍然有限。当前的解决方案在波长调谐范围或精度方面都不足，并且经常依赖于复杂的控制策略。在这里，我们展示了一种集成电光可调谐窄线宽 III-V 激光器，实现了约 51.8 nm 的调谐范围、约 1.21 MHz 的固有线宽和约 0.03 nm 的高调谐精度。具体来说，我们的外腔独特地结合了高反射萨尼亚克反射镜和一系列不平衡干涉仪，它们一起提供有利于单纵模窄线宽激光操作的光谱响应，这不仅通过实验演示，而且通过富有洞察力的理论分析证明。</w:t>
      </w:r>
    </w:p>
    <w:p>
      <w:pPr>
        <w:spacing w:before="120"/>
      </w:pPr>
      <w:r>
        <w:rPr>
          <w:rFonts w:ascii="Times New Roman" w:hAnsi="Times New Roman" w:eastAsia="宋体"/>
          <w:b/>
          <w:sz w:val="21"/>
        </w:rPr>
        <w:t>English Abstract:</w:t>
      </w:r>
    </w:p>
    <w:p>
      <w:r>
        <w:rPr>
          <w:rFonts w:ascii="Times New Roman" w:hAnsi="Times New Roman" w:eastAsia="宋体"/>
          <w:sz w:val="21"/>
        </w:rPr>
        <w:t>Thin-film lithium niobate has become a promising platform for integrated photonics due to its outstanding electro-optic and nonlinear properties. However, the development of on-chip tunable lasers, which is essential for a plethora of applications ranging from optical communications and sensing to metrology and quantum technology, remains limited. Current solutions fall short in either wavelength tuning range or precision, and frequently relies on complex control strategy. Here, we demonstrate an integrated electro-optically tunable narrow-linewidth III-V laser, achieving a tuning range of ~51.8 nm, an intrinsic linewidth of ~1.21 MHz, and high tuning precision of ~0.03 nm. Specifically, our external cavity uniquely combines highly reflective Sagnac mirrors and a series of unbalanced interferometers which together offer a spectral response in favor of single-longitudinal-mode narrow-linewidth lasing operation, evidenced by not only experimental demonstration but also insightful theoretical analysis.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06:29 ---</w:t>
      </w:r>
    </w:p>
    <w:p>
      <w:pPr>
        <w:pStyle w:val="Heading2"/>
      </w:pPr>
      <w:r/>
      <w:r>
        <w:rPr>
          <w:rFonts w:ascii="Times New Roman" w:hAnsi="Times New Roman" w:eastAsia="宋体"/>
          <w:b/>
          <w:color w:val="000000"/>
          <w:sz w:val="24"/>
        </w:rPr>
        <w:t>用于 300 mm 硅光子平台上标准单模光纤的低于 1 dB 损耗和偏振不敏感 O 波段边缘耦合器</w:t>
      </w:r>
    </w:p>
    <w:p>
      <w:r>
        <w:rPr>
          <w:rFonts w:ascii="Times New Roman" w:hAnsi="Times New Roman" w:eastAsia="宋体"/>
          <w:b/>
          <w:color w:val="003264"/>
          <w:sz w:val="24"/>
        </w:rPr>
        <w:t>Sub-1 dB loss and polarization-insensitive O-band edge coupler for standard single-mode fiber on a 300 mm silicon photonics platform</w:t>
      </w:r>
    </w:p>
    <w:p>
      <w:r>
        <w:rPr>
          <w:rFonts w:ascii="Times New Roman" w:hAnsi="Times New Roman" w:eastAsia="宋体"/>
          <w:sz w:val="21"/>
        </w:rPr>
        <w:t>作者: Qingshuai Su, Xiao Hu, Fang Wei, Xu Wang, Xiangyue Li, Hexi Han, Wei Chu, Haiwen Cai</w:t>
        <w:br/>
      </w:r>
      <w:r>
        <w:rPr>
          <w:rFonts w:ascii="Times New Roman" w:hAnsi="Times New Roman" w:eastAsia="宋体"/>
          <w:sz w:val="21"/>
        </w:rPr>
        <w:t xml:space="preserve">时间: 2026-01-22 | </w:t>
      </w:r>
      <w:r>
        <w:t xml:space="preserve">链接: </w:t>
      </w:r>
      <w:hyperlink r:id="rId58">
        <w:r>
          <w:rPr>
            <w:rFonts w:ascii="Times New Roman" w:hAnsi="Times New Roman" w:eastAsia="宋体"/>
            <w:color w:val="0000FF"/>
            <w:sz w:val="21"/>
            <w:u w:val="single"/>
          </w:rPr>
          <w:t>https://doi.org/10.1364/oe.583573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数据中心互连和高性能计算的需求不断增长，硅光子已成为下一代光通信和互连系统的关键技术。然而，硅光子芯片和标准单模光纤之间的有效耦合仍然是限制大规模部署的关键挑战。在这项工作中，我们展示了在具有两层氮化硅的 300 mm 硅光子有源平台上制造的亚分贝损耗、偏振不敏感的 O 波段边缘耦合器。该边缘耦合器采用基于悬臂的结构，具有结构优化的石英波导面，显着改善了标准单模光纤的模场重叠和对准容差。将光场直接耦合到单模氮化硅波导中可实现优异的性能，在 1260-1360 nm 波长范围内，TE/TM 模式插入损耗低于 0.87 dB/1.0 dB，偏振相关损耗 (PDL) 低于 0.14 dB。此外，高效的层间耦合可实现从氮化硅波导到单模硅波导的绝热光场转换，在 100 nm 带宽内保持高性能，TE/TM 模式耦合损耗低于 0.85 dB/1.2 dB，PDL 低于 0.37 dB。该器件还在所有三个维度（水平、垂直和耦合间隙）上表现出出色的对准公差。这项研究为在先进硅光子平台上实现高性能光输入/输出接口提供了一种可扩展且经济高效的解决方案，为高密度光互连和计算系统的大规模集成铺平了道路。</w:t>
      </w:r>
    </w:p>
    <w:p>
      <w:pPr>
        <w:spacing w:before="120"/>
      </w:pPr>
      <w:r>
        <w:rPr>
          <w:rFonts w:ascii="Times New Roman" w:hAnsi="Times New Roman" w:eastAsia="宋体"/>
          <w:b/>
          <w:sz w:val="21"/>
        </w:rPr>
        <w:t>English Abstract:</w:t>
      </w:r>
    </w:p>
    <w:p>
      <w:r>
        <w:rPr>
          <w:rFonts w:ascii="Times New Roman" w:hAnsi="Times New Roman" w:eastAsia="宋体"/>
          <w:sz w:val="21"/>
        </w:rPr>
        <w:t>With the growing demand for data center interconnects and high-performance computing, silicon photonics has emerged as a key technology for next-generation optical communication and interconnect systems. However, efficient coupling between silicon photonic chips and standard single-mode fibers remains a critical challenge limiting large-scale deployment. In this work, we demonstrate a sub-decibel loss, polarization-insensitive O-band edge coupler fabricated on a 300 mm silicon photonics active platform with two-layer silicon nitrides. The edge coupler employs a cantilever-based structure with a structurally optimized silica waveguide facet, significantly improving mode field overlap and alignment tolerance with standard single-mode fibers. Direct coupling of the optical field into a single-mode silicon nitride waveguide achieves excellent performance, with TE/TM mode insertion losses below 0.87 dB/1.0 dB and a polarization-dependent loss (PDL) below 0.14 dB across the 1260-1360 nm wavelength range. Furthermore, efficient interlayer coupling enables adiabatic optical field conversion from the silicon nitride waveguide to a single-mode silicon waveguide, maintaining high performance over a 100 nm bandwidth with TE/TM mode coupling losses below 0.85 dB/1.2 dB and a PDL below 0.37 dB. The device also exhibits excellent alignment tolerances in all three dimensions (horizontal, vertical, and coupling gap). This research provides a scalable and cost-effective solution for realizing high-performance optical input/output interfaces on advanced silicon photonics platforms, paving the way for large-scale integration in high-density optical interconnects and computing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通过各向异性梯度稀疏性和低秩正则化锥形束计算机层析成像的图像重建算法</w:t>
      </w:r>
    </w:p>
    <w:p>
      <w:r>
        <w:rPr>
          <w:rFonts w:ascii="Times New Roman" w:hAnsi="Times New Roman" w:eastAsia="宋体"/>
          <w:b/>
          <w:color w:val="003264"/>
          <w:sz w:val="24"/>
        </w:rPr>
        <w:t>Image reconstruction algorithm regularized by anisotropic gradient sparsity and low rank for cone beam computed laminography</w:t>
      </w:r>
    </w:p>
    <w:p>
      <w:r>
        <w:rPr>
          <w:rFonts w:ascii="Times New Roman" w:hAnsi="Times New Roman" w:eastAsia="宋体"/>
          <w:sz w:val="21"/>
        </w:rPr>
        <w:t>作者: Jing Lu, Pengcheng Zhang, Yi Liu, Zhiyuan Li, Shu Li, Hangqi Wu, Wenyan Liu, Zhiguo Gui</w:t>
        <w:br/>
      </w:r>
      <w:r>
        <w:rPr>
          <w:rFonts w:ascii="Times New Roman" w:hAnsi="Times New Roman" w:eastAsia="宋体"/>
          <w:sz w:val="21"/>
        </w:rPr>
        <w:t xml:space="preserve">时间: 2026-01-22 | </w:t>
      </w:r>
      <w:r>
        <w:t xml:space="preserve">链接: </w:t>
      </w:r>
      <w:hyperlink r:id="rId59">
        <w:r>
          <w:rPr>
            <w:rFonts w:ascii="Times New Roman" w:hAnsi="Times New Roman" w:eastAsia="宋体"/>
            <w:color w:val="0000FF"/>
            <w:sz w:val="21"/>
            <w:u w:val="single"/>
          </w:rPr>
          <w:t>https://doi.org/10.1364/oe.582146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射线计算机断层扫描 (CL) 已成为检查板壳部件的首选无损成像技术。然而，其独特的扫描几何形状不可避免地导致投影数据不完整，从而导致重建图像中出现明显的混叠伪影和结构退化。为了解决这个问题，我们提出了一种新颖的 CL 重建模型，该模型结合了各向异性梯度、稀疏和低秩 (AGSLR) 正则化。该模型利用了 CL 图像的局部平滑度和全局空间相关性。具体来说，局部平滑度通过总变分（TV）来捕获，而全局空间相关性则通过张量核范数（TNN）来表征。此外，该模型通过引入各向异性电视项，将 CL 图像中水平和垂直边缘的差分恢复能力编码为先验。利用 Chambolle-Pock (CP) 算法设计了数值求解器。模拟和真实数据的实验结果表明，所提出的算法在抑制锥束伪影、降低噪声和恢复结构细节方面显着优于现有方法。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X-ray computed laminography (CL) has emerged as the preferred nondestructive imaging technique for inspecting plate-shell components. However, its unique scanning geometry inevitably leads to incomplete projection data, thereby causing significant aliasing artifacts and structural degradation in reconstructed images. To address this issue, we propose a novel CL reconstruction model that incorporates anisotropic gradient, sparse, and low-rank (AGSLR) regularization. The model leverages both the local smoothness and global spatial correlation of CL images. Specifically, local smoothness is captured through total variation (TV), while global spatial correlation is characterized by tensor nuclear norm (TNN). Furthermore, the model encodes the differential restoration capabilities of horizontal and vertical edges in CL images as a prior by introducing anisotropic TV terms. A numerical solver is devised utilizing the Chambolle-Pock (CP) algorithm. Experimental results on simulated and real data demonstrate that the proposed algorithm significantly outperforms existing methods in suppressing cone-beam artifacts, reducing noise, and recovering structural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基于孤子微梳双载波太赫兹光载波转换的全光子W波段太赫兹接收器，用于高速OOK无线传输</w:t>
      </w:r>
    </w:p>
    <w:p>
      <w:r>
        <w:rPr>
          <w:rFonts w:ascii="Times New Roman" w:hAnsi="Times New Roman" w:eastAsia="宋体"/>
          <w:b/>
          <w:color w:val="003264"/>
          <w:sz w:val="24"/>
        </w:rPr>
        <w:t>All-photonic W-band terahertz receiver based on THz-to-optical carrier conversion with soliton microcomb dual carriers for high-speed OOK wireless transmission</w:t>
      </w:r>
    </w:p>
    <w:p>
      <w:r>
        <w:rPr>
          <w:rFonts w:ascii="Times New Roman" w:hAnsi="Times New Roman" w:eastAsia="宋体"/>
          <w:sz w:val="21"/>
        </w:rPr>
        <w:t>作者: Yudai Matsumura, Hiroki Kishikawa, Naoya Kuse, Yasuhiro Okamura, Eiji Hase, Jun-Ichi Fujikata, Masanobu Haraguchi, Takahiro Kaji, Akira Otomo, Isao Morohashi, Tomohiro Tetsumoto, Shintaro Hisatake, Atsushi Kanno, Yu Tokizane, Takeshi Yasui</w:t>
        <w:br/>
      </w:r>
      <w:r>
        <w:rPr>
          <w:rFonts w:ascii="Times New Roman" w:hAnsi="Times New Roman" w:eastAsia="宋体"/>
          <w:sz w:val="21"/>
        </w:rPr>
        <w:t xml:space="preserve">时间: 2026-01-23 | </w:t>
      </w:r>
      <w:r>
        <w:t xml:space="preserve">链接: </w:t>
      </w:r>
      <w:hyperlink r:id="rId60">
        <w:r>
          <w:rPr>
            <w:rFonts w:ascii="Times New Roman" w:hAnsi="Times New Roman" w:eastAsia="宋体"/>
            <w:color w:val="0000FF"/>
            <w:sz w:val="21"/>
            <w:u w:val="single"/>
          </w:rPr>
          <w:t>https://doi.org/10.1364/oe.582936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我们展示了一种用于数据调制信号的全光子太赫兹 (THz) 接收器，目标是 106 GHz、2.97 Gb/s 开关键控 (OOK) 链路。该方案采用以孤子微梳为参考的双波长光载波，并使用电光聚合物调制器通过非偏振电光下变频执行太赫兹到光载波的转换。 RF 频谱和眼图证实了无差错传输，Q 因子为 5.78，误码率为 3.74 × 10 -9 ，远低于硬决策前向纠错阈值（Q 因子 = 2.67，(BER) = 3.8 × 10 -3 ）。使用单波长光载波配置的比较测量清楚地揭示了双波长方案卓越的信噪比性能。系统级建模进一步表明了传输距离超过100 m的可扩展性。这些结果使孤子微梳参考双载波成为紧凑型集成接收器的一个有前景的平台，可在未来 6G 网络中实现无缝无线光融合。</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all-photonic terahertz (THz) receiver for a data-modulated signal, targeting a 106-GHz, 2.97-Gb/s on-off keying (OOK) link. The scheme employs dual-wavelength optical carriers referenced to a soliton microcomb and performs THz-to-optical carrier conversion via nonpolarimetric electro-optic downconversion using an electro-optic polymer modulator. RF spectra and eye diagrams confirmed error-free transmission with a Q-factor of 5.78 and a bit-error rate of 3.74 × 10 −9 , well below the hard-decision forward-error-correction threshold (Q-factor = 2.67, (BER) = 3.8 × 10 −3 ). Comparative measurements using a single-wavelength optical-carrier configuration clearly revealed the superior signal-to-noise performance of the dual-wavelength scheme. System-level modeling further indicated the scalability of the transmission distance beyond 100 m. These results establish soliton microcomb-referenced dual carriers as a promising platform for compact, integrated receivers enabling seamless wireless-optical convergence in future 6G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用于无标记 T-DXd 药物与抗体比率测定的量子弱测量生物传感器</w:t>
      </w:r>
    </w:p>
    <w:p>
      <w:r>
        <w:rPr>
          <w:rFonts w:ascii="Times New Roman" w:hAnsi="Times New Roman" w:eastAsia="宋体"/>
          <w:b/>
          <w:color w:val="003264"/>
          <w:sz w:val="24"/>
        </w:rPr>
        <w:t>Quantum weak measurement biosensor for label-free drug-to-antibody ratio determination of T-DXd</w:t>
      </w:r>
    </w:p>
    <w:p>
      <w:r>
        <w:rPr>
          <w:rFonts w:ascii="Times New Roman" w:hAnsi="Times New Roman" w:eastAsia="宋体"/>
          <w:sz w:val="21"/>
        </w:rPr>
        <w:t>作者: Shuqian Wang, Yufei Liu, Yuxin Zhou, Yadong Chen, Jia Yao, Jingjing Zhang, Li Dongmei, Qiang Lin, Yi Ruan</w:t>
        <w:br/>
      </w:r>
      <w:r>
        <w:rPr>
          <w:rFonts w:ascii="Times New Roman" w:hAnsi="Times New Roman" w:eastAsia="宋体"/>
          <w:sz w:val="21"/>
        </w:rPr>
        <w:t xml:space="preserve">时间: 2026-01-22 | </w:t>
      </w:r>
      <w:r>
        <w:t xml:space="preserve">链接: </w:t>
      </w:r>
      <w:hyperlink r:id="rId61">
        <w:r>
          <w:rPr>
            <w:rFonts w:ascii="Times New Roman" w:hAnsi="Times New Roman" w:eastAsia="宋体"/>
            <w:color w:val="0000FF"/>
            <w:sz w:val="21"/>
            <w:u w:val="single"/>
          </w:rPr>
          <w:t>https://doi.org/10.1364/oe.583299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抗体药物偶联物 (ADC) 需要精确的药物与抗体比率 (DAR) 表征，以确保治疗效果、安全性和法规遵从性。然而，传统的 DAR 方法（例如紫外-可见光谱、疏水相互作用色谱和质谱）通常具有破坏性、依赖于标记或无法在生理相关条件下进行实时分析。在这里，我们提出了一种基于量子弱测量 (QWM) 的 Mach-Zehnder 干涉生物传感器，能够在固定的人表皮生长因子受体 2 (HER2) 过表达 SKBR3 细胞基质上对曲妥珠单抗 deruxtecan (T-DXd) 进行无标记体外 DAR 定量。弱值放大增强了干涉仪的相位灵敏度，允许在统一光学平台内对 T-DXd 进行皮摩尔级检测，并实时监测 HER2 靶向结合和二硫苏糖醇诱导的 DXd 有效负载释放。校准实验产生了出色的线性响应，灵敏度为 3.166 × 10 10 nm · M −1，检测限为 1.31 × 10 −12 M。通过结合 T-DXd 吸附和 DXd 释放测量，QWM 传感器确定 DAR 为 (7.3 ± 0.26)，与标称规格非常吻合。干涉读数无需荧光或酶标记，避免了抗体支架的剧烈消化，同时仅需要微升规模的样品体积。除了 T-DXd 之外，这种模块化量子生物传感架构还适用于其他 ADC 和蛋白质药物缀合物，作为精确生物制药表征和质量控制的补充工具。</w:t>
      </w:r>
    </w:p>
    <w:p>
      <w:pPr>
        <w:spacing w:before="120"/>
      </w:pPr>
      <w:r>
        <w:rPr>
          <w:rFonts w:ascii="Times New Roman" w:hAnsi="Times New Roman" w:eastAsia="宋体"/>
          <w:b/>
          <w:sz w:val="21"/>
        </w:rPr>
        <w:t>English Abstract:</w:t>
      </w:r>
    </w:p>
    <w:p>
      <w:r>
        <w:rPr>
          <w:rFonts w:ascii="Times New Roman" w:hAnsi="Times New Roman" w:eastAsia="宋体"/>
          <w:sz w:val="21"/>
        </w:rPr>
        <w:t>Antibody-drug conjugates (ADCs) demand precise drug-to-antibody ratio (DAR) characterization to ensure therapeutic efficacy, safety, and regulatory compliance. However, conventional DAR methods such as UV-Vis spectroscopy, hydrophobic interaction chromatography, and mass spectrometry are often destructive, label-dependent, or incapable of real-time analysis under physiologically relevant conditions. Here, we present a quantum weak measurement (QWM)-based Mach-Zehnder interferometric biosensor that enables label-free in-vitro DAR quantification of trastuzumab deruxtecan (T-DXd) on fixed human epidermal growth factor receptor 2 (HER2)-overexpressing SKBR3 cell substrates. Weak-value amplification enhances the phase sensitivity of the interferometer, allowing picomolar-level detection of T-DXd and real-time monitoring of HER2-targeted binding and dithiothreitol-induced DXd payload release within a unified optical platform. Calibration experiments yield an excellent linear response with a sensitivity of 3.166 × 10 10 nm · M −1 and a detection limit of 1.31 × 10 −12 M. By combining T-DXd adsorption and DXd release measurements, the QWM sensor determines a DAR of (7.3 ± 0.26), in good agreement with nominal specifications. The interferometric readout operates without fluorescent or enzymatic labels and avoids harsh digestion of the antibody scaffold, while requiring only microliter-scale sample volumes. Beyond T-DXd, this modular quantum biosensing architecture is adaptable to other ADCs and protein-drug conjugates as a complementary tool for precision biopharmaceutical characterization and quality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使用模式交换器进行模式操作的灵活分插复用器</w:t>
      </w:r>
    </w:p>
    <w:p>
      <w:r>
        <w:rPr>
          <w:rFonts w:ascii="Times New Roman" w:hAnsi="Times New Roman" w:eastAsia="宋体"/>
          <w:b/>
          <w:color w:val="003264"/>
          <w:sz w:val="24"/>
        </w:rPr>
        <w:t>Flexible add-drop multiplexers for mode manipulation using mode exchangers</w:t>
      </w:r>
    </w:p>
    <w:p>
      <w:r>
        <w:rPr>
          <w:rFonts w:ascii="Times New Roman" w:hAnsi="Times New Roman" w:eastAsia="宋体"/>
          <w:sz w:val="21"/>
        </w:rPr>
        <w:t>作者: Yaxin Yu, Zhenzhao Guo, Lei Zhang, Jiao Zhang, Min Zhu, Shengbao Wu, Jinbiao Xiao</w:t>
        <w:br/>
      </w:r>
      <w:r>
        <w:rPr>
          <w:rFonts w:ascii="Times New Roman" w:hAnsi="Times New Roman" w:eastAsia="宋体"/>
          <w:sz w:val="21"/>
        </w:rPr>
        <w:t xml:space="preserve">时间: 2026-01-21 | </w:t>
      </w:r>
      <w:r>
        <w:t xml:space="preserve">链接: </w:t>
      </w:r>
      <w:hyperlink r:id="rId62">
        <w:r>
          <w:rPr>
            <w:rFonts w:ascii="Times New Roman" w:hAnsi="Times New Roman" w:eastAsia="宋体"/>
            <w:color w:val="0000FF"/>
            <w:sz w:val="21"/>
            <w:u w:val="single"/>
          </w:rPr>
          <w:t>https://doi.org/10.1364/oe.586767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灵活的模式操作对于大规模构建模分复用（MDM）系统至关重要，可以实现任意信号交换、路由和复用，从而显着增强光互连能力。展示了一种紧凑而灵活的模式操纵方案，以通过智能算法优化的模式交换器（ME）为中心。以基于贝塞尔曲线轮廓波导的四模交换器和相应的模式分插复用器（MADM）为例，对其灵活的模式操纵能力进行了理论分析和实验验证。对制造的 ME 01/23、ME 02/13 和 ME 03/12 模式交换器的实验测量表明，插入损耗 (IL) 低于 1.8 dB，串扰 (CT) 优于 -10 dB，波长范围分别为 1515–1570 nm、1508–1580 nm 和 1519–1580 nm。所有这三种器件均具有小于 6 × 3 μm 2 的紧凑尺寸。同时，在 C 频段 (1530–1565 nm) 上运行的三模分插复用器 (MADM) 的特性验证了所有传输模式的 IL 小于 2.4 dB，CT 超过 -10.0 dB。值得注意的是，所提出的模式操纵策略为高阶模式提供了理论上的可扩展性，克服了传统 MDM 系统的一个关键限制：无法直接访问多模总线波导中的特定低阶模式。因此，这些发现为集成到下一代高密度光通信系统提供了关键的技术基础。</w:t>
      </w:r>
    </w:p>
    <w:p>
      <w:pPr>
        <w:spacing w:before="120"/>
      </w:pPr>
      <w:r>
        <w:rPr>
          <w:rFonts w:ascii="Times New Roman" w:hAnsi="Times New Roman" w:eastAsia="宋体"/>
          <w:b/>
          <w:sz w:val="21"/>
        </w:rPr>
        <w:t>English Abstract:</w:t>
      </w:r>
    </w:p>
    <w:p>
      <w:r>
        <w:rPr>
          <w:rFonts w:ascii="Times New Roman" w:hAnsi="Times New Roman" w:eastAsia="宋体"/>
          <w:sz w:val="21"/>
        </w:rPr>
        <w:t>Flexible mode manipulation is essential for the large-scale construction of mode-division multiplexing (MDM) systems, enabling arbitrary signal exchanging, routing, and multiplexing to significantly enhance optical interconnection capacity. A compact and flexible mode manipulation scheme is demonstrated, centered on a mode exchanger (ME) optimized by intelligent algorithms. Taking four-mode exchangers based on a Bézier curve profile waveguide and corresponding mode add-drop multiplexers (MADMs) as examples, theoretical analysis and experimental verification of their flexible mode manipulation capabilities are presented. Experimental measurements on the fabricated ME 01/23 , ME 02/13 , and ME 03/12 mode exchangers reveal insertion loss (IL) below 1.8 dB and crosstalk (CT) better than −10 dB, spanning the wavelength ranges of 1515–1570 nm, 1508–1580 nm, and 1519–1580 nm, respectively. All three devices feature a compact footprint of less than 6 × 3 μm 2 . Meanwhile, characterization of the three-mode add-drop multiplexers (MADMs) operating over the C-band (1530–1565 nm) verifies IL of less than 2.4 dB and CT exceeding −10.0 dB for all transmission modes. Notably, the proposed mode manipulation strategy offers theoretical scalability to higher-order modes, overcoming a key limitation of conventional MDM systems: the inability to directly access specific low-order modes in multimode bus waveguides. These findings thus provide critical technical foundations for integration into next-generation high-density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基于随机时间信号的腔衰荡光谱：一种用于高反射率涂层表征的抗噪声方法</w:t>
      </w:r>
    </w:p>
    <w:p>
      <w:r>
        <w:rPr>
          <w:rFonts w:ascii="Times New Roman" w:hAnsi="Times New Roman" w:eastAsia="宋体"/>
          <w:b/>
          <w:color w:val="003264"/>
          <w:sz w:val="24"/>
        </w:rPr>
        <w:t>Random temporal signal-based cavity ring-down spectroscopy: a noise-resilient approach for high-reflectance coating characterization</w:t>
      </w:r>
    </w:p>
    <w:p>
      <w:r>
        <w:rPr>
          <w:rFonts w:ascii="Times New Roman" w:hAnsi="Times New Roman" w:eastAsia="宋体"/>
          <w:sz w:val="21"/>
        </w:rPr>
        <w:t>作者: Jiří Junek, Štěpán Kunc, Jakub Nečásek, Karel Žídek</w:t>
        <w:br/>
      </w:r>
      <w:r>
        <w:rPr>
          <w:rFonts w:ascii="Times New Roman" w:hAnsi="Times New Roman" w:eastAsia="宋体"/>
          <w:sz w:val="21"/>
        </w:rPr>
        <w:t xml:space="preserve">时间: 2026-01-23 | </w:t>
      </w:r>
      <w:r>
        <w:t xml:space="preserve">链接: </w:t>
      </w:r>
      <w:hyperlink r:id="rId63">
        <w:r>
          <w:rPr>
            <w:rFonts w:ascii="Times New Roman" w:hAnsi="Times New Roman" w:eastAsia="宋体"/>
            <w:color w:val="0000FF"/>
            <w:sz w:val="21"/>
            <w:u w:val="single"/>
          </w:rPr>
          <w:t>https://doi.org/10.1364/oe.582190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高反射率光学涂层的准确表征对于激光系统和先进光学仪器等应用至关重要，在这些应用中，即使是百万分之一 (ppm) 的反射率偏差也会严重影响系统性能。传统的测量方法，例如分光光度法或基于脉冲的腔衰荡光谱法 (CRDS)，在超高反射率时面临严重限制 - 分光光度法通常在 99.9% 以上饱和，而脉冲 CRDS 对探测器抖动、脉冲不稳定性和超过 99.999% 的长平均时间变得越来越敏感。在这项工作中，我们提出并通过实验验证了一种基于随机时间信号 (RATS) 方法的时间分辨 CRDS 技术，该技术用随机调制信号取代了确定性激光脉冲。使用四镜腔（R &gt; 99.99%）的数值模拟和实验测量表明，基于 RATS 的方法在相同的采集时间下实现了更平滑的衰减并提高了精度。随机时间信号增强了光子吞吐量，同时保持恒定的峰值功率，从而使信噪比提高 50 倍并防止镜子损坏。结果证实，RATS-CRDS 方法可以在很短的时间内达到与传统脉冲 CRDS 相当或更高的精度，为工业和空间光学应用中超高反射率涂层的精密反射测量提供稳健且可扩展的方法。</w:t>
      </w:r>
    </w:p>
    <w:p>
      <w:pPr>
        <w:spacing w:before="120"/>
      </w:pPr>
      <w:r>
        <w:rPr>
          <w:rFonts w:ascii="Times New Roman" w:hAnsi="Times New Roman" w:eastAsia="宋体"/>
          <w:b/>
          <w:sz w:val="21"/>
        </w:rPr>
        <w:t>English Abstract:</w:t>
      </w:r>
    </w:p>
    <w:p>
      <w:r>
        <w:rPr>
          <w:rFonts w:ascii="Times New Roman" w:hAnsi="Times New Roman" w:eastAsia="宋体"/>
          <w:sz w:val="21"/>
        </w:rPr>
        <w:t>Accurate characterization of high-reflectance optical coatings is essential for applications such as laser systems and advanced optical instrumentation, where even parts-per-million (ppm) deviations in reflectance can critically affect system performance. Conventional measurement approaches, such as spectrophotometry or pulse-based cavity-ringdown spectroscopy (CRDS), face severe limitations at ultra-high reflectances—spectrophotometry typically saturates above 99.9%, while pulsed CRDS becomes increasingly sensitive to detector jitter, pulse instability, and long averaging times beyond 99.999%. In this work, we present and experimentally verify a time-resolved CRDS technique based on the random temporal signal (RATS) approach, which replaces deterministic laser pulses with a randomly modulated signal. Numerical simulations and experimental measurements using a four-mirror cavity ( R &gt; 99.99%) demonstrate that the RATS-based method achieves smoother decays and improved precision under identical acquisition times. The stochastic temporal signal enhances photon throughput while maintaining constant peak power, resulting in 50× higher signal-to-noise ratio and preventing mirror damage. The results confirm that the RATS-CRDS method can achieve comparable or superior accuracy to conventional pulsed CRDS in a fraction of the time, offering a robust and scalable approach for precision reflectometry of ultra-high reflectance coatings in industrial and space-optics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由杨花絮微观结构实现的仿生随机激光器</w:t>
      </w:r>
    </w:p>
    <w:p>
      <w:r>
        <w:rPr>
          <w:rFonts w:ascii="Times New Roman" w:hAnsi="Times New Roman" w:eastAsia="宋体"/>
          <w:b/>
          <w:color w:val="003264"/>
          <w:sz w:val="24"/>
        </w:rPr>
        <w:t>Bio-inspired random lasers enabled by poplar catkin microstructures</w:t>
      </w:r>
    </w:p>
    <w:p>
      <w:r>
        <w:rPr>
          <w:rFonts w:ascii="Times New Roman" w:hAnsi="Times New Roman" w:eastAsia="宋体"/>
          <w:sz w:val="21"/>
        </w:rPr>
        <w:t>作者: Jiatao Hu, Yuxia Zhao, Yining Zhang, Yu Luan, Zhaoxin Fan, Hao Lv, Shuaiyi Zhang, Xia Wang</w:t>
        <w:br/>
      </w:r>
      <w:r>
        <w:rPr>
          <w:rFonts w:ascii="Times New Roman" w:hAnsi="Times New Roman" w:eastAsia="宋体"/>
          <w:sz w:val="21"/>
        </w:rPr>
        <w:t xml:space="preserve">时间: 2026-01-26 | </w:t>
      </w:r>
      <w:r>
        <w:t xml:space="preserve">链接: </w:t>
      </w:r>
      <w:hyperlink r:id="rId64">
        <w:r>
          <w:rPr>
            <w:rFonts w:ascii="Times New Roman" w:hAnsi="Times New Roman" w:eastAsia="宋体"/>
            <w:color w:val="0000FF"/>
            <w:sz w:val="21"/>
            <w:u w:val="single"/>
          </w:rPr>
          <w:t>https://doi.org/10.1364/oe.584775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这项工作提出了一种基于天然生物材料，特别是杨花絮纤维 (PCF) 的随机激光器 (RL)，在含罗丹明 6G 的溶液处理增益介质中用作可生物降解的散射基质。制备了五个 PCF 浓度范围为 1.5 至 5.5 mg/mL 的样品，激光阈值在 4.5 mg/mL 时达到最低 8.21 µJ/脉冲，这归因于分层纤维网络提供的最佳多重散射。在此浓度下，发射光谱在 584 nm 处从 14.8 nm 变窄至 0.8 nm，伴随着非线性强度增长以及相对较低浓度的 4 nm 红移，表明散射强度增强。该系统在超过 1,200 个泵浦脉冲下保持稳定的输出，并且复制对称破缺分析证实了高于阈值的可再现相干模式的出现。由于空间相干性较低，该设备的散斑对比度仅为 0.0755，明显低于传统 532 nm 激光器 (0.2118)，从而能够对 USAF 1951 目标和蜻蜓翅膀进行高保真无散斑成像。这项工作将 PCF 确立为绿色、低成本和高性能的 RL 平台，为生物成像、环境传感和柔性光子学中的无散斑成像应用提供了一条有前途的途径。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 random laser (RL) based on natural biomaterials, specifically poplar catkin fibers (PCFs), used as a biodegradable scattering matrix in a solution-processed gain medium with Rhodamine 6G. Five samples with PCF concentrations ranging from 1.5 to 5.5 mg/mL were prepared, and the lasing threshold reached a minimum of 8.21 µJ/pulse at 4.5 mg/mL—attributed to optimal multiple scattering provided by the hierarchical fibrous network. At this concentration, the emission spectrum narrowed from 14.8 nm to 0.8 nm at 584 nm, accompanied by nonlinear intensity growth and a 4 nm redshift from lower concentrations, indicating enhanced scattering strength. The system maintained stable output over 1,200 pump pulses, and replica symmetry breaking analysis confirmed the emergence of reproducible coherent modes above threshold. Owing to its low spatial coherence, the device achieved a speckle contrast of only 0.0755—significantly lower than that of a conventional 532 nm laser (0.2118)—enabling high-fidelity speckle-free imaging of both a USAF 1951 target and a dragonfly wing. This work establishes PCFs as a green, low-cost, and high-performance RL platform, offering a promising route toward speckle-free imaging applications in bioimaging, environmental sensing, and flexible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原型光流控可切换光学元件</w:t>
      </w:r>
    </w:p>
    <w:p>
      <w:r>
        <w:rPr>
          <w:rFonts w:ascii="Times New Roman" w:hAnsi="Times New Roman" w:eastAsia="宋体"/>
          <w:b/>
          <w:color w:val="003264"/>
          <w:sz w:val="24"/>
        </w:rPr>
        <w:t>Prototype optofluidic switchable optical element</w:t>
      </w:r>
    </w:p>
    <w:p>
      <w:r>
        <w:rPr>
          <w:rFonts w:ascii="Times New Roman" w:hAnsi="Times New Roman" w:eastAsia="宋体"/>
          <w:sz w:val="21"/>
        </w:rPr>
        <w:t>作者: Joshua Mock, Valdemar Portney, F. Richard Christ</w:t>
        <w:br/>
      </w:r>
      <w:r>
        <w:rPr>
          <w:rFonts w:ascii="Times New Roman" w:hAnsi="Times New Roman" w:eastAsia="宋体"/>
          <w:sz w:val="21"/>
        </w:rPr>
        <w:t xml:space="preserve">时间: 2026-01-29 | </w:t>
      </w:r>
      <w:r>
        <w:t xml:space="preserve">链接: </w:t>
      </w:r>
      <w:hyperlink r:id="rId65">
        <w:r>
          <w:rPr>
            <w:rFonts w:ascii="Times New Roman" w:hAnsi="Times New Roman" w:eastAsia="宋体"/>
            <w:color w:val="0000FF"/>
            <w:sz w:val="21"/>
            <w:u w:val="single"/>
          </w:rPr>
          <w:t>https://doi.org/10.1364/oe.581146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数字化光流控平台的可切换光学元件的物理实现和验证，该平台先前被引入作为两种光功率之间切换的方法。不同光焦度之间切换的应用有很多，老花眼矫正就是其中之一。该原型的最终目的是将眼镜镜片放置在智能和传统眼镜中，以便在折射和衍射光学状态之间切换，设计为对应于近距离和远距离焦点。在当前的原型开发周期中，我们研究了原型结构的剩余缺陷，以实现光学状态之间的可靠切换。我们还研究了远程控制开关的可能性。该研究导致除了衍射光学基板之外还引入了折射光学基板，并对使用磁力形式的远程控制开关产生了负面结果。必须更严格地控​​制两个光学基板的位置和移动，以实现快速切换。</w:t>
      </w:r>
    </w:p>
    <w:p>
      <w:pPr>
        <w:spacing w:before="120"/>
      </w:pPr>
      <w:r>
        <w:rPr>
          <w:rFonts w:ascii="Times New Roman" w:hAnsi="Times New Roman" w:eastAsia="宋体"/>
          <w:b/>
          <w:sz w:val="21"/>
        </w:rPr>
        <w:t>English Abstract:</w:t>
      </w:r>
    </w:p>
    <w:p>
      <w:r>
        <w:rPr>
          <w:rFonts w:ascii="Times New Roman" w:hAnsi="Times New Roman" w:eastAsia="宋体"/>
          <w:sz w:val="21"/>
        </w:rPr>
        <w:t>We report the physical realization and validation of a switchable optical element based on a digitized optofluidic platform previously introduced as an approach to switching between two optical powers. There are numerous applications for switching between different optical powers, with presbyopia correction being one of them. The prototype’s ultimate intention is for spectacle lens placement in smart and conventional glasses for switching between refractive and diffractive optical states designed to correspond to near and distance foci. In the current prototype development cycle, we looked into remaining deficiencies of the prototype construction to achieve reliable switching between the optical states. We have also investigated the possibility of controlling the switching remotely. The investigation resulted in the introduction of the refractive optical substrate in addition to the diffractive optical substrate, and resulted in a negative outcome on the use of remote control switching in the form of magnetic force. The position and movement of both optical substrates must be more rigorously controlled for fast switching.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带有萨尼亚克滤波器的线性掺铒光纤振荡器中倍周期和谐波锁模孤子的生成和观察</w:t>
      </w:r>
    </w:p>
    <w:p>
      <w:r>
        <w:rPr>
          <w:rFonts w:ascii="Times New Roman" w:hAnsi="Times New Roman" w:eastAsia="宋体"/>
          <w:b/>
          <w:color w:val="003264"/>
          <w:sz w:val="24"/>
        </w:rPr>
        <w:t>Generation and observation of period-doubling and harmonic mode-locking solitons in a linear erbium-doped fiber oscillator with a Sagnac filter</w:t>
      </w:r>
    </w:p>
    <w:p>
      <w:r>
        <w:rPr>
          <w:rFonts w:ascii="Times New Roman" w:hAnsi="Times New Roman" w:eastAsia="宋体"/>
          <w:sz w:val="21"/>
        </w:rPr>
        <w:t>作者: Rui Zhao, Xiangwen Zhang, Keming Wang, Xingcheng Han, Jie Chen, Mingjiang Zhang</w:t>
        <w:br/>
      </w:r>
      <w:r>
        <w:rPr>
          <w:rFonts w:ascii="Times New Roman" w:hAnsi="Times New Roman" w:eastAsia="宋体"/>
          <w:sz w:val="21"/>
        </w:rPr>
        <w:t xml:space="preserve">时间: 2026-01-26 | </w:t>
      </w:r>
      <w:r>
        <w:t xml:space="preserve">链接: </w:t>
      </w:r>
      <w:hyperlink r:id="rId187">
        <w:r>
          <w:rPr>
            <w:rFonts w:ascii="Times New Roman" w:hAnsi="Times New Roman" w:eastAsia="宋体"/>
            <w:color w:val="0000FF"/>
            <w:sz w:val="21"/>
            <w:u w:val="single"/>
          </w:rPr>
          <w:t>https://doi.org/10.1364/oe.586491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锁模光纤激光器为研究耗散光学系统中的非线性现象提供了理想的平台。在这项研究中，我们通过实验演示了一种结合了萨格纳克环形镜的线性锁模掺铒光纤激光器，它可以通过精确的偏振控制实现可调谐光谱滤波。通过逐渐调谐腔内偏振态，激光器表现出从稳定的单波长锁模态到独特的倍周期矢量孤子态和谐波锁模孤子态的丰富跃迁。其中，脉冲串经历基本重复率的倍频和谐波行为，并伴随着腔内偏振旋转引起的交替脉冲强度。实时色散傅里叶变换 (DFT) 技术可实时测量过渡期间的光谱演化，证实矢量孤子演化和谐波动力学可以通过偏振诱导调制来实现。此外，首次在基于萨格纳克滤波器的光纤激光器中观察到双波长倍周期矢量孤子，两个波长通道都表现出同步矢量孤子动力学。这些结果在腔内偏振扰动和非线性矢量孤子路径之间建立了明确的联系，并进一步强调双波长光纤激光器作为通用平台，用于探索非线性光子学中的复杂动态行为以及推进双梳计量和超快信号处理中的应用。</w:t>
      </w:r>
    </w:p>
    <w:p>
      <w:pPr>
        <w:spacing w:before="120"/>
      </w:pPr>
      <w:r>
        <w:rPr>
          <w:rFonts w:ascii="Times New Roman" w:hAnsi="Times New Roman" w:eastAsia="宋体"/>
          <w:b/>
          <w:sz w:val="21"/>
        </w:rPr>
        <w:t>English Abstract:</w:t>
      </w:r>
    </w:p>
    <w:p>
      <w:r>
        <w:rPr>
          <w:rFonts w:ascii="Times New Roman" w:hAnsi="Times New Roman" w:eastAsia="宋体"/>
          <w:sz w:val="21"/>
        </w:rPr>
        <w:t>Mode-locked fiber lasers provide an ideal platform for investigating nonlinear phenomena in dissipative optical systems. In this study, we experimentally demonstrate a linear mode-locked erbium-doped fiber laser incorporating a Sagnac loop mirror, which enables tunable spectral filtering by precise polarization control. Through gradually tuning the intracavity polarization state, the laser exhibits rich transitions from stable single-wavelength mode-locking state into a distinct period-doubling vector soliton and harmonic mode-locking soliton states. Among them, the pulse train undergoes doubling and harmonic behaviors of the fundmental repetition rate, accompanied by alternating pulse intensities induced by the intracavity polarization rotation. Real-time dispersive Fourier transform (DFT) technology provides real-time measurement of the spectral evolution during the transition, confirming that the vector soliton evolution and harmonic dynamics can be enabled by polarization-induced modulation. Furthermore, dual-wavelength period-doubling vector solitons are observed in the Sagnac-filter-based fiber laser for the first time, with both wavelength channels exhibiting synchronized vector soliton dynamics. These results establish a clear link between intracavity polarization perturbations and nonlinear vector soliton pathways, and further highlight dual-wavelength fiber lasers as versatile platforms for exploring complex dynamical behaviors in nonlinear photonics and advancing applications in dual-comb metrology and ultrafast signal processing.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w:t>
      </w:r>
    </w:p>
    <w:p>
      <w:pPr>
        <w:jc w:val="center"/>
      </w:pPr>
      <w:r>
        <w:t>--- 更新: 06:30 ---</w:t>
      </w:r>
    </w:p>
    <w:p>
      <w:pPr>
        <w:pStyle w:val="Heading2"/>
      </w:pPr>
      <w:r/>
      <w:r>
        <w:rPr>
          <w:rFonts w:ascii="Times New Roman" w:hAnsi="Times New Roman" w:eastAsia="宋体"/>
          <w:b/>
          <w:color w:val="000000"/>
          <w:sz w:val="24"/>
        </w:rPr>
        <w:t>用于激光写入集成光子平台中量子信息处理的高性能外差接收器</w:t>
      </w:r>
    </w:p>
    <w:p>
      <w:r>
        <w:rPr>
          <w:rFonts w:ascii="Times New Roman" w:hAnsi="Times New Roman" w:eastAsia="宋体"/>
          <w:b/>
          <w:color w:val="003264"/>
          <w:sz w:val="24"/>
        </w:rPr>
        <w:t>High-performance heterodyne receiver for quantum information processing in a laser-written integrated photonic platform</w:t>
      </w:r>
    </w:p>
    <w:p>
      <w:r>
        <w:rPr>
          <w:rFonts w:ascii="Times New Roman" w:hAnsi="Times New Roman" w:eastAsia="宋体"/>
          <w:sz w:val="21"/>
        </w:rPr>
        <w:t>作者: Andrea Peri, Giulio Gualandi, Tommaso Bertapelle, Mattia Sabatini, Giacomo Corrielli, Yoann Piétri, Davide Giacomo Marangon, Giuseppe Vallone, Paolo Villoresi, Roberto Osellame, Marco Avesani</w:t>
        <w:br/>
      </w:r>
      <w:r>
        <w:rPr>
          <w:rFonts w:ascii="Times New Roman" w:hAnsi="Times New Roman" w:eastAsia="宋体"/>
          <w:sz w:val="21"/>
        </w:rPr>
        <w:t xml:space="preserve">时间: 2026-02-04 | </w:t>
      </w:r>
      <w:r>
        <w:t xml:space="preserve">链接: </w:t>
      </w:r>
      <w:hyperlink r:id="rId66">
        <w:r>
          <w:rPr>
            <w:rFonts w:ascii="Times New Roman" w:hAnsi="Times New Roman" w:eastAsia="宋体"/>
            <w:color w:val="0000FF"/>
            <w:sz w:val="21"/>
            <w:u w:val="single"/>
          </w:rPr>
          <w:t>https://doi.org/10.1117/1.ap.8.1.016009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可变量子密钥分发（CV-QKD）和连续可变量子随机数生成（CV-QRNG）是安全通信和高速随机生成的关键技术，其操作利用散粒噪声限制相干检测。集成光子解决方案是推进这些协议的关键，因为它们能够实现紧凑、可扩展且高效的系统实施。我们引入硼硅酸盐玻璃上的飞秒激光微加工（FLM）作为生产光子集成电路（PIC）的平台，实现适合量子信息处理的相干检测。我们采用片外检测器，利用 FLM 的特定功能来生产专为 CV-QKD 和 CV-QRNG 应用设计的 PIC。 PIC 具有完全可调的光学组件，可在协议定义的条件下实现精确校准和可靠运行。该器件具有低插入损耗 (≤1.28 dB)、偏振不敏感操作以及超过 73 dB 的共模抑制比。这些特性使得能够实验性地实现安全生成速率为 42.74 Gbit/s 的独立于源设备的 CV-QRNG 和基于正交相移键控的 CV-QKD 系统，密钥速率达到 3.2 Mbit/s。我们的研究结果凸显了 FLM 技术作为集成光子平台的潜力，为可扩展和高性能的量子通信系统铺平了道路。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Continuous variable quantum key distribution (CV-QKD) and continuous variable quantum random number generation (CV-QRNG) are critical technologies for secure communication and high-speed randomness generation, exploiting shot-noise-limited coherent detection for their operation. Integrated photonic solutions are key to advancing these protocols, as they enable compact, scalable, and efficient system implementations. We introduce femtosecond laser micromachining (FLM) on borosilicate glass as a platform for producing photonic integrated circuits (PICs) realizing coherent detection suitable for quantum information processing. Employing off-chip detectors, we exploit the specific features of FLM to produce a PIC designed for CV-QKD and CV-QRNG applications. The PIC features fully adjustable optical components that achieve precise calibration and reliable operation under protocol-defined conditions. The device exhibits low insertion losses (≤1.28 dB), polarization-insensitive operation, and a common-mode rejection ratio exceeding 73 dB. These characteristics allowed the experimental realization of a source-device-independent CV-QRNG with a secure generation rate of 42.74 Gbit/s and a quadrature phase-shift-keying-based CV-QKD system achieving a secret key rate of 3.2 Mbit/s. Our results highlight the potential of FLM technology as an integrated photonic platform, paving the way for scalable and high-performing quantum communication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06:30 ---</w:t>
      </w:r>
    </w:p>
    <w:p>
      <w:pPr>
        <w:pStyle w:val="Heading2"/>
      </w:pPr>
      <w:r/>
      <w:r>
        <w:rPr>
          <w:rFonts w:ascii="Times New Roman" w:hAnsi="Times New Roman" w:eastAsia="宋体"/>
          <w:b/>
          <w:color w:val="000000"/>
          <w:sz w:val="24"/>
        </w:rPr>
        <w:t>谐振膜超表面的偶极-四极模型和多极分析</w:t>
      </w:r>
    </w:p>
    <w:p>
      <w:r>
        <w:rPr>
          <w:rFonts w:ascii="Times New Roman" w:hAnsi="Times New Roman" w:eastAsia="宋体"/>
          <w:b/>
          <w:color w:val="003264"/>
          <w:sz w:val="24"/>
        </w:rPr>
        <w:t>Dipole‐Quadrupole Model and Multipole Analysis of Resonant Membrane Metasurfaces</w:t>
      </w:r>
    </w:p>
    <w:p>
      <w:r>
        <w:rPr>
          <w:rFonts w:ascii="Times New Roman" w:hAnsi="Times New Roman" w:eastAsia="宋体"/>
          <w:sz w:val="21"/>
        </w:rPr>
        <w:t>作者: Izzatjon Allayarov, Andrey B. Evlyukhin, Antonio Calà Lesina</w:t>
        <w:br/>
      </w:r>
      <w:r>
        <w:rPr>
          <w:rFonts w:ascii="Times New Roman" w:hAnsi="Times New Roman" w:eastAsia="宋体"/>
          <w:sz w:val="21"/>
        </w:rPr>
        <w:t xml:space="preserve">时间: 2026-02-04 | </w:t>
      </w:r>
      <w:r>
        <w:t xml:space="preserve">链接: </w:t>
      </w:r>
      <w:hyperlink r:id="rId67">
        <w:r>
          <w:rPr>
            <w:rFonts w:ascii="Times New Roman" w:hAnsi="Times New Roman" w:eastAsia="宋体"/>
            <w:color w:val="0000FF"/>
            <w:sz w:val="21"/>
            <w:u w:val="single"/>
          </w:rPr>
          <w:t>https://doi.org/10.1002/lpor.202502674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膜超表面由介电层中孔的周期性排列形成，因其通过减材技术更容易制造、不需要基板以及可进入谐振近场而受到关注。尽管它们具有实际意义，但它们的理论描述仍然难以捉摸。在这里，我们提出了一种半解析偶极-四极模型，用于对以任意角度激发的超表面中数值获得的反射和透射光谱进行多极分析。偶极子模型通常足以研究由固体纳米结构制成的传统超表面。然而，电和磁四极子的加入对于研究膜超表面是必要的，这为展示我们的方法提供了一个理想的平台。我们证明了选择对称膜超表面晶胞的最佳位置以确保偶极-四极近似的充分性的重要性。我们表明，我们的形式主义可以解释由多极间干扰引起的复杂现象，包括晶格阿纳极和广义克尔克效应、法诺共振和连续体中的准束缚态。我们还介绍了该方法对具有非中心对称晶胞（例如圆锥孔和表面空隙）的膜超表面的适用性。通过更深入地了解导致局部和集体共振形成的耦合机制，我们的方法扩展了电磁学工具箱，以研究、理解和设计传统和膜超表面。</w:t>
      </w:r>
    </w:p>
    <w:p>
      <w:pPr>
        <w:spacing w:before="120"/>
      </w:pPr>
      <w:r>
        <w:rPr>
          <w:rFonts w:ascii="Times New Roman" w:hAnsi="Times New Roman" w:eastAsia="宋体"/>
          <w:b/>
          <w:sz w:val="21"/>
        </w:rPr>
        <w:t>English Abstract:</w:t>
      </w:r>
    </w:p>
    <w:p>
      <w:r>
        <w:rPr>
          <w:rFonts w:ascii="Times New Roman" w:hAnsi="Times New Roman" w:eastAsia="宋体"/>
          <w:sz w:val="21"/>
        </w:rPr>
        <w:t>ABSTRACT Membrane metasurfaces, formed by periodic arrangements of holes in a dielectric layer, are gaining attention for their easier manufacturing via subtractive techniques, unnecessity of substrates, and access to resonant near fields. Despite their practical relevance, their theoretical description remains elusive. Here, we present a semi‐analytical dipole‐quadrupole model for the multipole analysis of numerically obtained reflection and transmission spectra in metasurfaces excited at arbitrary angles. Dipole models are generally sufficient to study traditional metasurfaces made of solid nanostructures. However, the inclusion of electric and magnetic quadrupoles is necessary to study membrane metasurfaces, which offer an ideal platform to showcase our method. We demonstrate the importance of choosing the optimal position of a symmetric membrane metasurface's unit cell to ensure the sufficiency of the dipole‐quadrupole approximation. We show that our formalism can explain complex phenomena arising from inter‐multipole interference, including lattice anapole and generalized Kerker effects, Fano resonances, and quasi‐bound states in the continuum. We also present the applicability of the method to membrane metasurfaces with non‐centrosymmetric unit cells (e.g., conical holes and surface voids). By enabling a deeper insight into the coupling mechanisms leading to the formation of local and collective resonances, our method expands the electromagnetics toolbox to study, understand, and design conventional and membrane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2026-02-01 | </w:t>
      </w:r>
      <w:r>
        <w:t xml:space="preserve">链接: </w:t>
      </w:r>
      <w:hyperlink r:id="rId68">
        <w:r>
          <w:rPr>
            <w:rFonts w:ascii="Times New Roman" w:hAnsi="Times New Roman" w:eastAsia="宋体"/>
            <w:color w:val="0000FF"/>
            <w:sz w:val="21"/>
            <w:u w:val="single"/>
          </w:rPr>
          <w:t>https://doi.org/10.1002/lpor.v20.3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通过高调制系数映射和主成分分析 (PCA-iSIM) 打破非相干结构照明显微镜的分辨率障碍（激光光子学 Rev. 20(3)/2026）</w:t>
      </w:r>
    </w:p>
    <w:p>
      <w:r>
        <w:rPr>
          <w:rFonts w:ascii="Times New Roman" w:hAnsi="Times New Roman" w:eastAsia="宋体"/>
          <w:b/>
          <w:color w:val="003264"/>
          <w:sz w:val="24"/>
        </w:rPr>
        <w:t>Breaking the Resolution Barrier in Incoherent Structured Illumination Microscopy via High‐Modulation Coefficient Mapping and Principal Component Analysis (PCA‐iSIM) (Laser Photonics Rev. 20(3)/2026)</w:t>
      </w:r>
    </w:p>
    <w:p>
      <w:r>
        <w:rPr>
          <w:rFonts w:ascii="Times New Roman" w:hAnsi="Times New Roman" w:eastAsia="宋体"/>
          <w:sz w:val="21"/>
        </w:rPr>
        <w:t>作者: Maoxian Zhang, Xinyu Han, Jiaming Qian, Hongjun Wu, Tianchi Kang, Dongqin Lu, Jing Feng, Weihao Cheng, Yuzhen Zhang, Qian Chen, Chao Zuo</w:t>
        <w:br/>
      </w:r>
      <w:r>
        <w:rPr>
          <w:rFonts w:ascii="Times New Roman" w:hAnsi="Times New Roman" w:eastAsia="宋体"/>
          <w:sz w:val="21"/>
        </w:rPr>
        <w:t xml:space="preserve">时间: 2026-02-05 | </w:t>
      </w:r>
      <w:r>
        <w:t xml:space="preserve">链接: </w:t>
      </w:r>
      <w:hyperlink r:id="rId69">
        <w:r>
          <w:rPr>
            <w:rFonts w:ascii="Times New Roman" w:hAnsi="Times New Roman" w:eastAsia="宋体"/>
            <w:color w:val="0000FF"/>
            <w:sz w:val="21"/>
            <w:u w:val="single"/>
          </w:rPr>
          <w:t>https://doi.org/10.1002/lpor.70881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深度学习辅助下的单光子级偏振全光纤微传感器（激光光子学 Rev. 20(3)/2026）</w:t>
      </w:r>
    </w:p>
    <w:p>
      <w:r>
        <w:rPr>
          <w:rFonts w:ascii="Times New Roman" w:hAnsi="Times New Roman" w:eastAsia="宋体"/>
          <w:b/>
          <w:color w:val="003264"/>
          <w:sz w:val="24"/>
        </w:rPr>
        <w:t>All‐Fiber Microsensor of Polarization at Single‐Photon Level Aided by Deep Learning (Laser Photonics Rev. 20(3)/2026)</w:t>
      </w:r>
    </w:p>
    <w:p>
      <w:r>
        <w:rPr>
          <w:rFonts w:ascii="Times New Roman" w:hAnsi="Times New Roman" w:eastAsia="宋体"/>
          <w:sz w:val="21"/>
        </w:rPr>
        <w:t>作者: Martin Bielak, Dominik Vašinka, Miroslav Ježek</w:t>
        <w:br/>
      </w:r>
      <w:r>
        <w:rPr>
          <w:rFonts w:ascii="Times New Roman" w:hAnsi="Times New Roman" w:eastAsia="宋体"/>
          <w:sz w:val="21"/>
        </w:rPr>
        <w:t xml:space="preserve">时间: 2026-02-05 | </w:t>
      </w:r>
      <w:r>
        <w:t xml:space="preserve">链接: </w:t>
      </w:r>
      <w:hyperlink r:id="rId70">
        <w:r>
          <w:rPr>
            <w:rFonts w:ascii="Times New Roman" w:hAnsi="Times New Roman" w:eastAsia="宋体"/>
            <w:color w:val="0000FF"/>
            <w:sz w:val="21"/>
            <w:u w:val="single"/>
          </w:rPr>
          <w:t>https://doi.org/10.1002/lpor.70880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用于视觉运动传感的拉伸可调谐液晶弹性体激光器（激光光子学Rev. 20(3)/2026）</w:t>
      </w:r>
    </w:p>
    <w:p>
      <w:r>
        <w:rPr>
          <w:rFonts w:ascii="Times New Roman" w:hAnsi="Times New Roman" w:eastAsia="宋体"/>
          <w:b/>
          <w:color w:val="003264"/>
          <w:sz w:val="24"/>
        </w:rPr>
        <w:t>Stretch‐Tunable Liquid Crystal Elastomer Lasers for Visual Motion Sensing (Laser Photonics Rev. 20(3)/2026)</w:t>
      </w:r>
    </w:p>
    <w:p>
      <w:r>
        <w:rPr>
          <w:rFonts w:ascii="Times New Roman" w:hAnsi="Times New Roman" w:eastAsia="宋体"/>
          <w:sz w:val="21"/>
        </w:rPr>
        <w:t>作者: Zhijia Hu, Lulu Guo, Guangyin Qu, Xiaojuan Zhang, Siqi Li, Yan Kuai, Weiwei Fu, Jiangang Gao, Feng Xu, Yu Liu, Anderson S. L. Gomes, Benli Yu</w:t>
        <w:br/>
      </w:r>
      <w:r>
        <w:rPr>
          <w:rFonts w:ascii="Times New Roman" w:hAnsi="Times New Roman" w:eastAsia="宋体"/>
          <w:sz w:val="21"/>
        </w:rPr>
        <w:t xml:space="preserve">时间: 2026-02-05 | </w:t>
      </w:r>
      <w:r>
        <w:t xml:space="preserve">链接: </w:t>
      </w:r>
      <w:hyperlink r:id="rId71">
        <w:r>
          <w:rPr>
            <w:rFonts w:ascii="Times New Roman" w:hAnsi="Times New Roman" w:eastAsia="宋体"/>
            <w:color w:val="0000FF"/>
            <w:sz w:val="21"/>
            <w:u w:val="single"/>
          </w:rPr>
          <w:t>https://doi.org/10.1002/lpor.70879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用于紫外单像素成像的 (TPA) 2 Cu 4 Br 6 超宽带自陷激子发射（激光光子学 Rev. 20(3)/2026）</w:t>
      </w:r>
    </w:p>
    <w:p>
      <w:r>
        <w:rPr>
          <w:rFonts w:ascii="Times New Roman" w:hAnsi="Times New Roman" w:eastAsia="宋体"/>
          <w:b/>
          <w:color w:val="003264"/>
          <w:sz w:val="24"/>
        </w:rPr>
        <w:t>Ultra‐Broadband Self‐Trapped Exciton Emission of (TPA) 2 Cu 4 Br 6 for UV Single‐Pixel Imaging (Laser Photonics Rev. 20(3)/2026)</w:t>
      </w:r>
    </w:p>
    <w:p>
      <w:r>
        <w:rPr>
          <w:rFonts w:ascii="Times New Roman" w:hAnsi="Times New Roman" w:eastAsia="宋体"/>
          <w:sz w:val="21"/>
        </w:rPr>
        <w:t>作者: Jianbang Mu, Kun Zheng, Yanlin Mi, Haifeng Yao, Chang Zhou, Quanchao Zhao, Bingkun Chen, Jie Cao, Qun Hao</w:t>
        <w:br/>
      </w:r>
      <w:r>
        <w:rPr>
          <w:rFonts w:ascii="Times New Roman" w:hAnsi="Times New Roman" w:eastAsia="宋体"/>
          <w:sz w:val="21"/>
        </w:rPr>
        <w:t xml:space="preserve">时间: 2026-02-05 | </w:t>
      </w:r>
      <w:r>
        <w:t xml:space="preserve">链接: </w:t>
      </w:r>
      <w:hyperlink r:id="rId72">
        <w:r>
          <w:rPr>
            <w:rFonts w:ascii="Times New Roman" w:hAnsi="Times New Roman" w:eastAsia="宋体"/>
            <w:color w:val="0000FF"/>
            <w:sz w:val="21"/>
            <w:u w:val="single"/>
          </w:rPr>
          <w:t>https://doi.org/10.1002/lpor.70883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问题信息：激光与光子。修订版 20(3)/2026</w:t>
      </w:r>
    </w:p>
    <w:p>
      <w:r>
        <w:rPr>
          <w:rFonts w:ascii="Times New Roman" w:hAnsi="Times New Roman" w:eastAsia="宋体"/>
          <w:b/>
          <w:color w:val="003264"/>
          <w:sz w:val="24"/>
        </w:rPr>
        <w:t>Issue Information: Laser &amp; Photon. Rev. 20(3)/2026</w:t>
      </w:r>
    </w:p>
    <w:p>
      <w:r>
        <w:rPr>
          <w:rFonts w:ascii="Times New Roman" w:hAnsi="Times New Roman" w:eastAsia="宋体"/>
          <w:sz w:val="21"/>
        </w:rPr>
        <w:t>作者: Unknown</w:t>
        <w:br/>
      </w:r>
      <w:r>
        <w:rPr>
          <w:rFonts w:ascii="Times New Roman" w:hAnsi="Times New Roman" w:eastAsia="宋体"/>
          <w:sz w:val="21"/>
        </w:rPr>
        <w:t xml:space="preserve">时间: 2026-02-05 | </w:t>
      </w:r>
      <w:r>
        <w:t xml:space="preserve">链接: </w:t>
      </w:r>
      <w:hyperlink r:id="rId73">
        <w:r>
          <w:rPr>
            <w:rFonts w:ascii="Times New Roman" w:hAnsi="Times New Roman" w:eastAsia="宋体"/>
            <w:color w:val="0000FF"/>
            <w:sz w:val="21"/>
            <w:u w:val="single"/>
          </w:rPr>
          <w:t>https://doi.org/10.1002/lpor.70882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11:28 ---</w:t>
      </w:r>
    </w:p>
    <w:p>
      <w:pPr>
        <w:pStyle w:val="Heading2"/>
      </w:pPr>
      <w:r/>
      <w:r>
        <w:rPr>
          <w:rFonts w:ascii="Times New Roman" w:hAnsi="Times New Roman" w:eastAsia="宋体"/>
          <w:b/>
          <w:color w:val="000000"/>
          <w:sz w:val="24"/>
        </w:rPr>
        <w:t>使用微透镜阵列的快照高光谱眼底成像系统</w:t>
      </w:r>
    </w:p>
    <w:p>
      <w:r>
        <w:rPr>
          <w:rFonts w:ascii="Times New Roman" w:hAnsi="Times New Roman" w:eastAsia="宋体"/>
          <w:b/>
          <w:color w:val="003264"/>
          <w:sz w:val="24"/>
        </w:rPr>
        <w:t>Snapshot hyperspectral fundus imaging system using a microlens array</w:t>
      </w:r>
    </w:p>
    <w:p>
      <w:r>
        <w:rPr>
          <w:rFonts w:ascii="Times New Roman" w:hAnsi="Times New Roman" w:eastAsia="宋体"/>
          <w:sz w:val="21"/>
        </w:rPr>
        <w:t>作者: Jongchan Park, Liang Gao</w:t>
        <w:br/>
      </w:r>
      <w:r>
        <w:rPr>
          <w:rFonts w:ascii="Times New Roman" w:hAnsi="Times New Roman" w:eastAsia="宋体"/>
          <w:sz w:val="21"/>
        </w:rPr>
        <w:t xml:space="preserve">时间: 2026-01-15 | </w:t>
      </w:r>
      <w:r>
        <w:t xml:space="preserve">链接: </w:t>
      </w:r>
      <w:hyperlink r:id="rId95">
        <w:r>
          <w:rPr>
            <w:rFonts w:ascii="Times New Roman" w:hAnsi="Times New Roman" w:eastAsia="宋体"/>
            <w:color w:val="0000FF"/>
            <w:sz w:val="21"/>
            <w:u w:val="single"/>
          </w:rPr>
          <w:t>https://doi.org/10.1364/boe.586520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高光谱成像通过量化代谢和血流动力学生物标志物的光谱特征，为早期疾病诊断带来了巨大的希望。然而，传统的高光谱成像系统通常需要大量扫描，导致采集时间延长，并且渲染图像容易受到由不自觉的眼球运动引起的运动伪影的影响。为了解决这个限制，我们提出了一种采用微透镜阵列的快照高光谱眼底相机。该系统具有简化的光学架构，并与各种视场 (FOV) 配置（20°、35° 和 50°）的标准商用眼底相机兼容。此外，该系统允许光谱分辨率与光通量之间的可调平衡，从而能够适应广泛的应用。</w:t>
      </w:r>
    </w:p>
    <w:p>
      <w:pPr>
        <w:spacing w:before="120"/>
      </w:pPr>
      <w:r>
        <w:rPr>
          <w:rFonts w:ascii="Times New Roman" w:hAnsi="Times New Roman" w:eastAsia="宋体"/>
          <w:b/>
          <w:sz w:val="21"/>
        </w:rPr>
        <w:t>English Abstract:</w:t>
      </w:r>
    </w:p>
    <w:p>
      <w:r>
        <w:rPr>
          <w:rFonts w:ascii="Times New Roman" w:hAnsi="Times New Roman" w:eastAsia="宋体"/>
          <w:sz w:val="21"/>
        </w:rPr>
        <w:t>Retinal hyperspectral imaging holds significant promise for early disease diagnosis by quantifying the spectral signatures of metabolic and hemodynamic biomarkers. However, conventional hyperspectral imaging systems typically require extensive scanning, leading to prolonged acquisition times and rendering images susceptible to motion artifacts caused by involuntary eye movements. To address this limitation, we present a snapshot hyperspectral fundus camera employing a microlens array. The system features a streamlined optical architecture and compatibility with a standard commercial fundus camera across various field-of-view (FOV) configurations (20°, 35°, and 50°). Furthermore, the system allows a tunable balance between spectral resolution versus light throughput, enabling adaptation to a wide range of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11:29 ---</w:t>
      </w:r>
    </w:p>
    <w:p>
      <w:pPr>
        <w:pStyle w:val="Heading2"/>
      </w:pPr>
      <w:r/>
      <w:r>
        <w:rPr>
          <w:rFonts w:ascii="Times New Roman" w:hAnsi="Times New Roman" w:eastAsia="宋体"/>
          <w:b/>
          <w:color w:val="000000"/>
          <w:sz w:val="24"/>
        </w:rPr>
        <w:t>散斑聚焦过程的自画像：I.复杂介质中波包的时空成像</w:t>
      </w:r>
    </w:p>
    <w:p>
      <w:r>
        <w:rPr>
          <w:rFonts w:ascii="Times New Roman" w:hAnsi="Times New Roman" w:eastAsia="宋体"/>
          <w:b/>
          <w:color w:val="003264"/>
          <w:sz w:val="24"/>
        </w:rPr>
        <w:t>Self-Portrait of the Focusing Process in Speckle: I. Spatio-Temporal Imaging of Wave Packets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2026-02-05T17:23:23Z | </w:t>
      </w:r>
      <w:r>
        <w:t xml:space="preserve">链接: </w:t>
      </w:r>
      <w:hyperlink r:id="rId97">
        <w:r>
          <w:rPr>
            <w:rFonts w:ascii="Times New Roman" w:hAnsi="Times New Roman" w:eastAsia="宋体"/>
            <w:color w:val="0000FF"/>
            <w:sz w:val="21"/>
            <w:u w:val="single"/>
          </w:rPr>
          <w:t>https://arxiv.org/abs/2602.05907v1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是关于利用散斑进行成像的三篇系列文章中的第一篇。散斑是由未分辨的散射体随机分布产生的复杂干涉波场。在本文中，我们展示了如何将这些散射体用作虚拟麦克风来监测介质内波包的时空传播。为此，矩阵成像的概念特别有用。它包括在标准波束形成过程中解耦发射和接收焦点的位置。通过使用充当虚拟换能器的输出焦点扫描波场，人们可以对介质内波包的时空演化进行成像。这种独特的观察将使我们能够突出聚焦过程的缺陷，特别是由强像差层引起的散焦和混响。作为概念验证，我们将考虑在模仿组织的模型上进行超声实验。在接下来的两篇论文中，我们将展示如何利用这种可观测量来补偿这些阻碍波物理所有领域中的波聚焦和成像的现象。我们的方法确实广泛适用于超声波以外的不同类型的波，其中多元素技术允许测量反射矩阵。</w:t>
      </w:r>
    </w:p>
    <w:p>
      <w:pPr>
        <w:spacing w:before="120"/>
      </w:pPr>
      <w:r>
        <w:rPr>
          <w:rFonts w:ascii="Times New Roman" w:hAnsi="Times New Roman" w:eastAsia="宋体"/>
          <w:b/>
          <w:sz w:val="21"/>
        </w:rPr>
        <w:t>English Abstract:</w:t>
      </w:r>
    </w:p>
    <w:p>
      <w:r>
        <w:rPr>
          <w:rFonts w:ascii="Times New Roman" w:hAnsi="Times New Roman" w:eastAsia="宋体"/>
          <w:sz w:val="21"/>
        </w:rPr>
        <w:t>This is the first article in a series of three dealing with the exploitation of speckle for imaging purposes. Speckle is the complex interference wave-field produced by a random distribution of un-resolved scatterers. In this paper, we show how these scatterers can be used as virtual microphones to monitor the spatio-temporal propagation of a wave-packet inside the medium. To do so, the concept of matrix imaging is particularly useful. It consists in decoupling the location of the transmitted and received focal spots in a standard beamforming process. By scanning the wave-field with the output focal spot that then acts as a virtual transducer, one can image the spatio-temporal evolution of the wave-packet inside the medium. This unique observable will allow us to highlight the imperfections of the focusing process, in particular the defocus and reverberations induced by a strong aberrating layer. As a proof-of-concept, we will consider ultrasound experiments on tissue-mimicking phantoms. In the next two papers, we will show how this observable can be leveraged to compensate for these phenomena that hamper wave focusing and imaging in all fields of wave physics. Our method is indeed broadly applicable to different types of waves beyond ultrasound for which multi-element technology allows a reflection matrix to be measured.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11:29 ---</w:t>
      </w:r>
    </w:p>
    <w:p>
      <w:pPr>
        <w:pStyle w:val="Heading2"/>
      </w:pPr>
      <w:r/>
      <w:r>
        <w:rPr>
          <w:rFonts w:ascii="Times New Roman" w:hAnsi="Times New Roman" w:eastAsia="宋体"/>
          <w:b/>
          <w:color w:val="000000"/>
          <w:sz w:val="24"/>
        </w:rPr>
        <w:t>非线性干涉测量中的色散：对未检测到光子的光学相干断层扫描的影响</w:t>
      </w:r>
    </w:p>
    <w:p>
      <w:r>
        <w:rPr>
          <w:rFonts w:ascii="Times New Roman" w:hAnsi="Times New Roman" w:eastAsia="宋体"/>
          <w:b/>
          <w:color w:val="003264"/>
          <w:sz w:val="24"/>
        </w:rPr>
        <w:t>Dispersion in nonlinear interferometry: implications for optical coherence tomography with undetected photons</w:t>
      </w:r>
    </w:p>
    <w:p>
      <w:r>
        <w:rPr>
          <w:rFonts w:ascii="Times New Roman" w:hAnsi="Times New Roman" w:eastAsia="宋体"/>
          <w:sz w:val="21"/>
        </w:rPr>
        <w:t>作者: Paul Gattinger</w:t>
        <w:br/>
      </w:r>
      <w:r>
        <w:rPr>
          <w:rFonts w:ascii="Times New Roman" w:hAnsi="Times New Roman" w:eastAsia="宋体"/>
          <w:sz w:val="21"/>
        </w:rPr>
        <w:t xml:space="preserve">时间: 2026-02-05T13:35:59Z | </w:t>
      </w:r>
      <w:r>
        <w:t xml:space="preserve">链接: </w:t>
      </w:r>
      <w:hyperlink r:id="rId98">
        <w:r>
          <w:rPr>
            <w:rFonts w:ascii="Times New Roman" w:hAnsi="Times New Roman" w:eastAsia="宋体"/>
            <w:color w:val="0000FF"/>
            <w:sz w:val="21"/>
            <w:u w:val="single"/>
          </w:rPr>
          <w:t>https://arxiv.org/abs/2602.05653v1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非简并光学参量下转换的非线性SU(1,1)量子干涉仪表现出强烈的不平衡群速度色散(GVD)。这一特征是此类干涉仪所固有的，因为频率截然不同的相关光子通过色散非线性晶体传播。因此，色散是由源本身产生的。由此产生的 GVD 会降低未检测到光子的光学相干断层扫描 (OCT) 中的轴向点扩散函数 (PSF)；物理补偿则不太简单，特别是对于非简并宽带体制，由于合适材料的数量有限。在本文中，我们分析了体非线性干涉测量中的色散并描述了其对 OCT 成像的影响。解决了硬件补偿的问题，并提出了一种新颖的经验数值补偿方法。该方法基于直接从时域模态（高精度线性化量子傅里叶变换红外光谱仪）提取相位分量，并在傅里叶变换之前将其注入中红外谱域 OCT 信号（中心波长约为 3770 nm）。将所提出的方法与替代数值技术进行比较。结果表明，轴向分辨率提高了 2.2 倍，并且整体成像性能优于替代校正方法。</w:t>
      </w:r>
    </w:p>
    <w:p>
      <w:pPr>
        <w:spacing w:before="120"/>
      </w:pPr>
      <w:r>
        <w:rPr>
          <w:rFonts w:ascii="Times New Roman" w:hAnsi="Times New Roman" w:eastAsia="宋体"/>
          <w:b/>
          <w:sz w:val="21"/>
        </w:rPr>
        <w:t>English Abstract:</w:t>
      </w:r>
    </w:p>
    <w:p>
      <w:r>
        <w:rPr>
          <w:rFonts w:ascii="Times New Roman" w:hAnsi="Times New Roman" w:eastAsia="宋体"/>
          <w:sz w:val="21"/>
        </w:rPr>
        <w:t>Nonlinear SU(1,1) quantum interferometers based on non-degenerate optical parametric down-conversion exhibit strong unbalanced group velocity dispersion (GVD). This feature is intrinsic to this type of interferometer as correlated photons of vastly different frequencies propagate through a dispersive nonlinear crystal; consequently, the dispersion arises from the source itself. The resulting GVD degrades the axial point-spread function (PSF) in optical coherence tomography (OCT) with undetected photons; and physical compensation is less straightforward, in particular for non-degenerate broadband regimes due to the limited number of suitable materials. In this contribution, we analyze dispersion in bulk nonlinear interferometry and describe its implications for OCT imaging. Aspects of hardware compensation are addressed, and a novel empirical numerical method of compensation is proposed. The approach is based on the extraction of the phase component directly from the time-domain modality (high precision linearized quantum Fourier transform infrared spectrometer) and its injection into the mid-IR spectral-domain OCT signals (central wavelength of around 3770 nm) before the Fourier transform. The proposed method is compared with an alternative numerical technique. The results demonstrate a 2.2-fold improvement in axial resolution and outperform the alternative correction method in overall imaging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11:29 ---</w:t>
      </w:r>
    </w:p>
    <w:p>
      <w:pPr>
        <w:pStyle w:val="Heading2"/>
      </w:pPr>
      <w:r/>
      <w:r>
        <w:rPr>
          <w:rFonts w:ascii="Times New Roman" w:hAnsi="Times New Roman" w:eastAsia="宋体"/>
          <w:b/>
          <w:color w:val="000000"/>
          <w:sz w:val="24"/>
        </w:rPr>
        <w:t>量子计算成像和传感</w:t>
      </w:r>
    </w:p>
    <w:p>
      <w:r>
        <w:rPr>
          <w:rFonts w:ascii="Times New Roman" w:hAnsi="Times New Roman" w:eastAsia="宋体"/>
          <w:b/>
          <w:color w:val="003264"/>
          <w:sz w:val="24"/>
        </w:rPr>
        <w:t>Quantum computational imaging and sensing</w:t>
      </w:r>
    </w:p>
    <w:p>
      <w:r>
        <w:rPr>
          <w:rFonts w:ascii="Times New Roman" w:hAnsi="Times New Roman" w:eastAsia="宋体"/>
          <w:sz w:val="21"/>
        </w:rPr>
        <w:t>作者: Mohan Sarovar</w:t>
        <w:br/>
      </w:r>
      <w:r>
        <w:rPr>
          <w:rFonts w:ascii="Times New Roman" w:hAnsi="Times New Roman" w:eastAsia="宋体"/>
          <w:sz w:val="21"/>
        </w:rPr>
        <w:t xml:space="preserve">时间: 2026-02-04T22:36:48Z | </w:t>
      </w:r>
      <w:r>
        <w:t xml:space="preserve">链接: </w:t>
      </w:r>
      <w:hyperlink r:id="rId99">
        <w:r>
          <w:rPr>
            <w:rFonts w:ascii="Times New Roman" w:hAnsi="Times New Roman" w:eastAsia="宋体"/>
            <w:color w:val="0000FF"/>
            <w:sz w:val="21"/>
            <w:u w:val="single"/>
          </w:rPr>
          <w:t>https://arxiv.org/abs/2602.05102v1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利用量子计算机在电磁场中相干处理量子信息的成像和传感新框架。我们描述了该框架、其改进成像和传感性能的潜力，并展示了一个示例应用，即用于光通信的相干接收器的设计。最后，我们回顾了完全实现量子计算成像和传感所需的量子技术的改进。</w:t>
      </w:r>
    </w:p>
    <w:p>
      <w:pPr>
        <w:spacing w:before="120"/>
      </w:pPr>
      <w:r>
        <w:rPr>
          <w:rFonts w:ascii="Times New Roman" w:hAnsi="Times New Roman" w:eastAsia="宋体"/>
          <w:b/>
          <w:sz w:val="21"/>
        </w:rPr>
        <w:t>English Abstract:</w:t>
      </w:r>
    </w:p>
    <w:p>
      <w:r>
        <w:rPr>
          <w:rFonts w:ascii="Times New Roman" w:hAnsi="Times New Roman" w:eastAsia="宋体"/>
          <w:sz w:val="21"/>
        </w:rPr>
        <w:t>We present a new framework for imaging and sensing based on utilizing a quantum computer to coherently process quantum information in an electromagnetic field. We describe the framework, its potential to provide improvements in imaging and sensing performance and present an example application, the design of coherent receivers for optical communication. Finally, we go over the improvements in quantum technologies required to fully realize quantum computational imaging and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倍频程分离激光器之间出现的自对准光学微梳</w:t>
      </w:r>
    </w:p>
    <w:p>
      <w:r>
        <w:rPr>
          <w:rFonts w:ascii="Times New Roman" w:hAnsi="Times New Roman" w:eastAsia="宋体"/>
          <w:b/>
          <w:color w:val="003264"/>
          <w:sz w:val="24"/>
        </w:rPr>
        <w:t>Self-aligned optical microcomb emerging between octave separated lasers</w:t>
      </w:r>
    </w:p>
    <w:p>
      <w:r>
        <w:rPr>
          <w:rFonts w:ascii="Times New Roman" w:hAnsi="Times New Roman" w:eastAsia="宋体"/>
          <w:sz w:val="21"/>
        </w:rPr>
        <w:t>作者: Kartik Srinivasan</w:t>
        <w:br/>
      </w:r>
      <w:r>
        <w:rPr>
          <w:rFonts w:ascii="Times New Roman" w:hAnsi="Times New Roman" w:eastAsia="宋体"/>
          <w:sz w:val="21"/>
        </w:rPr>
        <w:t xml:space="preserve">时间: 2026-02-05T00:12:35Z | </w:t>
      </w:r>
      <w:r>
        <w:t xml:space="preserve">链接: </w:t>
      </w:r>
      <w:hyperlink r:id="rId100">
        <w:r>
          <w:rPr>
            <w:rFonts w:ascii="Times New Roman" w:hAnsi="Times New Roman" w:eastAsia="宋体"/>
            <w:color w:val="0000FF"/>
            <w:sz w:val="21"/>
            <w:u w:val="single"/>
          </w:rPr>
          <w:t>https://arxiv.org/abs/2602.05151v1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光学频率梳 (OFC) 是精密计量、下一代导航和基础物理测试所必需的频率标尺。尽管付出了巨大的努力，芯片集成的 OFC 仍然仅限于实验室，无法实现其紧凑且经济高效的部署承诺。虽然制造和集成方面的改进很重要，但概念上的限制从根本上阻碍了进展：片上 OFC 架构的目标是小型化其桌面对应结构，并依赖于从单个泵向外级联（即光谱展宽）。在集成平台中，这种方法不容易生成强大的低噪声倍频程信号，而这些信号是稳健的零频偏移检测所必需的。在这里，我们通过结构反转克服了这一限制，其中通过填充两个倍频程分离的泵浦激光器之间的光谱来形成光学微梳。这两个泵在集成的 $χ^{(3)}$ 谐振器中生成参数驱动腔孤子 (PDCS)，该谐振器可以在多个铸造厂制造的设备和操作配置中与泵浦激光器进行稳健的自对准（即同步）。这产生了从电信波长延伸到可见波长的单个倍频程梳，其零频率偏移完全由两个谐波相关的泵浦激光器定义，因此可以可靠地检测和稳定。我们通过执行 OFC 计量的所有三个核心任务来展示我们平台的功能：光学频率合成、低噪声毫米波生成和集成光学时钟读出，使用相同的自对准微梳，仅改变其输入锁定。</w:t>
      </w:r>
    </w:p>
    <w:p>
      <w:pPr>
        <w:spacing w:before="120"/>
      </w:pPr>
      <w:r>
        <w:rPr>
          <w:rFonts w:ascii="Times New Roman" w:hAnsi="Times New Roman" w:eastAsia="宋体"/>
          <w:b/>
          <w:sz w:val="21"/>
        </w:rPr>
        <w:t>English Abstract:</w:t>
      </w:r>
    </w:p>
    <w:p>
      <w:r>
        <w:rPr>
          <w:rFonts w:ascii="Times New Roman" w:hAnsi="Times New Roman" w:eastAsia="宋体"/>
          <w:sz w:val="21"/>
        </w:rPr>
        <w:t>Optical frequency combs (OFCs) are frequency rulers essential for precision metrology, next generation navigation, and testing of fundamental physics. Despite intense efforts, chip-integrated OFCs remain laboratory-bound, unable to fulfill their promise of compact and cost-effective deployment. While improvement in fabrication and integration are important, a conceptual limitation has fundamentally stymied progress: on-chip OFC architectures have aimed to miniaturize their table-top counterparts and relied on cascading outward from (i.e., spectrally broadening) a single pump. In integrated platforms, this approach does not readily allow for the generation of strong and low-noise octave-spaced signals that are crucially needed for robust zero-frequency offset detection. Here, we overcome this limitation via an architectural inversion where an optical microcomb forms by filling the spectrum between two octave-separated pump lasers. The two pumps generate a parametrically driven cavity soliton (PDCS) in an integrated $χ^{(3)}$ resonator, which robustly self-aligns to (i.e., synchronizes with) the pump lasers across multiple foundry-fabricated devices and operating configurations. This produces a single octave-spanning comb extending from telecom to visible wavelengths, whose zero-frequency offset is completely defined by the two harmonically-related pump lasers, and can therefore be reliably detected and stabilized. We showcase our platform's capabilities by executing all of the three core tasks of OFC metrology: optical frequency synthesis, low-noise millimeter-wave generation, and integrated optical clock readout, using the same self-aligned microcomb with only its input locks changed.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量子点作为纠缠光子对的固态源</w:t>
      </w:r>
    </w:p>
    <w:p>
      <w:r>
        <w:rPr>
          <w:rFonts w:ascii="Times New Roman" w:hAnsi="Times New Roman" w:eastAsia="宋体"/>
          <w:b/>
          <w:color w:val="003264"/>
          <w:sz w:val="24"/>
        </w:rPr>
        <w:t>Quantum Dots as Solid-State Sources of Entangled Photon Pairs</w:t>
      </w:r>
    </w:p>
    <w:p>
      <w:r>
        <w:rPr>
          <w:rFonts w:ascii="Times New Roman" w:hAnsi="Times New Roman" w:eastAsia="宋体"/>
          <w:sz w:val="21"/>
        </w:rPr>
        <w:t>作者: Zhaogang Dong</w:t>
        <w:br/>
      </w:r>
      <w:r>
        <w:rPr>
          <w:rFonts w:ascii="Times New Roman" w:hAnsi="Times New Roman" w:eastAsia="宋体"/>
          <w:sz w:val="21"/>
        </w:rPr>
        <w:t xml:space="preserve">时间: 2026-02-05T03:03:44Z | </w:t>
      </w:r>
      <w:r>
        <w:t xml:space="preserve">链接: </w:t>
      </w:r>
      <w:hyperlink r:id="rId101">
        <w:r>
          <w:rPr>
            <w:rFonts w:ascii="Times New Roman" w:hAnsi="Times New Roman" w:eastAsia="宋体"/>
            <w:color w:val="0000FF"/>
            <w:sz w:val="21"/>
            <w:u w:val="single"/>
          </w:rPr>
          <w:t>https://arxiv.org/abs/2602.05245v1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半导体量子点 (QD) 已成为确定性生成非经典光的首要固态平台，为可扩展的量子光子系统提供了一条引人注目的途径。虽然量子点的单光子发射已达到高度成熟，但高保真纠缠光子对源的实现仍然是一个活跃且快速发展的前沿领域。在这篇综述中，我们调查了基于量子点的纠缠光子源的最新进展，强调了从已建立的双激子-激子级联到新兴的自发双光子发射范式的概念演变。我们进一步研究纳米光子架构和相干控制策略的进步如何重新定义基本性能限制，从而同时提高光源亮度、相干性和纠缠保真度。最后，我们讨论了必须解决的关键物理和技术挑战，以弥合实验室演示和大规模部署之间的差距。最后，我们概述了将基于量子点的纠缠光子源集成到实际量子通信、计算和传感平台中的未来机会。</w:t>
      </w:r>
    </w:p>
    <w:p>
      <w:pPr>
        <w:spacing w:before="120"/>
      </w:pPr>
      <w:r>
        <w:rPr>
          <w:rFonts w:ascii="Times New Roman" w:hAnsi="Times New Roman" w:eastAsia="宋体"/>
          <w:b/>
          <w:sz w:val="21"/>
        </w:rPr>
        <w:t>English Abstract:</w:t>
      </w:r>
    </w:p>
    <w:p>
      <w:r>
        <w:rPr>
          <w:rFonts w:ascii="Times New Roman" w:hAnsi="Times New Roman" w:eastAsia="宋体"/>
          <w:sz w:val="21"/>
        </w:rPr>
        <w:t>Semiconductor quantum dots (QDs) have emerged as a premier solid-state platform for the deterministic generation of nonclassical light, offering a compelling pathway toward scalable quantum photonic systems. While single-photon emission from QDs has reached a high level of maturity, the realization of high-fidelity entangled photon-pair sources remains an active and rapidly evolving frontier. In this review, we survey the recent progress in QD-based entangled photon sources, highlighting the conceptual evolution from the established biexciton-exciton cascade to the emerging paradigm of spontaneous two-photon emission. We further examine how advances in nanophotonic architectures and coherent control strategies are redefining fundamental performance limits, enabling concurrent improvements in source brightness, coherence, and entanglement fidelity. Finally, we discuss the key physical and technological challenges that must be addressed to bridge the gap between laboratory demonstrations and large-scale deployment. We conclude by outlining the future opportunities for integrating QD-based entangled photon sources into practical quantum communication, computation, and sensing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一种新颖的光束几何相位</w:t>
      </w:r>
    </w:p>
    <w:p>
      <w:r>
        <w:rPr>
          <w:rFonts w:ascii="Times New Roman" w:hAnsi="Times New Roman" w:eastAsia="宋体"/>
          <w:b/>
          <w:color w:val="003264"/>
          <w:sz w:val="24"/>
        </w:rPr>
        <w:t>A novel geometric phase for optical beams</w:t>
      </w:r>
    </w:p>
    <w:p>
      <w:r>
        <w:rPr>
          <w:rFonts w:ascii="Times New Roman" w:hAnsi="Times New Roman" w:eastAsia="宋体"/>
          <w:sz w:val="21"/>
        </w:rPr>
        <w:t>作者: Mauro Spera</w:t>
        <w:br/>
      </w:r>
      <w:r>
        <w:rPr>
          <w:rFonts w:ascii="Times New Roman" w:hAnsi="Times New Roman" w:eastAsia="宋体"/>
          <w:sz w:val="21"/>
        </w:rPr>
        <w:t xml:space="preserve">时间: 2026-02-05T08:18:08Z | </w:t>
      </w:r>
      <w:r>
        <w:t xml:space="preserve">链接: </w:t>
      </w:r>
      <w:hyperlink r:id="rId102">
        <w:r>
          <w:rPr>
            <w:rFonts w:ascii="Times New Roman" w:hAnsi="Times New Roman" w:eastAsia="宋体"/>
            <w:color w:val="0000FF"/>
            <w:sz w:val="21"/>
            <w:u w:val="single"/>
          </w:rPr>
          <w:t>https://arxiv.org/abs/2602.05427v1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供了对简单光学系统中出现的几何相位的准确描述——纳米结构（元原子）与涡旋光束相互作用。我们证明这种相互作用导致了光束的一类新的几何相位，这与结构光光学中通常讨论的几何相位不同。我们将此设置与梁几何相位的通常描述进行比较，并表明底层几何形状是不同的。</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provide an accurate description of geometric phases emerging in simple optical systems -- nanostructures (metaatoms) interacting with vortex beams. We show that this interaction leads to a new class of geometric phase for optical beams, which is different from the geometric phases commonly discussed in structured-light optics. We compare this setting to the usual description of geometric phases for beams and show that the underlying geometry is different.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超短脉冲串表征的振幅摆动相位不稳定性分析</w:t>
      </w:r>
    </w:p>
    <w:p>
      <w:r>
        <w:rPr>
          <w:rFonts w:ascii="Times New Roman" w:hAnsi="Times New Roman" w:eastAsia="宋体"/>
          <w:b/>
          <w:color w:val="003264"/>
          <w:sz w:val="24"/>
        </w:rPr>
        <w:t>Analysis of phase instabilities in amplitude swing for ultrashort pulse train characterization</w:t>
      </w:r>
    </w:p>
    <w:p>
      <w:r>
        <w:rPr>
          <w:rFonts w:ascii="Times New Roman" w:hAnsi="Times New Roman" w:eastAsia="宋体"/>
          <w:sz w:val="21"/>
        </w:rPr>
        <w:t>作者: Benjamín Alonso</w:t>
        <w:br/>
      </w:r>
      <w:r>
        <w:rPr>
          <w:rFonts w:ascii="Times New Roman" w:hAnsi="Times New Roman" w:eastAsia="宋体"/>
          <w:sz w:val="21"/>
        </w:rPr>
        <w:t xml:space="preserve">时间: 2026-02-05T09:17:00Z | </w:t>
      </w:r>
      <w:r>
        <w:t xml:space="preserve">链接: </w:t>
      </w:r>
      <w:hyperlink r:id="rId103">
        <w:r>
          <w:rPr>
            <w:rFonts w:ascii="Times New Roman" w:hAnsi="Times New Roman" w:eastAsia="宋体"/>
            <w:color w:val="0000FF"/>
            <w:sz w:val="21"/>
            <w:u w:val="single"/>
          </w:rPr>
          <w:t>https://arxiv.org/abs/2602.05469v1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短脉冲的时间动力学是超快光学的基本特征。这些动态通常可以使用迭代算法从由一组非线性谱组成的二维迹线中提取。通常，该迹线的测量需要对许多脉冲的信号进行积分，这意味着当发生逐个发射变化时，该迹线并不对应于单个脉冲。在这种情况下，脉冲串可以通过基本脉冲和量化不稳定性的度量来进行统计表征。在这里，我们证明了振幅摆动技术对不稳定性很敏感，这在测量中表现为两个不同的印记。首先，我们分析构成幅度摆动信号的项。然后，我们研究两个参数来量化不稳定性，分别与迹线边缘最小值的变化和迹线最小值区域的填充相关。最后，我们使用简单的技术应用这些策略来表征模拟的不稳定脉冲序列。</w:t>
      </w:r>
    </w:p>
    <w:p>
      <w:pPr>
        <w:spacing w:before="120"/>
      </w:pPr>
      <w:r>
        <w:rPr>
          <w:rFonts w:ascii="Times New Roman" w:hAnsi="Times New Roman" w:eastAsia="宋体"/>
          <w:b/>
          <w:sz w:val="21"/>
        </w:rPr>
        <w:t>English Abstract:</w:t>
      </w:r>
    </w:p>
    <w:p>
      <w:r>
        <w:rPr>
          <w:rFonts w:ascii="Times New Roman" w:hAnsi="Times New Roman" w:eastAsia="宋体"/>
          <w:sz w:val="21"/>
        </w:rPr>
        <w:t>The temporal dynamics of ultrashort pulses are a fundamental feature in ultrafast optics. These dynamics can often be extracted from a two-dimensional trace consisting of a set of nonlinear spectra, using an iterative algorithm. Typically, the measurement of this trace requires integrating the signal of many pulses, which implies that the trace does not correspond to a single pulse when shot-to-shot variations occur. In this case, the pulse train can be characterized statistically, by a base pulse and a metric that quantifies the instabilities. Here, we demonstrate that the amplitude swing technique is sensitive to instabilities, which manifest as two distinct imprints on the measurement. First, we analyze the terms that compose the amplitude swing signal. Then, we study two parameters to quantify the instabilities, related to a shift in the minima of the trace marginal, and to the filling of the trace minima zones, respectively. Finally, we apply these strategies to characterize simulated unstable pulse trains, using a simple technique.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非厄米光子系统中的时空拓扑相变</w:t>
      </w:r>
    </w:p>
    <w:p>
      <w:r>
        <w:rPr>
          <w:rFonts w:ascii="Times New Roman" w:hAnsi="Times New Roman" w:eastAsia="宋体"/>
          <w:b/>
          <w:color w:val="003264"/>
          <w:sz w:val="24"/>
        </w:rPr>
        <w:t>Spatiotemporal Topological Phase Transition in non-Hermitian Photonic System</w:t>
      </w:r>
    </w:p>
    <w:p>
      <w:r>
        <w:rPr>
          <w:rFonts w:ascii="Times New Roman" w:hAnsi="Times New Roman" w:eastAsia="宋体"/>
          <w:sz w:val="21"/>
        </w:rPr>
        <w:t>作者: Zhaona Wang</w:t>
        <w:br/>
      </w:r>
      <w:r>
        <w:rPr>
          <w:rFonts w:ascii="Times New Roman" w:hAnsi="Times New Roman" w:eastAsia="宋体"/>
          <w:sz w:val="21"/>
        </w:rPr>
        <w:t xml:space="preserve">时间: 2026-02-05T09:28:07Z | </w:t>
      </w:r>
      <w:r>
        <w:t xml:space="preserve">链接: </w:t>
      </w:r>
      <w:hyperlink r:id="rId104">
        <w:r>
          <w:rPr>
            <w:rFonts w:ascii="Times New Roman" w:hAnsi="Times New Roman" w:eastAsia="宋体"/>
            <w:color w:val="0000FF"/>
            <w:sz w:val="21"/>
            <w:u w:val="single"/>
          </w:rPr>
          <w:t>https://arxiv.org/abs/2602.05475v1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虽然空间光子晶体（PC）中的能带拓扑和时间晶体中的动量带拓扑都充当了各自领域中拓扑相的强大探针，但它们在静态平台中的统一仍未得到探索。在这封信中，我们通过引入波导辅助非厄米 SSH 模型来弥补这一差距，其中损耗和耦合的受控调谐驱动 PT 对称性破缺，并实现能隙和动量隙状态之间的连续过渡。这使得我们能够在统一的参数空间中构建完整的时空拓扑相图。通过将此相图映射到空间分级 PC 上，我们通过静态样本的平移实验观察到多个布洛赫动量带隙和连续的时空拓扑转变，从而能够实时控制能带拓扑的演化路径。我们的工作创建了一个多功能、无偏差的平台，用于探索合成时空物理，并为通过非厄米能带工程控制光开辟了新途径。</w:t>
      </w:r>
    </w:p>
    <w:p>
      <w:pPr>
        <w:spacing w:before="120"/>
      </w:pPr>
      <w:r>
        <w:rPr>
          <w:rFonts w:ascii="Times New Roman" w:hAnsi="Times New Roman" w:eastAsia="宋体"/>
          <w:b/>
          <w:sz w:val="21"/>
        </w:rPr>
        <w:t>English Abstract:</w:t>
      </w:r>
    </w:p>
    <w:p>
      <w:r>
        <w:rPr>
          <w:rFonts w:ascii="Times New Roman" w:hAnsi="Times New Roman" w:eastAsia="宋体"/>
          <w:sz w:val="21"/>
        </w:rPr>
        <w:t>While energy band topology in spatial photonic crystals (PCs) and momentum-band topology in temporal crystals have each served as powerful probes of topological phases in their respective domains, their unification in a static platform remains unexplored. In this Letter, we bridge this gap by introducing a waveguide assisted non-Hermitian SSH model, in which controlled tuning of loss and coupling drives PT-symmetry breaking and enables a continuous transition between energy- and momentum-gap regimes. This allows us to construct a complete spatiotemporal topological phase diagram in a unified parameter space. By mapping this phase diagram onto a spatially graded PC, we experimentally observe multiple Bloch momentum-band gaps and a continuous spatiotemporal topological transition via translating across the static sample, enabling real-time control over the evolution pathway of the band topology. Our work creates a versatile, bias-free platform for exploring synthetic spacetime physics and opens new avenues for controlling light via non-Hermitian band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与耦合交叉波导集成的 SiN 上的量子点单光子源</w:t>
      </w:r>
    </w:p>
    <w:p>
      <w:r>
        <w:rPr>
          <w:rFonts w:ascii="Times New Roman" w:hAnsi="Times New Roman" w:eastAsia="宋体"/>
          <w:b/>
          <w:color w:val="003264"/>
          <w:sz w:val="24"/>
        </w:rPr>
        <w:t>Quantum dot single photon source on SiN integrated with coupled crossover waveguides</w:t>
      </w:r>
    </w:p>
    <w:p>
      <w:r>
        <w:rPr>
          <w:rFonts w:ascii="Times New Roman" w:hAnsi="Times New Roman" w:eastAsia="宋体"/>
          <w:sz w:val="21"/>
        </w:rPr>
        <w:t>作者: Yasutomo Ota</w:t>
        <w:br/>
      </w:r>
      <w:r>
        <w:rPr>
          <w:rFonts w:ascii="Times New Roman" w:hAnsi="Times New Roman" w:eastAsia="宋体"/>
          <w:sz w:val="21"/>
        </w:rPr>
        <w:t xml:space="preserve">时间: 2026-02-05T09:52:43Z | </w:t>
      </w:r>
      <w:r>
        <w:t xml:space="preserve">链接: </w:t>
      </w:r>
      <w:hyperlink r:id="rId105">
        <w:r>
          <w:rPr>
            <w:rFonts w:ascii="Times New Roman" w:hAnsi="Times New Roman" w:eastAsia="宋体"/>
            <w:color w:val="0000FF"/>
            <w:sz w:val="21"/>
            <w:u w:val="single"/>
          </w:rPr>
          <w:t>https://arxiv.org/abs/2602.05491v1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InAs/GaAs 量子点 (QD) 单光子源 (SPS) 的混合集成是将量子光引入 SiN 光子集成电路的一种有前景的方法。然而，GaAs 和 SiN 之间较大的折射率不匹配对高效光学耦合提出了挑战。在这里，我们提出并通过实验证明了使用耦合交叉波导结构在 SiN 上混合集成 InAs/GaAs QD-SPS。采用光子晶体纳米腔将 QD 发射耦合到 GaAs 波导中，从而有效地将光子传输到交叉部分的 SiN 波导。我们观察了 Purcell 增强的单光子发射、片上传播以及通过 SiN 光栅耦合器的外耦合。</w:t>
      </w:r>
    </w:p>
    <w:p>
      <w:pPr>
        <w:spacing w:before="120"/>
      </w:pPr>
      <w:r>
        <w:rPr>
          <w:rFonts w:ascii="Times New Roman" w:hAnsi="Times New Roman" w:eastAsia="宋体"/>
          <w:b/>
          <w:sz w:val="21"/>
        </w:rPr>
        <w:t>English Abstract:</w:t>
      </w:r>
    </w:p>
    <w:p>
      <w:r>
        <w:rPr>
          <w:rFonts w:ascii="Times New Roman" w:hAnsi="Times New Roman" w:eastAsia="宋体"/>
          <w:sz w:val="21"/>
        </w:rPr>
        <w:t>Hybrid integration of InAs/GaAs quantum dot (QD) single-photon sources (SPSs) is a promising approach for introducing quantum light into SiN photonic integrated circuits. However, the large refractive-index mismatch between GaAs and SiN poses a challenge for efficient optical coupling. Here, we propose and experimentally demonstrate hybrid integration of an InAs/GaAs QD-SPS on SiN using a coupled crossover waveguide structure. A photonic crystal nanocavity is employed for coupling QD emission into a GaAs waveguide, which efficiently transfers photons to a SiN waveguide at the crossover section. We observed Purcell-enhanced single-photon emission, on-chip propagation, and outcoupling through a SiN grating coupler.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使用编码相位孔径进行单次非相干成像，具有扩展和工程视场</w:t>
      </w:r>
    </w:p>
    <w:p>
      <w:r>
        <w:rPr>
          <w:rFonts w:ascii="Times New Roman" w:hAnsi="Times New Roman" w:eastAsia="宋体"/>
          <w:b/>
          <w:color w:val="003264"/>
          <w:sz w:val="24"/>
        </w:rPr>
        <w:t>Single-shot incoherent imaging with extended and engineered field of view using coded phase apertures</w:t>
      </w:r>
    </w:p>
    <w:p>
      <w:r>
        <w:rPr>
          <w:rFonts w:ascii="Times New Roman" w:hAnsi="Times New Roman" w:eastAsia="宋体"/>
          <w:sz w:val="21"/>
        </w:rPr>
        <w:t>作者: Joseph Rosen</w:t>
        <w:br/>
      </w:r>
      <w:r>
        <w:rPr>
          <w:rFonts w:ascii="Times New Roman" w:hAnsi="Times New Roman" w:eastAsia="宋体"/>
          <w:sz w:val="21"/>
        </w:rPr>
        <w:t xml:space="preserve">时间: 2026-02-05T14:17:14Z | </w:t>
      </w:r>
      <w:r>
        <w:t xml:space="preserve">链接: </w:t>
      </w:r>
      <w:hyperlink r:id="rId106">
        <w:r>
          <w:rPr>
            <w:rFonts w:ascii="Times New Roman" w:hAnsi="Times New Roman" w:eastAsia="宋体"/>
            <w:color w:val="0000FF"/>
            <w:sz w:val="21"/>
            <w:u w:val="single"/>
          </w:rPr>
          <w:t>https://arxiv.org/abs/2602.05691v1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应用都需要光学系统的大视场，而由于相机传感器的尺寸有限，高放大倍率的光学系统通常会受到视场的限制。这项研究提出了一种在不影响放大倍率的情况下设计光学系统视场的新技术。在所提出的方法中，通过在成像系统中引入编码相位掩模（CPM），将物体响应模式记录在相机上。编码相位掩模是 N 个不同散射相位的复用，其中 N-1 表示要带入视场的孤立物体区域的数量。每个散射阶段都会产生相机上独特的稀疏点图案的点扩散函数。随着编码相位掩模的引入，物体的图像被带入相机传感器的区域内，如果没有 CPM，该区域将保留在系统的固有视场之外。为了重建具有位于各自位置的 N 个对象的原始对象平面，零填充对象响应模式与系统的零填充和移位点扩展函数进行去卷积。本文介绍了 N = 2 和 N = 3 的模拟研究以及实验结果。</w:t>
      </w:r>
    </w:p>
    <w:p>
      <w:pPr>
        <w:spacing w:before="120"/>
      </w:pPr>
      <w:r>
        <w:rPr>
          <w:rFonts w:ascii="Times New Roman" w:hAnsi="Times New Roman" w:eastAsia="宋体"/>
          <w:b/>
          <w:sz w:val="21"/>
        </w:rPr>
        <w:t>English Abstract:</w:t>
      </w:r>
    </w:p>
    <w:p>
      <w:r>
        <w:rPr>
          <w:rFonts w:ascii="Times New Roman" w:hAnsi="Times New Roman" w:eastAsia="宋体"/>
          <w:sz w:val="21"/>
        </w:rPr>
        <w:t>A large field of view of an optical system is needed for many applications, and optical systems with high magnification often suffer from a limited field of view due to the limited size of the camera sensor. This study proposes a novel technique for engineering the field of view of an optical system without compromising the magnification. In the proposed method, an object response pattern is recorded on a camera by introducing a coded phase mask (CPM) in the imaging system. The coded phase mask is a multiplexing of N distinct scattering phases, where N-1 represents the number of isolated object areas to be brought within the field of view. Each scattering phase yields a point spread function of a unique sparse dot pattern on the camera. With the introduction of a coded phase mask, the objects' images are brought within the region of the camera sensor, which, without the CPM, would have remained outside the inherent field of view of the system. To reconstruct the original object plane with N objects at their respective locations, the zero-padded object response pattern is deconvolved with the system's zero-padded and shifted point spread function. A simulation study followed by experimental results for N = 2 and N = 3 is presented in this article.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六方氮化硼中的色心和双曲声子极化子：量子光学的新平台</w:t>
      </w:r>
    </w:p>
    <w:p>
      <w:r>
        <w:rPr>
          <w:rFonts w:ascii="Times New Roman" w:hAnsi="Times New Roman" w:eastAsia="宋体"/>
          <w:b/>
          <w:color w:val="003264"/>
          <w:sz w:val="24"/>
        </w:rPr>
        <w:t>Color Centers and Hyperbolic Phonon Polaritons in Hexagonal Boron Nitride: A New Platform for Quantum Optics</w:t>
      </w:r>
    </w:p>
    <w:p>
      <w:r>
        <w:rPr>
          <w:rFonts w:ascii="Times New Roman" w:hAnsi="Times New Roman" w:eastAsia="宋体"/>
          <w:sz w:val="21"/>
        </w:rPr>
        <w:t>作者: Ataç İmamoğlu</w:t>
        <w:br/>
      </w:r>
      <w:r>
        <w:rPr>
          <w:rFonts w:ascii="Times New Roman" w:hAnsi="Times New Roman" w:eastAsia="宋体"/>
          <w:sz w:val="21"/>
        </w:rPr>
        <w:t xml:space="preserve">时间: 2026-02-05T15:01:18Z | </w:t>
      </w:r>
      <w:r>
        <w:t xml:space="preserve">链接: </w:t>
      </w:r>
      <w:hyperlink r:id="rId107">
        <w:r>
          <w:rPr>
            <w:rFonts w:ascii="Times New Roman" w:hAnsi="Times New Roman" w:eastAsia="宋体"/>
            <w:color w:val="0000FF"/>
            <w:sz w:val="21"/>
            <w:u w:val="single"/>
          </w:rPr>
          <w:t>https://arxiv.org/abs/2602.05736v1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六方氮化硼（hBN）中的双曲声子极化激元（HPP）将中红外光限制在深亚波长范围内，并可能为强光与物质相互作用提供强大的途径。 HPP 的生成和控制通常使用经典的近场探针进行，这限制了量子水平的实验。六方氮化硼研究的一个互补前沿集中在色心：明亮、稳定、原子局域的发射器，它们已迅速成为固态量子光学的有前途的平台。在这里，我们通过开发空腔 QED 框架来建立这两个方向之间的关键联系，其中单个 hBN 色心充当 HPP 的量子源。我们量化发射器-HPP 相互作用并分析两种发电方案。第一个是自发发射到声子边带，它可以产生单 HPP 事件，并且在超薄板中，成为具有增强衰减率的单模。第二种是受激拉曼过程，提供频率选择性、可调谐转换率和窄带激励。该驱动器发射空间受限的类射线 HPP，可在微米距离内传播。我们还概述了两个发射器相关测量，可以直接测试这些发射的单极化子特征。通过将色心量子光学与双曲偏激学相连接，我们的方法使量子发射器能够充当 HPP 的片上量子源和控制装置，而 HPP 则提供耦合空间上分离的发射器的远程通道。这些功能共同为中红外光子实验指明了新方向，将强耦合、光谱选择性和空间范围结合在单一材料系统内。</w:t>
      </w:r>
    </w:p>
    <w:p>
      <w:pPr>
        <w:spacing w:before="120"/>
      </w:pPr>
      <w:r>
        <w:rPr>
          <w:rFonts w:ascii="Times New Roman" w:hAnsi="Times New Roman" w:eastAsia="宋体"/>
          <w:b/>
          <w:sz w:val="21"/>
        </w:rPr>
        <w:t>English Abstract:</w:t>
      </w:r>
    </w:p>
    <w:p>
      <w:r>
        <w:rPr>
          <w:rFonts w:ascii="Times New Roman" w:hAnsi="Times New Roman" w:eastAsia="宋体"/>
          <w:sz w:val="21"/>
        </w:rPr>
        <w:t>Hyperbolic phonon polaritons (HPPs) in hexagonal boron nitride (hBN) confine mid-infrared light to deep-subwavelength scales and may offer a powerful route to strong light-matter interactions. Generation and control of HPPs are typically accessed using classical near-field probes, which limits experiments at the quantum level.A complementary frontier in hBN research focuses on color centers: bright, stable, atomically localized emitters that have rapidly emerged as a promising platform for solid-state quantum optics. Here we establish a key connection between these two directions by developing a cavity-QED framework in which a single hBN color center serves as a quantum source of HPPs. We quantify the emitter-HPP interaction and analyze two generation schemes. The first is spontaneous emission into the phonon sideband, which can produce single-HPP events and, in ultrathin slabs, becomes single-mode with an enhanced decay rate. The second is a stimulated Raman process that provides frequency selectivity, tunable conversion rate, and narrowband excitation. This drive launches spatially confined, ray-like HPPs that propagate over micrometer distances. We also outline a two-emitter correlation measurement that can directly test the single-polariton character of these emissions. By connecting color-center quantum optics with hyperbolic polaritonics, our approach enables quantum emitters to act as on-chip quantum sources and controls for HPPs, while HPPs provide long-range channels that couple spatially separated emitters. Together, these capabilities point to a new direction for mid-infrared photonic experiments that unite strong coupling, spectral selectivity, and spatial reach within a single material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弯曲石英光纤上的紧凑型可重构光学延迟线</w:t>
      </w:r>
    </w:p>
    <w:p>
      <w:r>
        <w:rPr>
          <w:rFonts w:ascii="Times New Roman" w:hAnsi="Times New Roman" w:eastAsia="宋体"/>
          <w:b/>
          <w:color w:val="003264"/>
          <w:sz w:val="24"/>
        </w:rPr>
        <w:t>Compact, Reconfigurable Optical Delay Line on a Bent Silica Fiber</w:t>
      </w:r>
    </w:p>
    <w:p>
      <w:r>
        <w:rPr>
          <w:rFonts w:ascii="Times New Roman" w:hAnsi="Times New Roman" w:eastAsia="宋体"/>
          <w:sz w:val="21"/>
        </w:rPr>
        <w:t>作者: Misha Sumetsky</w:t>
        <w:br/>
      </w:r>
      <w:r>
        <w:rPr>
          <w:rFonts w:ascii="Times New Roman" w:hAnsi="Times New Roman" w:eastAsia="宋体"/>
          <w:sz w:val="21"/>
        </w:rPr>
        <w:t xml:space="preserve">时间: 2026-02-05T15:26:36Z | </w:t>
      </w:r>
      <w:r>
        <w:t xml:space="preserve">链接: </w:t>
      </w:r>
      <w:hyperlink r:id="rId108">
        <w:r>
          <w:rPr>
            <w:rFonts w:ascii="Times New Roman" w:hAnsi="Times New Roman" w:eastAsia="宋体"/>
            <w:color w:val="0000FF"/>
            <w:sz w:val="21"/>
            <w:u w:val="single"/>
          </w:rPr>
          <w:t>https://arxiv.org/abs/2602.05757v1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同时提供纳秒级延迟、宽带操作、低色散和紧凑占地面积的可调谐光学延迟线对于传统集成光子平台的实现仍然具有挑战性。在这里，我们展示了一种基于表面纳米级轴向光子（SNAP）微谐振器的机械可重构慢光延迟线，该微谐振器由二氧化硅光纤的受控弯曲动态诱导。 CO2 激光退火引入的局部纳米级截止波长下降提供了反射边界，而光纤弯曲则产生平滑的轴向电势，其形状可通过环曲率连续可调。通过调整弯曲半径，感应 SNAP 微谐振器从近乎线性的轴向轮廓演变为近似半抛物线的轴向轮廓，从而实现从色散延迟到近乎无色散延迟的受控过渡。使用在阻抗匹配条件下运行的横向微光纤耦合器，我们通过实验证明了在约 2 mm 长的光纤段中 10 GHz 带宽内从 2 ns 到 0.5 ns 的连续延迟调谐，插入损耗低于 6 dB。结果证实，机械感应 SNAP 微谐振器为色散工程光学延迟线提供了一个紧凑、坚固且可重构的平台，与光子波束形成、频率梳稳定和神经形态光子信号处理直接相关。</w:t>
      </w:r>
    </w:p>
    <w:p>
      <w:pPr>
        <w:spacing w:before="120"/>
      </w:pPr>
      <w:r>
        <w:rPr>
          <w:rFonts w:ascii="Times New Roman" w:hAnsi="Times New Roman" w:eastAsia="宋体"/>
          <w:b/>
          <w:sz w:val="21"/>
        </w:rPr>
        <w:t>English Abstract:</w:t>
      </w:r>
    </w:p>
    <w:p>
      <w:r>
        <w:rPr>
          <w:rFonts w:ascii="Times New Roman" w:hAnsi="Times New Roman" w:eastAsia="宋体"/>
          <w:sz w:val="21"/>
        </w:rPr>
        <w:t>Tunable optical delay lines that simultaneously offer nanosecond-scale delay, broadband operation, low dispersion, and compact footprint remain challenging to realize with conventional integrated photonic platforms. Here we demonstrate a mechanically reconfigurable slow-light delay line based on a surface nanoscale axial photonics (SNAP) microresonator dynamically induced by controlled bending of a silica optical fiber. A localized nanoscale cutoff-wavelength dip, introduced by CO2-laser annealing, provides a reflective boundary, while fiber bending generates a smooth axial potential whose shape is continuously tunable via loop curvature. By adjusting the bending radius, the induced SNAP microresonator evolves from a nearly linear to an approximately semiparabolic axial profile, enabling a controlled transition from dispersive to nearly dispersionless delay. Using a transverse microfiber coupler operated at the impedance-matching condition, we experimentally demonstrate continuous delay tuning from 2 ns to 0.5 ns within a 10 GHz bandwidth in an approximately 2 mm long fiber segment, with insertion loss below 6 dB. The results confirm that mechanically induced SNAP microresonators provide a compact, robust, and reconfigurable platform for dispersion-engineered optical delay lines, with direct relevance to photonic beamforming, frequency-comb stabilization, and neuromorphic photonic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散斑聚焦过程的自画像：III。定制复杂的时空聚焦定律以克服反射成像中的混响</w:t>
      </w:r>
    </w:p>
    <w:p>
      <w:r>
        <w:rPr>
          <w:rFonts w:ascii="Times New Roman" w:hAnsi="Times New Roman" w:eastAsia="宋体"/>
          <w:b/>
          <w:color w:val="003264"/>
          <w:sz w:val="24"/>
        </w:rPr>
        <w:t>Self-Portrait of the Focusing Process in Speckle: III. Tailoring Complex Spatio-Temporal Focusing Laws To Overcome Reverberations in Reflection Imaging</w:t>
      </w:r>
    </w:p>
    <w:p>
      <w:r>
        <w:rPr>
          <w:rFonts w:ascii="Times New Roman" w:hAnsi="Times New Roman" w:eastAsia="宋体"/>
          <w:sz w:val="21"/>
        </w:rPr>
        <w:t>作者: Alexandre Aubry</w:t>
        <w:br/>
      </w:r>
      <w:r>
        <w:rPr>
          <w:rFonts w:ascii="Times New Roman" w:hAnsi="Times New Roman" w:eastAsia="宋体"/>
          <w:sz w:val="21"/>
        </w:rPr>
        <w:t xml:space="preserve">时间: 2026-02-05T17:24:18Z | </w:t>
      </w:r>
      <w:r>
        <w:t xml:space="preserve">链接: </w:t>
      </w:r>
      <w:hyperlink r:id="rId109">
        <w:r>
          <w:rPr>
            <w:rFonts w:ascii="Times New Roman" w:hAnsi="Times New Roman" w:eastAsia="宋体"/>
            <w:color w:val="0000FF"/>
            <w:sz w:val="21"/>
            <w:u w:val="single"/>
          </w:rPr>
          <w:t>https://arxiv.org/abs/2602.05908v1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是关于利用散斑进行成像的系列文章中的第三篇文章。在复杂介质中，一个基本限制是多重散射现象，它完全模糊了深度成像过程。矩阵成像可以为解决这一问题提供相关框架。因为它被证明是探测散斑混响的适当工具[E. Girudat 等人，第 I 部分]，我们将展示如何使用它来定制复杂的时空聚焦定律，以监测多重反射路径与波场的弹道分量之间的干扰。为此，我们将失真矩阵概念扩展到频域。然后，使用从时空傅立叶空间操作的迭代相位反转过程来补偿混响并优化共焦图像的轴向和横向分辨率。在这里，我们首先提出一个实验性的概念验证，包括通过混响板对模拟组织的体模进行成像，然后概述该策略在经颅超声及其他领域的潜力和局限性。</w:t>
      </w:r>
    </w:p>
    <w:p>
      <w:pPr>
        <w:spacing w:before="120"/>
      </w:pPr>
      <w:r>
        <w:rPr>
          <w:rFonts w:ascii="Times New Roman" w:hAnsi="Times New Roman" w:eastAsia="宋体"/>
          <w:b/>
          <w:sz w:val="21"/>
        </w:rPr>
        <w:t>English Abstract:</w:t>
      </w:r>
    </w:p>
    <w:p>
      <w:r>
        <w:rPr>
          <w:rFonts w:ascii="Times New Roman" w:hAnsi="Times New Roman" w:eastAsia="宋体"/>
          <w:sz w:val="21"/>
        </w:rPr>
        <w:t>This is the third article in a series of three dealing with the exploitation of speckle for imaging purposes. In complex media, a fundamental limit is the multiple scattering phenomenon that completely blurs the imaging process in depth. Matrix imaging can provide a relevant framework for solving this problem. As it proved to be an adequate tool for probing reverberations in speckle [E. Giraudat et al., Part I], we will show how it can be used to tailor complex spatio-temporal focusing laws to monitor the interference between the multiply-reflected paths and the ballistic component of the wave-field. To do so, we extend the distortion matrix concept to the frequency domain. An iterative phase reversal process operated from the space-time Fourier space is then used to compensate for reverberations and optimize both the axial and transverse resolution of the confocal image. Here, we first present an experimental proof-of-concept consisting in imaging a tissue-mimicking phantom through a reverberating plate before outlining the potential and the limits of this strategy for transcranial ultrasound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耦合尖峰硅微环的光子神经形态处理</w:t>
      </w:r>
    </w:p>
    <w:p>
      <w:r>
        <w:rPr>
          <w:rFonts w:ascii="Times New Roman" w:hAnsi="Times New Roman" w:eastAsia="宋体"/>
          <w:b/>
          <w:color w:val="003264"/>
          <w:sz w:val="24"/>
        </w:rPr>
        <w:t>Photonic neuromorphic processing with coupled spiking silicon microrings</w:t>
      </w:r>
    </w:p>
    <w:p>
      <w:r>
        <w:rPr>
          <w:rFonts w:ascii="Times New Roman" w:hAnsi="Times New Roman" w:eastAsia="宋体"/>
          <w:sz w:val="21"/>
        </w:rPr>
        <w:t>作者: Antonio Hurtado</w:t>
        <w:br/>
      </w:r>
      <w:r>
        <w:rPr>
          <w:rFonts w:ascii="Times New Roman" w:hAnsi="Times New Roman" w:eastAsia="宋体"/>
          <w:sz w:val="21"/>
        </w:rPr>
        <w:t xml:space="preserve">时间: 2026-02-05T17:31:06Z | </w:t>
      </w:r>
      <w:r>
        <w:t xml:space="preserve">链接: </w:t>
      </w:r>
      <w:hyperlink r:id="rId110">
        <w:r>
          <w:rPr>
            <w:rFonts w:ascii="Times New Roman" w:hAnsi="Times New Roman" w:eastAsia="宋体"/>
            <w:color w:val="0000FF"/>
            <w:sz w:val="21"/>
            <w:u w:val="single"/>
          </w:rPr>
          <w:t>https://arxiv.org/abs/2602.05918v1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各个网络节点的物理计算机制对于扩展神经形态光子架构至关重要。这项工作提出了一种基于由三个名义上相等的微环组成的侧耦合集成间隔序列谐振器（SCISSOR）的紧凑型无源非线性光子核心，并研究了其计算能力。其非线性和内部反馈可实现模拟、尖峰和双稳态响应，这些响应可通过调节注入功率和波长来实现。 SCISSOR 在时分复用储层计算中作为单个非线性节点实现，使用具有 150 个虚拟节点的模拟和数字储层表示，可在 Iris 数据集上实现无差错分类，并在声纳任务中实现 97% 以上的准确度。在数字方案中，尖峰动力学自然地生成稀疏的储存状态，即使使用单个尖峰也能实现有效的分类。有趣的是，最佳工作点位于动态复杂性和/或输出功率发生急剧转变的边界处。在这些方面，剪刀支持高任务性能，为未来的片上训练开辟了新的策略。尖峰和热双稳态也有助于增强低于 4 mW 的低注入功率时的计算性能。这些结果表明光耦合微环谐振器是未来边缘计算和神经形态光子系统的有效构建模块。</w:t>
      </w:r>
    </w:p>
    <w:p>
      <w:pPr>
        <w:spacing w:before="120"/>
      </w:pPr>
      <w:r>
        <w:rPr>
          <w:rFonts w:ascii="Times New Roman" w:hAnsi="Times New Roman" w:eastAsia="宋体"/>
          <w:b/>
          <w:sz w:val="21"/>
        </w:rPr>
        <w:t>English Abstract:</w:t>
      </w:r>
    </w:p>
    <w:p>
      <w:r>
        <w:rPr>
          <w:rFonts w:ascii="Times New Roman" w:hAnsi="Times New Roman" w:eastAsia="宋体"/>
          <w:sz w:val="21"/>
        </w:rPr>
        <w:t>Understanding the physical computing mechanisms of individual network nodes is essential for scaling neuromorphic photonic architectures. This work proposes a compact passive nonlinear photonic core based on a Side-Coupled Integrated Spaced Sequence of Resonators (SCISSOR) made of three nominally equal microrings and investigate its computing capabilities. Its nonlinearities and internal feedback enable analogue, spiking, and bistable responses that are accessed by tuning the injection power and wavelength. Implemented as a single nonlinear node in a time-multiplexed reservoir computing, the SCISSOR achieves error-free classification on the Iris dataset and accuracies above 97% on the Sonar task, using both analogue and digital reservoir representations with 150 virtual nodes. In the digital scheme, spiking dynamics naturally generate sparse reservoir states, enabling efficient classification even with a single spike. Intriguingly, optimal operating points are at the boundaries where sharp transitions in dynamical complexity and/or output power occur. In these points, the SCISSOR supports high task-performance, opening novel strategies for future on-chip training. Spiking and thermal bistabilities also participate to enhance the computational performance at low injected powers below 4 mW. These results suggest optical coupled microring resonators as effective building blocks for future edge computing and neuromorphic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量子领域的高效净增益集成光参量放大器</w:t>
      </w:r>
    </w:p>
    <w:p>
      <w:r>
        <w:rPr>
          <w:rFonts w:ascii="Times New Roman" w:hAnsi="Times New Roman" w:eastAsia="宋体"/>
          <w:b/>
          <w:color w:val="003264"/>
          <w:sz w:val="24"/>
        </w:rPr>
        <w:t>Efficient net-gain integrated optical parametric amplifier in the quantum regime</w:t>
      </w:r>
    </w:p>
    <w:p>
      <w:r>
        <w:rPr>
          <w:rFonts w:ascii="Times New Roman" w:hAnsi="Times New Roman" w:eastAsia="宋体"/>
          <w:sz w:val="21"/>
        </w:rPr>
        <w:t>作者: Linran Fan</w:t>
        <w:br/>
      </w:r>
      <w:r>
        <w:rPr>
          <w:rFonts w:ascii="Times New Roman" w:hAnsi="Times New Roman" w:eastAsia="宋体"/>
          <w:sz w:val="21"/>
        </w:rPr>
        <w:t xml:space="preserve">时间: 2026-02-05T18:30:05Z | </w:t>
      </w:r>
      <w:r>
        <w:t xml:space="preserve">链接: </w:t>
      </w:r>
      <w:hyperlink r:id="rId111">
        <w:r>
          <w:rPr>
            <w:rFonts w:ascii="Times New Roman" w:hAnsi="Times New Roman" w:eastAsia="宋体"/>
            <w:color w:val="0000FF"/>
            <w:sz w:val="21"/>
            <w:u w:val="single"/>
          </w:rPr>
          <w:t>https://arxiv.org/abs/2602.05982v1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光参量放大器（OPA）有望克服基于稀土掺杂和半导体增益的传统光放大器的波长覆盖范围和噪声限制。然而，高功率要求仍然是 OPA 广泛使用的主要障碍。集成 OPA 原则上可以通过严格模式限制来提高泵效率；然而，与传播损耗、有限的非线性以及对纳米级制造缺陷的敏感性相关的挑战使它们无法与传统的块状和基于光纤的 OPA 竞争。在这里，我们展示了具有连续波净增益的高效集成 OPA。泵效率提高了一个数量级以上。仅使用 110 mW 泵浦功率且无需腔体增强，即可实现 23.5 dB 的相敏增益，显着超过之前的集成 OPA。这是通过薄膜铌酸锂波导中的参数下变频实现的，使用自适应极化技术来保持非线性相互作用的相干性。此外，高参数增益超过了光纤-芯片-光纤损耗，导致净增益高达 10 dB。 3 dB 带宽约为 120 nm，涵盖电信 S、C 和 L 频段。通过测量低于经典极限的输出场波动来确认量子限制噪声性能。我们进一步证明，通过利用这种高效的集成 OPA，可以提高噪声光通信中的信噪比。我们的工作标志着向具有强放大、高效率、量子限制噪声、大带宽和连续波操作的理想光放大器迈出了重要一步，为下一代光子信息处理系统释放了新的可能性。</w:t>
      </w:r>
    </w:p>
    <w:p>
      <w:pPr>
        <w:spacing w:before="120"/>
      </w:pPr>
      <w:r>
        <w:rPr>
          <w:rFonts w:ascii="Times New Roman" w:hAnsi="Times New Roman" w:eastAsia="宋体"/>
          <w:b/>
          <w:sz w:val="21"/>
        </w:rPr>
        <w:t>English Abstract:</w:t>
      </w:r>
    </w:p>
    <w:p>
      <w:r>
        <w:rPr>
          <w:rFonts w:ascii="Times New Roman" w:hAnsi="Times New Roman" w:eastAsia="宋体"/>
          <w:sz w:val="21"/>
        </w:rPr>
        <w:t>Optical parametric amplifiers (OPAs) are promising to overcome the wavelength coverage and noise limitations in conventional optical amplifiers based on rare-earth doping and semiconductor gain. However, the high power requirement remains a major obstacle to the widespread use of OPAs. Integrated OPAs can in principle improve the pump efficiency with tight mode confinement; however, challenges associated with propagation loss, limited nonlinearity, and susceptibility to nanoscale fabrication imperfections prevent them from competing with conventional bulk and fiber-based OPAs. Here, we demonstrate a highly efficient integrated OPAs with continuous-wave net gain. The pump efficiency is improved by over one order of magnitude. Phase-sensitive gain of 23.5 dB is demonstrated, significantly exceeding previous integrated OPAs, using only 110 mW pump power and no cavity enhancement. This is achieved with parametric down-conversion in thin-film lithium niobate waveguides using the adapted poling technique to maintain the coherence of nonlinear interactions. Moreover, the high parametric gain exceeds fibre-chip-fibre losses, leading to appreciable net gain up to 10 dB. The 3 dB bandwidth is approximately 120 nm, covering telecommunication S-, C-, and Lbands. Quantum-limited noise performance is confirmed through the measurement of output field fluctuation below the classical limit. We further demonstrate that signalto-noise ratio in noisy optical communications can be increased by leveraging this efficient integrated OPA. Our work marks a significant step towards ideal optical amplifiers with strong amplification, high efficiency, quantum-limited noise, large bandwidth, and continuous-wave operation, unlocking new possibilities for next-generation photonic information processing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集成移频器和分束器建模</w:t>
      </w:r>
    </w:p>
    <w:p>
      <w:r>
        <w:rPr>
          <w:rFonts w:ascii="Times New Roman" w:hAnsi="Times New Roman" w:eastAsia="宋体"/>
          <w:b/>
          <w:color w:val="003264"/>
          <w:sz w:val="24"/>
        </w:rPr>
        <w:t>Modeling integrated frequency shifters and beam splitters</w:t>
      </w:r>
    </w:p>
    <w:p>
      <w:r>
        <w:rPr>
          <w:rFonts w:ascii="Times New Roman" w:hAnsi="Times New Roman" w:eastAsia="宋体"/>
          <w:sz w:val="21"/>
        </w:rPr>
        <w:t>作者: Mohan Sarovar</w:t>
        <w:br/>
      </w:r>
      <w:r>
        <w:rPr>
          <w:rFonts w:ascii="Times New Roman" w:hAnsi="Times New Roman" w:eastAsia="宋体"/>
          <w:sz w:val="21"/>
        </w:rPr>
        <w:t xml:space="preserve">时间: 2026-02-05T18:48:20Z | </w:t>
      </w:r>
      <w:r>
        <w:t xml:space="preserve">链接: </w:t>
      </w:r>
      <w:hyperlink r:id="rId112">
        <w:r>
          <w:rPr>
            <w:rFonts w:ascii="Times New Roman" w:hAnsi="Times New Roman" w:eastAsia="宋体"/>
            <w:color w:val="0000FF"/>
            <w:sz w:val="21"/>
            <w:u w:val="single"/>
          </w:rPr>
          <w:t>https://arxiv.org/abs/2602.06003v1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量子计算是容错竞赛中的有力竞争者。最近提出的使用以频率模式编码的量子位的提议有望大大减少硬件占用空间，并引起了广泛关注。在这种编码中，线性光学器件，即分束器和移相器，不一定是节能的，并且实施起来成本很高。在这项工作中，我们提出了基于耦合谐振器调制阵列的频率模式分束器的设计。我们开发了一种基于量子输入输出网络的 SLH 形式构建有效传输矩阵的方法。我们的方法灵活且高度可组合，使我们能够定义 $N$ 模式分束器，或者本身基于任意连接的 $N$ 谐振器阵列，或者作为互连的 $l$ 模式分束器网络，其中 $l</w:t>
      </w:r>
    </w:p>
    <w:p>
      <w:pPr>
        <w:spacing w:before="120"/>
      </w:pPr>
      <w:r>
        <w:rPr>
          <w:rFonts w:ascii="Times New Roman" w:hAnsi="Times New Roman" w:eastAsia="宋体"/>
          <w:b/>
          <w:sz w:val="21"/>
        </w:rPr>
        <w:t>English Abstract:</w:t>
      </w:r>
    </w:p>
    <w:p>
      <w:r>
        <w:rPr>
          <w:rFonts w:ascii="Times New Roman" w:hAnsi="Times New Roman" w:eastAsia="宋体"/>
          <w:sz w:val="21"/>
        </w:rPr>
        <w:t>Photonic quantum computing is a strong contender in the race to fault-tolerance. Recent proposals using qubits encoded in frequency modes promise a large reduction in hardware footprint, and have garnered much attention. In this encoding, linear optics, i.e., beam splitters and phase shifters, is necessarily not energy-conserving, and is costly to implement. In this work, we present designs of frequency-mode beam splitters based on modulated arrays of coupled resonators. We develop a methodology to construct their effective transfer matrices based on the SLH formalism for quantum input-output networks. Our methodology is flexible and highly composable, allowing us to define $N$-mode beam splitters either natively based on arrays of $N$-resonators of arbitrary connectivity or as networks of interconnected $l$-mode beam splitters, with $l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PCOS的智能诊断和早期干预：女性生殖健康的深度学习方法</w:t>
      </w:r>
    </w:p>
    <w:p>
      <w:r>
        <w:rPr>
          <w:rFonts w:ascii="Times New Roman" w:hAnsi="Times New Roman" w:eastAsia="宋体"/>
          <w:b/>
          <w:color w:val="003264"/>
          <w:sz w:val="24"/>
        </w:rPr>
        <w:t>Smart Diagnosis and Early Intervention in PCOS: A Deep Learning Approach to Women's Reproductive Health</w:t>
      </w:r>
    </w:p>
    <w:p>
      <w:r>
        <w:rPr>
          <w:rFonts w:ascii="Times New Roman" w:hAnsi="Times New Roman" w:eastAsia="宋体"/>
          <w:sz w:val="21"/>
        </w:rPr>
        <w:t>作者: Nishat Tasnim Niloy</w:t>
        <w:br/>
      </w:r>
      <w:r>
        <w:rPr>
          <w:rFonts w:ascii="Times New Roman" w:hAnsi="Times New Roman" w:eastAsia="宋体"/>
          <w:sz w:val="21"/>
        </w:rPr>
        <w:t xml:space="preserve">时间: 2026-02-04T18:58:21Z | </w:t>
      </w:r>
      <w:r>
        <w:t xml:space="preserve">链接: </w:t>
      </w:r>
      <w:hyperlink r:id="rId113">
        <w:r>
          <w:rPr>
            <w:rFonts w:ascii="Times New Roman" w:hAnsi="Times New Roman" w:eastAsia="宋体"/>
            <w:color w:val="0000FF"/>
            <w:sz w:val="21"/>
            <w:u w:val="single"/>
          </w:rPr>
          <w:t>https://arxiv.org/abs/2602.04944v1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 (PCOS) 是育龄妇女中一种普遍存在的疾病，其特征是荷尔蒙失衡、月经不调和多发性卵巢囊肿。不孕症、代谢综合征和心血管风险是长期并发症，因此早期检测至关重要。在本文中，我们利用 DenseNet201 和 ResNet50 设计了一个基于迁移学习的强大框架，用于对卵巢超声图像进行分类。该模型在包含囊肿感染和未感染患者的 3856 张超声图像的在线数据集上进行训练。每个超声帧的大小都调整为 224x224 像素，并用精确的病理指标进行编码。 MixUp 和 CutMix 增强策略用于提高泛化能力，Densenet201 的峰值验证准确度为 99.80%，验证损失为 0.617，alpha 值分别为 0.25 和 0.4。我们使用领先的可解释人工智能 (XAI) 方法（例如 SHAP、Grad-CAM 和 LIME）评估模型的可解释性，对模型行为进行推理并呈现明确的视觉原因，从而提高模型的透明度。这项研究提出了一种用于医学图像诊断的自动化系统，可以在临床实践中有效且自信地使用。</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a widespread disorder in women of reproductive age, characterized by a hormonal imbalance, irregular periods, and multiple ovarian cysts. Infertility, metabolic syndrome, and cardiovascular risks are long-term complications that make early detection essential. In this paper, we design a powerful framework based on transfer learning utilizing DenseNet201 and ResNet50 for classifying ovarian ultrasound images. The model was trained on an online dataset containing 3856 ultrasound images of cyst-infected and non-infected patients. Each ultrasound frame was resized to 224x224 pixels and encoded with precise pathological indicators. The MixUp and CutMix augmentation strategies were used to improve generalization, yielding a peak validation accuracy of 99.80% by Densenet201 and a validation loss of 0.617 with alpha values of 0.25 and 0.4, respectively. We evaluated the model's interpretability using leading Explainable AI (XAI) approaches such as SHAP, Grad-CAM, and LIME, reasoning with and presenting explicit visual reasons for the model's behaviors, therefore increasing the model's transparency. This study proposes an automated system for medical picture diagnosis that may be used effectively and confidently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基于人工智能的前列腺 MR-Linac 图像治疗中变化检测</w:t>
      </w:r>
    </w:p>
    <w:p>
      <w:r>
        <w:rPr>
          <w:rFonts w:ascii="Times New Roman" w:hAnsi="Times New Roman" w:eastAsia="宋体"/>
          <w:b/>
          <w:color w:val="003264"/>
          <w:sz w:val="24"/>
        </w:rPr>
        <w:t>AI-Based Detection of In-Treatment Changes from Prostate MR-Linac Images</w:t>
      </w:r>
    </w:p>
    <w:p>
      <w:r>
        <w:rPr>
          <w:rFonts w:ascii="Times New Roman" w:hAnsi="Times New Roman" w:eastAsia="宋体"/>
          <w:sz w:val="21"/>
        </w:rPr>
        <w:t>作者: Heejong Kim</w:t>
        <w:br/>
      </w:r>
      <w:r>
        <w:rPr>
          <w:rFonts w:ascii="Times New Roman" w:hAnsi="Times New Roman" w:eastAsia="宋体"/>
          <w:sz w:val="21"/>
        </w:rPr>
        <w:t xml:space="preserve">时间: 2026-02-04T19:14:55Z | </w:t>
      </w:r>
      <w:r>
        <w:t xml:space="preserve">链接: </w:t>
      </w:r>
      <w:hyperlink r:id="rId114">
        <w:r>
          <w:rPr>
            <w:rFonts w:ascii="Times New Roman" w:hAnsi="Times New Roman" w:eastAsia="宋体"/>
            <w:color w:val="0000FF"/>
            <w:sz w:val="21"/>
            <w:u w:val="single"/>
          </w:rPr>
          <w:t>https://arxiv.org/abs/2602.04983v1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目的：研究是否可以利用常规采集的纵向 MR-Linac 图像来表征放疗期间治疗引起的变化，特别是短时间间隔（平均 2 天）内细微的分次间变化。材料和方法：这项回顾性研究包括来自 761 名患者的一系列 0.35T MR-Linac 图像。使用人工智能（深度学习）模型通过预测配对图像的时间顺序来表征治疗引起的变化。该模型首先使用第一个和最后一个分数 (F1-FL) 的图像进行训练，然后使用所有对 (All-pairs) 进行训练。使用定量指标（准确性和 AUC）与放射科医生的表现进行比较，并进行定性分析（用于调查受影响的解剖区域的显着图评估）来评估模型性能。进行输入消融实验来识别放射治疗改变的解剖区域。放射科医生对显着图区域重建的部分图像进行了一项额外的任务，并报告了观察结果。进行定量图像分析以调查模型和放射科医生的结果。结果：F1-FL 模型产生了近乎完美的性能（AUC 为 0.99），明显优于放射科医生。 All-pairs 模型的 AUC 为 0.97。这种表现反映了治疗引起的变化，并得到与分数间隔、消融测试和专家解释的表现相关性的支持。推动预测的主要区域是前列腺、膀胱和耻骨联合。结论：该模型准确预测 MR-Linac 分数的时间顺序，并检测一天或几天内辐射引起的变化，包括经专家确认的前列腺和邻近器官的变化。这凸显了 MR-Linac 在图像引导之外的高级图像分析方面的潜力。</w:t>
      </w:r>
    </w:p>
    <w:p>
      <w:pPr>
        <w:spacing w:before="120"/>
      </w:pPr>
      <w:r>
        <w:rPr>
          <w:rFonts w:ascii="Times New Roman" w:hAnsi="Times New Roman" w:eastAsia="宋体"/>
          <w:b/>
          <w:sz w:val="21"/>
        </w:rPr>
        <w:t>English Abstract:</w:t>
      </w:r>
    </w:p>
    <w:p>
      <w:r>
        <w:rPr>
          <w:rFonts w:ascii="Times New Roman" w:hAnsi="Times New Roman" w:eastAsia="宋体"/>
          <w:sz w:val="21"/>
        </w:rPr>
        <w:t>Purpose: To investigate whether routinely acquired longitudinal MR-Linac images can be leveraged to characterize treatment-induced changes during radiotherapy, particularly subtle inter-fraction changes over short intervals (average of 2 days). Materials and Methods: This retrospective study included a series of 0.35T MR-Linac images from 761 patients. An artificial intelligence (deep learning) model was used to characterize treatment-induced changes by predicting the temporal order of paired images. The model was first trained with the images from the first and the last fractions (F1-FL), then with all pairs (All-pairs). Model performance was assessed using quantitative metrics (accuracy and AUC), compared to a radiologist's performance, and qualitative analyses - the saliency map evaluation to investigate affected anatomical regions. Input ablation experiments were performed to identify the anatomical regions altered by radiotherapy. The radiologist conducted an additional task on partial images reconstructed by saliency map regions, reporting observations as well. Quantitative image analysis was conducted to investigate the results from the model and the radiologist. Results: The F1-FL model yielded near-perfect performance (AUC of 0.99), significantly outperforming the radiologist. The All-pairs model yielded an AUC of 0.97. This performance reflects therapy-induced changes, supported by the performance correlation to fraction intervals, ablation tests and expert's interpretation. Primary regions driving the predictions were prostate, bladder, and pubic symphysis. Conclusion: The model accurately predicts temporal order of MR-Linac fractions and detects radiation-induced changes over one or a few days, including prostate and adjacent organ alterations confirmed by experts. This underscores MR-Linac's potential for advanced image analysis beyond image guidance.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食物份量估算：从像素到卡路里</w:t>
      </w:r>
    </w:p>
    <w:p>
      <w:r>
        <w:rPr>
          <w:rFonts w:ascii="Times New Roman" w:hAnsi="Times New Roman" w:eastAsia="宋体"/>
          <w:b/>
          <w:color w:val="003264"/>
          <w:sz w:val="24"/>
        </w:rPr>
        <w:t>Food Portion Estimation: From Pixels to Calories</w:t>
      </w:r>
    </w:p>
    <w:p>
      <w:r>
        <w:rPr>
          <w:rFonts w:ascii="Times New Roman" w:hAnsi="Times New Roman" w:eastAsia="宋体"/>
          <w:sz w:val="21"/>
        </w:rPr>
        <w:t>作者: Fengqing Zhu</w:t>
        <w:br/>
      </w:r>
      <w:r>
        <w:rPr>
          <w:rFonts w:ascii="Times New Roman" w:hAnsi="Times New Roman" w:eastAsia="宋体"/>
          <w:sz w:val="21"/>
        </w:rPr>
        <w:t xml:space="preserve">时间: 2026-02-04T21:53:21Z | </w:t>
      </w:r>
      <w:r>
        <w:t xml:space="preserve">链接: </w:t>
      </w:r>
      <w:hyperlink r:id="rId115">
        <w:r>
          <w:rPr>
            <w:rFonts w:ascii="Times New Roman" w:hAnsi="Times New Roman" w:eastAsia="宋体"/>
            <w:color w:val="0000FF"/>
            <w:sz w:val="21"/>
            <w:u w:val="single"/>
          </w:rPr>
          <w:t>https://arxiv.org/abs/2602.05078v1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依靠图像进行饮食评估是准确、方便地监测个人健康的重要策略，使其成为预防和护理慢性病和肥胖的重要机制。然而，基于图像的饮食评估会受到从 2D 图像输入估计食物三维尺寸的影响。人们设计了许多策略来克服这一关键限制，例如使用深度图等辅助输入、多视图输入或模板匹配等基于模型的方法。深度学习还可以通过使用单目图像或图像与辅助输入的组合来根据图像输入精确预测输出部分，从而帮助弥合差距。在本文中，我们探讨了用于准确部分估计的不同策略。</w:t>
      </w:r>
    </w:p>
    <w:p>
      <w:pPr>
        <w:spacing w:before="120"/>
      </w:pPr>
      <w:r>
        <w:rPr>
          <w:rFonts w:ascii="Times New Roman" w:hAnsi="Times New Roman" w:eastAsia="宋体"/>
          <w:b/>
          <w:sz w:val="21"/>
        </w:rPr>
        <w:t>English Abstract:</w:t>
      </w:r>
    </w:p>
    <w:p>
      <w:r>
        <w:rPr>
          <w:rFonts w:ascii="Times New Roman" w:hAnsi="Times New Roman" w:eastAsia="宋体"/>
          <w:sz w:val="21"/>
        </w:rPr>
        <w:t>Reliance on images for dietary assessment is an important strategy to accurately and conveniently monitor an individual's health, making it a vital mechanism in the prevention and care of chronic diseases and obesity. However, image-based dietary assessment suffers from estimating the three dimensional size of food from 2D image inputs. Many strategies have been devised to overcome this critical limitation such as the use of auxiliary inputs like depth maps, multi-view inputs, or model-based approaches such as template matching. Deep learning also helps bridge the gap by either using monocular images or combinations of the image and the auxillary inputs to precisely predict the output portion from the image input. In this paper, we explore the different strategies employed for accurate portion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幼儿期个性化白质束分割</w:t>
      </w:r>
    </w:p>
    <w:p>
      <w:r>
        <w:rPr>
          <w:rFonts w:ascii="Times New Roman" w:hAnsi="Times New Roman" w:eastAsia="宋体"/>
          <w:b/>
          <w:color w:val="003264"/>
          <w:sz w:val="24"/>
        </w:rPr>
        <w:t>Personalized White Matter Bundle Segmentation for Early Childhood</w:t>
      </w:r>
    </w:p>
    <w:p>
      <w:r>
        <w:rPr>
          <w:rFonts w:ascii="Times New Roman" w:hAnsi="Times New Roman" w:eastAsia="宋体"/>
          <w:sz w:val="21"/>
        </w:rPr>
        <w:t>作者: Bennett A. Landman</w:t>
        <w:br/>
      </w:r>
      <w:r>
        <w:rPr>
          <w:rFonts w:ascii="Times New Roman" w:hAnsi="Times New Roman" w:eastAsia="宋体"/>
          <w:sz w:val="21"/>
        </w:rPr>
        <w:t xml:space="preserve">时间: 2026-02-04T22:38:14Z | </w:t>
      </w:r>
      <w:r>
        <w:t xml:space="preserve">链接: </w:t>
      </w:r>
      <w:hyperlink r:id="rId116">
        <w:r>
          <w:rPr>
            <w:rFonts w:ascii="Times New Roman" w:hAnsi="Times New Roman" w:eastAsia="宋体"/>
            <w:color w:val="0000FF"/>
            <w:sz w:val="21"/>
            <w:u w:val="single"/>
          </w:rPr>
          <w:t>https://arxiv.org/abs/2602.05104v1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扩散磁共振成像的白质分割方法范围从基于流线聚类的方法到束掩模描绘，但没有提出一种针对儿科的方法。我们假设采用与 TractSeg 类似方法的深度学习模型将提高算法生成的掩码与专家标记的基本事实之间的相似性。给定一组 56 个手动标记的白质束，我们从 TractSeg 的 2D UNet 架构中汲取灵感，我们修改输入以匹配儿科专家确定的束定义，使用 k 折叠交叉验证进行评估，使用 masked Dice 损失的损失函数。与专家标记的数据集相比，我们评估了 16 个主要感兴趣区域的 Dice 得分、体积重叠和体积超出。为了测试我们的方法是否比 TractSeg 提供统计上显着的改进，我们将 Dice 体素、体积重叠和邻接体素与 Wilcoxon 符号秩检验进行比较，然后进行错误发现率校正。我们发现所有捆绑包中所有指标的统计显着性，但数量重叠除外。运行 TractSeg 和我们的模型后，我们将它们的输出掩码组合成 60 个标签图集，以评估 TractSeg 和我们的模型组合是否可以生成稳健的、个性化的图集，并在 TractSeg 未产生解剖学上合理的输出的情况下观察平滑的连续掩码。随着白质通路分割掩模的改进，我们可以进一步了解群体水平上的神经发育，并且我们可以对儿科白质疾病和病症的个体化解剖结构进行可靠的估计。</w:t>
      </w:r>
    </w:p>
    <w:p>
      <w:pPr>
        <w:spacing w:before="120"/>
      </w:pPr>
      <w:r>
        <w:rPr>
          <w:rFonts w:ascii="Times New Roman" w:hAnsi="Times New Roman" w:eastAsia="宋体"/>
          <w:b/>
          <w:sz w:val="21"/>
        </w:rPr>
        <w:t>English Abstract:</w:t>
      </w:r>
    </w:p>
    <w:p>
      <w:r>
        <w:rPr>
          <w:rFonts w:ascii="Times New Roman" w:hAnsi="Times New Roman" w:eastAsia="宋体"/>
          <w:sz w:val="21"/>
        </w:rPr>
        <w:t>White matter segmentation methods from diffusion magnetic resonance imaging range from streamline clustering-based approaches to bundle mask delineation, but none have proposed a pediatric-specific approach. We hypothesize that a deep learning model with a similar approach to TractSeg will improve similarity between an algorithm-generated mask and an expert-labeled ground truth. Given a cohort of 56 manually labelled white matter bundles, we take inspiration from TractSeg's 2D UNet architecture, and we modify inputs to match bundle definitions as determined by pediatric experts, evaluation to use k fold cross validation, the loss function to masked Dice loss. We evaluate Dice score, volume overlap, and volume overreach of 16 major regions of interest compared to the expert labeled dataset. To test whether our approach offers statistically significant improvements over TractSeg, we compare Dice voxels, volume overlap, and adjacency voxels with a Wilcoxon signed rank test followed by false discovery rate correction. We find statistical significance across all bundles for all metrics with one exception in volume overlap. After we run TractSeg and our model, we combine their output masks into a 60 label atlas to evaluate if TractSeg and our model combined can generate a robust, individualized atlas, and observe smoothed, continuous masks in cases that TractSeg did not produce an anatomically plausible output. With the improvement of white matter pathway segmentation masks, we can further understand neurodevelopment on a population level scale, and we can produce reliable estimates of individualized anatomy in pediatric white matter diseases and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具有轻量级语义指导的扩散辅助极端视频压缩</w:t>
      </w:r>
    </w:p>
    <w:p>
      <w:r>
        <w:rPr>
          <w:rFonts w:ascii="Times New Roman" w:hAnsi="Times New Roman" w:eastAsia="宋体"/>
          <w:b/>
          <w:color w:val="003264"/>
          <w:sz w:val="24"/>
        </w:rPr>
        <w:t>Diffusion-aided Extreme Video Compression with Lightweight Semantics Guidance</w:t>
      </w:r>
    </w:p>
    <w:p>
      <w:r>
        <w:rPr>
          <w:rFonts w:ascii="Times New Roman" w:hAnsi="Times New Roman" w:eastAsia="宋体"/>
          <w:sz w:val="21"/>
        </w:rPr>
        <w:t>作者: Krystian Mikolajczyk</w:t>
        <w:br/>
      </w:r>
      <w:r>
        <w:rPr>
          <w:rFonts w:ascii="Times New Roman" w:hAnsi="Times New Roman" w:eastAsia="宋体"/>
          <w:sz w:val="21"/>
        </w:rPr>
        <w:t xml:space="preserve">时间: 2026-02-05T01:53:47Z | </w:t>
      </w:r>
      <w:r>
        <w:t xml:space="preserve">链接: </w:t>
      </w:r>
      <w:hyperlink r:id="rId117">
        <w:r>
          <w:rPr>
            <w:rFonts w:ascii="Times New Roman" w:hAnsi="Times New Roman" w:eastAsia="宋体"/>
            <w:color w:val="0000FF"/>
            <w:sz w:val="21"/>
            <w:u w:val="single"/>
          </w:rPr>
          <w:t>https://arxiv.org/abs/2602.05201v1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视频编解码器和基于学习的方法由于依赖低级时空冗余而难以以极低的比特率进行语义重建。生成模型，特别是扩散模型，通过利用高级语义理解和强大的视觉合成，为视频压缩提供了新的范例。本文提出了一种视频压缩框架，该框架集成了生成先验，可以在保持重建保真度的同时大幅降低比特率。具体来说，我们的方法压缩视频的高级语义表示，然后使用条件扩散模型从这些语义重建帧。为了进一步改进压缩，我们用全局相机轨迹和前景分割来表征运动信息：背景运动由相机位姿参数紧凑地表示，而前景动态由稀疏分割掩模表示。这可以显着提高压缩效率，从而以极低的比特率实现下降视频重建。</w:t>
      </w:r>
    </w:p>
    <w:p>
      <w:pPr>
        <w:spacing w:before="120"/>
      </w:pPr>
      <w:r>
        <w:rPr>
          <w:rFonts w:ascii="Times New Roman" w:hAnsi="Times New Roman" w:eastAsia="宋体"/>
          <w:b/>
          <w:sz w:val="21"/>
        </w:rPr>
        <w:t>English Abstract:</w:t>
      </w:r>
    </w:p>
    <w:p>
      <w:r>
        <w:rPr>
          <w:rFonts w:ascii="Times New Roman" w:hAnsi="Times New Roman" w:eastAsia="宋体"/>
          <w:sz w:val="21"/>
        </w:rPr>
        <w:t>Modern video codecs and learning-based approaches struggle for semantic reconstruction at extremely low bit-rates due to reliance on low-level spatiotemporal redundancies. Generative models, especially diffusion models, offer a new paradigm for video compression by leveraging high-level semantic understanding and powerful visual synthesis. This paper propose a video compression framework that integrates generative priors to drastically reduce bit-rate while maintaining reconstruction fidelity. Specifically, our method compresses high-level semantic representations of the video, then uses a conditional diffusion model to reconstruct frames from these semantics. To further improve compression, we characterize motion information with global camera trajectories and foreground segmentation: background motion is compactly represented by camera pose parameters while foreground dynamics by sparse segmentation masks. This allows for significantly boosts compression efficiency, enabling descent video reconstruction at extremely low bit-rates.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通过主动查询和血管注意力进行上下文感知的不对称集成，用于可解释的早产儿视网膜病变筛查</w:t>
      </w:r>
    </w:p>
    <w:p>
      <w:r>
        <w:rPr>
          <w:rFonts w:ascii="Times New Roman" w:hAnsi="Times New Roman" w:eastAsia="宋体"/>
          <w:b/>
          <w:color w:val="003264"/>
          <w:sz w:val="24"/>
        </w:rPr>
        <w:t>Context-Aware Asymmetric Ensembling for Interpretable Retinopathy of Prematurity Screening via Active Query and Vascular Attention</w:t>
      </w:r>
    </w:p>
    <w:p>
      <w:r>
        <w:rPr>
          <w:rFonts w:ascii="Times New Roman" w:hAnsi="Times New Roman" w:eastAsia="宋体"/>
          <w:sz w:val="21"/>
        </w:rPr>
        <w:t>作者: Taufiq Hasan</w:t>
        <w:br/>
      </w:r>
      <w:r>
        <w:rPr>
          <w:rFonts w:ascii="Times New Roman" w:hAnsi="Times New Roman" w:eastAsia="宋体"/>
          <w:sz w:val="21"/>
        </w:rPr>
        <w:t xml:space="preserve">时间: 2026-02-05T02:06:26Z | </w:t>
      </w:r>
      <w:r>
        <w:t xml:space="preserve">链接: </w:t>
      </w:r>
      <w:hyperlink r:id="rId118">
        <w:r>
          <w:rPr>
            <w:rFonts w:ascii="Times New Roman" w:hAnsi="Times New Roman" w:eastAsia="宋体"/>
            <w:color w:val="0000FF"/>
            <w:sz w:val="21"/>
            <w:u w:val="single"/>
          </w:rPr>
          <w:t>https://arxiv.org/abs/2602.05208v1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早产儿视网膜病变 (ROP) 是可预防的儿童失明的主要原因之一。自动筛查仍然具有挑战性，主要是由于数据可用性有限以及涉及结构分期和微血管异常的复杂情况。当前的深度学习模型在很大程度上依赖于大型私人数据集和被动多模态融合，这通常无法推广到小型、不平衡的公共群体。因此，我们提出了上下文感知非对称集成模型（CAA Ensemble），它通过两个专门的流来模拟临床推理。首先，多尺度主动查询网络（MS-AQNet）充当结构专家，利用临床背景作为动态查询向量来空间控制视觉特征提取以定位纤维血管嵴。其次，VascuMIL 在门控多实例学习 (MIL) 网络中对血管拓扑图 (VMAP) 进行编码，以精确识别血管弯曲度。协同元学习器将这些正交信号集成在一起，以解决多个目标之间的诊断不一致问题。该框架在由 188 名婴儿组成的高度不平衡队列（6,004 张图像）上进行测试，在两项不同的临床任务中实现了最先进的性能：广泛 ROP 分期的宏观 F1 分数为 0.93，Plus 疾病检测的 AUC 为 0.996。至关重要的是，该系统通过反事实注意力热图和血管威胁图实现了“玻璃盒”透明度，证明临床元数据决定了模型的视觉搜索。此外，这项研究表明架构归纳偏差可以作为医疗人工智能数据差距的有效桥梁。</w:t>
      </w:r>
    </w:p>
    <w:p>
      <w:pPr>
        <w:spacing w:before="120"/>
      </w:pPr>
      <w:r>
        <w:rPr>
          <w:rFonts w:ascii="Times New Roman" w:hAnsi="Times New Roman" w:eastAsia="宋体"/>
          <w:b/>
          <w:sz w:val="21"/>
        </w:rPr>
        <w:t>English Abstract:</w:t>
      </w:r>
    </w:p>
    <w:p>
      <w:r>
        <w:rPr>
          <w:rFonts w:ascii="Times New Roman" w:hAnsi="Times New Roman" w:eastAsia="宋体"/>
          <w:sz w:val="21"/>
        </w:rPr>
        <w:t>Retinopathy of Prematurity (ROP) is among the major causes of preventable childhood blindness. Automated screening remains challenging, primarily due to limited data availability and the complex condition involving both structural staging and microvascular abnormalities. Current deep learning models depend heavily on large private datasets and passive multimodal fusion, which commonly fail to generalize on small, imbalanced public cohorts. We thus propose the Context-Aware Asymmetric Ensemble Model (CAA Ensemble) that simulates clinical reasoning through two specialized streams. First, the Multi-Scale Active Query Network (MS-AQNet) serves as a structure specialist, utilizing clinical contexts as dynamic query vectors to spatially control visual feature extraction for localization of the fibrovascular ridge. Secondly, VascuMIL encodes Vascular Topology Maps (VMAP) within a gated Multiple Instance Learning (MIL) network to precisely identify vascular tortuosity. A synergistic meta-learner ensembles these orthogonal signals to resolve diagnostic discordance across multiple objectives. Tested on a highly imbalanced cohort of 188 infants (6,004 images), the framework attained State-of-the-Art performance on two distinct clinical tasks: achieving a Macro F1-Score of 0.93 for Broad ROP staging and an AUC of 0.996 for Plus Disease detection. Crucially, the system features `Glass Box' transparency through counterfactual attention heatmaps and vascular threat maps, proving that clinical metadata dictates the model's visual search. Additionally, this study demonstrates that architectural inductive bias can serve as an effective bridge for the medical AI data gap.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迈向分割看不见的东西：弱监督肿瘤分析的端到端注册和分割框架</w:t>
      </w:r>
    </w:p>
    <w:p>
      <w:r>
        <w:rPr>
          <w:rFonts w:ascii="Times New Roman" w:hAnsi="Times New Roman" w:eastAsia="宋体"/>
          <w:b/>
          <w:color w:val="003264"/>
          <w:sz w:val="24"/>
        </w:rPr>
        <w:t>Towards Segmenting the Invisible: An End-to-End Registration and Segmentation Framework for Weakly Supervised Tumour Analysis</w:t>
      </w:r>
    </w:p>
    <w:p>
      <w:r>
        <w:rPr>
          <w:rFonts w:ascii="Times New Roman" w:hAnsi="Times New Roman" w:eastAsia="宋体"/>
          <w:sz w:val="21"/>
        </w:rPr>
        <w:t>作者: Soumick Chatterjee</w:t>
        <w:br/>
      </w:r>
      <w:r>
        <w:rPr>
          <w:rFonts w:ascii="Times New Roman" w:hAnsi="Times New Roman" w:eastAsia="宋体"/>
          <w:sz w:val="21"/>
        </w:rPr>
        <w:t xml:space="preserve">时间: 2026-02-05T08:55:26Z | </w:t>
      </w:r>
      <w:r>
        <w:t xml:space="preserve">链接: </w:t>
      </w:r>
      <w:hyperlink r:id="rId119">
        <w:r>
          <w:rPr>
            <w:rFonts w:ascii="Times New Roman" w:hAnsi="Times New Roman" w:eastAsia="宋体"/>
            <w:color w:val="0000FF"/>
            <w:sz w:val="21"/>
            <w:u w:val="single"/>
          </w:rPr>
          <w:t>https://arxiv.org/abs/2602.05453v1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肝脏肿瘤消融提出了重大的临床挑战：虽然肿瘤在术前 MRI 上清晰可见，但由于病理组织和健康组织之间的对比度极低，它们在术中 CT 上通常实际上是不可见的。这项工作研究了跨模态弱监督的可行性，适用于病理在一种模态 (MRI) 中可见但在另一种模态 (CT) 中不存在的情况。我们提出了一种混合配准分割框架，它将用于多模态图像配准的 MSCGUNet 与基于 UNet 的分割模块相结合，从而实现 CT 图像的配准辅助伪标签生成。我们对 CHAOS 数据集的评估表明，该管道可以成功注册和分割健康的肝脏解剖结构，获得 0.72 的 Dice 分数。然而，当应用于包含肿瘤的临床数据时，性能大幅下降（Dice 评分为 0.16），揭示了当目标病理缺乏目标模态中相应的视觉特征时当前配准方法的基本局限性。我们分析了“域间隙”和“特征缺失”问题，证明虽然通过配准进行标签的空间传播对于可见结构是可行的，但分割真正不可见的病理仍然是一个开放的挑战。我们的研究结果强调，基于配准的标签转移无法弥补目标模态中区分性特征的缺失，为跨模态医学图像分析的未来研究提供了重要的见解。代码和权重可在以下网址找到：https://github.com/BudhaTronix/Weakly-Supervised-Tumour-Detection</w:t>
      </w:r>
    </w:p>
    <w:p>
      <w:pPr>
        <w:spacing w:before="120"/>
      </w:pPr>
      <w:r>
        <w:rPr>
          <w:rFonts w:ascii="Times New Roman" w:hAnsi="Times New Roman" w:eastAsia="宋体"/>
          <w:b/>
          <w:sz w:val="21"/>
        </w:rPr>
        <w:t>English Abstract:</w:t>
      </w:r>
    </w:p>
    <w:p>
      <w:r>
        <w:rPr>
          <w:rFonts w:ascii="Times New Roman" w:hAnsi="Times New Roman" w:eastAsia="宋体"/>
          <w:sz w:val="21"/>
        </w:rPr>
        <w:t>Liver tumour ablation presents a significant clinical challenge: whilst tumours are clearly visible on pre-operative MRI, they are often effectively invisible on intra-operative CT due to minimal contrast between pathological and healthy tissue. This work investigates the feasibility of cross-modality weak supervision for scenarios where pathology is visible in one modality (MRI) but absent in another (CT). We present a hybrid registration-segmentation framework that combines MSCGUNet for inter-modal image registration with a UNet-based segmentation module, enabling registration-assisted pseudo-label generation for CT images. Our evaluation on the CHAOS dataset demonstrates that the pipeline can successfully register and segment healthy liver anatomy, achieving a Dice score of 0.72. However, when applied to clinical data containing tumours, performance degrades substantially (Dice score of 0.16), revealing the fundamental limitations of current registration methods when the target pathology lacks corresponding visual features in the target modality. We analyse the "domain gap" and "feature absence" problems, demonstrating that whilst spatial propagation of labels via registration is feasible for visible structures, segmenting truly invisible pathology remains an open challenge. Our findings highlight that registration-based label transfer cannot compensate for the absence of discriminative features in the target modality, providing important insights for future research in cross-modality medical image analysis. Code an weights are available at: https://github.com/BudhaTronix/Weakly-Supervised-Tumour-Detection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以椎间盘为中心的腰椎严重程度分级对比学习</w:t>
      </w:r>
    </w:p>
    <w:p>
      <w:r>
        <w:rPr>
          <w:rFonts w:ascii="Times New Roman" w:hAnsi="Times New Roman" w:eastAsia="宋体"/>
          <w:b/>
          <w:color w:val="003264"/>
          <w:sz w:val="24"/>
        </w:rPr>
        <w:t>Disc-Centric Contrastive Learning for Lumbar Spine Severity Grading</w:t>
      </w:r>
    </w:p>
    <w:p>
      <w:r>
        <w:rPr>
          <w:rFonts w:ascii="Times New Roman" w:hAnsi="Times New Roman" w:eastAsia="宋体"/>
          <w:sz w:val="21"/>
        </w:rPr>
        <w:t>作者: Pralisha Kansakar</w:t>
        <w:br/>
      </w:r>
      <w:r>
        <w:rPr>
          <w:rFonts w:ascii="Times New Roman" w:hAnsi="Times New Roman" w:eastAsia="宋体"/>
          <w:sz w:val="21"/>
        </w:rPr>
        <w:t xml:space="preserve">时间: 2026-02-05T15:04:43Z | </w:t>
      </w:r>
      <w:r>
        <w:t xml:space="preserve">链接: </w:t>
      </w:r>
      <w:hyperlink r:id="rId120">
        <w:r>
          <w:rPr>
            <w:rFonts w:ascii="Times New Roman" w:hAnsi="Times New Roman" w:eastAsia="宋体"/>
            <w:color w:val="0000FF"/>
            <w:sz w:val="21"/>
            <w:u w:val="single"/>
          </w:rPr>
          <w:t>https://arxiv.org/abs/2602.05738v1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这项工作研究了一种以椎间盘为中心的方法，通过矢状 T2 加权 MRI 对腰椎管狭窄症进行自动严重程度分级。该方法将对比预训练与椎间盘级微调相结合，使用每个椎间盘的单个解剖学局部感兴趣区域。采用对比学习来帮助模型专注于有意义的椎间盘特征，并降低对图像外观中不相关差异的敏感性。该框架包括用于椎间盘定位的辅助回归任务，并应用加权焦点损失来解决类别不平衡问题。实验表明，与从头开始的监督训练相比，平衡准确率达到 78.1%，严重到正常的错误分类率降低了 2.13%。检测中等严重程度的椎间盘仍然具有挑战性，但关注椎间盘水平特征提供了评估腰椎管狭窄的实用方法。</w:t>
      </w:r>
    </w:p>
    <w:p>
      <w:pPr>
        <w:spacing w:before="120"/>
      </w:pPr>
      <w:r>
        <w:rPr>
          <w:rFonts w:ascii="Times New Roman" w:hAnsi="Times New Roman" w:eastAsia="宋体"/>
          <w:b/>
          <w:sz w:val="21"/>
        </w:rPr>
        <w:t>English Abstract:</w:t>
      </w:r>
    </w:p>
    <w:p>
      <w:r>
        <w:rPr>
          <w:rFonts w:ascii="Times New Roman" w:hAnsi="Times New Roman" w:eastAsia="宋体"/>
          <w:sz w:val="21"/>
        </w:rPr>
        <w:t>This work examines a disc-centric approach for automated severity grading of lumbar spinal stenosis from sagittal T2-weighted MRI. The method combines contrastive pretraining with disc-level fine-tuning, using a single anatomically localized region of interest per intervertebral disc. Contrastive learning is employed to help the model focus on meaningful disc features and reduce sensitivity to irrelevant differences in image appearance. The framework includes an auxiliary regression task for disc localization and applies weighted focal loss to address class imbalance. Experiments demonstrate a 78.1% balanced accuracy and a reduced severe-to-normal misclassification rate of 2.13% compared with supervised training from scratch. Detecting discs with moderate severity can still be challenging, but focusing on disc-level features provides a practical way to assess the lumbar spinal stenosis.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11:30 ---</w:t>
      </w:r>
    </w:p>
    <w:p>
      <w:pPr>
        <w:pStyle w:val="Heading2"/>
      </w:pPr>
      <w:r/>
      <w:r>
        <w:rPr>
          <w:rFonts w:ascii="Times New Roman" w:hAnsi="Times New Roman" w:eastAsia="宋体"/>
          <w:b/>
          <w:color w:val="000000"/>
          <w:sz w:val="24"/>
        </w:rPr>
        <w:t>SIDeR：语义身份解耦，实现不受限制的面部隐私</w:t>
      </w:r>
    </w:p>
    <w:p>
      <w:r>
        <w:rPr>
          <w:rFonts w:ascii="Times New Roman" w:hAnsi="Times New Roman" w:eastAsia="宋体"/>
          <w:b/>
          <w:color w:val="003264"/>
          <w:sz w:val="24"/>
        </w:rPr>
        <w:t>SIDeR: Semantic Identity Decoupling for Unrestricted Face Privacy</w:t>
      </w:r>
    </w:p>
    <w:p>
      <w:r>
        <w:rPr>
          <w:rFonts w:ascii="Times New Roman" w:hAnsi="Times New Roman" w:eastAsia="宋体"/>
          <w:sz w:val="21"/>
        </w:rPr>
        <w:t>作者: Jun Luo</w:t>
        <w:br/>
      </w:r>
      <w:r>
        <w:rPr>
          <w:rFonts w:ascii="Times New Roman" w:hAnsi="Times New Roman" w:eastAsia="宋体"/>
          <w:sz w:val="21"/>
        </w:rPr>
        <w:t xml:space="preserve">时间: 2026-02-04T19:30:48Z | </w:t>
      </w:r>
      <w:r>
        <w:t xml:space="preserve">链接: </w:t>
      </w:r>
      <w:hyperlink r:id="rId121">
        <w:r>
          <w:rPr>
            <w:rFonts w:ascii="Times New Roman" w:hAnsi="Times New Roman" w:eastAsia="宋体"/>
            <w:color w:val="0000FF"/>
            <w:sz w:val="21"/>
            <w:u w:val="single"/>
          </w:rPr>
          <w:t>https://arxiv.org/abs/2602.04994v1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随着人脸识别与网上银行、身份验证等网络服务的深度融合，在图像存储和传输过程中实现身份信息与视觉表征的有效解耦已成为隐私保护的关键挑战。为了解决这个问题，我们提出了 SIDeR，一种语义解耦驱动的框架，用于无限制的人脸隐私保护。 SIDeR 将面部图像分解为机器可识别的身份特征向量和视觉可感知的语义外观组件。通过在扩散模型的潜在空间中利用语义引导的重组，它可以生成视觉上匿名的对抗面孔，同时保持机器级身份的一致性。该框架结合了动量驱动的无限制扰动优化和语义视觉平衡因子来合成多个视觉多样化、高度自然的对抗样本。此外，对于授权访问，当提供正确的密码时，受保护的图像可以恢复到其原始形式。在 CelebA-HQ 和 FFHQ 数据集上进行的大量实验表明，SIDeR 在黑盒场景中实现了 99% 的攻击成功率，并且在基于 PSNR 的恢复质量方面优于基线方法 41.28%。</w:t>
      </w:r>
    </w:p>
    <w:p>
      <w:pPr>
        <w:spacing w:before="120"/>
      </w:pPr>
      <w:r>
        <w:rPr>
          <w:rFonts w:ascii="Times New Roman" w:hAnsi="Times New Roman" w:eastAsia="宋体"/>
          <w:b/>
          <w:sz w:val="21"/>
        </w:rPr>
        <w:t>English Abstract:</w:t>
      </w:r>
    </w:p>
    <w:p>
      <w:r>
        <w:rPr>
          <w:rFonts w:ascii="Times New Roman" w:hAnsi="Times New Roman" w:eastAsia="宋体"/>
          <w:sz w:val="21"/>
        </w:rPr>
        <w:t>With the deep integration of facial recognition into online banking, identity verification, and other networked services, achieving effective decoupling of identity information from visual representations during image storage and transmission has become a critical challenge for privacy protection. To address this issue, we propose SIDeR, a Semantic decoupling-driven framework for unrestricted face privacy protection. SIDeR decomposes a facial image into a machine-recognizable identity feature vector and a visually perceptible semantic appearance component. By leveraging semantic-guided recomposition in the latent space of a diffusion model, it generates visually anonymous adversarial faces while maintaining machine-level identity consistency. The framework incorporates momentum-driven unrestricted perturbation optimization and a semantic-visual balancing factor to synthesize multiple visually diverse, highly natural adversarial samples. Furthermore, for authorized access, the protected image can be restored to its original form when the correct password is provided. Extensive experiments on the CelebA-HQ and FFHQ datasets demonstrate that SIDeR achieves a 99% attack success rate in black-box scenarios and outperforms baseline methods by 41.28% in PSNR-based restoration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解开 RoPE：DiT 中共享注意力的频率控制</w:t>
      </w:r>
    </w:p>
    <w:p>
      <w:r>
        <w:rPr>
          <w:rFonts w:ascii="Times New Roman" w:hAnsi="Times New Roman" w:eastAsia="宋体"/>
          <w:b/>
          <w:color w:val="003264"/>
          <w:sz w:val="24"/>
        </w:rPr>
        <w:t>Untwisting RoPE: Frequency Control for Shared Attention in DiTs</w:t>
      </w:r>
    </w:p>
    <w:p>
      <w:r>
        <w:rPr>
          <w:rFonts w:ascii="Times New Roman" w:hAnsi="Times New Roman" w:eastAsia="宋体"/>
          <w:sz w:val="21"/>
        </w:rPr>
        <w:t>作者: Ali Mahdavi-Amiri</w:t>
        <w:br/>
      </w:r>
      <w:r>
        <w:rPr>
          <w:rFonts w:ascii="Times New Roman" w:hAnsi="Times New Roman" w:eastAsia="宋体"/>
          <w:sz w:val="21"/>
        </w:rPr>
        <w:t xml:space="preserve">时间: 2026-02-04T20:01:59Z | </w:t>
      </w:r>
      <w:r>
        <w:t xml:space="preserve">链接: </w:t>
      </w:r>
      <w:hyperlink r:id="rId122">
        <w:r>
          <w:rPr>
            <w:rFonts w:ascii="Times New Roman" w:hAnsi="Times New Roman" w:eastAsia="宋体"/>
            <w:color w:val="0000FF"/>
            <w:sz w:val="21"/>
            <w:u w:val="single"/>
          </w:rPr>
          <w:t>https://arxiv.org/abs/2602.05013v1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位置编码对于基于 Transformer 的生成模型至关重要，但它们在多模式和注意力共享环境中的行为尚未完全理解。在这项工作中，我们对旋转位置嵌入（RoPE）进行了原理性分析，表明 RoPE 自然分解为具有不同位置敏感性的频率分量。我们证明，这种频率结构解释了为什么共享注意力机制（在关注参考图像中的标记的同时生成目标图像）可以导致参考复制，其中模型从参考中再现内容，而不是仅提取其风格线索。我们的分析表明，RoPE 的高频成分主导了注意力计算，迫使查询主要关注空间对齐的参考标记，从而引发这种意外的复制行为。基于这些见解，我们引入了一种选择性调制 RoPE 频段的方法，以便注意力反映语义相似性而不是严格的位置对齐。应用于现代基于变压器的扩散架构，其中所有代币共享注意力，这种调制恢复了稳定且有意义的共享注意力。因此，它能够有效控制风格转移与内容复制的程度，从而产生适当的风格对齐生成过程，在该过程中转移风格属性而无需复制参考内容。</w:t>
      </w:r>
    </w:p>
    <w:p>
      <w:pPr>
        <w:spacing w:before="120"/>
      </w:pPr>
      <w:r>
        <w:rPr>
          <w:rFonts w:ascii="Times New Roman" w:hAnsi="Times New Roman" w:eastAsia="宋体"/>
          <w:b/>
          <w:sz w:val="21"/>
        </w:rPr>
        <w:t>English Abstract:</w:t>
      </w:r>
    </w:p>
    <w:p>
      <w:r>
        <w:rPr>
          <w:rFonts w:ascii="Times New Roman" w:hAnsi="Times New Roman" w:eastAsia="宋体"/>
          <w:sz w:val="21"/>
        </w:rPr>
        <w:t>Positional encodings are essential to transformer-based generative models, yet their behavior in multimodal and attention-sharing settings is not fully understood. In this work, we present a principled analysis of Rotary Positional Embeddings (RoPE), showing that RoPE naturally decomposes into frequency components with distinct positional sensitivities. We demonstrate that this frequency structure explains why shared-attention mechanisms, where a target image is generated while attending to tokens from a reference image, can lead to reference copying, in which the model reproduces content from the reference instead of extracting only its stylistic cues. Our analysis reveals that the high-frequency components of RoPE dominate the attention computation, forcing queries to attend mainly to spatially aligned reference tokens and thereby inducing this unintended copying behavior. Building on these insights, we introduce a method for selectively modulating RoPE frequency bands so that attention reflects semantic similarity rather than strict positional alignment. Applied to modern transformer-based diffusion architectures, where all tokens share attention, this modulation restores stable and meaningful shared attention. As a result, it enables effective control over the degree of style transfer versus content copying, yielding a proper style-aligned generation process in which stylistic attributes are transferred without duplicating reference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用于零镜头场景重建和机器人抓取的可微逆图形</w:t>
      </w:r>
    </w:p>
    <w:p>
      <w:r>
        <w:rPr>
          <w:rFonts w:ascii="Times New Roman" w:hAnsi="Times New Roman" w:eastAsia="宋体"/>
          <w:b/>
          <w:color w:val="003264"/>
          <w:sz w:val="24"/>
        </w:rPr>
        <w:t>Differentiable Inverse Graphics for Zero-shot Scene Reconstruction and Robot Grasping</w:t>
      </w:r>
    </w:p>
    <w:p>
      <w:r>
        <w:rPr>
          <w:rFonts w:ascii="Times New Roman" w:hAnsi="Times New Roman" w:eastAsia="宋体"/>
          <w:sz w:val="21"/>
        </w:rPr>
        <w:t>作者: Rebecca Adam</w:t>
        <w:br/>
      </w:r>
      <w:r>
        <w:rPr>
          <w:rFonts w:ascii="Times New Roman" w:hAnsi="Times New Roman" w:eastAsia="宋体"/>
          <w:sz w:val="21"/>
        </w:rPr>
        <w:t xml:space="preserve">时间: 2026-02-04T20:33:50Z | </w:t>
      </w:r>
      <w:r>
        <w:t xml:space="preserve">链接: </w:t>
      </w:r>
      <w:hyperlink r:id="rId123">
        <w:r>
          <w:rPr>
            <w:rFonts w:ascii="Times New Roman" w:hAnsi="Times New Roman" w:eastAsia="宋体"/>
            <w:color w:val="0000FF"/>
            <w:sz w:val="21"/>
            <w:u w:val="single"/>
          </w:rPr>
          <w:t>https://arxiv.org/abs/2602.05029v1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新颖的现实环境中有效运行需要机器人系统来估计以前未见过的物体并与之交互。当前最先进的模型通过使用大量训练数据和测试时样本来构建黑盒场景表示来解决这一挑战。在这项工作中，我们引入了一种可微神经图形模型，它将神经基础模型与基于物理的可微渲染相结合，以执行零镜头场景重建和机器人抓取，而无需依赖任何额外的 3D 数据或测试时样本。我们的模型解决了一系列约束优化问题，以估计物理上一致的场景参数，例如网格、光照条件、材料属性以及来自单个 RGBD 图像和边界框的以前未见过的对象的 6D 姿态。我们在标准的无模型少镜头基准上评估了我们的方法，并证明它优于现有的无模型少镜头姿态估计算法。此外，我们通过将我们的算法应用于零镜头抓取任务来验证场景重建的准确性。通过实现零镜头、物理一致的场景重建和抓取，而不依赖于广泛的数据集或测试时采样，我们的方法提供了一条在新环境中实现更高数据效率、可解释和可概括的机器人自主性的途径。</w:t>
      </w:r>
    </w:p>
    <w:p>
      <w:pPr>
        <w:spacing w:before="120"/>
      </w:pPr>
      <w:r>
        <w:rPr>
          <w:rFonts w:ascii="Times New Roman" w:hAnsi="Times New Roman" w:eastAsia="宋体"/>
          <w:b/>
          <w:sz w:val="21"/>
        </w:rPr>
        <w:t>English Abstract:</w:t>
      </w:r>
    </w:p>
    <w:p>
      <w:r>
        <w:rPr>
          <w:rFonts w:ascii="Times New Roman" w:hAnsi="Times New Roman" w:eastAsia="宋体"/>
          <w:sz w:val="21"/>
        </w:rPr>
        <w:t>Operating effectively in novel real-world environments requires robotic systems to estimate and interact with previously unseen objects. Current state-of-the-art models address this challenge by using large amounts of training data and test-time samples to build black-box scene representations. In this work, we introduce a differentiable neuro-graphics model that combines neural foundation models with physics-based differentiable rendering to perform zero-shot scene reconstruction and robot grasping without relying on any additional 3D data or test-time samples. Our model solves a series of constrained optimization problems to estimate physically consistent scene parameters, such as meshes, lighting conditions, material properties, and 6D poses of previously unseen objects from a single RGBD image and bounding boxes. We evaluated our approach on standard model-free few-shot benchmarks and demonstrated that it outperforms existing algorithms for model-free few-shot pose estimation. Furthermore, we validated the accuracy of our scene reconstructions by applying our algorithm to a zero-shot grasping task. By enabling zero-shot, physically-consistent scene reconstruction and grasping without reliance on extensive datasets or test-time sampling, our approach offers a pathway towards more data efficient, interpretable and generalizable robot autonomy in novel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视觉概念排名揭示了大型多模式模型使用的医疗捷径</w:t>
      </w:r>
    </w:p>
    <w:p>
      <w:r>
        <w:rPr>
          <w:rFonts w:ascii="Times New Roman" w:hAnsi="Times New Roman" w:eastAsia="宋体"/>
          <w:b/>
          <w:color w:val="003264"/>
          <w:sz w:val="24"/>
        </w:rPr>
        <w:t>Visual concept ranking uncovers medical shortcuts used by large multimodal models</w:t>
      </w:r>
    </w:p>
    <w:p>
      <w:r>
        <w:rPr>
          <w:rFonts w:ascii="Times New Roman" w:hAnsi="Times New Roman" w:eastAsia="宋体"/>
          <w:sz w:val="21"/>
        </w:rPr>
        <w:t>作者: Roxana Daneshjou</w:t>
        <w:br/>
      </w:r>
      <w:r>
        <w:rPr>
          <w:rFonts w:ascii="Times New Roman" w:hAnsi="Times New Roman" w:eastAsia="宋体"/>
          <w:sz w:val="21"/>
        </w:rPr>
        <w:t xml:space="preserve">时间: 2026-02-04T22:27:34Z | </w:t>
      </w:r>
      <w:r>
        <w:t xml:space="preserve">链接: </w:t>
      </w:r>
      <w:hyperlink r:id="rId124">
        <w:r>
          <w:rPr>
            <w:rFonts w:ascii="Times New Roman" w:hAnsi="Times New Roman" w:eastAsia="宋体"/>
            <w:color w:val="0000FF"/>
            <w:sz w:val="21"/>
            <w:u w:val="single"/>
          </w:rPr>
          <w:t>https://arxiv.org/abs/2602.05096v1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确保机器学习模型在医疗保健等安全关键领域的可靠性需要能够发现模型缺陷的审核方法。我们介绍了一种识别大型多模态模型 (LMM) 中重要视觉概念的方法，并用它来研究这些模型在医疗任务提示时表现出的行为。我们主要关注从临床皮肤病学图像中对恶性皮肤病变进行分类的任务，并进行包括胸部X光片和自然图像在内的补充实验。在展示了 LMM 在提示演示示例时如何显示不同人口统计亚组之间的意外性能差距后，我们将我们的方法视觉概念排名 (VCR) 应用于这些模型和提示。 VCR 生成与不同视觉特征依赖性相关的假设，然后我们可以通过手动干预来验证这些假设。</w:t>
      </w:r>
    </w:p>
    <w:p>
      <w:pPr>
        <w:spacing w:before="120"/>
      </w:pPr>
      <w:r>
        <w:rPr>
          <w:rFonts w:ascii="Times New Roman" w:hAnsi="Times New Roman" w:eastAsia="宋体"/>
          <w:b/>
          <w:sz w:val="21"/>
        </w:rPr>
        <w:t>English Abstract:</w:t>
      </w:r>
    </w:p>
    <w:p>
      <w:r>
        <w:rPr>
          <w:rFonts w:ascii="Times New Roman" w:hAnsi="Times New Roman" w:eastAsia="宋体"/>
          <w:sz w:val="21"/>
        </w:rPr>
        <w:t>Ensuring the reliability of machine learning models in safety-critical domains such as healthcare requires auditing methods that can uncover model shortcomings. We introduce a method for identifying important visual concepts within large multimodal models (LMMs) and use it to investigate the behaviors these models exhibit when prompted with medical tasks. We primarily focus on the task of classifying malignant skin lesions from clinical dermatology images, with supplemental experiments including both chest radiographs and natural images. After showing how LMMs display unexpected gaps in performance between different demographic subgroups when prompted with demonstrating examples, we apply our method, Visual Concept Ranking (VCR), to these models and prompts. VCR generates hypotheses related to different visual feature dependencies, which we are then able to validate with manual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用于可解释边缘检测的基于规则的空间专家混合 U-Net</w:t>
      </w:r>
    </w:p>
    <w:p>
      <w:r>
        <w:rPr>
          <w:rFonts w:ascii="Times New Roman" w:hAnsi="Times New Roman" w:eastAsia="宋体"/>
          <w:b/>
          <w:color w:val="003264"/>
          <w:sz w:val="24"/>
        </w:rPr>
        <w:t>Rule-Based Spatial Mixture-of-Experts U-Net for Explainable Edge Detection</w:t>
      </w:r>
    </w:p>
    <w:p>
      <w:r>
        <w:rPr>
          <w:rFonts w:ascii="Times New Roman" w:hAnsi="Times New Roman" w:eastAsia="宋体"/>
          <w:sz w:val="21"/>
        </w:rPr>
        <w:t>作者: Kelly Cohen</w:t>
        <w:br/>
      </w:r>
      <w:r>
        <w:rPr>
          <w:rFonts w:ascii="Times New Roman" w:hAnsi="Times New Roman" w:eastAsia="宋体"/>
          <w:sz w:val="21"/>
        </w:rPr>
        <w:t xml:space="preserve">时间: 2026-02-04T22:33:18Z | </w:t>
      </w:r>
      <w:r>
        <w:t xml:space="preserve">链接: </w:t>
      </w:r>
      <w:hyperlink r:id="rId125">
        <w:r>
          <w:rPr>
            <w:rFonts w:ascii="Times New Roman" w:hAnsi="Times New Roman" w:eastAsia="宋体"/>
            <w:color w:val="0000FF"/>
            <w:sz w:val="21"/>
            <w:u w:val="single"/>
          </w:rPr>
          <w:t>https://arxiv.org/abs/2602.05100v1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U-Net 及其变体等深度学习模型已在边缘检测任务中建立了最先进的性能，并被全球的生成人工智能服务用于其图像生成模型。然而，他们的决策过程仍然不透明，就像“黑匣子”一样运作，模糊了特定边界预测背后的基本原理。这种缺乏透明度是强制验证的安全关键型应用中的一个关键障碍。为了弥合高性能深度学习和可解释逻辑之间的差距，我们提出了基于规则的空间专家混合 U-Net (sMoE U-Net)。我们的架构引入了两项关键创新：（1）集成到解码器跳跃连接中的空间自适应专家混合（sMoE）块，它根据局部特征统计动态地在“上下文”（平滑）和“边界”（锐利）专家之间进行门控； (2) Takagi-Sugeno-Kang (TSK) 模糊头取代了标准分类层。这个模糊头使用明确的 IF-THEN 规则将深层语义特征与启发式边缘信号融合在一起。我们在 BSDS500 基准上评估我们的方法，获得了 0.7628 的最佳数据集规模 (ODS) F 分数，有效匹配 HED (0.7688) 等纯深度基线，同时优于标准 U-Net (0.7437)。至关重要的是，我们的模型通过“规则触发图”和“策略图”提供像素级可解释性，允许用户可视化是否由于强梯度、高语义置信度或特定逻辑规则组合而检测到边缘。</w:t>
      </w:r>
    </w:p>
    <w:p>
      <w:pPr>
        <w:spacing w:before="120"/>
      </w:pPr>
      <w:r>
        <w:rPr>
          <w:rFonts w:ascii="Times New Roman" w:hAnsi="Times New Roman" w:eastAsia="宋体"/>
          <w:b/>
          <w:sz w:val="21"/>
        </w:rPr>
        <w:t>English Abstract:</w:t>
      </w:r>
    </w:p>
    <w:p>
      <w:r>
        <w:rPr>
          <w:rFonts w:ascii="Times New Roman" w:hAnsi="Times New Roman" w:eastAsia="宋体"/>
          <w:sz w:val="21"/>
        </w:rPr>
        <w:t>Deep learning models like U-Net and its variants, have established state-of-the-art performance in edge detection tasks and are used by Generative AI services world-wide for their image generation models. However, their decision-making processes remain opaque, operating as "black boxes" that obscure the rationale behind specific boundary predictions. This lack of transparency is a critical barrier in safety-critical applications where verification is mandatory. To bridge the gap between high-performance deep learning and interpretable logic, we propose the Rule-Based Spatial Mixture-of-Experts U-Net (sMoE U-Net). Our architecture introduces two key innovations: (1) Spatially-Adaptive Mixture-of-Experts (sMoE) blocks integrated into the decoder skip connections, which dynamically gate between "Context" (smooth) and "Boundary" (sharp) experts based on local feature statistics; and (2) a Takagi-Sugeno-Kang (TSK) Fuzzy Head that replaces the standard classification layer. This fuzzy head fuses deep semantic features with heuristic edge signals using explicit IF-THEN rules. We evaluate our method on the BSDS500 benchmark, achieving an Optimal Dataset Scale (ODS) F-score of 0.7628, effectively matching purely deep baselines like HED (0.7688) while outperforming the standard U-Net (0.7437). Crucially, our model provides pixel-level explainability through "Rule Firing Maps" and "Strategy Maps," allowing users to visualize whether an edge was detected due to strong gradients, high semantic confidence, or specific logical rule combinations.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ARGaze：用于在线自我中心注视估计的自回归变压器</w:t>
      </w:r>
    </w:p>
    <w:p>
      <w:r>
        <w:rPr>
          <w:rFonts w:ascii="Times New Roman" w:hAnsi="Times New Roman" w:eastAsia="宋体"/>
          <w:b/>
          <w:color w:val="003264"/>
          <w:sz w:val="24"/>
        </w:rPr>
        <w:t>ARGaze: Autoregressive Transformers for Online Egocentric Gaze Estimation</w:t>
      </w:r>
    </w:p>
    <w:p>
      <w:r>
        <w:rPr>
          <w:rFonts w:ascii="Times New Roman" w:hAnsi="Times New Roman" w:eastAsia="宋体"/>
          <w:sz w:val="21"/>
        </w:rPr>
        <w:t>作者: Yapeng Tian</w:t>
        <w:br/>
      </w:r>
      <w:r>
        <w:rPr>
          <w:rFonts w:ascii="Times New Roman" w:hAnsi="Times New Roman" w:eastAsia="宋体"/>
          <w:sz w:val="21"/>
        </w:rPr>
        <w:t xml:space="preserve">时间: 2026-02-04T23:33:16Z | </w:t>
      </w:r>
      <w:r>
        <w:t xml:space="preserve">链接: </w:t>
      </w:r>
      <w:hyperlink r:id="rId126">
        <w:r>
          <w:rPr>
            <w:rFonts w:ascii="Times New Roman" w:hAnsi="Times New Roman" w:eastAsia="宋体"/>
            <w:color w:val="0000FF"/>
            <w:sz w:val="21"/>
            <w:u w:val="single"/>
          </w:rPr>
          <w:t>https://arxiv.org/abs/2602.05132v1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线以自我为中心的注视估计仅使用过去和当前的帧来预测相机佩戴者从第一人称视频中看向的位置，这是增强现实和辅助技术必不可少的任务。与第三人称注视估计不同，这种设置缺乏明确的头部或眼睛信号，需要模型从稀疏的间接线索（例如手部物体交互和显着的场景内容）推断当前的视觉注意力。我们观察到，在目标导向的活动中，凝视表现出很强的时间连续性：了解一个人最近看向哪里，可以为预测他们接下来看向哪里提供强大的先验依据。受视觉语言模型中视觉条件自回归解码的启发，我们提出了 ARGaze，它将注视估计重新表述为顺序预测：在每个时间步，变压器解码器通过条件（i）当前视觉特征和（ii）最近注视目标估计的固定长度注视上下文窗口来预测当前注视。这种设计强化了因果关系并支持有限资源流式推理。我们在在线评估下在多个以自我为中心的基准测试中实现了最先进的性能，并通过广泛的消融验证了具有有限注视历史的自回归模型对于稳健预测至​​关重要。我们将发布我们的源代码和预训练模型。</w:t>
      </w:r>
    </w:p>
    <w:p>
      <w:pPr>
        <w:spacing w:before="120"/>
      </w:pPr>
      <w:r>
        <w:rPr>
          <w:rFonts w:ascii="Times New Roman" w:hAnsi="Times New Roman" w:eastAsia="宋体"/>
          <w:b/>
          <w:sz w:val="21"/>
        </w:rPr>
        <w:t>English Abstract:</w:t>
      </w:r>
    </w:p>
    <w:p>
      <w:r>
        <w:rPr>
          <w:rFonts w:ascii="Times New Roman" w:hAnsi="Times New Roman" w:eastAsia="宋体"/>
          <w:sz w:val="21"/>
        </w:rPr>
        <w:t>Online egocentric gaze estimation predicts where a camera wearer is looking from first-person video using only past and current frames, a task essential for augmented reality and assistive technologies. Unlike third-person gaze estimation, this setting lacks explicit head or eye signals, requiring models to infer current visual attention from sparse, indirect cues such as hand-object interactions and salient scene content. We observe that gaze exhibits strong temporal continuity during goal-directed activities: knowing where a person looked recently provides a powerful prior for predicting where they look next. Inspired by vision-conditioned autoregressive decoding in vision-language models, we propose ARGaze, which reformulates gaze estimation as sequential prediction: at each timestep, a transformer decoder predicts current gaze by conditioning on (i) current visual features and (ii) a fixed-length Gaze Context Window of recent gaze target estimates. This design enforces causality and enables bounded-resource streaming inference. We achieve state-of-the-art performance across multiple egocentric benchmarks under online evaluation, with extensive ablations validating that autoregressive modeling with bounded gaze history is critical for robust prediction. We will release our source code and pre-trained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LOBSTgER-enhance：水下图像增强管道</w:t>
      </w:r>
    </w:p>
    <w:p>
      <w:r>
        <w:rPr>
          <w:rFonts w:ascii="Times New Roman" w:hAnsi="Times New Roman" w:eastAsia="宋体"/>
          <w:b/>
          <w:color w:val="003264"/>
          <w:sz w:val="24"/>
        </w:rPr>
        <w:t>LOBSTgER-enhance: an underwater image enhancement pipeline</w:t>
      </w:r>
    </w:p>
    <w:p>
      <w:r>
        <w:rPr>
          <w:rFonts w:ascii="Times New Roman" w:hAnsi="Times New Roman" w:eastAsia="宋体"/>
          <w:sz w:val="21"/>
        </w:rPr>
        <w:t>作者: Keith Ellenbogen</w:t>
        <w:br/>
      </w:r>
      <w:r>
        <w:rPr>
          <w:rFonts w:ascii="Times New Roman" w:hAnsi="Times New Roman" w:eastAsia="宋体"/>
          <w:sz w:val="21"/>
        </w:rPr>
        <w:t xml:space="preserve">时间: 2026-02-05T00:29:04Z | </w:t>
      </w:r>
      <w:r>
        <w:t xml:space="preserve">链接: </w:t>
      </w:r>
      <w:hyperlink r:id="rId127">
        <w:r>
          <w:rPr>
            <w:rFonts w:ascii="Times New Roman" w:hAnsi="Times New Roman" w:eastAsia="宋体"/>
            <w:color w:val="0000FF"/>
            <w:sz w:val="21"/>
            <w:u w:val="single"/>
          </w:rPr>
          <w:t>https://arxiv.org/abs/2602.05163v1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摄影面临着重大的固有挑战，包括对比度降低、空间模糊和与波长相关的颜色失真。这些效果可能会掩盖海洋生物的活力，特别是意识摄影师经常面临繁重的后处理流程来纠正这些扭曲的挑战。我们开发了一种图像到图像的管道，通过引入合成腐败管道并学习通过基于扩散的生成来扭转其影响，从而学习扭转水下退化。训练和评估是在 Keith Ellenbogen 的一个小型高质量意识摄影图像数据集上进行的。所提出的方法在从头开始对约 2.5k 图像进行训练后，使用约 11M 参数的模型合成 512x768 图像，实现了高感知一致性和强泛化性。</w:t>
      </w:r>
    </w:p>
    <w:p>
      <w:pPr>
        <w:spacing w:before="120"/>
      </w:pPr>
      <w:r>
        <w:rPr>
          <w:rFonts w:ascii="Times New Roman" w:hAnsi="Times New Roman" w:eastAsia="宋体"/>
          <w:b/>
          <w:sz w:val="21"/>
        </w:rPr>
        <w:t>English Abstract:</w:t>
      </w:r>
    </w:p>
    <w:p>
      <w:r>
        <w:rPr>
          <w:rFonts w:ascii="Times New Roman" w:hAnsi="Times New Roman" w:eastAsia="宋体"/>
          <w:sz w:val="21"/>
        </w:rPr>
        <w:t>Underwater photography presents significant inherent challenges including reduced contrast, spatial blur, and wavelength-dependent color distortions. These effects can obscure the vibrancy of marine life and awareness photographers in particular are often challenged with heavy post-processing pipelines to correct for these distortions. We develop an image-to-image pipeline that learns to reverse underwater degradations by introducing a synthetic corruption pipeline and learning to reverse its effects with diffusion-based generation. Training and evaluation are performed on a small high-quality dataset of awareness photography images by Keith Ellenbogen. The proposed methodology achieves high perceptual consistency and strong generalization in synthesizing 512x768 images using a model of ~11M parameters after training from scratch on ~2.5k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通过条件点稀疏增强 SAM 以实现跨域少样本分割</w:t>
      </w:r>
    </w:p>
    <w:p>
      <w:r>
        <w:rPr>
          <w:rFonts w:ascii="Times New Roman" w:hAnsi="Times New Roman" w:eastAsia="宋体"/>
          <w:b/>
          <w:color w:val="003264"/>
          <w:sz w:val="24"/>
        </w:rPr>
        <w:t>Boosting SAM for Cross-Domain Few-Shot Segmentation via Conditional Point Sparsification</w:t>
      </w:r>
    </w:p>
    <w:p>
      <w:r>
        <w:rPr>
          <w:rFonts w:ascii="Times New Roman" w:hAnsi="Times New Roman" w:eastAsia="宋体"/>
          <w:sz w:val="21"/>
        </w:rPr>
        <w:t>作者: Xuelong Li</w:t>
        <w:br/>
      </w:r>
      <w:r>
        <w:rPr>
          <w:rFonts w:ascii="Times New Roman" w:hAnsi="Times New Roman" w:eastAsia="宋体"/>
          <w:sz w:val="21"/>
        </w:rPr>
        <w:t xml:space="preserve">时间: 2026-02-05T02:17:38Z | </w:t>
      </w:r>
      <w:r>
        <w:t xml:space="preserve">链接: </w:t>
      </w:r>
      <w:hyperlink r:id="rId128">
        <w:r>
          <w:rPr>
            <w:rFonts w:ascii="Times New Roman" w:hAnsi="Times New Roman" w:eastAsia="宋体"/>
            <w:color w:val="0000FF"/>
            <w:sz w:val="21"/>
            <w:u w:val="single"/>
          </w:rPr>
          <w:t>https://arxiv.org/abs/2602.05218v1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受分段任意模型 (SAM) 在快速分割方面取得成功的推动，最近的研究利用 SAM 开发用于少样本分割的免训练解决方案，旨在基于一些参考样本来预测目标图像中的对象掩模。这些基于 SAM 的方法通常依赖于参考图像和目标图像之间的点匹配，并使用匹配的密集点作为掩模预测的提示。然而，我们观察到密集点在跨域少镜头分割（CD-FSS）中表现不佳，其中目标图像来自医学或卫星领域。我们将此问题归因于较大的域变化，这些变化破坏了 SAM 学习到的点图像交互，并发现点密度在这种条件下起着至关重要的作用。为了应对这一挑战，我们提出了条件点稀疏化（CPS），这是一种无需训练的方法，可以根据参考样本自适应地指导跨域图像的 SAM 交互。利用地面实况掩模，参考图像为自适应稀疏密集匹配点提供可靠的指导，从而实现更准确的分割结果。大量实验表明，CPS 在不同的 CD-FSS 数据集上优于现有的基于 SAM 的免训练方法。</w:t>
      </w:r>
    </w:p>
    <w:p>
      <w:pPr>
        <w:spacing w:before="120"/>
      </w:pPr>
      <w:r>
        <w:rPr>
          <w:rFonts w:ascii="Times New Roman" w:hAnsi="Times New Roman" w:eastAsia="宋体"/>
          <w:b/>
          <w:sz w:val="21"/>
        </w:rPr>
        <w:t>English Abstract:</w:t>
      </w:r>
    </w:p>
    <w:p>
      <w:r>
        <w:rPr>
          <w:rFonts w:ascii="Times New Roman" w:hAnsi="Times New Roman" w:eastAsia="宋体"/>
          <w:sz w:val="21"/>
        </w:rPr>
        <w:t>Motivated by the success of the Segment Anything Model (SAM) in promptable segmentation, recent studies leverage SAM to develop training-free solutions for few-shot segmentation, which aims to predict object masks in the target image based on a few reference exemplars. These SAM-based methods typically rely on point matching between reference and target images and use the matched dense points as prompts for mask prediction. However, we observe that dense points perform poorly in Cross-Domain Few-Shot Segmentation (CD-FSS), where target images are from medical or satellite domains. We attribute this issue to large domain shifts that disrupt the point-image interactions learned by SAM, and find that point density plays a crucial role under such conditions. To address this challenge, we propose Conditional Point Sparsification (CPS), a training-free approach that adaptively guides SAM interactions for cross-domain images based on reference exemplars. Leveraging ground-truth masks, the reference images provide reliable guidance for adaptively sparsifying dense matched points, enabling more accurate segmentation results. Extensive experiments demonstrate that CPS outperforms existing training-free SAM-based methods across diverse CD-FSS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PatchFlow：利用具有补丁功能的基于流的模型</w:t>
      </w:r>
    </w:p>
    <w:p>
      <w:r>
        <w:rPr>
          <w:rFonts w:ascii="Times New Roman" w:hAnsi="Times New Roman" w:eastAsia="宋体"/>
          <w:b/>
          <w:color w:val="003264"/>
          <w:sz w:val="24"/>
        </w:rPr>
        <w:t>PatchFlow: Leveraging a Flow-Based Model with Patch Features</w:t>
      </w:r>
    </w:p>
    <w:p>
      <w:r>
        <w:rPr>
          <w:rFonts w:ascii="Times New Roman" w:hAnsi="Times New Roman" w:eastAsia="宋体"/>
          <w:sz w:val="21"/>
        </w:rPr>
        <w:t>作者: Corey Vian</w:t>
        <w:br/>
      </w:r>
      <w:r>
        <w:rPr>
          <w:rFonts w:ascii="Times New Roman" w:hAnsi="Times New Roman" w:eastAsia="宋体"/>
          <w:sz w:val="21"/>
        </w:rPr>
        <w:t xml:space="preserve">时间: 2026-02-05T02:57:28Z | </w:t>
      </w:r>
      <w:r>
        <w:t xml:space="preserve">链接: </w:t>
      </w:r>
      <w:hyperlink r:id="rId129">
        <w:r>
          <w:rPr>
            <w:rFonts w:ascii="Times New Roman" w:hAnsi="Times New Roman" w:eastAsia="宋体"/>
            <w:color w:val="0000FF"/>
            <w:sz w:val="21"/>
            <w:u w:val="single"/>
          </w:rPr>
          <w:t>https://arxiv.org/abs/2602.05238v1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铸由于能够制造具有高精度和光滑表面的复杂形状，因此在各个行业中发挥着至关重要的作用。然而，表面缺陷仍然是阻碍压铸质量控制的主要问题。最近，人们已经探索了计算机视觉技术来自动化和改进缺陷检测。在这项工作中，我们将本地邻居感知补丁特征与归一化流模型相结合，并通过引入适配器模块来弥合通用预训练特征提取器和工业产品图像之间的差距，以提高自动异常检测的效率和准确性。与最先进的方法相比，我们的方法在 MVTec AD 数据集上将错误率降低了 20%，实现了 99.28% 的图像级 AUROC。我们的方法还增强了 VisA 数据集上的性能，实现了 96.48% 的图像级 AUROC。与最先进的模型相比，误差减少了 28.2%。此外，在专有压铸数据集上进行的实验，异常检测的准确率达到 95.77%，无需任何异常样本进行训练。我们的方法展示了利用计算机视觉和深度学习技术来提高压铸行业检测能力的潜力</w:t>
      </w:r>
    </w:p>
    <w:p>
      <w:pPr>
        <w:spacing w:before="120"/>
      </w:pPr>
      <w:r>
        <w:rPr>
          <w:rFonts w:ascii="Times New Roman" w:hAnsi="Times New Roman" w:eastAsia="宋体"/>
          <w:b/>
          <w:sz w:val="21"/>
        </w:rPr>
        <w:t>English Abstract:</w:t>
      </w:r>
    </w:p>
    <w:p>
      <w:r>
        <w:rPr>
          <w:rFonts w:ascii="Times New Roman" w:hAnsi="Times New Roman" w:eastAsia="宋体"/>
          <w:sz w:val="21"/>
        </w:rPr>
        <w:t>Die casting plays a crucial role across various industries due to its ability to craft intricate shapes with high precision and smooth surfaces. However, surface defects remain a major issue that impedes die casting quality control. Recently, computer vision techniques have been explored to automate and improve defect detection. In this work, we combine local neighbor-aware patch features with a normalizing flow model and bridge the gap between the generic pretrained feature extractor and industrial product images by introducing an adapter module to increase the efficiency and accuracy of automated anomaly detection. Compared to state-of-the-art methods, our approach reduces the error rate by 20\% on the MVTec AD dataset, achieving an image-level AUROC of 99.28\%. Our approach has also enhanced performance on the VisA dataset , achieving an image-level AUROC of 96.48\%. Compared to the state-of-the-art models, this represents a 28.2\% reduction in error. Additionally, experiments on a proprietary die casting dataset yield an accuracy of 95.77\% for anomaly detection, without requiring any anomalous samples for training. Our method illustrates the potential of leveraging computer vision and deep learning techniques to advance inspection capabilities for the die casting industry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ReGLA：使用门控线性注意网络进行高效感受野建模</w:t>
      </w:r>
    </w:p>
    <w:p>
      <w:r>
        <w:rPr>
          <w:rFonts w:ascii="Times New Roman" w:hAnsi="Times New Roman" w:eastAsia="宋体"/>
          <w:b/>
          <w:color w:val="003264"/>
          <w:sz w:val="24"/>
        </w:rPr>
        <w:t>ReGLA: Efficient Receptive-Field Modeling with Gated Linear Attention Network</w:t>
      </w:r>
    </w:p>
    <w:p>
      <w:r>
        <w:rPr>
          <w:rFonts w:ascii="Times New Roman" w:hAnsi="Times New Roman" w:eastAsia="宋体"/>
          <w:sz w:val="21"/>
        </w:rPr>
        <w:t>作者: Li Xiao</w:t>
        <w:br/>
      </w:r>
      <w:r>
        <w:rPr>
          <w:rFonts w:ascii="Times New Roman" w:hAnsi="Times New Roman" w:eastAsia="宋体"/>
          <w:sz w:val="21"/>
        </w:rPr>
        <w:t xml:space="preserve">时间: 2026-02-05T03:43:29Z | </w:t>
      </w:r>
      <w:r>
        <w:t xml:space="preserve">链接: </w:t>
      </w:r>
      <w:hyperlink r:id="rId130">
        <w:r>
          <w:rPr>
            <w:rFonts w:ascii="Times New Roman" w:hAnsi="Times New Roman" w:eastAsia="宋体"/>
            <w:color w:val="0000FF"/>
            <w:sz w:val="21"/>
            <w:u w:val="single"/>
          </w:rPr>
          <w:t>https://arxiv.org/abs/2602.05262v1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平衡高分辨率图像的准确性和延迟对于轻量级模型来说是一个关键挑战，特别是对于经常遭受过度延迟的基于 Transformer 的架构而言。为了解决这个问题，我们引入了 \textbf{ReGLA}，这是一系列轻量级混合网络，它将用于局部特征提取的高效卷积与用于全局建模的基于 ReLU 的门控线性注意力相结合。该设计融合了三项关键创新：高效大感受野（ELRF）模块，用于增强卷积效率，同时保留大感受野； ReLU 门控调制注意力 (RGMA) 模块，用于保持线性复杂度，同时增强局部特征表示；以及多教师蒸馏策略，以提高下游任务的性能。大量实验验证了ReGLA的优越性；特别是，ReGLA-M 在 ImageNet-1K 上以 $224px$ 实现了 \textbf{80.85\%} Top-1 准确度，仅 \textbf{4.98 ms} 延迟为 $512px$。此外，ReGLA 在下游任务中优于类似规模的 iFormer 模型，在 COCO 目标检测上实现了 \textbf{3.1\%} AP 的增益，在 ADE20K 语义分割上实现了 \textbf{3.6\%} mIoU，使其成为高分辨率视觉应用的最先进的解决方案。</w:t>
      </w:r>
    </w:p>
    <w:p>
      <w:pPr>
        <w:spacing w:before="120"/>
      </w:pPr>
      <w:r>
        <w:rPr>
          <w:rFonts w:ascii="Times New Roman" w:hAnsi="Times New Roman" w:eastAsia="宋体"/>
          <w:b/>
          <w:sz w:val="21"/>
        </w:rPr>
        <w:t>English Abstract:</w:t>
      </w:r>
    </w:p>
    <w:p>
      <w:r>
        <w:rPr>
          <w:rFonts w:ascii="Times New Roman" w:hAnsi="Times New Roman" w:eastAsia="宋体"/>
          <w:sz w:val="21"/>
        </w:rPr>
        <w:t>Balancing accuracy and latency on high-resolution images is a critical challenge for lightweight models, particularly for Transformer-based architectures that often suffer from excessive latency. To address this issue, we introduce \textbf{ReGLA}, a series of lightweight hybrid networks, which integrates efficient convolutions for local feature extraction with ReLU-based gated linear attention for global modeling. The design incorporates three key innovations: the Efficient Large Receptive Field (ELRF) module for enhancing convolutional efficiency while preserving a large receptive field; the ReLU Gated Modulated Attention (RGMA) module for maintaining linear complexity while enhancing local feature representation; and a multi-teacher distillation strategy to boost performance on downstream tasks. Extensive experiments validate the superiority of ReGLA; particularly the ReGLA-M achieves \textbf{80.85\%} Top-1 accuracy on ImageNet-1K at $224px$, with only \textbf{4.98 ms} latency at $512px$. Furthermore, ReGLA outperforms similarly scaled iFormer models in downstream tasks, achieving gains of \textbf{3.1\%} AP on COCO object detection and \textbf{3.6\%} mIoU on ADE20K semantic segmentation, establishing it as a state-of-the-art solution for high-resolution visual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Wid3R：通过相机模型调节进行宽视场 3D 重建</w:t>
      </w:r>
    </w:p>
    <w:p>
      <w:r>
        <w:rPr>
          <w:rFonts w:ascii="Times New Roman" w:hAnsi="Times New Roman" w:eastAsia="宋体"/>
          <w:b/>
          <w:color w:val="003264"/>
          <w:sz w:val="24"/>
        </w:rPr>
        <w:t>Wid3R: Wide Field-of-View 3D Reconstruction via Camera Model Conditioning</w:t>
      </w:r>
    </w:p>
    <w:p>
      <w:r>
        <w:rPr>
          <w:rFonts w:ascii="Times New Roman" w:hAnsi="Times New Roman" w:eastAsia="宋体"/>
          <w:sz w:val="21"/>
        </w:rPr>
        <w:t>作者: Suyong Yeon</w:t>
        <w:br/>
      </w:r>
      <w:r>
        <w:rPr>
          <w:rFonts w:ascii="Times New Roman" w:hAnsi="Times New Roman" w:eastAsia="宋体"/>
          <w:sz w:val="21"/>
        </w:rPr>
        <w:t xml:space="preserve">时间: 2026-02-05T05:42:03Z | </w:t>
      </w:r>
      <w:r>
        <w:t xml:space="preserve">链接: </w:t>
      </w:r>
      <w:hyperlink r:id="rId131">
        <w:r>
          <w:rPr>
            <w:rFonts w:ascii="Times New Roman" w:hAnsi="Times New Roman" w:eastAsia="宋体"/>
            <w:color w:val="0000FF"/>
            <w:sz w:val="21"/>
            <w:u w:val="single"/>
          </w:rPr>
          <w:t>https://arxiv.org/abs/2602.05321v1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Wid3R，一种用于视觉几何重建的前馈神经网络，支持宽视场相机模型。先前的方法通常假设输入图像是用针孔相机校正或捕获的，因为它们的架构和训练数据集都是仅针对透视图像定制的。这些假设限制了它们在使用鱼眼或全景相机的现实场景中的适用性，并且通常需要仔细校准和去失真。相比之下，Wid3R 是一种通用的多视图 3D 估计方法，可以对宽视场相机类型进行建模。我们的方法利用具有球谐函数的射线表示和网络内的新颖相机模型标记，从而实现失真感知的 3D 重建。此外，Wid3R 是第一个支持直接从 360 度图像进行前馈 3D 重建的多视图基础模型。它表现出强大的零样本鲁棒性，并且始终优于先前的方法，在斯坦福2D3D 上实现了高达 +77.33 的改进。</w:t>
      </w:r>
    </w:p>
    <w:p>
      <w:pPr>
        <w:spacing w:before="120"/>
      </w:pPr>
      <w:r>
        <w:rPr>
          <w:rFonts w:ascii="Times New Roman" w:hAnsi="Times New Roman" w:eastAsia="宋体"/>
          <w:b/>
          <w:sz w:val="21"/>
        </w:rPr>
        <w:t>English Abstract:</w:t>
      </w:r>
    </w:p>
    <w:p>
      <w:r>
        <w:rPr>
          <w:rFonts w:ascii="Times New Roman" w:hAnsi="Times New Roman" w:eastAsia="宋体"/>
          <w:sz w:val="21"/>
        </w:rPr>
        <w:t>We present Wid3R, a feed-forward neural network for visual geometry reconstruction that supports wide field-of-view camera models. Prior methods typically assume that input images are rectified or captured with pinhole cameras, since both their architectures and training datasets are tailored to perspective images only. These assumptions limit their applicability in real-world scenarios that use fisheye or panoramic cameras and often require careful calibration and undistortion. In contrast, Wid3R is a generalizable multi-view 3D estimation method that can model wide field-of-view camera types. Our approach leverages a ray representation with spherical harmonics and a novel camera model token within the network, enabling distortion-aware 3D reconstruction. Furthermore, Wid3R is the first multi-view foundation model to support feed-forward 3D reconstruction directly from 360 imagery. It demonstrates strong zero-shot robustness and consistently outperforms prior methods, achieving improvements of up to +77.33 on Stanford2D3D.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MTPano：通过密集预测先验的无标签集成进行多任务全景场景理解</w:t>
      </w:r>
    </w:p>
    <w:p>
      <w:r>
        <w:rPr>
          <w:rFonts w:ascii="Times New Roman" w:hAnsi="Times New Roman" w:eastAsia="宋体"/>
          <w:b/>
          <w:color w:val="003264"/>
          <w:sz w:val="24"/>
        </w:rPr>
        <w:t>MTPano: Multi-Task Panoramic Scene Understanding via Label-Free Integration of Dense Prediction Priors</w:t>
      </w:r>
    </w:p>
    <w:p>
      <w:r>
        <w:rPr>
          <w:rFonts w:ascii="Times New Roman" w:hAnsi="Times New Roman" w:eastAsia="宋体"/>
          <w:sz w:val="21"/>
        </w:rPr>
        <w:t>作者: Xin Li</w:t>
        <w:br/>
      </w:r>
      <w:r>
        <w:rPr>
          <w:rFonts w:ascii="Times New Roman" w:hAnsi="Times New Roman" w:eastAsia="宋体"/>
          <w:sz w:val="21"/>
        </w:rPr>
        <w:t xml:space="preserve">时间: 2026-02-05T05:51:28Z | </w:t>
      </w:r>
      <w:r>
        <w:t xml:space="preserve">链接: </w:t>
      </w:r>
      <w:hyperlink r:id="rId132">
        <w:r>
          <w:rPr>
            <w:rFonts w:ascii="Times New Roman" w:hAnsi="Times New Roman" w:eastAsia="宋体"/>
            <w:color w:val="0000FF"/>
            <w:sz w:val="21"/>
            <w:u w:val="single"/>
          </w:rPr>
          <w:t>https://arxiv.org/abs/2602.05330v1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面的全景场景理解对于沉浸式应用程序至关重要，但由于缺乏高分辨率、多任务注释，它仍然具有挑战性。虽然透视基础模型通过数据缩放取得了成功，但由于严重的几何扭曲和坐标系差异，直接将其适应全景域通常会失败。此外，球形空间中不同密集预测任务之间的潜在关系尚未得到充分探索。为了应对这些挑战，我们提出了 MTPano，这是一种通过无标签训练管道建立的强大的多任务全景基础模型。首先，为了规避数据稀缺，我们利用强大的视角密集先验。我们将全景图像投影到透视图块中，以使用现成的基础模型生成准确的、无域间隙的伪标签，然后将其重新投影以用作补丁式监督。其次，为了解决任务类型之间的干扰，我们将任务分为旋转不变（例如深度、分割）和旋转变化（例如表面法线）组。我们引入了全景双 BridgeNet，它通过注入绝对位置和光线方向先验的几何感知调制层来解开这些特征流。为了处理等距柱状投影 (ERP) 带来的失真，我们采用了 ERP 令牌混合器，然后采用双分支 BridgeNet，用于与梯度截断交互，促进有益的跨任务信息共享，同时阻止不兼容任务属性产生的冲突梯度。此外，我们引入了辅助任务（图像梯度、点图等）来促进跨任务学习过程。大量实验表明，MTPano 在多个基准测试中实现了最先进的性能，并提供了与特定任务的全景专业基础模型相比具有竞争力的结果。</w:t>
      </w:r>
    </w:p>
    <w:p>
      <w:pPr>
        <w:spacing w:before="120"/>
      </w:pPr>
      <w:r>
        <w:rPr>
          <w:rFonts w:ascii="Times New Roman" w:hAnsi="Times New Roman" w:eastAsia="宋体"/>
          <w:b/>
          <w:sz w:val="21"/>
        </w:rPr>
        <w:t>English Abstract:</w:t>
      </w:r>
    </w:p>
    <w:p>
      <w:r>
        <w:rPr>
          <w:rFonts w:ascii="Times New Roman" w:hAnsi="Times New Roman" w:eastAsia="宋体"/>
          <w:sz w:val="21"/>
        </w:rPr>
        <w:t>Comprehensive panoramic scene understanding is critical for immersive applications, yet it remains challenging due to the scarcity of high-resolution, multi-task annotations. While perspective foundation models have achieved success through data scaling, directly adapting them to the panoramic domain often fails due to severe geometric distortions and coordinate system discrepancies. Furthermore, the underlying relations between diverse dense prediction tasks in spherical spaces are underexplored. To address these challenges, we propose MTPano, a robust multi-task panoramic foundation model established by a label-free training pipeline. First, to circumvent data scarcity, we leverage powerful perspective dense priors. We project panoramic images into perspective patches to generate accurate, domain-gap-free pseudo-labels using off-the-shelf foundation models, which are then re-projected to serve as patch-wise supervision. Second, to tackle the interference between task types, we categorize tasks into rotation-invariant (e.g., depth, segmentation) and rotation-variant (e.g., surface normals) groups. We introduce the Panoramic Dual BridgeNet, which disentangles these feature streams via geometry-aware modulation layers that inject absolute position and ray direction priors. To handle the distortion from equirectangular projections (ERP), we incorporate ERP token mixers followed by a dual-branch BridgeNet for interactions with gradient truncation, facilitating beneficial cross-task information sharing while blocking conflicting gradients from incompatible task attributes. Additionally, we introduce auxiliary tasks (image gradient, point map, etc.) to fertilize the cross-task learning process. Extensive experiments demonstrate that MTPano achieves state-of-the-art performance on multiple benchmarks and delivers competitive results against task-specific panoramic specialist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通过不安全-安全配对和定向费舍尔加权适应进行一致性保持概念擦除</w:t>
      </w:r>
    </w:p>
    <w:p>
      <w:r>
        <w:rPr>
          <w:rFonts w:ascii="Times New Roman" w:hAnsi="Times New Roman" w:eastAsia="宋体"/>
          <w:b/>
          <w:color w:val="003264"/>
          <w:sz w:val="24"/>
        </w:rPr>
        <w:t>Consistency-Preserving Concept Erasure via Unsafe-Safe Pairing and Directional Fisher-weighted Adaptation</w:t>
      </w:r>
    </w:p>
    <w:p>
      <w:r>
        <w:rPr>
          <w:rFonts w:ascii="Times New Roman" w:hAnsi="Times New Roman" w:eastAsia="宋体"/>
          <w:sz w:val="21"/>
        </w:rPr>
        <w:t>作者: Donghyun Kim</w:t>
        <w:br/>
      </w:r>
      <w:r>
        <w:rPr>
          <w:rFonts w:ascii="Times New Roman" w:hAnsi="Times New Roman" w:eastAsia="宋体"/>
          <w:sz w:val="21"/>
        </w:rPr>
        <w:t xml:space="preserve">时间: 2026-02-05T06:05:24Z | </w:t>
      </w:r>
      <w:r>
        <w:t xml:space="preserve">链接: </w:t>
      </w:r>
      <w:hyperlink r:id="rId133">
        <w:r>
          <w:rPr>
            <w:rFonts w:ascii="Times New Roman" w:hAnsi="Times New Roman" w:eastAsia="宋体"/>
            <w:color w:val="0000FF"/>
            <w:sz w:val="21"/>
            <w:u w:val="single"/>
          </w:rPr>
          <w:t>https://arxiv.org/abs/2602.05339v1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文本到图像扩散模型的多功能性不断增加，选择性删除不需要的概念（例如有害内容）的能力已变得不可或缺。然而，现有的概念擦除方法主要侧重于删除不安全的概念，而不提供相应的安全替代方案的指导，这往往导致无法保持原始代和被擦除代之间的结构和语义一致性。在本文中，我们提出了一种新颖的框架，即成对擦除（PAIR），它将概念擦除从简单的删除重新定义为使用不安全-安全对来保持一致性的语义重新对齐。我们首先从不安全输入生成安全对应项，同时保留结构和语义保真度，形成配对的不安全-安全多模态数据。利用这些对，我们引入了两个关键组件：（1）配对语义重新对齐，这是一个引导目标，使用不安全-安全对来显式地将目标概念映射到语义对齐的安全锚； (2) DoRA 的 Fisher 加权初始化，它使用不安全-安全对初始化参数有效的低秩适应矩阵，鼓励安全替代方案的生成，同时选择性地抑制不安全概念。这些组件共同实现了细粒度擦除，仅删除目标概念，同时保持整体语义一致性。大量的实验表明，我们的方法明显优于最先进的基线，实现了有效的概念擦除，同时保持了结构完整性、语义一致性和生成质量。</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versatility of text-to-image diffusion models, the ability to selectively erase undesirable concepts (e.g., harmful content) has become indispensable. However, existing concept erasure approaches primarily focus on removing unsafe concepts without providing guidance toward corresponding safe alternatives, which often leads to failure in preserving the structural and semantic consistency between the original and erased generations. In this paper, we propose a novel framework, PAIRed Erasing (PAIR), which reframes concept erasure from simple removal to consistency-preserving semantic realignment using unsafe-safe pairs. We first generate safe counterparts from unsafe inputs while preserving structural and semantic fidelity, forming paired unsafe-safe multimodal data. Leveraging these pairs, we introduce two key components: (1) Paired Semantic Realignment, a guided objective that uses unsafe-safe pairs to explicitly map target concepts to semantically aligned safe anchors; and (2) Fisher-weighted Initialization for DoRA, which initializes parameter-efficient low-rank adaptation matrices using unsafe-safe pairs, encouraging the generation of safe alternatives while selectively suppressing unsafe concepts. Together, these components enable fine-grained erasure that removes only the targeted concepts while maintaining overall semantic consistency. Extensive experiments demonstrate that our approach significantly outperforms state-of-the-art baselines, achieving effective concept erasure while preserving structural integrity, semantic coherence, and generation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VRIQ：VLM 视觉推理智商的基准测试和分析</w:t>
      </w:r>
    </w:p>
    <w:p>
      <w:r>
        <w:rPr>
          <w:rFonts w:ascii="Times New Roman" w:hAnsi="Times New Roman" w:eastAsia="宋体"/>
          <w:b/>
          <w:color w:val="003264"/>
          <w:sz w:val="24"/>
        </w:rPr>
        <w:t>VRIQ: Benchmarking and Analyzing Visual-Reasoning IQ of VLMs</w:t>
      </w:r>
    </w:p>
    <w:p>
      <w:r>
        <w:rPr>
          <w:rFonts w:ascii="Times New Roman" w:hAnsi="Times New Roman" w:eastAsia="宋体"/>
          <w:sz w:val="21"/>
        </w:rPr>
        <w:t>作者: Konstantinos Psounis</w:t>
        <w:br/>
      </w:r>
      <w:r>
        <w:rPr>
          <w:rFonts w:ascii="Times New Roman" w:hAnsi="Times New Roman" w:eastAsia="宋体"/>
          <w:sz w:val="21"/>
        </w:rPr>
        <w:t xml:space="preserve">时间: 2026-02-05T07:07:27Z | </w:t>
      </w:r>
      <w:r>
        <w:t xml:space="preserve">链接: </w:t>
      </w:r>
      <w:hyperlink r:id="rId134">
        <w:r>
          <w:rPr>
            <w:rFonts w:ascii="Times New Roman" w:hAnsi="Times New Roman" w:eastAsia="宋体"/>
            <w:color w:val="0000FF"/>
            <w:sz w:val="21"/>
            <w:u w:val="single"/>
          </w:rPr>
          <w:t>https://arxiv.org/abs/2602.05382v1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视觉语言模型（VLM）的最新进展提出了它们是否能够可靠地执行非语言推理的问题。为此，我们引入了 VRIQ（视觉推理智商），这是一个旨在评估和分析 VLM 视觉推理能力的新颖基准。我们评估两组任务的模型：抽象拼图风格和自然图像推理任务。我们发现，在抽象谜题上，表现仍然接近随机，平均准确度约为 28%，而自然任务会产生更好但仍然较弱的结果，准确度为 45%。我们还发现工具增强推理仅表现出适度的改进。为了揭示这一弱点的根源，我们引入了针对感知和推理的诊断探针。我们的分析表明，大约 56% 的失败仅源于感知，43% 源于感知和推理，只有 1% 源于单独推理。这促使我们设计针对特定感知类别（例如形状、计数、位置、3D/深度）的细粒度诊断探测问题，揭示某些类别比其他类别导致更多的失败。我们的基准测试和分析表明，当前的 VLM，即使使用视觉推理工具，仍然是不可靠的抽象推理器，主要是由于感知限制，并为改进多模态系统中的视觉推理提供了原则基础。</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Vision Language Models (VLMs) has raised the question of whether they can reliably perform nonverbal reasoning. To this end, we introduce VRIQ (Visual Reasoning IQ), a novel benchmark designed to assess and analyze the visual reasoning ability of VLMs. We evaluate models on two sets of tasks: abstract puzzle-style and natural-image reasoning tasks. We find that on abstract puzzles, performance remains near random with an average accuracy of around 28%, while natural tasks yield better but still weak results with 45% accuracy. We also find that tool-augmented reasoning demonstrates only modest improvements. To uncover the source of this weakness, we introduce diagnostic probes targeting perception and reasoning. Our analysis demonstrates that around 56% of failures arise from perception alone, 43% from both perception and reasoning, and only a mere 1% from reasoning alone. This motivates us to design fine-grained diagnostic probe questions targeting specific perception categories (e.g., shape, count, position, 3D/depth), revealing that certain categories cause more failures than others. Our benchmark and analysis establish that current VLMs, even with visual reasoning tools, remain unreliable abstract reasoners, mostly due to perception limitations, and offer a principled basis for improving visual reasoning in multimodal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Dolphin-v2：通过可扩展锚点提示进行通用文档解析</w:t>
      </w:r>
    </w:p>
    <w:p>
      <w:r>
        <w:rPr>
          <w:rFonts w:ascii="Times New Roman" w:hAnsi="Times New Roman" w:eastAsia="宋体"/>
          <w:b/>
          <w:color w:val="003264"/>
          <w:sz w:val="24"/>
        </w:rPr>
        <w:t>Dolphin-v2: Universal Document Parsing via Scalable Anchor Prompting</w:t>
      </w:r>
    </w:p>
    <w:p>
      <w:r>
        <w:rPr>
          <w:rFonts w:ascii="Times New Roman" w:hAnsi="Times New Roman" w:eastAsia="宋体"/>
          <w:sz w:val="21"/>
        </w:rPr>
        <w:t>作者: Can Huang</w:t>
        <w:br/>
      </w:r>
      <w:r>
        <w:rPr>
          <w:rFonts w:ascii="Times New Roman" w:hAnsi="Times New Roman" w:eastAsia="宋体"/>
          <w:sz w:val="21"/>
        </w:rPr>
        <w:t xml:space="preserve">时间: 2026-02-05T07:09:57Z | </w:t>
      </w:r>
      <w:r>
        <w:t xml:space="preserve">链接: </w:t>
      </w:r>
      <w:hyperlink r:id="rId135">
        <w:r>
          <w:rPr>
            <w:rFonts w:ascii="Times New Roman" w:hAnsi="Times New Roman" w:eastAsia="宋体"/>
            <w:color w:val="0000FF"/>
            <w:sz w:val="21"/>
            <w:u w:val="single"/>
          </w:rPr>
          <w:t>https://arxiv.org/abs/2602.05384v1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随着视觉语言模型 (VLM) 提高 OCR 功能，文档解析已引起广泛关注。然而，该领域仍然分散在数十个具有不同优势的专业模型中，迫使用户进行复杂的模型选择并限制系统的可扩展性。此外，现有的两阶段方法依赖于轴对齐的边界框进行布局检测，无法有效处理扭曲或拍照的文档。为此，我们提出了 Dolphin-v2，这是一种两阶段文档图像解析模型，它在原始 Dolphin 的基础上进行了大幅改进。在第一阶段，Dolphin-v2 联合执行文档类型分类（数字生成与拍照）以及布局分析。对于数字生成的文档，它通过阅读顺序预测进行更细粒度的元素检测。在第二阶段，我们采用混合解析策略：将拍摄的文档整体解析为完整页面以处理几何扭曲，而数字文档则在检测到的布局锚点的指导下进行按元素并行解析，从而实现高效的内容提取。与原始 Dolphin 相比，Dolphin-v2 引入了几个重要的增强功能：(1) 通过整体页面级理解对拍照文档进行鲁棒解析；(2) 更细粒度的元素检测（21 个类别），具有作者信息和文档元数据等语义属性提取；(3) 具有缩进保留的代码块识别，这是现有系统通常缺乏的。在DocPTBench、OmniDocBench以及我们自建的RealDoc-160基准测试上进行综合评估。结果显示出显着的改进：在具有挑战性的 OmniDocBench 上总体得分增加 14.78 分，拍摄文档的错误减少 91%，同时通过并行处理保持高效推理。</w:t>
      </w:r>
    </w:p>
    <w:p>
      <w:pPr>
        <w:spacing w:before="120"/>
      </w:pPr>
      <w:r>
        <w:rPr>
          <w:rFonts w:ascii="Times New Roman" w:hAnsi="Times New Roman" w:eastAsia="宋体"/>
          <w:b/>
          <w:sz w:val="21"/>
        </w:rPr>
        <w:t>English Abstract:</w:t>
      </w:r>
    </w:p>
    <w:p>
      <w:r>
        <w:rPr>
          <w:rFonts w:ascii="Times New Roman" w:hAnsi="Times New Roman" w:eastAsia="宋体"/>
          <w:sz w:val="21"/>
        </w:rPr>
        <w:t>Document parsing has garnered widespread attention as vision-language models (VLMs) advance OCR capabilities. However, the field remains fragmented across dozens of specialized models with varying strengths, forcing users to navigate complex model selection and limiting system scalability. Moreover, existing two-stage approaches depend on axis-aligned bounding boxes for layout detection, failing to handle distorted or photographed documents effectively. To this end, we present Dolphin-v2, a two-stage document image parsing model that substantially improves upon the original Dolphin. In the first stage, Dolphin-v2 jointly performs document type classification (digital-born versus photographed) alongside layout analysis. For digital-born documents, it conducts finer-grained element detection with reading order prediction. In the second stage, we employ a hybrid parsing strategy: photographed documents are parsed holistically as complete pages to handle geometric distortions, while digital-born documents undergo element-wise parallel parsing guided by the detected layout anchors, enabling efficient content extraction. Compared with the original Dolphin, Dolphin-v2 introduces several crucial enhancements: (1) robust parsing of photographed documents via holistic page-level understanding, (2) finer-grained element detection (21 categories) with semantic attribute extraction such as author information and document metadata, and (3) code block recognition with indentation preservation, which existing systems typically lack. Comprehensive evaluations are conducted on DocPTBench, OmniDocBench, and our self-constructed RealDoc-160 benchmark. The results demonstrate substantial improvements: +14.78 points overall on the challenging OmniDocBench and 91% error reduction on photographed documents, while maintaining efficient inference through parallel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Parallel Swin Transformer 增强 3D MRI 到 CT 合成，用于仅 MRI 放射治疗计划</w:t>
      </w:r>
    </w:p>
    <w:p>
      <w:r>
        <w:rPr>
          <w:rFonts w:ascii="Times New Roman" w:hAnsi="Times New Roman" w:eastAsia="宋体"/>
          <w:b/>
          <w:color w:val="003264"/>
          <w:sz w:val="24"/>
        </w:rPr>
        <w:t>Parallel Swin Transformer-Enhanced 3D MRI-to-CT Synthesis for MRI-Only Radiotherapy Planning</w:t>
      </w:r>
    </w:p>
    <w:p>
      <w:r>
        <w:rPr>
          <w:rFonts w:ascii="Times New Roman" w:hAnsi="Times New Roman" w:eastAsia="宋体"/>
          <w:sz w:val="21"/>
        </w:rPr>
        <w:t>作者: Hsing-Kuo Pao</w:t>
        <w:br/>
      </w:r>
      <w:r>
        <w:rPr>
          <w:rFonts w:ascii="Times New Roman" w:hAnsi="Times New Roman" w:eastAsia="宋体"/>
          <w:sz w:val="21"/>
        </w:rPr>
        <w:t xml:space="preserve">时间: 2026-02-05T07:13:54Z | </w:t>
      </w:r>
      <w:r>
        <w:t xml:space="preserve">链接: </w:t>
      </w:r>
      <w:hyperlink r:id="rId136">
        <w:r>
          <w:rPr>
            <w:rFonts w:ascii="Times New Roman" w:hAnsi="Times New Roman" w:eastAsia="宋体"/>
            <w:color w:val="0000FF"/>
            <w:sz w:val="21"/>
            <w:u w:val="single"/>
          </w:rPr>
          <w:t>https://arxiv.org/abs/2602.05387v1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 可提供卓越的软组织对比度，无需电离辐射；然而，电子密度信息的缺乏限制了其直接用于剂量计算。因此，当前的放射治疗工作流程依赖于 MRI 和 CT 的组合采集，增加了配准的不确定性和程序的复杂性。合成 CT 生成仅支持 MRI 规划，但由于非线性 MRI-CT 关系和解剖变异性，仍然具有挑战性。我们提出了 Parallel Swin Transformer-Enhanced Med2Transformer，这是一种 3D 架构，它将卷积编码与双 Swin Transformer 分支集成在一起，以对局部解剖细节和远程上下文依赖性进行建模。具有分层特征聚合的多尺度转移窗口注意力提高了解剖保真度。公共和临床数据集上的实验表明，与基线方法相比，图像相似度更高，几何精度更高。剂量测定评估显示临床可接受的性能，平均目标剂量误差为 1.69%。代码位于：https://github.com/mobaidoctor/med2transformer。</w:t>
      </w:r>
    </w:p>
    <w:p>
      <w:pPr>
        <w:spacing w:before="120"/>
      </w:pPr>
      <w:r>
        <w:rPr>
          <w:rFonts w:ascii="Times New Roman" w:hAnsi="Times New Roman" w:eastAsia="宋体"/>
          <w:b/>
          <w:sz w:val="21"/>
        </w:rPr>
        <w:t>English Abstract:</w:t>
      </w:r>
    </w:p>
    <w:p>
      <w:r>
        <w:rPr>
          <w:rFonts w:ascii="Times New Roman" w:hAnsi="Times New Roman" w:eastAsia="宋体"/>
          <w:sz w:val="21"/>
        </w:rPr>
        <w:t>MRI provides superior soft tissue contrast without ionizing radiation; however, the absence of electron density information limits its direct use for dose calculation. As a result, current radiotherapy workflows rely on combined MRI and CT acquisitions, increasing registration uncertainty and procedural complexity. Synthetic CT generation enables MRI only planning but remains challenging due to nonlinear MRI-CT relationships and anatomical variability. We propose Parallel Swin Transformer-Enhanced Med2Transformer, a 3D architecture that integrates convolutional encoding with dual Swin Transformer branches to model both local anatomical detail and long-range contextual dependencies. Multi-scale shifted window attention with hierarchical feature aggregation improves anatomical fidelity. Experiments on public and clinical datasets demonstrate higher image similarity and improved geometric accuracy compared with baseline methods. Dosimetric evaluation shows clinically acceptable performance, with a mean target dose error of 1.69%. Code is available at: https://github.com/mobaidoctor/med2transformer.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通过相对分布匹配和认知遗产进行数据集蒸馏</w:t>
      </w:r>
    </w:p>
    <w:p>
      <w:r>
        <w:rPr>
          <w:rFonts w:ascii="Times New Roman" w:hAnsi="Times New Roman" w:eastAsia="宋体"/>
          <w:b/>
          <w:color w:val="003264"/>
          <w:sz w:val="24"/>
        </w:rPr>
        <w:t>Dataset Distillation via Relative Distribution Matching and Cognitive Heritage</w:t>
      </w:r>
    </w:p>
    <w:p>
      <w:r>
        <w:rPr>
          <w:rFonts w:ascii="Times New Roman" w:hAnsi="Times New Roman" w:eastAsia="宋体"/>
          <w:sz w:val="21"/>
        </w:rPr>
        <w:t>作者: Guoming Lu</w:t>
        <w:br/>
      </w:r>
      <w:r>
        <w:rPr>
          <w:rFonts w:ascii="Times New Roman" w:hAnsi="Times New Roman" w:eastAsia="宋体"/>
          <w:sz w:val="21"/>
        </w:rPr>
        <w:t xml:space="preserve">时间: 2026-02-05T07:18:48Z | </w:t>
      </w:r>
      <w:r>
        <w:t xml:space="preserve">链接: </w:t>
      </w:r>
      <w:hyperlink r:id="rId137">
        <w:r>
          <w:rPr>
            <w:rFonts w:ascii="Times New Roman" w:hAnsi="Times New Roman" w:eastAsia="宋体"/>
            <w:color w:val="0000FF"/>
            <w:sz w:val="21"/>
            <w:u w:val="single"/>
          </w:rPr>
          <w:t>https://arxiv.org/abs/2602.05391v1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集蒸馏旨在合成一个高度紧凑的数据集，在下游任务中实现与原始数据集相当的性能。对于使用预训练的自监督模型作为主干的分类任务，先前的线性梯度匹配通过鼓励合成图像模仿线性分类器上真实图像引起的梯度更新来优化合成图像。然而，这种批量级公式需要加载数千个真实图像，并在每个蒸馏步骤中对合成图像应用多轮可微增强，从而导致大量的计算和内存开销。在本文中，我们介绍了统计流匹配，这是一种稳定高效的监督学习框架，它通过对齐原始数据中从目标类中心到非目标类中心的恒定统计流来优化合成图像。我们的方法仅加载原始统计数据一次，并对合成数据执行单次增强传递，实现与最先进方法相当或更好的性能，GPU 内存使用量降低 10 倍，运行时间缩短 4 倍。此外，我们提出了一种分类器继承策略，该策略重用在原始数据集上训练的分类器进行推理，只需要极其轻量的线性投影仪和边际存储，同时实现显着的性能提升。</w:t>
      </w:r>
    </w:p>
    <w:p>
      <w:pPr>
        <w:spacing w:before="120"/>
      </w:pPr>
      <w:r>
        <w:rPr>
          <w:rFonts w:ascii="Times New Roman" w:hAnsi="Times New Roman" w:eastAsia="宋体"/>
          <w:b/>
          <w:sz w:val="21"/>
        </w:rPr>
        <w:t>English Abstract:</w:t>
      </w:r>
    </w:p>
    <w:p>
      <w:r>
        <w:rPr>
          <w:rFonts w:ascii="Times New Roman" w:hAnsi="Times New Roman" w:eastAsia="宋体"/>
          <w:sz w:val="21"/>
        </w:rPr>
        <w:t>Dataset distillation seeks to synthesize a highly compact dataset that achieves performance comparable to the original dataset on downstream tasks. For the classification task that use pre-trained self-supervised models as backbones, previous linear gradient matching optimizes synthetic images by encouraging them to mimic the gradient updates induced by real images on the linear classifier. However, this batch-level formulation requires loading thousands of real images and applying multiple rounds of differentiable augmentations to synthetic images at each distillation step, leading to substantial computational and memory overhead. In this paper, we introduce statistical flow matching , a stable and efficient supervised learning framework that optimizes synthetic images by aligning constant statistical flows from target class centers to non-target class centers in the original data. Our approach loads raw statistics only once and performs a single augmentation pass on the synthetic data, achieving performance comparable to or better than the state-of-the-art methods with 10x lower GPU memory usage and 4x shorter runtime. Furthermore, we propose a classifier inheritance strategy that reuses the classifier trained on the original dataset for inference, requiring only an extremely lightweight linear projector and marginal storage while achieving substantial performance gains.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通过相关感知条件特征编辑实现可解释的病理学特征可视化</w:t>
      </w:r>
    </w:p>
    <w:p>
      <w:r>
        <w:rPr>
          <w:rFonts w:ascii="Times New Roman" w:hAnsi="Times New Roman" w:eastAsia="宋体"/>
          <w:b/>
          <w:color w:val="003264"/>
          <w:sz w:val="24"/>
        </w:rPr>
        <w:t>Explainable Pathomics Feature Visualization via Correlation-aware Conditional Feature Editing</w:t>
      </w:r>
    </w:p>
    <w:p>
      <w:r>
        <w:rPr>
          <w:rFonts w:ascii="Times New Roman" w:hAnsi="Times New Roman" w:eastAsia="宋体"/>
          <w:sz w:val="21"/>
        </w:rPr>
        <w:t>作者: Yuankai Huo</w:t>
        <w:br/>
      </w:r>
      <w:r>
        <w:rPr>
          <w:rFonts w:ascii="Times New Roman" w:hAnsi="Times New Roman" w:eastAsia="宋体"/>
          <w:sz w:val="21"/>
        </w:rPr>
        <w:t xml:space="preserve">时间: 2026-02-05T07:28:54Z | </w:t>
      </w:r>
      <w:r>
        <w:t xml:space="preserve">链接: </w:t>
      </w:r>
      <w:hyperlink r:id="rId138">
        <w:r>
          <w:rPr>
            <w:rFonts w:ascii="Times New Roman" w:hAnsi="Times New Roman" w:eastAsia="宋体"/>
            <w:color w:val="0000FF"/>
            <w:sz w:val="21"/>
            <w:u w:val="single"/>
          </w:rPr>
          <w:t>https://arxiv.org/abs/2602.05397v1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病理组学是一种最新的方法，它提供了超出黑盒深度学习所能提供的丰富的定量特征，支持数字病理学中更具可重复性和可解释性的生物标志物。然而，许多衍生特征（例如“二阶矩”）仍然难以解释，尤其是在不同的临床背景下，这限制了它们的实际采用。条件扩散模型显示出通过特征编辑实现可解释性的希望，但它们通常假设特征独立性**——**这一假设被内在相关的病理学特征所违反。因此，在修复其他特征的同时编辑一项特征可能会使模型脱离生物流形并产生不切实际的伪影。为了解决这个问题，我们提出了一种流形感知扩散（MAD）框架，用于可控且生物学上合理的细胞核编辑。与现有方法不同，我们的方法在由变分自动编码器（VAE）学习的解纠缠潜在空间内对特征轨迹进行正则化。这确保了操纵目标特征会自动调整相关属性，以保持在真实细胞的学习分布范围内。然后，这些优化的特征指导条件扩散模型来合成高保真图像。实验表明，我们的方法能够在编辑这些特征时导航多种病理学特征。所提出的方法在条件特征编辑方面优于基线方法，同时保持结构一致性。</w:t>
      </w:r>
    </w:p>
    <w:p>
      <w:pPr>
        <w:spacing w:before="120"/>
      </w:pPr>
      <w:r>
        <w:rPr>
          <w:rFonts w:ascii="Times New Roman" w:hAnsi="Times New Roman" w:eastAsia="宋体"/>
          <w:b/>
          <w:sz w:val="21"/>
        </w:rPr>
        <w:t>English Abstract:</w:t>
      </w:r>
    </w:p>
    <w:p>
      <w:r>
        <w:rPr>
          <w:rFonts w:ascii="Times New Roman" w:hAnsi="Times New Roman" w:eastAsia="宋体"/>
          <w:sz w:val="21"/>
        </w:rPr>
        <w:t>Pathomics is a recent approach that offers rich quantitative features beyond what black-box deep learning can provide, supporting more reproducible and explainable biomarkers in digital pathology. However, many derived features (e.g., "second-order moment") remain difficult to interpret, especially across different clinical contexts, which limits their practical adoption. Conditional diffusion models show promise for explainability through feature editing, but they typically assume feature independence**--**an assumption violated by intrinsically correlated pathomics features. Consequently, editing one feature while fixing others can push the model off the biological manifold and produce unrealistic artifacts. To address this, we propose a Manifold-Aware Diffusion (MAD) framework for controllable and biologically plausible cell nuclei editing. Unlike existing approaches, our method regularizes feature trajectories within a disentangled latent space learned by a variational auto-encoder (VAE). This ensures that manipulating a target feature automatically adjusts correlated attributes to remain within the learned distribution of real cells. These optimized features then guide a conditional diffusion model to synthesize high-fidelity images. Experiments demonstrate that our approach is able to navigate the manifold of pathomics features when editing those features. The proposed method outperforms baseline methods in conditional feature editing while preserving structural coherence.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VMF-GOS：用于长尾 OOD 检测的几何引导虚拟异常值合成</w:t>
      </w:r>
    </w:p>
    <w:p>
      <w:r>
        <w:rPr>
          <w:rFonts w:ascii="Times New Roman" w:hAnsi="Times New Roman" w:eastAsia="宋体"/>
          <w:b/>
          <w:color w:val="003264"/>
          <w:sz w:val="24"/>
        </w:rPr>
        <w:t>VMF-GOS: Geometry-guided virtual Outlier Synthesis for Long-Tailed OOD Detection</w:t>
      </w:r>
    </w:p>
    <w:p>
      <w:r>
        <w:rPr>
          <w:rFonts w:ascii="Times New Roman" w:hAnsi="Times New Roman" w:eastAsia="宋体"/>
          <w:sz w:val="21"/>
        </w:rPr>
        <w:t>作者: Yanhui Gu</w:t>
        <w:br/>
      </w:r>
      <w:r>
        <w:rPr>
          <w:rFonts w:ascii="Times New Roman" w:hAnsi="Times New Roman" w:eastAsia="宋体"/>
          <w:sz w:val="21"/>
        </w:rPr>
        <w:t xml:space="preserve">时间: 2026-02-05T07:58:12Z | </w:t>
      </w:r>
      <w:r>
        <w:t xml:space="preserve">链接: </w:t>
      </w:r>
      <w:hyperlink r:id="rId139">
        <w:r>
          <w:rPr>
            <w:rFonts w:ascii="Times New Roman" w:hAnsi="Times New Roman" w:eastAsia="宋体"/>
            <w:color w:val="0000FF"/>
            <w:sz w:val="21"/>
            <w:u w:val="single"/>
          </w:rPr>
          <w:t>https://arxiv.org/abs/2602.05415v1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长尾分布下的分布外（OOD）检测是一项极具挑战性的任务，因为尾类中样本的稀缺导致特征空间中的决策边界模糊。当前最先进的（sota）方法通常采用异常值暴露（OE）策略，依靠大规模真实外部数据集（例如 8000 万张微小图像）来规范特征空间。然而，由于高昂的数据获取成本和隐私敏感性，这种对外部数据的依赖在实际部署中往往变得不可行。为此，我们提出了一种新颖的无数据框架，旨在完全消除对外部数据集的依赖，同时保持卓越的检测性能。我们引入了几何引导的虚拟离群值综合 (GOS) 策略，该策略使用超球面上的冯·米塞斯-费舍尔 (vMF) 分布对统计属性进行建模。具体来说，我们在特征空间中定位一个低似然环，并对该区域中的虚拟异常值进行定向采样。同时，我们引入了一种新的双粒度语义损失（DGS），它利用对比学习来最大化分布内（ID）特征和这些合成的边界异常值之间的区别。在 CIFAR-LT 等基准测试上进行的大量实验表明，我们的方法优于利用外部真实图像的 sota 方法。</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under long-tailed distributions is a highly challenging task because the scarcity of samples in tail classes leads to blurred decision boundaries in the feature space. Current state-of-the-art (sota) methods typically employ Outlier Exposure (OE) strategies, relying on large-scale real external datasets (such as 80 Million Tiny Images) to regularize the feature space. However, this dependence on external data often becomes infeasible in practical deployment due to high data acquisition costs and privacy sensitivity. To this end, we propose a novel data-free framework aimed at completely eliminating reliance on external datasets while maintaining superior detection performance. We introduce a Geometry-guided virtual Outlier Synthesis (GOS) strategy that models statistical properties using the von Mises-Fisher (vMF) distribution on a hypersphere. Specifically, we locate a low-likelihood annulus in the feature space and perform directional sampling of virtual outliers in this region. Simultaneously, we introduce a new Dual-Granularity Semantic Loss (DGS) that utilizes contrastive learning to maximize the distinction between in-distribution (ID) features and these synthesized boundary outliers. Extensive experiments on benchmarks such as CIFAR-LT demonstrate that our method outperforms sota approaches that utilize external real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NeVStereo：用于高保真 3D 任务的 NeRF 驱动的 NVS 立体架构</w:t>
      </w:r>
    </w:p>
    <w:p>
      <w:r>
        <w:rPr>
          <w:rFonts w:ascii="Times New Roman" w:hAnsi="Times New Roman" w:eastAsia="宋体"/>
          <w:b/>
          <w:color w:val="003264"/>
          <w:sz w:val="24"/>
        </w:rPr>
        <w:t>NeVStereo: A NeRF-Driven NVS-Stereo Architecture for High-Fidelity 3D Tasks</w:t>
      </w:r>
    </w:p>
    <w:p>
      <w:r>
        <w:rPr>
          <w:rFonts w:ascii="Times New Roman" w:hAnsi="Times New Roman" w:eastAsia="宋体"/>
          <w:sz w:val="21"/>
        </w:rPr>
        <w:t>作者: Eric J Seibel</w:t>
        <w:br/>
      </w:r>
      <w:r>
        <w:rPr>
          <w:rFonts w:ascii="Times New Roman" w:hAnsi="Times New Roman" w:eastAsia="宋体"/>
          <w:sz w:val="21"/>
        </w:rPr>
        <w:t xml:space="preserve">时间: 2026-02-05T08:15:06Z | </w:t>
      </w:r>
      <w:r>
        <w:t xml:space="preserve">链接: </w:t>
      </w:r>
      <w:hyperlink r:id="rId140">
        <w:r>
          <w:rPr>
            <w:rFonts w:ascii="Times New Roman" w:hAnsi="Times New Roman" w:eastAsia="宋体"/>
            <w:color w:val="0000FF"/>
            <w:sz w:val="21"/>
            <w:u w:val="single"/>
          </w:rPr>
          <w:t>https://arxiv.org/abs/2602.05423v1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在现代密集 3D 重建中，前馈系统（例如 VGGT、pi3）专注于端到端匹配和几何预测，但不明确输出新颖的视图合成 (NVS)。基于神经渲染的方法提供高保真 NVS 和来自姿势图像的详细几何形状，但它们通常假设固定的相机姿势，并且可能对姿势错误敏感。因此，获得一个能够从随意捕获的视图中提供准确姿势、可靠深度、高质量渲染和准确 3D 表面的单一框架仍然很重要。我们推出 NeVStereo，这是一种 NeRF 驱动的 NVS 立体架构，旨在联合提供相机姿势、多视图深度、新颖的视图合成以及仅从多视图 RGB 输入进行表面重建。 NeVStereo 结合了基于 NeRF 的 NVS（用于立体友好渲染）、置信引导的多视图深度估计、用于姿态细化的 NeRF 耦合束调整，以及更新深度和辐射场以提高几何一致性的迭代细化阶段。这种设计缓解了常见的基于 NeRF 的问题，例如表面堆叠、伪影和姿势深度耦合。在室内、室外、桌面和空中基准测试中，我们的实验表明，与现有的著名方法相比，NeVStereo 始终实现了强大的零射击性能，深度误差降低了 36%，姿势精度提高了 10.4%，NVS 保真度提高了 4.5%，网格质量达到最先进的水平（F1 91.93%，倒角 4.35 mm）。</w:t>
      </w:r>
    </w:p>
    <w:p>
      <w:pPr>
        <w:spacing w:before="120"/>
      </w:pPr>
      <w:r>
        <w:rPr>
          <w:rFonts w:ascii="Times New Roman" w:hAnsi="Times New Roman" w:eastAsia="宋体"/>
          <w:b/>
          <w:sz w:val="21"/>
        </w:rPr>
        <w:t>English Abstract:</w:t>
      </w:r>
    </w:p>
    <w:p>
      <w:r>
        <w:rPr>
          <w:rFonts w:ascii="Times New Roman" w:hAnsi="Times New Roman" w:eastAsia="宋体"/>
          <w:sz w:val="21"/>
        </w:rPr>
        <w:t>In modern dense 3D reconstruction, feed-forward systems (e.g., VGGT, pi3) focus on end-to-end matching and geometry prediction but do not explicitly output the novel view synthesis (NVS). Neural rendering-based approaches offer high-fidelity NVS and detailed geometry from posed images, yet they typically assume fixed camera poses and can be sensitive to pose errors. As a result, it remains non-trivial to obtain a single framework that can offer accurate poses, reliable depth, high-quality rendering, and accurate 3D surfaces from casually captured views. We present NeVStereo, a NeRF-driven NVS-stereo architecture that aims to jointly deliver camera poses, multi-view depth, novel view synthesis, and surface reconstruction from multi-view RGB-only inputs. NeVStereo combines NeRF-based NVS for stereo-friendly renderings, confidence-guided multi-view depth estimation, NeRF-coupled bundle adjustment for pose refinement, and an iterative refinement stage that updates both depth and the radiance field to improve geometric consistency. This design mitigated the common NeRF-based issues such as surface stacking, artifacts, and pose-depth coupling. Across indoor, outdoor, tabletop, and aerial benchmarks, our experiments indicate that NeVStereo achieves consistently strong zero-shot performance, with up to 36% lower depth error, 10.4% improved pose accuracy, 4.5% higher NVS fidelity, and state-of-the-art mesh quality (F1 91.93%, Chamfer 4.35 mm) compared to existing prestigious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多AD：医疗和工业应用的跨域无监督异常检测</w:t>
      </w:r>
    </w:p>
    <w:p>
      <w:r>
        <w:rPr>
          <w:rFonts w:ascii="Times New Roman" w:hAnsi="Times New Roman" w:eastAsia="宋体"/>
          <w:b/>
          <w:color w:val="003264"/>
          <w:sz w:val="24"/>
        </w:rPr>
        <w:t>Multi-AD: Cross-Domain Unsupervised Anomaly Detection for Medical and Industrial Applications</w:t>
      </w:r>
    </w:p>
    <w:p>
      <w:r>
        <w:rPr>
          <w:rFonts w:ascii="Times New Roman" w:hAnsi="Times New Roman" w:eastAsia="宋体"/>
          <w:sz w:val="21"/>
        </w:rPr>
        <w:t>作者: Kenji Suzuki</w:t>
        <w:br/>
      </w:r>
      <w:r>
        <w:rPr>
          <w:rFonts w:ascii="Times New Roman" w:hAnsi="Times New Roman" w:eastAsia="宋体"/>
          <w:sz w:val="21"/>
        </w:rPr>
        <w:t xml:space="preserve">时间: 2026-02-05T08:17:42Z | </w:t>
      </w:r>
      <w:r>
        <w:t xml:space="preserve">链接: </w:t>
      </w:r>
      <w:hyperlink r:id="rId141">
        <w:r>
          <w:rPr>
            <w:rFonts w:ascii="Times New Roman" w:hAnsi="Times New Roman" w:eastAsia="宋体"/>
            <w:color w:val="0000FF"/>
            <w:sz w:val="21"/>
            <w:u w:val="single"/>
          </w:rPr>
          <w:t>https://arxiv.org/abs/2602.05426v1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传统的深度学习模型通常缺乏带注释的数据，特别是在异常检测等跨领域应用中，这对于医学中的早期疾病诊断和工业中的缺陷检测至关重要。为了应对这一挑战，我们提出了 Multi-AD，这是一种卷积神经网络 (CNN) 模型，用于跨医学和工业图像进行稳健的无监督异常检测。我们的方法采用挤压和激励（SE）块通过通道关注来增强特征提取，使模型能够专注于最相关的特征并检测细微的异常。知识蒸馏（KD）将信息特征从教师转移到学生模型，从而能够有效学习正常数据和异常数据之间的差异。然后，鉴别器网络进一步增强模型区分正常数据和异常数据的能力。在推理阶段，通过集成多尺度特征，学生模型可以检测到不同大小的异常。师生（T-S）架构确保高维特征的一致表示，同时调整它们以增强异常检测。 Multi-AD 在多个医学数据集（包括脑 MRI、肝脏 CT 和视网膜 OCT）以及工业数据集（例如 MVTec AD）上进行了评估，证明了跨多个领域的强大泛化能力。实验结果表明，我们的方法始终优于最先进的模型，在图像级（医疗为 81.4%，工业为 99.6%）和像素级（医疗为 97.0%，工业为 98.4%）任务上实现了最佳平均 AUROC，使其在实际应用中有效。</w:t>
      </w:r>
    </w:p>
    <w:p>
      <w:pPr>
        <w:spacing w:before="120"/>
      </w:pPr>
      <w:r>
        <w:rPr>
          <w:rFonts w:ascii="Times New Roman" w:hAnsi="Times New Roman" w:eastAsia="宋体"/>
          <w:b/>
          <w:sz w:val="21"/>
        </w:rPr>
        <w:t>English Abstract:</w:t>
      </w:r>
    </w:p>
    <w:p>
      <w:r>
        <w:rPr>
          <w:rFonts w:ascii="Times New Roman" w:hAnsi="Times New Roman" w:eastAsia="宋体"/>
          <w:sz w:val="21"/>
        </w:rPr>
        <w:t>Traditional deep learning models often lack annotated data, especially in cross-domain applications such as anomaly detection, which is critical for early disease diagnosis in medicine and defect detection in industry. To address this challenge, we propose Multi-AD, a convolutional neural network (CNN) model for robust unsupervised anomaly detection across medical and industrial images. Our approach employs the squeeze-and-excitation (SE) block to enhance feature extraction via channel-wise attention, enabling the model to focus on the most relevant features and detect subtle anomalies. Knowledge distillation (KD) transfers informative features from the teacher to the student model, enabling effective learning of the differences between normal and anomalous data. Then, the discriminator network further enhances the model's capacity to distinguish between normal and anomalous data. At the inference stage, by integrating multi-scale features, the student model can detect anomalies of varying sizes. The teacher-student (T-S) architecture ensures consistent representation of high-dimensional features while adapting them to enhance anomaly detection. Multi-AD was evaluated on several medical datasets, including brain MRI, liver CT, and retina OCT, as well as industrial datasets, such as MVTec AD, demonstrating strong generalization across multiple domains. Experimental results demonstrated that our approach consistently outperformed state-of-the-art models, achieving the best average AUROC for both image-level (81.4% for medical and 99.6% for industrial) and pixel-level (97.0% for medical and 98.4% for industrial) tasks, making it effective for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LD-SLRO：用于高反射物体 3D 重建的潜扩散结构光</w:t>
      </w:r>
    </w:p>
    <w:p>
      <w:r>
        <w:rPr>
          <w:rFonts w:ascii="Times New Roman" w:hAnsi="Times New Roman" w:eastAsia="宋体"/>
          <w:b/>
          <w:color w:val="003264"/>
          <w:sz w:val="24"/>
        </w:rPr>
        <w:t>LD-SLRO: Latent Diffusion Structured Light for 3-D Reconstruction of Highly Reflective Objects</w:t>
      </w:r>
    </w:p>
    <w:p>
      <w:r>
        <w:rPr>
          <w:rFonts w:ascii="Times New Roman" w:hAnsi="Times New Roman" w:eastAsia="宋体"/>
          <w:sz w:val="21"/>
        </w:rPr>
        <w:t>作者: Jae-Sang Hyun</w:t>
        <w:br/>
      </w:r>
      <w:r>
        <w:rPr>
          <w:rFonts w:ascii="Times New Roman" w:hAnsi="Times New Roman" w:eastAsia="宋体"/>
          <w:sz w:val="21"/>
        </w:rPr>
        <w:t xml:space="preserve">时间: 2026-02-05T08:24:38Z | </w:t>
      </w:r>
      <w:r>
        <w:t xml:space="preserve">链接: </w:t>
      </w:r>
      <w:hyperlink r:id="rId142">
        <w:r>
          <w:rPr>
            <w:rFonts w:ascii="Times New Roman" w:hAnsi="Times New Roman" w:eastAsia="宋体"/>
            <w:color w:val="0000FF"/>
            <w:sz w:val="21"/>
            <w:u w:val="single"/>
          </w:rPr>
          <w:t>https://arxiv.org/abs/2602.05434v1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基于条纹投影轮廓仪的高反射率和低表面粗糙度物体的 3D 重建仍然是一个重大挑战。在测量此类光泽表面时，镜面反射和间接照明通常会导致投影条纹图案严重变形或丢失。为了解决这些问题，我们提出了一种用于反射物体的基于潜在扩散的结构光（LD-SLRO）。首先对从高反射表面捕获的相移条纹图像进行编码，以提取捕获表面反射特性的潜在表示。然后将这些潜在特征用作潜在扩散模型的条件输入，该模型可以概率性地抑制反射引起的伪影并恢复丢失的条纹信息，从而产生高质量的条纹图像。所提出的组件，包括镜面反射编码器、时变通道仿射层和注意模块，进一步提高了条纹恢复质量。此外，LD-SLRO 在配置输入和输出边缘集方面提供了高度灵活性。实验结果表明，与最先进的方法相比，所提出的方法提高了条纹质量和 3D 重建精度，将平均均方根误差从 1.8176 mm 降低到 0.9619 mm。</w:t>
      </w:r>
    </w:p>
    <w:p>
      <w:pPr>
        <w:spacing w:before="120"/>
      </w:pPr>
      <w:r>
        <w:rPr>
          <w:rFonts w:ascii="Times New Roman" w:hAnsi="Times New Roman" w:eastAsia="宋体"/>
          <w:b/>
          <w:sz w:val="21"/>
        </w:rPr>
        <w:t>English Abstract:</w:t>
      </w:r>
    </w:p>
    <w:p>
      <w:r>
        <w:rPr>
          <w:rFonts w:ascii="Times New Roman" w:hAnsi="Times New Roman" w:eastAsia="宋体"/>
          <w:sz w:val="21"/>
        </w:rPr>
        <w:t>Fringe projection profilometry-based 3-D reconstruction of objects with high reflectivity and low surface roughness remains a significant challenge. When measuring such glossy surfaces, specular reflection and indirect illumination often lead to severe distortion or loss of the projected fringe patterns. To address these issues, we propose a latent diffusion-based structured light for reflective objects (LD-SLRO). Phase-shifted fringe images captured from highly reflective surfaces are first encoded to extract latent representations that capture surface reflectance characteristics. These latent features are then used as conditional inputs to a latent diffusion model, which probabilistically suppresses reflection-induced artifacts and recover lost fringe information, yielding high-quality fringe images. The proposed components, including the specular reflection encoder, time-variant channel affine layer, and attention modules, further improve fringe restoration quality. In addition, LD-SLRO provides high flexibility in configuring the input and output fringe sets. Experimental results demonstrate that the proposed method improves both fringe quality and 3-D reconstruction accuracy over state-of-the-art methods, reducing the average root-mean-squared error from 1.8176 mm to 0.9619 mm.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稳定速度：流量匹配的方差视角</w:t>
      </w:r>
    </w:p>
    <w:p>
      <w:r>
        <w:rPr>
          <w:rFonts w:ascii="Times New Roman" w:hAnsi="Times New Roman" w:eastAsia="宋体"/>
          <w:b/>
          <w:color w:val="003264"/>
          <w:sz w:val="24"/>
        </w:rPr>
        <w:t>Stable Velocity: A Variance Perspective on Flow Matching</w:t>
      </w:r>
    </w:p>
    <w:p>
      <w:r>
        <w:rPr>
          <w:rFonts w:ascii="Times New Roman" w:hAnsi="Times New Roman" w:eastAsia="宋体"/>
          <w:sz w:val="21"/>
        </w:rPr>
        <w:t>作者: Renjie Liao</w:t>
        <w:br/>
      </w:r>
      <w:r>
        <w:rPr>
          <w:rFonts w:ascii="Times New Roman" w:hAnsi="Times New Roman" w:eastAsia="宋体"/>
          <w:sz w:val="21"/>
        </w:rPr>
        <w:t xml:space="preserve">时间: 2026-02-05T08:25:05Z | </w:t>
      </w:r>
      <w:r>
        <w:t xml:space="preserve">链接: </w:t>
      </w:r>
      <w:hyperlink r:id="rId143">
        <w:r>
          <w:rPr>
            <w:rFonts w:ascii="Times New Roman" w:hAnsi="Times New Roman" w:eastAsia="宋体"/>
            <w:color w:val="0000FF"/>
            <w:sz w:val="21"/>
            <w:u w:val="single"/>
          </w:rPr>
          <w:t>https://arxiv.org/abs/2602.05435v1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虽然流匹配很优雅，但它对单样本条件速度的依赖导致高方差训练目标，从而破坏优化的稳定性并减慢收敛速度。通过明确描述这种方差，我们确定了 1) 靠近先验的高方差区域，其中优化具有挑战性；2) 靠近数据分布的低方差区域，其中条件速度和边际速度几乎重合。利用这一见解，我们提出了 Stable Velocity，这是一个可以改进训练和采样的统一框架。对于训练，我们引入了稳定速度匹配（StableVM），一种无偏方差减少目标，以及方差感知表示对齐（VA-REPA），它自适应地加强低方差状态下的辅助监督。为了进行推理，我们证明低方差状态下的动力学允许封闭式简化，从而实现稳定速度采样（StableVS），这是一种无需微调的加速。在 ImageNet $256\times256$ 和大型预训练文本到图像和文本到视频模型（包括 SD3.5、Flux、Qwen-Image 和 Wan2.2）上进行的广泛实验表明，训练效率得到了持续改进，并且在低方差范围内采样速度提高了 2\times 以上，且样本质量没有降低。我们的代码可在 https://github.com/linYDTHU/StableVelocity 获取。</w:t>
      </w:r>
    </w:p>
    <w:p>
      <w:pPr>
        <w:spacing w:before="120"/>
      </w:pPr>
      <w:r>
        <w:rPr>
          <w:rFonts w:ascii="Times New Roman" w:hAnsi="Times New Roman" w:eastAsia="宋体"/>
          <w:b/>
          <w:sz w:val="21"/>
        </w:rPr>
        <w:t>English Abstract:</w:t>
      </w:r>
    </w:p>
    <w:p>
      <w:r>
        <w:rPr>
          <w:rFonts w:ascii="Times New Roman" w:hAnsi="Times New Roman" w:eastAsia="宋体"/>
          <w:sz w:val="21"/>
        </w:rPr>
        <w:t>While flow matching is elegant, its reliance on single-sample conditional velocities leads to high-variance training targets that destabilize optimization and slow convergence. By explicitly characterizing this variance, we identify 1) a high-variance regime near the prior, where optimization is challenging, and 2) a low-variance regime near the data distribution, where conditional and marginal velocities nearly coincide. Leveraging this insight, we propose Stable Velocity, a unified framework that improves both training and sampling. For training, we introduce Stable Velocity Matching (StableVM), an unbiased variance-reduction objective, along with Variance-Aware Representation Alignment (VA-REPA), which adaptively strengthen auxiliary supervision in the low-variance regime. For inference, we show that dynamics in the low-variance regime admit closed-form simplifications, enabling Stable Velocity Sampling (StableVS), a finetuning-free acceleration. Extensive experiments on ImageNet $256\times256$ and large pretrained text-to-image and text-to-video models, including SD3.5, Flux, Qwen-Image, and Wan2.2, demonstrate consistent improvements in training efficiency and more than $2\times$ faster sampling within the low-variance regime without degrading sample quality. Our code is available at https://github.com/linYDTHU/StableVelocity.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DisCa：通过蒸馏兼容的可学习特征缓存加速视频扩散变压器</w:t>
      </w:r>
    </w:p>
    <w:p>
      <w:r>
        <w:rPr>
          <w:rFonts w:ascii="Times New Roman" w:hAnsi="Times New Roman" w:eastAsia="宋体"/>
          <w:b/>
          <w:color w:val="003264"/>
          <w:sz w:val="24"/>
        </w:rPr>
        <w:t>DisCa: Accelerating Video Diffusion Transformers with Distillation-Compatible Learnable Feature Caching</w:t>
      </w:r>
    </w:p>
    <w:p>
      <w:r>
        <w:rPr>
          <w:rFonts w:ascii="Times New Roman" w:hAnsi="Times New Roman" w:eastAsia="宋体"/>
          <w:sz w:val="21"/>
        </w:rPr>
        <w:t>作者: Linfeng Zhang</w:t>
        <w:br/>
      </w:r>
      <w:r>
        <w:rPr>
          <w:rFonts w:ascii="Times New Roman" w:hAnsi="Times New Roman" w:eastAsia="宋体"/>
          <w:sz w:val="21"/>
        </w:rPr>
        <w:t xml:space="preserve">时间: 2026-02-05T08:45:08Z | </w:t>
      </w:r>
      <w:r>
        <w:t xml:space="preserve">链接: </w:t>
      </w:r>
      <w:hyperlink r:id="rId144">
        <w:r>
          <w:rPr>
            <w:rFonts w:ascii="Times New Roman" w:hAnsi="Times New Roman" w:eastAsia="宋体"/>
            <w:color w:val="0000FF"/>
            <w:sz w:val="21"/>
            <w:u w:val="single"/>
          </w:rPr>
          <w:t>https://arxiv.org/abs/2602.05449v1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扩散模型在视频生成领域取得了巨大成功，但这种进步伴随着计算负担的迅速增加。在现有的加速方法中，特征缓存因其免训练的特性和可观的加速性能而受到欢迎，但随着进一步压缩，它不可避免地面临语义和细节的下降。另一种广泛采用的方法是训练感知的逐步蒸馏，尽管在图像生成方面取得了成功，但在视频生成方面也面临着几个步骤的严重退化。此外，当简单地将免训练特征缓存应用于逐步蒸馏模型时，由于采样步骤稀疏，质量损失变得更加严重。本文首次新颖地引入了一种与蒸馏兼容的可学习特征缓存机制。我们采用轻量级可学习神经预测器来代替传统的免训练启发式扩散模型，从而能够更准确地捕获高维特征演化过程。此外，我们探索了大规模视频模型上高度压缩蒸馏的挑战，并提出了一种保守的受限平均流方法来实现更稳定和无损的蒸馏。通过采取这些举措，我们将加速边界进一步推至 11.8 美元\次$，同时保持发电质量。大量的实验证明了我们方法的有效性。该代码位于补充材料中，并将公开发布。</w:t>
      </w:r>
    </w:p>
    <w:p>
      <w:pPr>
        <w:spacing w:before="120"/>
      </w:pPr>
      <w:r>
        <w:rPr>
          <w:rFonts w:ascii="Times New Roman" w:hAnsi="Times New Roman" w:eastAsia="宋体"/>
          <w:b/>
          <w:sz w:val="21"/>
        </w:rPr>
        <w:t>English Abstract:</w:t>
      </w:r>
    </w:p>
    <w:p>
      <w:r>
        <w:rPr>
          <w:rFonts w:ascii="Times New Roman" w:hAnsi="Times New Roman" w:eastAsia="宋体"/>
          <w:sz w:val="21"/>
        </w:rPr>
        <w:t>While diffusion models have achieved great success in the field of video generation, this progress is accompanied by a rapidly escalating computational burden. Among the existing acceleration methods, Feature Caching is popular due to its training-free property and considerable speedup performance, but it inevitably faces semantic and detail drop with further compression. Another widely adopted method, training-aware step-distillation, though successful in image generation, also faces drastic degradation in video generation with a few steps. Furthermore, the quality loss becomes more severe when simply applying training-free feature caching to the step-distilled models, due to the sparser sampling steps. This paper novelly introduces a distillation-compatible learnable feature caching mechanism for the first time. We employ a lightweight learnable neural predictor instead of traditional training-free heuristics for diffusion models, enabling a more accurate capture of the high-dimensional feature evolution process. Furthermore, we explore the challenges of highly compressed distillation on large-scale video models and propose a conservative Restricted MeanFlow approach to achieve more stable and lossless distillation. By undertaking these initiatives, we further push the acceleration boundaries to $11.8\times$ while preserving generation quality. Extensive experiments demonstrate the effectiveness of our method. The code is in the supplementary materials and will be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SOMA-1M：用于多任务遥感的大规模SAR光学多分辨率对准数据集</w:t>
      </w:r>
    </w:p>
    <w:p>
      <w:r>
        <w:rPr>
          <w:rFonts w:ascii="Times New Roman" w:hAnsi="Times New Roman" w:eastAsia="宋体"/>
          <w:b/>
          <w:color w:val="003264"/>
          <w:sz w:val="24"/>
        </w:rPr>
        <w:t>SOMA-1M: A Large-Scale SAR-Optical Multi-resolution Alignment Dataset for Multi-Task Remote Sensing</w:t>
      </w:r>
    </w:p>
    <w:p>
      <w:r>
        <w:rPr>
          <w:rFonts w:ascii="Times New Roman" w:hAnsi="Times New Roman" w:eastAsia="宋体"/>
          <w:sz w:val="21"/>
        </w:rPr>
        <w:t>作者: Yongjun Zhang</w:t>
        <w:br/>
      </w:r>
      <w:r>
        <w:rPr>
          <w:rFonts w:ascii="Times New Roman" w:hAnsi="Times New Roman" w:eastAsia="宋体"/>
          <w:sz w:val="21"/>
        </w:rPr>
        <w:t xml:space="preserve">时间: 2026-02-05T09:39:49Z | </w:t>
      </w:r>
      <w:r>
        <w:t xml:space="preserve">链接: </w:t>
      </w:r>
      <w:hyperlink r:id="rId145">
        <w:r>
          <w:rPr>
            <w:rFonts w:ascii="Times New Roman" w:hAnsi="Times New Roman" w:eastAsia="宋体"/>
            <w:color w:val="0000FF"/>
            <w:sz w:val="21"/>
            <w:u w:val="single"/>
          </w:rPr>
          <w:t>https://arxiv.org/abs/2602.05480v1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孔径雷达（SAR）和光学图像提供了互补的优势，构成了超越单一模态限制、促进跨模态协作处理和智能解释的关键基础。然而，现有的基准数据集往往存在空间分辨率单一、数据规模不足、对齐精度低等限制，不足以支持多尺度基础模型的训练和泛化。为了应对这些挑战，我们引入了 SOMA-1M（SAR 光学多分辨率对齐），这是一个像素级精确对齐的数据集，包含超过 130 万对地理参考图像，规格为 512 x 512 像素。该数据集集成了来自Sentinel-1、PIESAT-1、Capella Space和Google Earth的图像，实现了0.5 m至10 m的全球多尺度覆盖。它涵盖了12个典型的土地覆盖类别，有效保证了场景的多样性和复杂性。为了解决多模态投影变形和海量数据配准，我们设计了严格的从粗到精的图像匹配框架，确保像素级对齐。基于该数据集，我们建立了图像匹配、图像融合、SAR辅助去云、跨模态翻译等四个层次视觉任务的综合评估基准，涉及30多种主流算法。实验结果表明，SOMA-1M 的监督训练显着提高了所有任务的性能。值得注意的是，多模态遥感图像（MRSI）匹配性能达到了当前最先进（SOTA）水平。 SOMA-1M 是强大的多模态算法和遥感基础模型的基础资源。该数据集将公开发布于：https://github.com/PeihaoWu/SOMA-1M。</w:t>
      </w:r>
    </w:p>
    <w:p>
      <w:pPr>
        <w:spacing w:before="120"/>
      </w:pPr>
      <w:r>
        <w:rPr>
          <w:rFonts w:ascii="Times New Roman" w:hAnsi="Times New Roman" w:eastAsia="宋体"/>
          <w:b/>
          <w:sz w:val="21"/>
        </w:rPr>
        <w:t>English Abstract:</w:t>
      </w:r>
    </w:p>
    <w:p>
      <w:r>
        <w:rPr>
          <w:rFonts w:ascii="Times New Roman" w:hAnsi="Times New Roman" w:eastAsia="宋体"/>
          <w:sz w:val="21"/>
        </w:rPr>
        <w:t>Synthetic Aperture Radar (SAR) and optical imagery provide complementary strengths that constitute the critical foundation for transcending single-modality constraints and facilitating cross-modal collaborative processing and intelligent interpretation. However, existing benchmark datasets often suffer from limitations such as single spatial resolution, insufficient data scale, and low alignment accuracy, making them inadequate for supporting the training and generalization of multi-scale foundation models. To address these challenges, we introduce SOMA-1M (SAR-Optical Multi-resolution Alignment), a pixel-level precisely aligned dataset containing over 1.3 million pairs of georeferenced images with a specification of 512 x 512 pixels. This dataset integrates imagery from Sentinel-1, PIESAT-1, Capella Space, and Google Earth, achieving global multi-scale coverage from 0.5 m to 10 m. It encompasses 12 typical land cover categories, effectively ensuring scene diversity and complexity. To address multimodal projection deformation and massive data registration, we designed a rigorous coarse-to-fine image matching framework ensuring pixel-level alignment. Based on this dataset, we established comprehensive evaluation benchmarks for four hierarchical vision tasks, including image matching, image fusion, SAR-assisted cloud removal, and cross-modal translation, involving over 30 mainstream algorithms. Experimental results demonstrate that supervised training on SOMA-1M significantly enhances performance across all tasks. Notably, multimodal remote sensing image (MRSI) matching performance achieves current state-of-the-art (SOTA) levels. SOMA-1M serves as a foundational resource for robust multimodal algorithms and remote sensing foundation models. The dataset will be released publicly at: https://github.com/PeihaoWu/SOMA-1M.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基于逼真鱼眼序列的全向视觉特征点评估——2014年实验报告</w:t>
      </w:r>
    </w:p>
    <w:p>
      <w:r>
        <w:rPr>
          <w:rFonts w:ascii="Times New Roman" w:hAnsi="Times New Roman" w:eastAsia="宋体"/>
          <w:b/>
          <w:color w:val="003264"/>
          <w:sz w:val="24"/>
        </w:rPr>
        <w:t>Feature points evaluation on omnidirectional vision with a photorealistic fisheye sequence -- A report on experiments done in 2014</w:t>
      </w:r>
    </w:p>
    <w:p>
      <w:r>
        <w:rPr>
          <w:rFonts w:ascii="Times New Roman" w:hAnsi="Times New Roman" w:eastAsia="宋体"/>
          <w:sz w:val="21"/>
        </w:rPr>
        <w:t>作者: Yassine Ruichek</w:t>
        <w:br/>
      </w:r>
      <w:r>
        <w:rPr>
          <w:rFonts w:ascii="Times New Roman" w:hAnsi="Times New Roman" w:eastAsia="宋体"/>
          <w:sz w:val="21"/>
        </w:rPr>
        <w:t xml:space="preserve">时间: 2026-02-05T09:49:33Z | </w:t>
      </w:r>
      <w:r>
        <w:t xml:space="preserve">链接: </w:t>
      </w:r>
      <w:hyperlink r:id="rId146">
        <w:r>
          <w:rPr>
            <w:rFonts w:ascii="Times New Roman" w:hAnsi="Times New Roman" w:eastAsia="宋体"/>
            <w:color w:val="0000FF"/>
            <w:sz w:val="21"/>
            <w:u w:val="single"/>
          </w:rPr>
          <w:t>https://arxiv.org/abs/2602.05487v1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这份报告是什么：这是一份科学报告，提供了详细的参考书目，我们现在将其称为“真实感鱼眼序列”的 PFSeq 数据集，并在 https://doi.org/10 上提供。 57745/DYIVVU，以及综合实验。这项工作应该被视为草稿，并且是在我 2014 年的博士论文“从鱼眼视频数据构建 3D 模型 - 在城市区域定位中的应用”[Mor16]期间完成的。这些结果从未发表过。目的是在自校准的背景下，将摄像机安装在汽车顶部并瞄准天顶，找到鱼眼图像的最佳特征检测器和描述符（然后在城市场景中进行鱼眼视觉里程计和立体视觉）。我们面临先有鸡还是先有蛋的问题，因为我们无法利用精确的投影模型来进行最佳特征检测和描述，并且我们正确地需要良好的特征来执行校准（即计算相机的精确投影模型）。这份报告不是什么：它没有贡献新的功能算法。它没有将标准特征算法与为全向图像设计的算法进行比较（不幸的是）。它尚未经过同行评审。讨论已得到翻译和加强，但实验尚未再次进行，报告也未根据最新技术的发展进行更新（将其视为 2014 年报告）。</w:t>
      </w:r>
    </w:p>
    <w:p>
      <w:pPr>
        <w:spacing w:before="120"/>
      </w:pPr>
      <w:r>
        <w:rPr>
          <w:rFonts w:ascii="Times New Roman" w:hAnsi="Times New Roman" w:eastAsia="宋体"/>
          <w:b/>
          <w:sz w:val="21"/>
        </w:rPr>
        <w:t>English Abstract:</w:t>
      </w:r>
    </w:p>
    <w:p>
      <w:r>
        <w:rPr>
          <w:rFonts w:ascii="Times New Roman" w:hAnsi="Times New Roman" w:eastAsia="宋体"/>
          <w:sz w:val="21"/>
        </w:rPr>
        <w:t>What is this report: This is a scientific report, contributing with a detailed bibliography, a dataset which we will call now PFSeq for ''Photorealistic Fisheye Sequence'' and make available at https://doi.org/10. 57745/DYIVVU, and comprehensive experiments. This work should be considered as a draft, and has been done during my PhD thesis ''Construction of 3D models from fisheye video data-Application to the localisation in urban area'' in 2014 [Mor16]. These results have never been published. The aim was to find the best features detector and descriptor for fisheye images, in the context of selfcalibration, with cameras mounted on the top of a car and aiming at the zenith (to proceed then fisheye visual odometry and stereovision in urban scenes). We face a chicken and egg problem, because we can not take advantage of an accurate projection model for an optimal features detection and description, and we rightly need good features to perform the calibration (i.e. to compute the accurate projection model of the camera). What is not this report: It does not contribute with new features algorithm. It does not compare standard features algorithms to algorithms designed for omnidirectional images (unfortunately). It has not been peer-reviewed. Discussions have been translated and enhanced but the experiments have not been run again and the report has not been updated accordingly to the evolution of the state-of-the-art (read this as a 2014 report).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VGGT-Motion：运动感知免校准单目 SLAM，实现远距离一致性</w:t>
      </w:r>
    </w:p>
    <w:p>
      <w:r>
        <w:rPr>
          <w:rFonts w:ascii="Times New Roman" w:hAnsi="Times New Roman" w:eastAsia="宋体"/>
          <w:b/>
          <w:color w:val="003264"/>
          <w:sz w:val="24"/>
        </w:rPr>
        <w:t>VGGT-Motion: Motion-Aware Calibration-Free Monocular SLAM for Long-Range Consistency</w:t>
      </w:r>
    </w:p>
    <w:p>
      <w:r>
        <w:rPr>
          <w:rFonts w:ascii="Times New Roman" w:hAnsi="Times New Roman" w:eastAsia="宋体"/>
          <w:sz w:val="21"/>
        </w:rPr>
        <w:t>作者: Wenbing Tao</w:t>
        <w:br/>
      </w:r>
      <w:r>
        <w:rPr>
          <w:rFonts w:ascii="Times New Roman" w:hAnsi="Times New Roman" w:eastAsia="宋体"/>
          <w:sz w:val="21"/>
        </w:rPr>
        <w:t xml:space="preserve">时间: 2026-02-05T10:07:11Z | </w:t>
      </w:r>
      <w:r>
        <w:t xml:space="preserve">链接: </w:t>
      </w:r>
      <w:hyperlink r:id="rId147">
        <w:r>
          <w:rPr>
            <w:rFonts w:ascii="Times New Roman" w:hAnsi="Times New Roman" w:eastAsia="宋体"/>
            <w:color w:val="0000FF"/>
            <w:sz w:val="21"/>
            <w:u w:val="single"/>
          </w:rPr>
          <w:t>https://arxiv.org/abs/2602.05508v1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尽管最近通过 3D 视觉基础模型在免校准单目 SLAM 方面取得了进展，但长序列上的尺度漂移仍然严重。与运动无关的分区破坏了上下文连贯性并导致零运动漂移，而传统的几何对齐在计算上是昂贵的。为了解决这些问题，我们提出了 VGGT-Motion，这是一种免校准 SLAM 系统，可在公里级轨迹上实现高效、鲁棒的全局一致性。具体来说，我们首先提出了一种运动感知子图构建机制，该机制使用光流来指导自适应分区、修剪静态冗余并封装转弯以获得稳定的局部几何形状。然后，我们设计了一个锚驱动的直接 Sim(3) 注册策略。通过利用上下文平衡的锚点，它实现了免搜索、逐像素密集对齐和高效的闭环，而无需昂贵的特征匹配。最后，轻量级子图级位姿图优化以线性复杂度强制实现全局一致性，从而实现可扩展的远程操作。实验表明，VGGT-Motion 显着提高了轨迹精度和效率，在零射击、长距离免校准单目 SLAM 中实现了最先进的性能。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Despite recent progress in calibration-free monocular SLAM via 3D vision foundation models, scale drift remains severe on long sequences. Motion-agnostic partitioning breaks contextual coherence and causes zero-motion drift, while conventional geometric alignment is computationally expensive. To address these issues, we propose VGGT-Motion, a calibration-free SLAM system for efficient and robust global consistency over kilometer-scale trajectories. Specifically, we first propose a motion-aware submap construction mechanism that uses optical flow to guide adaptive partitioning, prune static redundancy, and encapsulate turns for stable local geometry. We then design an anchor-driven direct Sim(3) registration strategy. By exploiting context-balanced anchors, it achieves search-free, pixel-wise dense alignment and efficient loop closure without costly feature matching. Finally, a lightweight submap-level pose graph optimization enforces global consistency with linear complexity, enabling scalable long-range operation. Experiments show that VGGT-Motion markedly improves trajectory accuracy and efficiency, achieving state-of-the-art performance in zero-shot, long-range calibration-free monocular SLAM.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用于跨显微镜领域蛋白质定位的自监督视觉变换器的推广</w:t>
      </w:r>
    </w:p>
    <w:p>
      <w:r>
        <w:rPr>
          <w:rFonts w:ascii="Times New Roman" w:hAnsi="Times New Roman" w:eastAsia="宋体"/>
          <w:b/>
          <w:color w:val="003264"/>
          <w:sz w:val="24"/>
        </w:rPr>
        <w:t>Generalization of Self-Supervised Vision Transformers for Protein Localization Across Microscopy Domains</w:t>
      </w:r>
    </w:p>
    <w:p>
      <w:r>
        <w:rPr>
          <w:rFonts w:ascii="Times New Roman" w:hAnsi="Times New Roman" w:eastAsia="宋体"/>
          <w:sz w:val="21"/>
        </w:rPr>
        <w:t>作者: Andreas Weinmann</w:t>
        <w:br/>
      </w:r>
      <w:r>
        <w:rPr>
          <w:rFonts w:ascii="Times New Roman" w:hAnsi="Times New Roman" w:eastAsia="宋体"/>
          <w:sz w:val="21"/>
        </w:rPr>
        <w:t xml:space="preserve">时间: 2026-02-05T10:39:00Z | </w:t>
      </w:r>
      <w:r>
        <w:t xml:space="preserve">链接: </w:t>
      </w:r>
      <w:hyperlink r:id="rId148">
        <w:r>
          <w:rPr>
            <w:rFonts w:ascii="Times New Roman" w:hAnsi="Times New Roman" w:eastAsia="宋体"/>
            <w:color w:val="0000FF"/>
            <w:sz w:val="21"/>
            <w:u w:val="single"/>
          </w:rPr>
          <w:t>https://arxiv.org/abs/2602.05527v1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定任务的显微镜数据集通常太小，无法训练学习鲁棒特征表示的深度学习模型。自监督学习（SSL）可以通过对大型未标记数据集进行预训练来缓解这种情况，但目前尚不清楚这种表示在具有不同染色协议和通道配置的显微镜域之间的转移效果如何。我们研究了 DINO 预训练 Vision Transformers 的跨域可转移性，以在 OpenCell 数据集上进行蛋白质定位。我们使用在 ImageNet-1k、人类蛋白质图谱 (HPA) 和 OpenCell 上预训练的三个 DINO 主干网络生成图像嵌入，并通过在 OpenCell 标签上训练监督分类头来评估它们。所有预训练模型都传输良好，显微镜特定的 HPA 预训练模型实现了最佳性能（平均宏 $F_1$-score = 0.8221 \pm 0.0062），略优于直接在 OpenCell 上训练的 DINO 模型（0.8057 \pm 0.0090）。这些结果凸显了大规模预训练的价值，并表明领域相关的 SSL 表示可以有效地推广到相关但不同的显微镜数据集，即使特定任务的标记数据有限，也能实现强大的下游性能。</w:t>
      </w:r>
    </w:p>
    <w:p>
      <w:pPr>
        <w:spacing w:before="120"/>
      </w:pPr>
      <w:r>
        <w:rPr>
          <w:rFonts w:ascii="Times New Roman" w:hAnsi="Times New Roman" w:eastAsia="宋体"/>
          <w:b/>
          <w:sz w:val="21"/>
        </w:rPr>
        <w:t>English Abstract:</w:t>
      </w:r>
    </w:p>
    <w:p>
      <w:r>
        <w:rPr>
          <w:rFonts w:ascii="Times New Roman" w:hAnsi="Times New Roman" w:eastAsia="宋体"/>
          <w:sz w:val="21"/>
        </w:rPr>
        <w:t>Task-specific microscopy datasets are often too small to train deep learning models that learn robust feature representations. Self-supervised learning (SSL) can mitigate this by pretraining on large unlabeled datasets, but it remains unclear how well such representations transfer across microscopy domains with different staining protocols and channel configurations. We investigate the cross-domain transferability of DINO-pretrained Vision Transformers for protein localization on the OpenCell dataset. We generate image embeddings using three DINO backbones pretrained on ImageNet-1k, the Human Protein Atlas (HPA), and OpenCell, and evaluate them by training a supervised classification head on OpenCell labels. All pretrained models transfer well, with the microscopy-specific HPA-pretrained model achieving the best performance (mean macro $F_1$-score = 0.8221 \pm 0.0062), slightly outperforming a DINO model trained directly on OpenCell (0.8057 \pm 0.0090). These results highlight the value of large-scale pretraining and indicate that domain-relevant SSL representations can generalize effectively to related but distinct microscopy datasets, enabling strong downstream performance even when task-specific labeled data are limited.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SSG：用于多尺度视觉自回归生成的尺度空间指导</w:t>
      </w:r>
    </w:p>
    <w:p>
      <w:r>
        <w:rPr>
          <w:rFonts w:ascii="Times New Roman" w:hAnsi="Times New Roman" w:eastAsia="宋体"/>
          <w:b/>
          <w:color w:val="003264"/>
          <w:sz w:val="24"/>
        </w:rPr>
        <w:t>SSG: Scaled Spatial Guidance for Multi-Scale Visual Autoregressive Generation</w:t>
      </w:r>
    </w:p>
    <w:p>
      <w:r>
        <w:rPr>
          <w:rFonts w:ascii="Times New Roman" w:hAnsi="Times New Roman" w:eastAsia="宋体"/>
          <w:sz w:val="21"/>
        </w:rPr>
        <w:t>作者: Junmo Kim</w:t>
        <w:br/>
      </w:r>
      <w:r>
        <w:rPr>
          <w:rFonts w:ascii="Times New Roman" w:hAnsi="Times New Roman" w:eastAsia="宋体"/>
          <w:sz w:val="21"/>
        </w:rPr>
        <w:t xml:space="preserve">时间: 2026-02-05T10:48:58Z | </w:t>
      </w:r>
      <w:r>
        <w:t xml:space="preserve">链接: </w:t>
      </w:r>
      <w:hyperlink r:id="rId149">
        <w:r>
          <w:rPr>
            <w:rFonts w:ascii="Times New Roman" w:hAnsi="Times New Roman" w:eastAsia="宋体"/>
            <w:color w:val="0000FF"/>
            <w:sz w:val="21"/>
            <w:u w:val="single"/>
          </w:rPr>
          <w:t>https://arxiv.org/abs/2602.05534v1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自回归（VAR）模型通过下一尺度的预测生成图像，自然地实现从粗到细、快速、高保真的合成，反映人类的感知。在实践中，这种层次结构可能会在推理时发生漂移，因为有限的容量和累积的误差会导致模型偏离其从粗到细的性质。我们从信息论的角度重新审视这一限制，并推断确保每个尺度贡献早期尺度未解释的高频内容可以减轻训练推理差异。有了这种洞察力，我们提出了尺度空间指导（SSG），这是一种无需训练的推理时间指导，可以引导一代人朝着预期的层次结构发展，同时保持全局一致性。 SSG 强调目标高频信号，定义为语义残差，与较粗糙的先验隔离。为了获得这一先验，我们利用了原则性的频域过程，即离散空间增强（DSE），该过程旨在通过频率感知构造来锐化和更好地隔离语义残差。 SSG 广泛应用于利用离散视觉标记的 VAR 模型，无论标记化设计或调节模式如何。实验表明，SSG 在保持低延迟的同时，在保真度和多样性方面产生了一致的增益，揭示了从粗到细的图像生成中未开发的效率。代码可在 https://github.com/Youngwoo-git/SSG 获取。</w:t>
      </w:r>
    </w:p>
    <w:p>
      <w:pPr>
        <w:spacing w:before="120"/>
      </w:pPr>
      <w:r>
        <w:rPr>
          <w:rFonts w:ascii="Times New Roman" w:hAnsi="Times New Roman" w:eastAsia="宋体"/>
          <w:b/>
          <w:sz w:val="21"/>
        </w:rPr>
        <w:t>English Abstract:</w:t>
      </w:r>
    </w:p>
    <w:p>
      <w:r>
        <w:rPr>
          <w:rFonts w:ascii="Times New Roman" w:hAnsi="Times New Roman" w:eastAsia="宋体"/>
          <w:sz w:val="21"/>
        </w:rPr>
        <w:t>Visual autoregressive (VAR) models generate images through next-scale prediction, naturally achieving coarse-to-fine, fast, high-fidelity synthesis mirroring human perception. In practice, this hierarchy can drift at inference time, as limited capacity and accumulated error cause the model to deviate from its coarse-to-fine nature. We revisit this limitation from an information-theoretic perspective and deduce that ensuring each scale contributes high-frequency content not explained by earlier scales mitigates the train-inference discrepancy. With this insight, we propose Scaled Spatial Guidance (SSG), training-free, inference-time guidance that steers generation toward the intended hierarchy while maintaining global coherence. SSG emphasizes target high-frequency signals, defined as the semantic residual, isolated from a coarser prior. To obtain this prior, we leverage a principled frequency-domain procedure, Discrete Spatial Enhancement (DSE), which is devised to sharpen and better isolate the semantic residual through frequency-aware construction. SSG applies broadly across VAR models leveraging discrete visual tokens, regardless of tokenization design or conditioning modality. Experiments demonstrate SSG yields consistent gains in fidelity and diversity while preserving low latency, revealing untapped efficiency in coarse-to-fine image generation. Code is available at https://github.com/Youngwoo-git/SSG.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人体检测的比较研究：不同室内和室外环境中的传感器模式和鲁棒性</w:t>
      </w:r>
    </w:p>
    <w:p>
      <w:r>
        <w:rPr>
          <w:rFonts w:ascii="Times New Roman" w:hAnsi="Times New Roman" w:eastAsia="宋体"/>
          <w:b/>
          <w:color w:val="003264"/>
          <w:sz w:val="24"/>
        </w:rPr>
        <w:t>A Comparative Study of 3D Person Detection: Sensor Modalities and Robustness in Diverse Indoor and Outdoor Environments</w:t>
      </w:r>
    </w:p>
    <w:p>
      <w:r>
        <w:rPr>
          <w:rFonts w:ascii="Times New Roman" w:hAnsi="Times New Roman" w:eastAsia="宋体"/>
          <w:sz w:val="21"/>
        </w:rPr>
        <w:t>作者: Karsten Roscher</w:t>
        <w:br/>
      </w:r>
      <w:r>
        <w:rPr>
          <w:rFonts w:ascii="Times New Roman" w:hAnsi="Times New Roman" w:eastAsia="宋体"/>
          <w:sz w:val="21"/>
        </w:rPr>
        <w:t xml:space="preserve">时间: 2026-02-05T10:53:35Z | </w:t>
      </w:r>
      <w:r>
        <w:t xml:space="preserve">链接: </w:t>
      </w:r>
      <w:hyperlink r:id="rId150">
        <w:r>
          <w:rPr>
            <w:rFonts w:ascii="Times New Roman" w:hAnsi="Times New Roman" w:eastAsia="宋体"/>
            <w:color w:val="0000FF"/>
            <w:sz w:val="21"/>
            <w:u w:val="single"/>
          </w:rPr>
          <w:t>https://arxiv.org/abs/2602.05538v1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 3D 人员检测对于机器人、工业监控和监视等应用的安全至关重要。这项工作对仅使用相机、仅使用 LiDAR 以及相机-LiDAR 融合进行 3D 人物检测进行了系统评估。虽然大多数现有研究都集中在自动驾驶上，但我们使用 JRDB 数据集探索不同室内和室外场景中的检测性能和鲁棒性。我们比较了三种代表性模型 - BEVDepth（相机）、PointPillars (LiDAR) 和 DAL（相机-LiDAR 融合） - 并分析了它们在不同遮挡和距离水平下的行为。我们的结果表明，基于融合的方法始终优于单模态模型，特别是在具有挑战性的场景中。我们进一步研究了针对传感器损坏和错位的鲁棒性，结果表明，虽然 DAL 提供了更高的弹性，但它对传感器错位和某些基于 LiDAR 的损坏仍然敏感。相比之下，基于相机的 BEVDepth 模型表现出最低的性能，并且受遮挡、距离和噪声的影响最大。我们的研究结果强调了利用传感器融合来增强 3D 人物检测的重要性，同时也强调了持续研究以解决这些系统固有的漏洞的必要性。</w:t>
      </w:r>
    </w:p>
    <w:p>
      <w:pPr>
        <w:spacing w:before="120"/>
      </w:pPr>
      <w:r>
        <w:rPr>
          <w:rFonts w:ascii="Times New Roman" w:hAnsi="Times New Roman" w:eastAsia="宋体"/>
          <w:b/>
          <w:sz w:val="21"/>
        </w:rPr>
        <w:t>English Abstract:</w:t>
      </w:r>
    </w:p>
    <w:p>
      <w:r>
        <w:rPr>
          <w:rFonts w:ascii="Times New Roman" w:hAnsi="Times New Roman" w:eastAsia="宋体"/>
          <w:sz w:val="21"/>
        </w:rPr>
        <w:t>Accurate 3D person detection is critical for safety in applications such as robotics, industrial monitoring, and surveillance. This work presents a systematic evaluation of 3D person detection using camera-only, LiDAR-only, and camera-LiDAR fusion. While most existing research focuses on autonomous driving, we explore detection performance and robustness in diverse indoor and outdoor scenes using the JRDB dataset. We compare three representative models - BEVDepth (camera), PointPillars (LiDAR), and DAL (camera-LiDAR fusion) - and analyze their behavior under varying occlusion and distance levels. Our results show that the fusion-based approach consistently outperforms single-modality models, particularly in challenging scenarios. We further investigate robustness against sensor corruptions and misalignments, revealing that while DAL offers improved resilience, it remains sensitive to sensor misalignment and certain LiDAR-based corruptions. In contrast, the camera-based BEVDepth model showed the lowest performance and was most affected by occlusion, distance, and noise. Our findings highlight the importance of utilizing sensor fusion for enhanced 3D person detection, while also underscoring the need for ongoing research to address the vulnerabilities inherent in these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FastVMT：消除视频运动传输中的冗余</w:t>
      </w:r>
    </w:p>
    <w:p>
      <w:r>
        <w:rPr>
          <w:rFonts w:ascii="Times New Roman" w:hAnsi="Times New Roman" w:eastAsia="宋体"/>
          <w:b/>
          <w:color w:val="003264"/>
          <w:sz w:val="24"/>
        </w:rPr>
        <w:t>FastVMT: Eliminating Redundancy in Video Motion Transfer</w:t>
      </w:r>
    </w:p>
    <w:p>
      <w:r>
        <w:rPr>
          <w:rFonts w:ascii="Times New Roman" w:hAnsi="Times New Roman" w:eastAsia="宋体"/>
          <w:sz w:val="21"/>
        </w:rPr>
        <w:t>作者: Linfeng Zhang</w:t>
        <w:br/>
      </w:r>
      <w:r>
        <w:rPr>
          <w:rFonts w:ascii="Times New Roman" w:hAnsi="Times New Roman" w:eastAsia="宋体"/>
          <w:sz w:val="21"/>
        </w:rPr>
        <w:t xml:space="preserve">时间: 2026-02-05T11:15:59Z | </w:t>
      </w:r>
      <w:r>
        <w:t xml:space="preserve">链接: </w:t>
      </w:r>
      <w:hyperlink r:id="rId151">
        <w:r>
          <w:rPr>
            <w:rFonts w:ascii="Times New Roman" w:hAnsi="Times New Roman" w:eastAsia="宋体"/>
            <w:color w:val="0000FF"/>
            <w:sz w:val="21"/>
            <w:u w:val="single"/>
          </w:rPr>
          <w:t>https://arxiv.org/abs/2602.05551v1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视频运动传输旨在通过根据文本提示生成视觉内容来合成视频，同时传输在参考视频中观察到的运动模式。最近的方法主要使用扩散变压器（DiT）架构。为了获得令人满意的运行时间，有几种方法尝试加速 DiT 中的计算，但未能解决低效率的结构性根源。在这项工作中，我们识别并消除了早期工作中的两种类型的计算冗余：运动冗余的出现是因为通用 DiT 架构没有反映帧到帧运动小且平滑的事实；如果忽略梯度沿着扩散轨迹缓慢变化，就会出现梯度冗余。为了减轻运动冗余，我们将相应的注意层屏蔽到局部邻域，这样就不会计算不必要的遥远图像区域的交互权重。为了利用梯度冗余，我们设计了一种优化方案，该方案重用先前扩散步骤中的梯度并跳过不必要的梯度计算。平均而言，FastVMT 可实现 3.43 倍的加速，而不会降低生成视频的视觉保真度或时间一致性。</w:t>
      </w:r>
    </w:p>
    <w:p>
      <w:pPr>
        <w:spacing w:before="120"/>
      </w:pPr>
      <w:r>
        <w:rPr>
          <w:rFonts w:ascii="Times New Roman" w:hAnsi="Times New Roman" w:eastAsia="宋体"/>
          <w:b/>
          <w:sz w:val="21"/>
        </w:rPr>
        <w:t>English Abstract:</w:t>
      </w:r>
    </w:p>
    <w:p>
      <w:r>
        <w:rPr>
          <w:rFonts w:ascii="Times New Roman" w:hAnsi="Times New Roman" w:eastAsia="宋体"/>
          <w:sz w:val="21"/>
        </w:rPr>
        <w:t>Video motion transfer aims to synthesize videos by generating visual content according to a text prompt while transferring the motion pattern observed in a reference video. Recent methods predominantly use the Diffusion Transformer (DiT) architecture. To achieve satisfactory runtime, several methods attempt to accelerate the computations in the DiT, but fail to address structural sources of inefficiency. In this work, we identify and remove two types of computational redundancy in earlier work: motion redundancy arises because the generic DiT architecture does not reflect the fact that frame-to-frame motion is small and smooth; gradient redundancy occurs if one ignores that gradients change slowly along the diffusion trajectory. To mitigate motion redundancy, we mask the corresponding attention layers to a local neighborhood such that interaction weights are not computed unnecessarily distant image regions. To exploit gradient redundancy, we design an optimization scheme that reuses gradients from previous diffusion steps and skips unwarranted gradient computations. On average, FastVMT achieves a 3.43x speedup without degrading the visual fidelity or the temporal consistency of the generated videos.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IndustryShapes：用于工业装配组件和工具的 6D 物体姿态估计的 RGB-D 基准数据集</w:t>
      </w:r>
    </w:p>
    <w:p>
      <w:r>
        <w:rPr>
          <w:rFonts w:ascii="Times New Roman" w:hAnsi="Times New Roman" w:eastAsia="宋体"/>
          <w:b/>
          <w:color w:val="003264"/>
          <w:sz w:val="24"/>
        </w:rPr>
        <w:t>IndustryShapes: An RGB-D Benchmark dataset for 6D object pose estimation of industrial assembly components and tools</w:t>
      </w:r>
    </w:p>
    <w:p>
      <w:r>
        <w:rPr>
          <w:rFonts w:ascii="Times New Roman" w:hAnsi="Times New Roman" w:eastAsia="宋体"/>
          <w:sz w:val="21"/>
        </w:rPr>
        <w:t>作者: Maria Pateraki</w:t>
        <w:br/>
      </w:r>
      <w:r>
        <w:rPr>
          <w:rFonts w:ascii="Times New Roman" w:hAnsi="Times New Roman" w:eastAsia="宋体"/>
          <w:sz w:val="21"/>
        </w:rPr>
        <w:t xml:space="preserve">时间: 2026-02-05T11:28:57Z | </w:t>
      </w:r>
      <w:r>
        <w:t xml:space="preserve">链接: </w:t>
      </w:r>
      <w:hyperlink r:id="rId152">
        <w:r>
          <w:rPr>
            <w:rFonts w:ascii="Times New Roman" w:hAnsi="Times New Roman" w:eastAsia="宋体"/>
            <w:color w:val="0000FF"/>
            <w:sz w:val="21"/>
            <w:u w:val="single"/>
          </w:rPr>
          <w:t>https://arxiv.org/abs/2602.05555v1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IndustryShapes，这是一个新的工业工具和组件的 RGB-D 基准数据集，专为实例级和新颖的对象 6D 姿态估计方法而设计。该数据集提供了一个现实且与应用相关的测试平台，用于在工业机器人背景下对这些方法进行基准测试，从而弥合基于实验室的研究与实际制造场景中的部署之间的差距。与许多以前专注于家用或消费品或使用合成的、干净的桌面数据集或仅在受控实验室环境中捕获的对象的数据集不同，IndustryShapes 引入了五种具有挑战性属性的新对象类型，这些对象类型也在现实的工业装配设置中捕获。该数据集具有不同的复杂性，从简单的场景到更具挑战性的场景，具有单个和多个对象，包括具有同一对象的多个实例的场景，并且它被组织为两部分：经典集和扩展集。经典集总共包括 4,6k 张图像和 6k 个带注释的姿势。扩展集引入了额外的数据模式来支持无模型和基于序列的方法的评估。据我们所知，IndustryShapes 是第一个提供 RGB-D 静态入门序列的数据集。我们进一步使用一组代表性的最先进方法来评估数据集，用于基于实例和新颖的对象 6D 姿态估计，包括对象检测、分割，表明该领域还有改进的空间。数据集页面可以在 https://pose-lab.github.io/IndustryShapes 中找到。</w:t>
      </w:r>
    </w:p>
    <w:p>
      <w:pPr>
        <w:spacing w:before="120"/>
      </w:pPr>
      <w:r>
        <w:rPr>
          <w:rFonts w:ascii="Times New Roman" w:hAnsi="Times New Roman" w:eastAsia="宋体"/>
          <w:b/>
          <w:sz w:val="21"/>
        </w:rPr>
        <w:t>English Abstract:</w:t>
      </w:r>
    </w:p>
    <w:p>
      <w:r>
        <w:rPr>
          <w:rFonts w:ascii="Times New Roman" w:hAnsi="Times New Roman" w:eastAsia="宋体"/>
          <w:sz w:val="21"/>
        </w:rPr>
        <w:t>We introduce IndustryShapes, a new RGB-D benchmark dataset of industrial tools and components, designed for both instance-level and novel object 6D pose estimation approaches. The dataset provides a realistic and application-relevant testbed for benchmarking these methods in the context of industrial robotics bridging the gap between lab-based research and deployment in real-world manufacturing scenarios. Unlike many previous datasets that focus on household or consumer products or use synthetic, clean tabletop datasets, or objects captured solely in controlled lab environments, IndustryShapes introduces five new object types with challenging properties, also captured in realistic industrial assembly settings. The dataset has diverse complexity, from simple to more challenging scenes, with single and multiple objects, including scenes with multiple instances of the same object and it is organized in two parts: the classic set and the extended set. The classic set includes a total of 4,6k images and 6k annotated poses. The extended set introduces additional data modalities to support the evaluation of model-free and sequence-based approaches. To the best of our knowledge, IndustryShapes is the first dataset to offer RGB-D static onboarding sequences. We further evaluate the dataset on a representative set of state-of-the art methods for instance-based and novel object 6D pose estimation, including also object detection, segmentation, showing that there is room for improvement in this domain. The dataset page can be found in https://pose-lab.github.io/IndustryShapes.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用于自动驾驶的视觉隐式几何变换器</w:t>
      </w:r>
    </w:p>
    <w:p>
      <w:r>
        <w:rPr>
          <w:rFonts w:ascii="Times New Roman" w:hAnsi="Times New Roman" w:eastAsia="宋体"/>
          <w:b/>
          <w:color w:val="003264"/>
          <w:sz w:val="24"/>
        </w:rPr>
        <w:t>Visual Implicit Geometry Transformer for Autonomous Driving</w:t>
      </w:r>
    </w:p>
    <w:p>
      <w:r>
        <w:rPr>
          <w:rFonts w:ascii="Times New Roman" w:hAnsi="Times New Roman" w:eastAsia="宋体"/>
          <w:sz w:val="21"/>
        </w:rPr>
        <w:t>作者: Dmitry Senushkin</w:t>
        <w:br/>
      </w:r>
      <w:r>
        <w:rPr>
          <w:rFonts w:ascii="Times New Roman" w:hAnsi="Times New Roman" w:eastAsia="宋体"/>
          <w:sz w:val="21"/>
        </w:rPr>
        <w:t xml:space="preserve">时间: 2026-02-05T11:54:38Z | </w:t>
      </w:r>
      <w:r>
        <w:t xml:space="preserve">链接: </w:t>
      </w:r>
      <w:hyperlink r:id="rId153">
        <w:r>
          <w:rPr>
            <w:rFonts w:ascii="Times New Roman" w:hAnsi="Times New Roman" w:eastAsia="宋体"/>
            <w:color w:val="0000FF"/>
            <w:sz w:val="21"/>
            <w:u w:val="single"/>
          </w:rPr>
          <w:t>https://arxiv.org/abs/2602.05573v1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我们推出了视觉隐式几何变换器 (ViGT)，这是一种自动驾驶几何模型，可估计环视摄像头设备的连续 3D 占用场。 ViGT 代表了向自动驾驶基础几何模型迈出的一步，优先考虑可扩展性、架构简单性和跨不同传感器配置的泛化。我们的方法通过免校准架构实现了这一点，使单个模型能够适应不同的传感器设置。与专注于像素对齐预测的通用几何基础模型不同，ViGT 估计鸟瞰图 (BEV) 中的连续 3D 占用场，以满足特定领域的要求。 ViGT 自然地将来自多个摄像机视图的几何图形推断到单个公制坐标系中，为多个几何任务提供通用表示。与大多数现有的占用模型不同，我们采用自我监督的训练程序，利用同步图像-LiDAR 对，消除了昂贵的手动注释的需要。我们通过在五个大型自动驾驶数据集（NuScenes、Waymo、NuPlan、ONCE 和 Argoverse）的混合上训练我们的模型，并在点图估计任务上实现最先进的性能，并在所有评估的基线中获得最佳平均排名，从而验证了我们方法的可扩展性和通用性。我们在 Occ3D-nuScenes 基准上进一步评估 ViGT，其中 ViGT 实现了与监督方法相当的性能。源代码可在 \href{https://github.com/whesense/ViGT}{https://github.com/whesense/ViGT} 公开获取。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the Visual Implicit Geometry Transformer (ViGT), an autonomous driving geometric model that estimates continuous 3D occupancy fields from surround-view camera rigs. ViGT represents a step towards foundational geometric models for autonomous driving, prioritizing scalability, architectural simplicity, and generalization across diverse sensor configurations. Our approach achieves this through a calibration-free architecture, enabling a single model to adapt to different sensor setups. Unlike general-purpose geometric foundational models that focus on pixel-aligned predictions, ViGT estimates a continuous 3D occupancy field in a birds-eye-view (BEV) addressing domain-specific requirements. ViGT naturally infers geometry from multiple camera views into a single metric coordinate frame, providing a common representation for multiple geometric tasks. Unlike most existing occupancy models, we adopt a self-supervised training procedure that leverages synchronized image-LiDAR pairs, eliminating the need for costly manual annotations. We validate the scalability and generalizability of our approach by training our model on a mixture of five large-scale autonomous driving datasets (NuScenes, Waymo, NuPlan, ONCE, and Argoverse) and achieving state-of-the-art performance on the pointmap estimation task, with the best average rank across all evaluated baselines. We further evaluate ViGT on the Occ3D-nuScenes benchmark, where ViGT achieves comparable performance with supervised methods. The source code is publicly available at \href{https://github.com/whesense/ViGT}{https://github.com/whesense/ViGT}.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MRI 和脑结构特征对运动障碍进行多模态分类的 CNN 和 ML 混合框架</w:t>
      </w:r>
    </w:p>
    <w:p>
      <w:r>
        <w:rPr>
          <w:rFonts w:ascii="Times New Roman" w:hAnsi="Times New Roman" w:eastAsia="宋体"/>
          <w:b/>
          <w:color w:val="003264"/>
          <w:sz w:val="24"/>
        </w:rPr>
        <w:t>A Hybrid CNN and ML Framework for Multi-modal Classification of Movement Disorders Using MRI and Brain Structural Features</w:t>
      </w:r>
    </w:p>
    <w:p>
      <w:r>
        <w:rPr>
          <w:rFonts w:ascii="Times New Roman" w:hAnsi="Times New Roman" w:eastAsia="宋体"/>
          <w:sz w:val="21"/>
        </w:rPr>
        <w:t>作者: the ASAP Neuroimaging Initiative</w:t>
        <w:br/>
      </w:r>
      <w:r>
        <w:rPr>
          <w:rFonts w:ascii="Times New Roman" w:hAnsi="Times New Roman" w:eastAsia="宋体"/>
          <w:sz w:val="21"/>
        </w:rPr>
        <w:t xml:space="preserve">时间: 2026-02-05T11:57:20Z | </w:t>
      </w:r>
      <w:r>
        <w:t xml:space="preserve">链接: </w:t>
      </w:r>
      <w:hyperlink r:id="rId154">
        <w:r>
          <w:rPr>
            <w:rFonts w:ascii="Times New Roman" w:hAnsi="Times New Roman" w:eastAsia="宋体"/>
            <w:color w:val="0000FF"/>
            <w:sz w:val="21"/>
            <w:u w:val="single"/>
          </w:rPr>
          <w:t>https://arxiv.org/abs/2602.05574v1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非典型帕金森病 (APD)，也称为帕金森综合症，是一组神经退行性疾病，包括进行性核上性麻痹 (PSP) 和多系统萎缩 (MSA)。在早期阶段，重叠的临床特征常常导致误诊为帕金森病（PD）。识别用于早期鉴别诊断的可靠的成像生物标志物仍然是一个严峻的挑战。在本研究中，我们提出了一种将卷积神经网络 (CNN) 与机器学习 (ML) 技术相结合的混合框架，以对 APD 亚型与 PD 进行分类，并区分亚型本身：PSP 与 PD、MSA 与 PD 以及 PSP 与 MSA。该模型利用多模态输入数据，包括 T1 加权磁共振成像 (MRI)、与 APD 相关的 12 个深层大脑结构的分割掩模及其相应的体积测量。通过集成这些互补模式（包括图像数据、结构分割掩模和定量体积特征），混合方法实现了良好的分类性能，PSP 与 PD 的曲线下面积 (AUC) 得分为 0.95，MSA 与 PD 的得分为 0.86，PSP 与 MSA 的曲线下面积 (AUC) 得分为 0.92。这些结果凸显了结合空间和结构信息以实现稳健的亚型分化的潜力。总之，本研究表明，将基于 CNN 的图像特征与基于体积的 ML 输入融合可以提高 APD 子类型的分类准确性。所提出的方法可能有助于更可靠的早期诊断，促进临床实践中及时和有针对性的干预。</w:t>
      </w:r>
    </w:p>
    <w:p>
      <w:pPr>
        <w:spacing w:before="120"/>
      </w:pPr>
      <w:r>
        <w:rPr>
          <w:rFonts w:ascii="Times New Roman" w:hAnsi="Times New Roman" w:eastAsia="宋体"/>
          <w:b/>
          <w:sz w:val="21"/>
        </w:rPr>
        <w:t>English Abstract:</w:t>
      </w:r>
    </w:p>
    <w:p>
      <w:r>
        <w:rPr>
          <w:rFonts w:ascii="Times New Roman" w:hAnsi="Times New Roman" w:eastAsia="宋体"/>
          <w:sz w:val="21"/>
        </w:rPr>
        <w:t>Atypical Parkinsonian Disorders (APD), also known as Parkinson-plus syndrome, are a group of neurodegenerative diseases that include progressive supranuclear palsy (PSP) and multiple system atrophy (MSA). In the early stages, overlapping clinical features often lead to misdiagnosis as Parkinson's disease (PD). Identifying reliable imaging biomarkers for early differential diagnosis remains a critical challenge. In this study, we propose a hybrid framework combining convolutional neural networks (CNNs) with machine learning (ML) techniques to classify APD subtypes versus PD and distinguish between the subtypes themselves: PSP vs. PD, MSA vs. PD, and PSP vs. MSA. The model leverages multi-modal input data, including T1-weighted magnetic resonance imaging (MRI), segmentation masks of 12 deep brain structures associated with APD, and their corresponding volumetric measurements. By integrating these complementary modalities, including image data, structural segmentation masks, and quantitative volume features, the hybrid approach achieved promising classification performance with area under the curve (AUC) scores of 0.95 for PSP vs. PD, 0.86 for MSA vs. PD, and 0.92 for PSP vs. MSA. These results highlight the potential of combining spatial and structural information for robust subtype differentiation. In conclusion, this study demonstrates that fusing CNN-based image features with volume-based ML inputs improves classification accuracy for APD subtypes. The proposed approach may contribute to more reliable early-stage diagnosis, facilitating timely and targeted interventions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LocateEdit-Bench：基于指令的编辑本地化基准</w:t>
      </w:r>
    </w:p>
    <w:p>
      <w:r>
        <w:rPr>
          <w:rFonts w:ascii="Times New Roman" w:hAnsi="Times New Roman" w:eastAsia="宋体"/>
          <w:b/>
          <w:color w:val="003264"/>
          <w:sz w:val="24"/>
        </w:rPr>
        <w:t>LocateEdit-Bench: A Benchmark for Instruction-Based Editing Localization</w:t>
      </w:r>
    </w:p>
    <w:p>
      <w:r>
        <w:rPr>
          <w:rFonts w:ascii="Times New Roman" w:hAnsi="Times New Roman" w:eastAsia="宋体"/>
          <w:sz w:val="21"/>
        </w:rPr>
        <w:t>作者: Yequan Wang</w:t>
        <w:br/>
      </w:r>
      <w:r>
        <w:rPr>
          <w:rFonts w:ascii="Times New Roman" w:hAnsi="Times New Roman" w:eastAsia="宋体"/>
          <w:sz w:val="21"/>
        </w:rPr>
        <w:t xml:space="preserve">时间: 2026-02-05T12:01:09Z | </w:t>
      </w:r>
      <w:r>
        <w:t xml:space="preserve">链接: </w:t>
      </w:r>
      <w:hyperlink r:id="rId155">
        <w:r>
          <w:rPr>
            <w:rFonts w:ascii="Times New Roman" w:hAnsi="Times New Roman" w:eastAsia="宋体"/>
            <w:color w:val="0000FF"/>
            <w:sz w:val="21"/>
            <w:u w:val="single"/>
          </w:rPr>
          <w:t>https://arxiv.org/abs/2602.05577v1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编辑的最新进展使得视觉内容的高度可控和语义感知的改变成为可能，这给操作本地化带来了前所未有的挑战。然而，现有的人工智能生成的伪造定位方法主要集中于基于修复的操作，这使得它们对最新的基于指令的编辑范例无效。为了弥补这一关键差距，我们提出了 LocateEdit-Bench，这是一个包含 231$K 编辑图像的大型数据集，专门用于针对指令驱动的图像编辑对本地化方法进行基准测试。我们的数据集包含四种前沿的编辑模型，涵盖三种常见的编辑类型。我们对数据集进行了详细分析，并开发了两种多指标评估协议来评估现有的定位方法。我们的工作为跟上图像编辑不断发展的格局奠定了基础，从而促进了未来伪造本地化有效方法的开发。数据集将在接受后开源。</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image editing have enabled highly controllable and semantically-aware alteration of visual content, posing unprecedented challenges to manipulation localization. However, existing AI-generated forgery localization methods primarily focus on inpainting-based manipulations, making them ineffective against the latest instruction-based editing paradigms. To bridge this critical gap, we propose LocateEdit-Bench, a large-scale dataset comprising $231$K edited images, designed specifically to benchmark localization methods against instruction-driven image editing. Our dataset incorporates four cutting-edge editing models and covers three common edit types. We conduct a detailed analysis of the dataset and develop two multi-metric evaluation protocols to assess existing localization methods. Our work establishes a foundation to keep pace with the evolving landscape of image editing, thereby facilitating the development of effective methods for future forgery localization. Dataset will be open-sourced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LoGoSeg：集成本地和全局特征以实现开放词汇语义分割</w:t>
      </w:r>
    </w:p>
    <w:p>
      <w:r>
        <w:rPr>
          <w:rFonts w:ascii="Times New Roman" w:hAnsi="Times New Roman" w:eastAsia="宋体"/>
          <w:b/>
          <w:color w:val="003264"/>
          <w:sz w:val="24"/>
        </w:rPr>
        <w:t>LoGoSeg: Integrating Local and Global Features for Open-Vocabulary Semantic Segmentation</w:t>
      </w:r>
    </w:p>
    <w:p>
      <w:r>
        <w:rPr>
          <w:rFonts w:ascii="Times New Roman" w:hAnsi="Times New Roman" w:eastAsia="宋体"/>
          <w:sz w:val="21"/>
        </w:rPr>
        <w:t>作者: Yiguo Qiao</w:t>
        <w:br/>
      </w:r>
      <w:r>
        <w:rPr>
          <w:rFonts w:ascii="Times New Roman" w:hAnsi="Times New Roman" w:eastAsia="宋体"/>
          <w:sz w:val="21"/>
        </w:rPr>
        <w:t xml:space="preserve">时间: 2026-02-05T12:03:11Z | </w:t>
      </w:r>
      <w:r>
        <w:t xml:space="preserve">链接: </w:t>
      </w:r>
      <w:hyperlink r:id="rId156">
        <w:r>
          <w:rPr>
            <w:rFonts w:ascii="Times New Roman" w:hAnsi="Times New Roman" w:eastAsia="宋体"/>
            <w:color w:val="0000FF"/>
            <w:sz w:val="21"/>
            <w:u w:val="single"/>
          </w:rPr>
          <w:t>https://arxiv.org/abs/2602.05578v1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 (OVSS) 通过使用任意文本描述对已见和未见类别进行像素级注释，扩展了传统的封闭集分割。虽然现有方法利用 CLIP 等视觉语言模型 (VLM)，但它们对图像级预训练的依赖通常会导致空间对齐不精确，从而导致模糊或混乱场景中的分割不匹配。然而，大多数现有方法缺乏强大的对象先验和区域级约束，这可能导致对象幻觉或漏检，进一步降低性能。为了应对这些挑战，我们提出了LoGoSeg，这是一种高效的单阶段框架，它集成了三个关键创新：（i）对象存在先验，通过全局图像文本相似性动态加权相关类别，有效减少幻觉； (ii) 区域感知对齐模块，可建立精确的区域级视觉文本对应关系； (iii)双流融合机制，将局部结构信息与全局语义上下文最佳地结合起来。与之前的工作不同，LoGoSeg 消除了对外部掩模建议、额外骨干网或额外数据集的需要，从而确保了效率。对六个基准（A-847、PC-459、A-150、PC-59、PAS-20 和 PAS-20b）的广泛实验证明了其在开放词汇设置中的竞争性能和强大的泛化能力。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(OVSS) extends traditional closed-set segmentation by enabling pixel-wise annotation for both seen and unseen categories using arbitrary textual descriptions. While existing methods leverage vision-language models (VLMs) like CLIP, their reliance on image-level pretraining often results in imprecise spatial alignment, leading to mismatched segmentations in ambiguous or cluttered scenes. However, most existing approaches lack strong object priors and region-level constraints, which can lead to object hallucination or missed detections, further degrading performance. To address these challenges, we propose LoGoSeg, an efficient single-stage framework that integrates three key innovations: (i) an object existence prior that dynamically weights relevant categories through global image-text similarity, effectively reducing hallucinations; (ii) a region-aware alignment module that establishes precise region-level visual-textual correspondences; and (iii) a dual-stream fusion mechanism that optimally combines local structural information with global semantic context. Unlike prior works, LoGoSeg eliminates the need for external mask proposals, additional backbones, or extra datasets, ensuring efficiency. Extensive experiments on six benchmarks (A-847, PC-459, A-150, PC-59, PAS-20, and PAS-20b) demonstrate its competitive performance and strong generalization in open-vocabulary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几何可观测性指数：SE(3) 姿态估计中每个特征灵敏度、弱可观测性和动态效应的算子理论框架</w:t>
      </w:r>
    </w:p>
    <w:p>
      <w:r>
        <w:rPr>
          <w:rFonts w:ascii="Times New Roman" w:hAnsi="Times New Roman" w:eastAsia="宋体"/>
          <w:b/>
          <w:color w:val="003264"/>
          <w:sz w:val="24"/>
        </w:rPr>
        <w:t>Geometric Observability Index: An Operator-Theoretic Framework for Per-Feature Sensitivity, Weak Observability, and Dynamic Effects in SE(3) Pose Estimation</w:t>
      </w:r>
    </w:p>
    <w:p>
      <w:r>
        <w:rPr>
          <w:rFonts w:ascii="Times New Roman" w:hAnsi="Times New Roman" w:eastAsia="宋体"/>
          <w:sz w:val="21"/>
        </w:rPr>
        <w:t>作者: Sheng-Wei Yu</w:t>
        <w:br/>
      </w:r>
      <w:r>
        <w:rPr>
          <w:rFonts w:ascii="Times New Roman" w:hAnsi="Times New Roman" w:eastAsia="宋体"/>
          <w:sz w:val="21"/>
        </w:rPr>
        <w:t xml:space="preserve">时间: 2026-02-05T12:12:00Z | </w:t>
      </w:r>
      <w:r>
        <w:t xml:space="preserve">链接: </w:t>
      </w:r>
      <w:hyperlink r:id="rId157">
        <w:r>
          <w:rPr>
            <w:rFonts w:ascii="Times New Roman" w:hAnsi="Times New Roman" w:eastAsia="宋体"/>
            <w:color w:val="0000FF"/>
            <w:sz w:val="21"/>
            <w:u w:val="single"/>
          </w:rPr>
          <w:t>https://arxiv.org/abs/2602.05582v1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我们提出了一个统一的算子理论框架，用于分析李群 SE(3) 上相机姿态估计中每个特征的敏感性。经典的敏感性工具——条件分析、欧几里得扰动论证和 Fisher 信息界限——不能解释单个图像特征如何影响姿态估计，也不能解释为什么动态或不一致的观察会不成比例地扭曲现代 SLAM 和运动结构系统。为了解决这一差距，我们将影响函数理论扩展到矩阵李群，并为 SE(3) 上的左平凡化 M 估计器推导了一个内在扰动算子。由此产生的几何可观测性指数 (GOI) 通过曲率算子和可观测子空间的李代数结构量化单个测量的贡献。 GOI 允许沿着可观测曲率的主方向进行谱分解，揭示弱可观测性和放大灵敏度之间的直接对应关系。在总体状态下，GOI 与 SE(3) 上的 Fisher 信息几何一致，产生 Cramer-Rao 界的单测量模拟。相同的光谱机制解释了经典的简并性，例如纯旋转和消失视差，以及沿弱曲率方向的动态特征放大。总体而言，GOI 提供了测量影响的几何一致描述，通过曲率算子的谱几何统一了条件分析、Fisher 信息几何、影响函数理论和动态场景可检测性。由于这些量直接出现在高斯-牛顿管道中，因此曲率谱和 GOI 还可以产生轻量级、免训练的诊断信号，用于识别动态特征并检测弱可观测性配置，而无需修改现有的 SLAM 架构。</w:t>
      </w:r>
    </w:p>
    <w:p>
      <w:pPr>
        <w:spacing w:before="120"/>
      </w:pPr>
      <w:r>
        <w:rPr>
          <w:rFonts w:ascii="Times New Roman" w:hAnsi="Times New Roman" w:eastAsia="宋体"/>
          <w:b/>
          <w:sz w:val="21"/>
        </w:rPr>
        <w:t>English Abstract:</w:t>
      </w:r>
    </w:p>
    <w:p>
      <w:r>
        <w:rPr>
          <w:rFonts w:ascii="Times New Roman" w:hAnsi="Times New Roman" w:eastAsia="宋体"/>
          <w:sz w:val="21"/>
        </w:rPr>
        <w:t>We present a unified operator-theoretic framework for analyzing per-feature sensitivity in camera pose estimation on the Lie group SE(3). Classical sensitivity tools - conditioning analyses, Euclidean perturbation arguments, and Fisher information bounds - do not explain how individual image features influence the pose estimate, nor why dynamic or inconsistent observations can disproportionately distort modern SLAM and structure-from-motion systems. To address this gap, we extend influence function theory to matrix Lie groups and derive an intrinsic perturbation operator for left-trivialized M-estimators on SE(3). The resulting Geometric Observability Index (GOI) quantifies the contribution of a single measurement through the curvature operator and the Lie algebraic structure of the observable subspace. GOI admits a spectral decomposition along the principal directions of the observable curvature, revealing a direct correspondence between weak observability and amplified sensitivity. In the population regime, GOI coincides with the Fisher information geometry on SE(3), yielding a single-measurement analogue of the Cramer-Rao bound. The same spectral mechanism explains classical degeneracies such as pure rotation and vanishing parallax, as well as dynamic feature amplification along weak curvature directions. Overall, GOI provides a geometrically consistent description of measurement influence that unifies conditioning analysis, Fisher information geometry, influence function theory, and dynamic scene detectability through the spectral geometry of the curvature operator. Because these quantities arise directly within Gauss-Newton pipelines, the curvature spectrum and GOI also yield lightweight, training-free diagnostic signals for identifying dynamic features and detecting weak observability configurations without modifying existing SLAM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用于分娩训练中稳健的人体模型定位的混合现实系统</w:t>
      </w:r>
    </w:p>
    <w:p>
      <w:r>
        <w:rPr>
          <w:rFonts w:ascii="Times New Roman" w:hAnsi="Times New Roman" w:eastAsia="宋体"/>
          <w:b/>
          <w:color w:val="003264"/>
          <w:sz w:val="24"/>
        </w:rPr>
        <w:t>A Mixed Reality System for Robust Manikin Localization in Childbirth Training</w:t>
      </w:r>
    </w:p>
    <w:p>
      <w:r>
        <w:rPr>
          <w:rFonts w:ascii="Times New Roman" w:hAnsi="Times New Roman" w:eastAsia="宋体"/>
          <w:sz w:val="21"/>
        </w:rPr>
        <w:t>作者: Eng Tat Khoo</w:t>
        <w:br/>
      </w:r>
      <w:r>
        <w:rPr>
          <w:rFonts w:ascii="Times New Roman" w:hAnsi="Times New Roman" w:eastAsia="宋体"/>
          <w:sz w:val="21"/>
        </w:rPr>
        <w:t xml:space="preserve">时间: 2026-02-05T12:17:05Z | </w:t>
      </w:r>
      <w:r>
        <w:t xml:space="preserve">链接: </w:t>
      </w:r>
      <w:hyperlink r:id="rId158">
        <w:r>
          <w:rPr>
            <w:rFonts w:ascii="Times New Roman" w:hAnsi="Times New Roman" w:eastAsia="宋体"/>
            <w:color w:val="0000FF"/>
            <w:sz w:val="21"/>
            <w:u w:val="single"/>
          </w:rPr>
          <w:t>https://arxiv.org/abs/2602.05588v1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临床轮转时间缩短、患者不愿意以及分娩的不可预测性，医学生获得阴道分娩实践经验的机会越来越受到限制。为了减轻临床医生的教学负担并提高学员的学习效率，我们引入了用于分娩培训的混合现实（MR）系统，该系统将虚拟指导与触觉模型交互相结合，从而保留真实的触觉反馈，同时无需持续的现场专家监督即可进行独立练习。该系统通过对外部 RGB-D 摄像头进行空间校准，扩展了商用头戴式显示器 (HMD) 的直通功能，从而实现物理训练对象的实时视觉集成。在此功能的基础上，我们实施了从粗到精的定位流程，首先将母体模型与基准标记对齐以定义分娩区域，然后在该区域内注册预扫描的新生儿头部。这一过程可以在人体模型附近实现虚拟引导手在空间上的精确覆盖，从而使受训者能够遵循通过触觉交互强化的专家轨迹。实验评估表明，该系统在独立耳机上实现了准确稳定的人体模型定位，确保在无需外部计算资源的情况下进行实际部署。随后进行了一项涉及 83 名四年级医学生的大规模用户研究，以比较基于 MR 和基于虚拟现实 (VR) 的分娩训练。四名高级产科医生使用标准化标准独立评估表现。结果表明，MR 培训在交付、交付后和整体任务绩效方面取得了显着更高的分数，并且始终比 VR 培训更受学员青睐。</w:t>
      </w:r>
    </w:p>
    <w:p>
      <w:pPr>
        <w:spacing w:before="120"/>
      </w:pPr>
      <w:r>
        <w:rPr>
          <w:rFonts w:ascii="Times New Roman" w:hAnsi="Times New Roman" w:eastAsia="宋体"/>
          <w:b/>
          <w:sz w:val="21"/>
        </w:rPr>
        <w:t>English Abstract:</w:t>
      </w:r>
    </w:p>
    <w:p>
      <w:r>
        <w:rPr>
          <w:rFonts w:ascii="Times New Roman" w:hAnsi="Times New Roman" w:eastAsia="宋体"/>
          <w:sz w:val="21"/>
        </w:rPr>
        <w:t>Opportunities for medical students to gain practical experience in vaginal births are increasingly constrained by shortened clinical rotations, patient reluctance, and the unpredictable nature of labour. To alleviate clinicians' instructional burden and enhance trainees' learning efficiency, we introduce a mixed reality (MR) system for childbirth training that combines virtual guidance with tactile manikin interaction, thereby preserving authentic haptic feedback while enabling independent practice without continuous on-site expert supervision. The system extends the passthrough capability of commercial head-mounted displays (HMDs) by spatially calibrating an external RGB-D camera, allowing real-time visual integration of physical training objects. Building on this capability, we implement a coarse-to-fine localization pipeline that first aligns the maternal manikin with fiducial markers to define a delivery region and then registers the pre-scanned neonatal head within this area. This process enables spatially accurate overlay of virtual guiding hands near the manikin, allowing trainees to follow expert trajectories reinforced by haptic interaction. Experimental evaluations demonstrate that the system achieves accurate and stable manikin localization on a standalone headset, ensuring practical deployment without external computing resources. A large-scale user study involving 83 fourth-year medical students was subsequently conducted to compare MR-based and virtual reality (VR)-based childbirth training. Four senior obstetricians independently assessed performance using standardized criteria. Results showed that MR training achieved significantly higher scores in delivery, post-delivery, and overall task performance, and was consistently preferred by trainees over VR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EgoPoseVR：虚拟现实中自我中心全身姿势的时空多模态推理</w:t>
      </w:r>
    </w:p>
    <w:p>
      <w:r>
        <w:rPr>
          <w:rFonts w:ascii="Times New Roman" w:hAnsi="Times New Roman" w:eastAsia="宋体"/>
          <w:b/>
          <w:color w:val="003264"/>
          <w:sz w:val="24"/>
        </w:rPr>
        <w:t>EgoPoseVR: Spatiotemporal Multi-Modal Reasoning for Egocentric Full-Body Pose in Virtual Reality</w:t>
      </w:r>
    </w:p>
    <w:p>
      <w:r>
        <w:rPr>
          <w:rFonts w:ascii="Times New Roman" w:hAnsi="Times New Roman" w:eastAsia="宋体"/>
          <w:sz w:val="21"/>
        </w:rPr>
        <w:t>作者: Eng Tat Khoo</w:t>
        <w:br/>
      </w:r>
      <w:r>
        <w:rPr>
          <w:rFonts w:ascii="Times New Roman" w:hAnsi="Times New Roman" w:eastAsia="宋体"/>
          <w:sz w:val="21"/>
        </w:rPr>
        <w:t xml:space="preserve">时间: 2026-02-05T12:17:35Z | </w:t>
      </w:r>
      <w:r>
        <w:t xml:space="preserve">链接: </w:t>
      </w:r>
      <w:hyperlink r:id="rId159">
        <w:r>
          <w:rPr>
            <w:rFonts w:ascii="Times New Roman" w:hAnsi="Times New Roman" w:eastAsia="宋体"/>
            <w:color w:val="0000FF"/>
            <w:sz w:val="21"/>
            <w:u w:val="single"/>
          </w:rPr>
          <w:t>https://arxiv.org/abs/2602.05590v1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沉浸式虚拟现实 (VR) 应用需要准确、时间连贯的全身姿势跟踪。最近基于头戴式摄像头的方法在以自我为中心的姿势估计方面显示出了前景，但在应用于 VR 头戴式显示器 (HMD) 时遇到了挑战，包括时间不稳定、下半身估计不准确以及缺乏实时性能。为了解决这些限制，我们提出了 EgoPoseVR，这是一种用于在 VR 中进行准确的以自我为中心的全身姿势估计的端到端框架，它通过双模态融合管道将耳机运动线索与以自我为中心的 RGB-D 观察相集成。时空编码器提取帧级和关节级表示，这些表示通过交叉注意力融合，以充分利用跨模态的互补运动线索。然后，运动学优化模块对 HMD 信号施加约束，从而提高位姿估计的准确性和稳定性。为了促进训练和评估，我们引入了一个大规模合成数据集，其中包含跨不同 VR 场景的超过 180 万个时间对齐的 HMD 和 RGB-D 帧。实验结果表明，EgoPoseVR 优于最先进的以自我为中心的姿势估计模型。现实世界场景中的用户研究进一步表明，与基线方法相比，EgoPoseVR 在准确性、稳定性、体现性和未来使用意图方面取得了显着更高的主观评分。这些结果表明，EgoPoseVR 可实现强大的全身姿势跟踪，为准确的 VR 实施提供实用的解决方案，而无需额外的身体佩戴传感器或房间规模的跟踪系统。</w:t>
      </w:r>
    </w:p>
    <w:p>
      <w:pPr>
        <w:spacing w:before="120"/>
      </w:pPr>
      <w:r>
        <w:rPr>
          <w:rFonts w:ascii="Times New Roman" w:hAnsi="Times New Roman" w:eastAsia="宋体"/>
          <w:b/>
          <w:sz w:val="21"/>
        </w:rPr>
        <w:t>English Abstract:</w:t>
      </w:r>
    </w:p>
    <w:p>
      <w:r>
        <w:rPr>
          <w:rFonts w:ascii="Times New Roman" w:hAnsi="Times New Roman" w:eastAsia="宋体"/>
          <w:sz w:val="21"/>
        </w:rPr>
        <w:t>Immersive virtual reality (VR) applications demand accurate, temporally coherent full-body pose tracking. Recent head-mounted camera-based approaches show promise in egocentric pose estimation, but encounter challenges when applied to VR head-mounted displays (HMDs), including temporal instability, inaccurate lower-body estimation, and the lack of real-time performance. To address these limitations, we present EgoPoseVR, an end-to-end framework for accurate egocentric full-body pose estimation in VR that integrates headset motion cues with egocentric RGB-D observations through a dual-modality fusion pipeline. A spatiotemporal encoder extracts frame- and joint-level representations, which are fused via cross-attention to fully exploit complementary motion cues across modalities. A kinematic optimization module then imposes constraints from HMD signals, enhancing the accuracy and stability of pose estimation. To facilitate training and evaluation, we introduce a large-scale synthetic dataset of over 1.8 million temporally aligned HMD and RGB-D frames across diverse VR scenarios. Experimental results show that EgoPoseVR outperforms state-of-the-art egocentric pose estimation models. A user study in real-world scenes further shows that EgoPoseVR achieved significantly higher subjective ratings in accuracy, stability, embodiment, and intention for future use compared to baseline methods. These results show that EgoPoseVR enables robust full-body pose tracking, offering a practical solution for accurate VR embodiment without requiring additional body-worn sensors or room-scale tracking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CAViT——用于动态特征融合的通道感知视觉转换器</w:t>
      </w:r>
    </w:p>
    <w:p>
      <w:r>
        <w:rPr>
          <w:rFonts w:ascii="Times New Roman" w:hAnsi="Times New Roman" w:eastAsia="宋体"/>
          <w:b/>
          <w:color w:val="003264"/>
          <w:sz w:val="24"/>
        </w:rPr>
        <w:t>CAViT -- Channel-Aware Vision Transformer for Dynamic Feature Fusion</w:t>
      </w:r>
    </w:p>
    <w:p>
      <w:r>
        <w:rPr>
          <w:rFonts w:ascii="Times New Roman" w:hAnsi="Times New Roman" w:eastAsia="宋体"/>
          <w:sz w:val="21"/>
        </w:rPr>
        <w:t>作者: Mohamed Saadeldin</w:t>
        <w:br/>
      </w:r>
      <w:r>
        <w:rPr>
          <w:rFonts w:ascii="Times New Roman" w:hAnsi="Times New Roman" w:eastAsia="宋体"/>
          <w:sz w:val="21"/>
        </w:rPr>
        <w:t xml:space="preserve">时间: 2026-02-05T12:33:09Z | </w:t>
      </w:r>
      <w:r>
        <w:t xml:space="preserve">链接: </w:t>
      </w:r>
      <w:hyperlink r:id="rId160">
        <w:r>
          <w:rPr>
            <w:rFonts w:ascii="Times New Roman" w:hAnsi="Times New Roman" w:eastAsia="宋体"/>
            <w:color w:val="0000FF"/>
            <w:sz w:val="21"/>
            <w:u w:val="single"/>
          </w:rPr>
          <w:t>https://arxiv.org/abs/2602.05598v1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视觉变压器（ViT）通过自注意力对远程空间交互进行建模，在一系列计算机视觉任务中表现出了强大的性能。然而，ViT 中的通道混合仍然是静态的，依赖于缺乏对输入内容适应性的固定多层感知器 (MLP)。我们引入了“CAViT”，这是一种双注意力架构，它用动态的、基于注意力的特征交互机制取代了静态 MLP。 CAViT 中的每个 Transformer 块执行空间自注意力，然后执行通道自注意力，允许模型根据全局图像上下文动态重新校准特征表示。这种统一且内容感知的令牌混合策略增强了表征表现力，而无需增加深度或复杂性。我们在涵盖自然和医学领域的五个基准数据集上验证了 CAViT，它的准确度比标准 ViT 基线高出 3.6%，同时将参数数量和 FLOP 减少了 30% 以上。定性注意力图揭示了更清晰且语义上有意义的激活模式，验证了我们的注意力驱动令牌混合的有效性。</w:t>
      </w:r>
    </w:p>
    <w:p>
      <w:pPr>
        <w:spacing w:before="120"/>
      </w:pPr>
      <w:r>
        <w:rPr>
          <w:rFonts w:ascii="Times New Roman" w:hAnsi="Times New Roman" w:eastAsia="宋体"/>
          <w:b/>
          <w:sz w:val="21"/>
        </w:rPr>
        <w:t>English Abstract:</w:t>
      </w:r>
    </w:p>
    <w:p>
      <w:r>
        <w:rPr>
          <w:rFonts w:ascii="Times New Roman" w:hAnsi="Times New Roman" w:eastAsia="宋体"/>
          <w:sz w:val="21"/>
        </w:rPr>
        <w:t>Vision Transformers (ViTs) have demonstrated strong performance across a range of computer vision tasks by modeling long-range spatial interactions via self-attention. However, channel-wise mixing in ViTs remains static, relying on fixed multilayer perceptrons (MLPs) that lack adaptability to input content. We introduce 'CAViT', a dual-attention architecture that replaces the static MLP with a dynamic, attention-based mechanism for feature interaction. Each Transformer block in CAViT performs spatial self-attention followed by channel-wise self-attention, allowing the model to dynamically recalibrate feature representations based on global image context. This unified and content-aware token mixing strategy enhances representational expressiveness without increasing depth or complexity. We validate CAViT across five benchmark datasets spanning both natural and medical domains, where it outperforms the standard ViT baseline by up to +3.6% in accuracy, while reducing parameter count and FLOPs by over 30%. Qualitative attention maps reveal sharper and semantically meaningful activation patterns, validating the effectiveness of our attention-driven token mixing.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自动驾驶统一传感器仿真</w:t>
      </w:r>
    </w:p>
    <w:p>
      <w:r>
        <w:rPr>
          <w:rFonts w:ascii="Times New Roman" w:hAnsi="Times New Roman" w:eastAsia="宋体"/>
          <w:b/>
          <w:color w:val="003264"/>
          <w:sz w:val="24"/>
        </w:rPr>
        <w:t>Unified Sensor Simulation for Autonomous Driving</w:t>
      </w:r>
    </w:p>
    <w:p>
      <w:r>
        <w:rPr>
          <w:rFonts w:ascii="Times New Roman" w:hAnsi="Times New Roman" w:eastAsia="宋体"/>
          <w:sz w:val="21"/>
        </w:rPr>
        <w:t>作者: Dmitry Senushkin</w:t>
        <w:br/>
      </w:r>
      <w:r>
        <w:rPr>
          <w:rFonts w:ascii="Times New Roman" w:hAnsi="Times New Roman" w:eastAsia="宋体"/>
          <w:sz w:val="21"/>
        </w:rPr>
        <w:t xml:space="preserve">时间: 2026-02-05T12:52:46Z | </w:t>
      </w:r>
      <w:r>
        <w:t xml:space="preserve">链接: </w:t>
      </w:r>
      <w:hyperlink r:id="rId161">
        <w:r>
          <w:rPr>
            <w:rFonts w:ascii="Times New Roman" w:hAnsi="Times New Roman" w:eastAsia="宋体"/>
            <w:color w:val="0000FF"/>
            <w:sz w:val="21"/>
            <w:u w:val="single"/>
          </w:rPr>
          <w:t>https://arxiv.org/abs/2602.05617v1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在这项工作中，我们介绍了 \textbf{XSIM}，一种用于自动驾驶的传感器模拟框架。 XSIM 通过专为自动驾驶应用定制的通用卷帘快门模型扩展了 3DGUT splatting。我们的框架为外观和几何传感器建模提供了统一且灵活的公式，从而能够在动态环境中渲染复杂的传感器变形。我们将球形相机（例如 LiDAR）确定为现有 3DGUT 泼溅的关键边缘情况，因为方位角边界处的循环投影和时间不连续性导致不正确的粒子投影。为了解决这个问题，我们提出了一种相位建模机制，该机制明确地考虑了无迹变换在方位角边界投影的高斯的时间和形状不连续性。此外，我们引入了扩展的 3D 高斯表示，它结合了两个不同的不透明度参数来解决几何和颜色分布之间的不匹配问题。因此，我们的框架提供了增强的场景表示，具有改进的几何一致性和逼真的外观。我们在多个自动驾驶数据集上广泛评估我们的框架，包括 Waymo Open Dataset、Argoverse 2 和 PandaSet。我们的框架始终优于近期的强大基线，并在所有数据集上实现了最先进的性能。源代码可在 \href{https://github.com/whesense/XSIM}{https://github.com/whesense/XSIM} 公开获取。</w:t>
      </w:r>
    </w:p>
    <w:p>
      <w:pPr>
        <w:spacing w:before="120"/>
      </w:pPr>
      <w:r>
        <w:rPr>
          <w:rFonts w:ascii="Times New Roman" w:hAnsi="Times New Roman" w:eastAsia="宋体"/>
          <w:b/>
          <w:sz w:val="21"/>
        </w:rPr>
        <w:t>English Abstract:</w:t>
      </w:r>
    </w:p>
    <w:p>
      <w:r>
        <w:rPr>
          <w:rFonts w:ascii="Times New Roman" w:hAnsi="Times New Roman" w:eastAsia="宋体"/>
          <w:sz w:val="21"/>
        </w:rPr>
        <w:t>In this work, we introduce \textbf{XSIM}, a sensor simulation framework for autonomous driving. XSIM extends 3DGUT splatting with a generalized rolling-shutter modeling tailored for autonomous driving applications. Our framework provides a unified and flexible formulation for appearance and geometric sensor modeling, enabling rendering of complex sensor distortions in dynamic environments. We identify spherical cameras, such as LiDARs, as a critical edge case for existing 3DGUT splatting due to cyclic projection and time discontinuities at azimuth boundaries leading to incorrect particle projection. To address this issue, we propose a phase modeling mechanism that explicitly accounts temporal and shape discontinuities of Gaussians projected by the Unscented Transform at azimuth borders. In addition, we introduce an extended 3D Gaussian representation that incorporates two distinct opacity parameters to resolve mismatches between geometry and color distributions. As a result, our framework provides enhanced scene representations with improved geometric consistency and photorealistic appearance. We evaluate our framework extensively on multiple autonomous driving datasets, including Waymo Open Dataset, Argoverse 2, and PandaSet. Our framework consistently outperforms strong recent baselines and achieves state-of-the-art performance across all datasets. The source code is publicly available at \href{https://github.com/whesense/XSIM}{https://github.com/whesense/XSIM}.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ShapeUP：可扩展的图像调节 3D 编辑</w:t>
      </w:r>
    </w:p>
    <w:p>
      <w:r>
        <w:rPr>
          <w:rFonts w:ascii="Times New Roman" w:hAnsi="Times New Roman" w:eastAsia="宋体"/>
          <w:b/>
          <w:color w:val="003264"/>
          <w:sz w:val="24"/>
        </w:rPr>
        <w:t>ShapeUP: Scalable Image-Conditioned 3D Editing</w:t>
      </w:r>
    </w:p>
    <w:p>
      <w:r>
        <w:rPr>
          <w:rFonts w:ascii="Times New Roman" w:hAnsi="Times New Roman" w:eastAsia="宋体"/>
          <w:sz w:val="21"/>
        </w:rPr>
        <w:t>作者: Daniel Cohen-Or</w:t>
        <w:br/>
      </w:r>
      <w:r>
        <w:rPr>
          <w:rFonts w:ascii="Times New Roman" w:hAnsi="Times New Roman" w:eastAsia="宋体"/>
          <w:sz w:val="21"/>
        </w:rPr>
        <w:t xml:space="preserve">时间: 2026-02-05T13:59:16Z | </w:t>
      </w:r>
      <w:r>
        <w:t xml:space="preserve">链接: </w:t>
      </w:r>
      <w:hyperlink r:id="rId162">
        <w:r>
          <w:rPr>
            <w:rFonts w:ascii="Times New Roman" w:hAnsi="Times New Roman" w:eastAsia="宋体"/>
            <w:color w:val="0000FF"/>
            <w:sz w:val="21"/>
            <w:u w:val="single"/>
          </w:rPr>
          <w:t>https://arxiv.org/abs/2602.05676v1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基础模型的最新进展已经能够生成高保真资产，但精确的 3D 操作仍然是一个重大挑战。现有的 3D 编辑框架通常面临视觉可控性、几何一致性和可扩展性之间的艰难权衡。具体来说，基于优化的方法速度极其缓慢，多视图 2D 传播技术会受到视觉漂移的影响，而免训练的潜在操纵方法本质上受到冻结先验的限制，无法直接从缩放中受益。在这项工作中，我们提出了 ShapeUP，这是一个可扩展的、图像调节的 3D 编辑框架，它将编辑制定为原生 3D 表示中的有监督的潜在到潜在的转换。该公式允许 ShapeUP 在预训练的 3D 基础模型上构建，利用其强大的生成先验，同时通过监督训练使其适应编辑。在实践中，ShapeUP 在由源 3D 形状、编辑的 2D 图像和相应的编辑的 3D 形状组成的三元组上进行训练，并使用 3D 扩散变压器 (DiT) 学习直接映射。这种图像即提示方法可以对本地和全局编辑进行细粒度的视觉控制，并实现隐式、无掩模本地化，同时保持与原始资产的严格结构一致性。我们的广泛评估表明，ShapeUP 在身份保存和编辑保真度方面始终优于当前经过培训和免培训的基线，为原生 3D 内容创建提供了强大且可扩展的范例。</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3D foundation models have enabled the generation of high-fidelity assets, yet precise 3D manipulation remains a significant challenge. Existing 3D editing frameworks often face a difficult trade-off between visual controllability, geometric consistency, and scalability. Specifically, optimization-based methods are prohibitively slow, multi-view 2D propagation techniques suffer from visual drift, and training-free latent manipulation methods are inherently bound by frozen priors and cannot directly benefit from scaling. In this work, we present ShapeUP, a scalable, image-conditioned 3D editing framework that formulates editing as a supervised latent-to-latent translation within a native 3D representation. This formulation allows ShapeUP to build on a pretrained 3D foundation model, leveraging its strong generative prior while adapting it to editing through supervised training. In practice, ShapeUP is trained on triplets consisting of a source 3D shape, an edited 2D image, and the corresponding edited 3D shape, and learns a direct mapping using a 3D Diffusion Transformer (DiT). This image-as-prompt approach enables fine-grained visual control over both local and global edits and achieves implicit, mask-free localization, while maintaining strict structural consistency with the original asset. Our extensive evaluations demonstrate that ShapeUP consistently outperforms current trained and training-free baselines in both identity preservation and edit fidelity, offering a robust and scalable paradigm for native 3D content creation.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海报：室外物联网系统的摄像头篡改检测</w:t>
      </w:r>
    </w:p>
    <w:p>
      <w:r>
        <w:rPr>
          <w:rFonts w:ascii="Times New Roman" w:hAnsi="Times New Roman" w:eastAsia="宋体"/>
          <w:b/>
          <w:color w:val="003264"/>
          <w:sz w:val="24"/>
        </w:rPr>
        <w:t>Poster: Camera Tampering Detection for Outdoor IoT Systems</w:t>
      </w:r>
    </w:p>
    <w:p>
      <w:r>
        <w:rPr>
          <w:rFonts w:ascii="Times New Roman" w:hAnsi="Times New Roman" w:eastAsia="宋体"/>
          <w:sz w:val="21"/>
        </w:rPr>
        <w:t>作者: Anna Förster</w:t>
        <w:br/>
      </w:r>
      <w:r>
        <w:rPr>
          <w:rFonts w:ascii="Times New Roman" w:hAnsi="Times New Roman" w:eastAsia="宋体"/>
          <w:sz w:val="21"/>
        </w:rPr>
        <w:t xml:space="preserve">时间: 2026-02-05T14:30:27Z | </w:t>
      </w:r>
      <w:r>
        <w:t xml:space="preserve">链接: </w:t>
      </w:r>
      <w:hyperlink r:id="rId163">
        <w:r>
          <w:rPr>
            <w:rFonts w:ascii="Times New Roman" w:hAnsi="Times New Roman" w:eastAsia="宋体"/>
            <w:color w:val="0000FF"/>
            <w:sz w:val="21"/>
            <w:u w:val="single"/>
          </w:rPr>
          <w:t>https://arxiv.org/abs/2602.05706v1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智能摄像头在户外环境中的使用不断增加，以改善监控和安全。尽管如此，这些系统很容易受到篡改，无论是故意破坏还是恶劣的环境条件，这可能会削弱其监控有效性。在这种情况下，当相机捕捉静态图像而不是视频时，检测相机篡改更具挑战性，因为随着时间的推移不存在连续帧序列。在本研究中，我们提出了两种检测篡改图像的方法：基于规则的方法和基于深度学习的方法。目的是评估每种方法在应用于现实场景时在准确性、计算需求和训练所需数据方面的表现。我们的结果表明，深度学习模型提供了更高的准确性，而基于规则的方法更适合资源有限且延长校准阶段不切实际的场景。我们还提供包含正常、模糊和旋转图像的公开数据集，以支持相机篡改检测方法的开发和评估，满足对此类资源的需求。</w:t>
      </w:r>
    </w:p>
    <w:p>
      <w:pPr>
        <w:spacing w:before="120"/>
      </w:pPr>
      <w:r>
        <w:rPr>
          <w:rFonts w:ascii="Times New Roman" w:hAnsi="Times New Roman" w:eastAsia="宋体"/>
          <w:b/>
          <w:sz w:val="21"/>
        </w:rPr>
        <w:t>English Abstract:</w:t>
      </w:r>
    </w:p>
    <w:p>
      <w:r>
        <w:rPr>
          <w:rFonts w:ascii="Times New Roman" w:hAnsi="Times New Roman" w:eastAsia="宋体"/>
          <w:sz w:val="21"/>
        </w:rPr>
        <w:t>Recently, the use of smart cameras in outdoor settings has grown to improve surveillance and security. Nonetheless, these systems are susceptible to tampering, whether from deliberate vandalism or harsh environmental conditions, which can undermine their monitoring effectiveness. In this context, detecting camera tampering is more challenging when a camera is capturing still images rather than video as there is no sequence of continuous frames over time. In this study, we propose two approaches for detecting tampered images: a rule-based method and a deep-learning-based method. The aim is to evaluate how each method performs in terms of accuracy, computational demands, and the data required for training when applied to real-world scenarios. Our results show that the deep-learning model provides higher accuracy, while the rule-based method is more appropriate for scenarios where resources are limited and a prolonged calibration phase is impractical. We also offer publicly available datasets with normal, blurred, and rotated images to support the development and evaluation of camera tampering detection methods, addressing the need for such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潜在空间的行为学</w:t>
      </w:r>
    </w:p>
    <w:p>
      <w:r>
        <w:rPr>
          <w:rFonts w:ascii="Times New Roman" w:hAnsi="Times New Roman" w:eastAsia="宋体"/>
          <w:b/>
          <w:color w:val="003264"/>
          <w:sz w:val="24"/>
        </w:rPr>
        <w:t>Ethology of Latent Spaces</w:t>
      </w:r>
    </w:p>
    <w:p>
      <w:r>
        <w:rPr>
          <w:rFonts w:ascii="Times New Roman" w:hAnsi="Times New Roman" w:eastAsia="宋体"/>
          <w:sz w:val="21"/>
        </w:rPr>
        <w:t>作者: Philippe Boisnard</w:t>
        <w:br/>
      </w:r>
      <w:r>
        <w:rPr>
          <w:rFonts w:ascii="Times New Roman" w:hAnsi="Times New Roman" w:eastAsia="宋体"/>
          <w:sz w:val="21"/>
        </w:rPr>
        <w:t xml:space="preserve">时间: 2026-02-05T14:37:31Z | </w:t>
      </w:r>
      <w:r>
        <w:t xml:space="preserve">链接: </w:t>
      </w:r>
      <w:hyperlink r:id="rId164">
        <w:r>
          <w:rPr>
            <w:rFonts w:ascii="Times New Roman" w:hAnsi="Times New Roman" w:eastAsia="宋体"/>
            <w:color w:val="0000FF"/>
            <w:sz w:val="21"/>
            <w:u w:val="single"/>
          </w:rPr>
          <w:t>https://arxiv.org/abs/2602.05710v1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通过对视觉语言模型（VLM）的算法行为采用行为学视角，挑战了视觉语言模型（VLM）中潜在空间的假定中立性。潜在空间不是构成同质不确定性的空间，而是表现出特定于模型的算法敏感性，被理解为由训练数据和架构选择形成的感知显着性的差异机制。通过对应用于 301 件艺术品（第 15 至 20 件）的语料库的三种模型（OpenAI CLIP、OpenCLIP LAION、SigLIP）进行比较分析，我们揭示了政治和文化类别归属方面的巨大差异。使用源自向量类比的双极语义轴（Mikolov 等人，2013），我们表明 SigLIP 将 59.4% 的艺术品归类为政治参与，而 OpenCLIP 仅为 4%。非洲面具在 SigLIP 中获得最高的政治得分，而在 OpenAI CLIP 中保持非政治性。在审美殖民轴上，模型间的差异达到 72.6 个百分点。我们引入三个操作概念：计算潜在政治化，描述政治类别的出现，无需有意编码；出现的偏差，无法简化为统计或规范偏差，只能通过对比分析才能检测到；以及三种算法范围机制：熵（LAION）、制度（OpenAI）和符号学（SigLIP），它们构建了不同的可见性模式。借鉴福柯的档案概念、詹姆森的意识形态和西蒙东的个性化理论，我们认为训练数据集起到了准档案的作用，其话语形式在潜在空间中结晶。这项工作有助于对 VLM 应用于数字艺术史的条件进行批判性的重新评估，并呼吁将学习架构整合到算法代理的任何文化解释委托中。</w:t>
      </w:r>
    </w:p>
    <w:p>
      <w:pPr>
        <w:spacing w:before="120"/>
      </w:pPr>
      <w:r>
        <w:rPr>
          <w:rFonts w:ascii="Times New Roman" w:hAnsi="Times New Roman" w:eastAsia="宋体"/>
          <w:b/>
          <w:sz w:val="21"/>
        </w:rPr>
        <w:t>English Abstract:</w:t>
      </w:r>
    </w:p>
    <w:p>
      <w:r>
        <w:rPr>
          <w:rFonts w:ascii="Times New Roman" w:hAnsi="Times New Roman" w:eastAsia="宋体"/>
          <w:sz w:val="21"/>
        </w:rPr>
        <w:t>This study challenges the presumed neutrality of latent spaces in vision language models (VLMs) by adopting an ethological perspective on their algorithmic behaviors. Rather than constituting spaces of homogeneous indeterminacy, latent spaces exhibit model-specific algorithmic sensitivities, understood as differential regimes of perceptual salience shaped by training data and architectural choices. Through a comparative analysis of three models (OpenAI CLIP, OpenCLIP LAION, SigLIP) applied to a corpus of 301 artworks (15th to 20th), we reveal substantial divergences in the attribution of political and cultural categories. Using bipolar semantic axes derived from vector analogies (Mikolov et al., 2013), we show that SigLIP classifies 59.4% of the artworks as politically engaged, compared to only 4% for OpenCLIP. African masks receive the highest political scores in SigLIP while remaining apolitical in OpenAI CLIP. On an aesthetic colonial axis, inter-model discrepancies reach 72.6 percentage points. We introduce three operational concepts: computational latent politicization, describing the emergence of political categories without intentional encoding; emergent bias, irreducible to statistical or normative bias and detectable only through contrastive analysis; and three algorithmic scopic regimes: entropic (LAION), institutional (OpenAI), and semiotic (SigLIP), which structure distinct modes of visibility. Drawing on Foucault's notion of the archive, Jameson's ideologeme, and Simondon's theory of individuation, we argue that training datasets function as quasi-archives whose discursive formations crystallize within latent space. This work contributes to a critical reassessment of the conditions under which VLMs are applied to digital art history and calls for methodologies that integrate learning architectures into any delegation of cultural interpretation to algorithmic agents.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ReText：文本促进基于图像的人员重新识别的泛化</w:t>
      </w:r>
    </w:p>
    <w:p>
      <w:r>
        <w:rPr>
          <w:rFonts w:ascii="Times New Roman" w:hAnsi="Times New Roman" w:eastAsia="宋体"/>
          <w:b/>
          <w:color w:val="003264"/>
          <w:sz w:val="24"/>
        </w:rPr>
        <w:t>ReText: Text Boosts Generalization in Image-Based Person Re-identification</w:t>
      </w:r>
    </w:p>
    <w:p>
      <w:r>
        <w:rPr>
          <w:rFonts w:ascii="Times New Roman" w:hAnsi="Times New Roman" w:eastAsia="宋体"/>
          <w:sz w:val="21"/>
        </w:rPr>
        <w:t>作者: Vadim Konushin</w:t>
        <w:br/>
      </w:r>
      <w:r>
        <w:rPr>
          <w:rFonts w:ascii="Times New Roman" w:hAnsi="Times New Roman" w:eastAsia="宋体"/>
          <w:sz w:val="21"/>
        </w:rPr>
        <w:t xml:space="preserve">时间: 2026-02-05T15:43:31Z | </w:t>
      </w:r>
      <w:r>
        <w:t xml:space="preserve">链接: </w:t>
      </w:r>
      <w:hyperlink r:id="rId165">
        <w:r>
          <w:rPr>
            <w:rFonts w:ascii="Times New Roman" w:hAnsi="Times New Roman" w:eastAsia="宋体"/>
            <w:color w:val="0000FF"/>
            <w:sz w:val="21"/>
            <w:u w:val="single"/>
          </w:rPr>
          <w:t>https://arxiv.org/abs/2602.05785v1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可推广的基于图像的行人重新识别 (Re-ID) 旨在在不可见的领域中跨摄像头识别个人，而无需重新训练。虽然多种现有方法通过复杂的架构来解决领域差距，但最近的研究结果表明，可以通过风格多样的单相机数据来实现更好的泛化。尽管此数据很容易收集，但由于跨视图变化最小，因此缺乏复杂性。我们提出了 ReText，这是一种在多摄像头 Re-ID 数据和单摄像头数据混合上进行训练的新颖方法，其中后者由文本描述补充以丰富语义线索。在训练过程中，ReText 联合优化了三个任务：（1）多摄像头数据上的 Re-ID，（2）图像文本匹配，以及（3）单摄像头数据上文本引导的图像重建。实验表明，ReText 实现了很强的泛化性，并且在跨域 Re-ID 基准测试上显着优于最先进的方法。据我们所知，这是第一个在基于图像的行人重识别中探索多摄像头和单摄像头数据混合的多模态联合学习的工作。</w:t>
      </w:r>
    </w:p>
    <w:p>
      <w:pPr>
        <w:spacing w:before="120"/>
      </w:pPr>
      <w:r>
        <w:rPr>
          <w:rFonts w:ascii="Times New Roman" w:hAnsi="Times New Roman" w:eastAsia="宋体"/>
          <w:b/>
          <w:sz w:val="21"/>
        </w:rPr>
        <w:t>English Abstract:</w:t>
      </w:r>
    </w:p>
    <w:p>
      <w:r>
        <w:rPr>
          <w:rFonts w:ascii="Times New Roman" w:hAnsi="Times New Roman" w:eastAsia="宋体"/>
          <w:sz w:val="21"/>
        </w:rPr>
        <w:t>Generalizable image-based person re-identification (Re-ID) aims to recognize individuals across cameras in unseen domains without retraining. While multiple existing approaches address the domain gap through complex architectures, recent findings indicate that better generalization can be achieved by stylistically diverse single-camera data. Although this data is easy to collect, it lacks complexity due to minimal cross-view variation. We propose ReText, a novel method trained on a mixture of multi-camera Re-ID data and single-camera data, where the latter is complemented by textual descriptions to enrich semantic cues. During training, ReText jointly optimizes three tasks: (1) Re-ID on multi-camera data, (2) image-text matching, and (3) image reconstruction guided by text on single-camera data. Experiments demonstrate that ReText achieves strong generalization and significantly outperforms state-of-the-art methods on cross-domain Re-ID benchmarks. To the best of our knowledge, this is the first work to explore multimodal joint learning on a mixture of multi-camera and single-camera data in image-based person Re-ID.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异中心感知器：通过框架实例化将异中心推理与自我中心视觉先验分开</w:t>
      </w:r>
    </w:p>
    <w:p>
      <w:r>
        <w:rPr>
          <w:rFonts w:ascii="Times New Roman" w:hAnsi="Times New Roman" w:eastAsia="宋体"/>
          <w:b/>
          <w:color w:val="003264"/>
          <w:sz w:val="24"/>
        </w:rPr>
        <w:t>Allocentric Perceiver: Disentangling Allocentric Reasoning from Egocentric Visual Priors via Frame Instantiation</w:t>
      </w:r>
    </w:p>
    <w:p>
      <w:r>
        <w:rPr>
          <w:rFonts w:ascii="Times New Roman" w:hAnsi="Times New Roman" w:eastAsia="宋体"/>
          <w:sz w:val="21"/>
        </w:rPr>
        <w:t>作者: Weiming Zhang</w:t>
        <w:br/>
      </w:r>
      <w:r>
        <w:rPr>
          <w:rFonts w:ascii="Times New Roman" w:hAnsi="Times New Roman" w:eastAsia="宋体"/>
          <w:sz w:val="21"/>
        </w:rPr>
        <w:t xml:space="preserve">时间: 2026-02-05T15:45:39Z | </w:t>
      </w:r>
      <w:r>
        <w:t xml:space="preserve">链接: </w:t>
      </w:r>
      <w:hyperlink r:id="rId166">
        <w:r>
          <w:rPr>
            <w:rFonts w:ascii="Times New Roman" w:hAnsi="Times New Roman" w:eastAsia="宋体"/>
            <w:color w:val="0000FF"/>
            <w:sz w:val="21"/>
            <w:u w:val="single"/>
          </w:rPr>
          <w:t>https://arxiv.org/abs/2602.05789v1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随着对视觉语言导航/动作等空间基础任务的需求不断增长，视觉语言模型（VLM）中的异中心感知能力越来越受到关注。然而，VLM 在需要显式视角转换的异中心空间查询上仍然很脆弱，其中答案取决于以目标为中心的框架中的推理，而不是观察到的摄像机视图。因此，我们引入了 Allocentric Perceiver，这是一种免训练策略，可以使用现成的几何专家从一个或多张图像中恢复度量 3D 状态，然后实例化与指令语义意图一致的查询条件的异中心参考系。通过确定性地将重建的几何图形转换为目标框架，并通过结构化的、基于几何图形的表示来提示主干 VLM，Allocentric Perceriver 将心理旋转从隐式推理转移到显式计算。我们在空间推理基准上评估了多个骨干系列的 Allocentric Perciver，在异中心任务上观察到一致且实质性的收益 ($\sim$10%)，同时保持强大的自我中心性能，并超越了空间感知微调模型和最先进的开源和专有模型。</w:t>
      </w:r>
    </w:p>
    <w:p>
      <w:pPr>
        <w:spacing w:before="120"/>
      </w:pPr>
      <w:r>
        <w:rPr>
          <w:rFonts w:ascii="Times New Roman" w:hAnsi="Times New Roman" w:eastAsia="宋体"/>
          <w:b/>
          <w:sz w:val="21"/>
        </w:rPr>
        <w:t>English Abstract:</w:t>
      </w:r>
    </w:p>
    <w:p>
      <w:r>
        <w:rPr>
          <w:rFonts w:ascii="Times New Roman" w:hAnsi="Times New Roman" w:eastAsia="宋体"/>
          <w:sz w:val="21"/>
        </w:rPr>
        <w:t>With the rising need for spatially grounded tasks such as Vision-Language Navigation/Action, allocentric perception capabilities in Vision-Language Models (VLMs) are receiving growing focus. However, VLMs remain brittle on allocentric spatial queries that require explicit perspective shifts, where the answer depends on reasoning in a target-centric frame rather than the observed camera view. Thus, we introduce Allocentric Perceiver, a training-free strategy that recovers metric 3D states from one or more images with off-the-shelf geometric experts, and then instantiates a query-conditioned allocentric reference frame aligned with the instruction's semantic intent. By deterministically transforming reconstructed geometry into the target frame and prompting the backbone VLM with structured, geometry-grounded representations, Allocentric Perceriver offloads mental rotation from implicit reasoning to explicit computation. We evaluate Allocentric Perciver across multiple backbone families on spatial reasoning benchmarks, observing consistent and substantial gains ($\sim$10%) on allocentric tasks while maintaining strong egocentric performance, and surpassing both spatial-perception-finetuned models and state-of-the-art open-source and proprietary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NVS-HO：手持物体新颖视图合成的基准</w:t>
      </w:r>
    </w:p>
    <w:p>
      <w:r>
        <w:rPr>
          <w:rFonts w:ascii="Times New Roman" w:hAnsi="Times New Roman" w:eastAsia="宋体"/>
          <w:b/>
          <w:color w:val="003264"/>
          <w:sz w:val="24"/>
        </w:rPr>
        <w:t>NVS-HO: A Benchmark for Novel View Synthesis of Handheld Objects</w:t>
      </w:r>
    </w:p>
    <w:p>
      <w:r>
        <w:rPr>
          <w:rFonts w:ascii="Times New Roman" w:hAnsi="Times New Roman" w:eastAsia="宋体"/>
          <w:sz w:val="21"/>
        </w:rPr>
        <w:t>作者: Luigi Di Stefano</w:t>
        <w:br/>
      </w:r>
      <w:r>
        <w:rPr>
          <w:rFonts w:ascii="Times New Roman" w:hAnsi="Times New Roman" w:eastAsia="宋体"/>
          <w:sz w:val="21"/>
        </w:rPr>
        <w:t xml:space="preserve">时间: 2026-02-05T16:13:53Z | </w:t>
      </w:r>
      <w:r>
        <w:t xml:space="preserve">链接: </w:t>
      </w:r>
      <w:hyperlink r:id="rId167">
        <w:r>
          <w:rPr>
            <w:rFonts w:ascii="Times New Roman" w:hAnsi="Times New Roman" w:eastAsia="宋体"/>
            <w:color w:val="0000FF"/>
            <w:sz w:val="21"/>
            <w:u w:val="single"/>
          </w:rPr>
          <w:t>https://arxiv.org/abs/2602.05822v1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 NVS-HO，这是第一个基准测试，旨在仅使用 RGB 输入在现实环境中对手持物体进行新颖的视图合成。每个对象都记录在两个互补的 RGB 序列中：(1) 手持序列，其中对象在静态摄像机前操纵；(2) 板序列，其中对象固定在 ChArUco 板上，通过标记检测提供准确的摄像机姿势。 NVS-HO 的目标是学习一个 NVS 模型，该模型从 (1) 中捕获对象的完整外观，而 (2) 提供用于评估的地面实况图像。为了建立基线，我们将经典的 SfM 管道和最先进的预训练前馈神经网络 (VGGT) 视为姿态估计器，并基于 NeRF 和高斯 Splatting 训练 NVS 模型。我们的实验揭示了当前方法在不受限制的手持条件下的显着性能差距，凸显了对更强大方法的需求。因此，NVS-HO 提供了一个具有挑战性的现实世界基准，以推动手持物体基于 RGB 的新颖视图合成的进步。</w:t>
      </w:r>
    </w:p>
    <w:p>
      <w:pPr>
        <w:spacing w:before="120"/>
      </w:pPr>
      <w:r>
        <w:rPr>
          <w:rFonts w:ascii="Times New Roman" w:hAnsi="Times New Roman" w:eastAsia="宋体"/>
          <w:b/>
          <w:sz w:val="21"/>
        </w:rPr>
        <w:t>English Abstract:</w:t>
      </w:r>
    </w:p>
    <w:p>
      <w:r>
        <w:rPr>
          <w:rFonts w:ascii="Times New Roman" w:hAnsi="Times New Roman" w:eastAsia="宋体"/>
          <w:sz w:val="21"/>
        </w:rPr>
        <w:t>We propose NVS-HO, the first benchmark designed for novel view synthesis of handheld objects in real-world environments using only RGB inputs. Each object is recorded in two complementary RGB sequences: (1) a handheld sequence, where the object is manipulated in front of a static camera, and (2) a board sequence, where the object is fixed on a ChArUco board to provide accurate camera poses via marker detection. The goal of NVS-HO is to learn a NVS model that captures the full appearance of an object from (1), whereas (2) provides the ground-truth images used for evaluation. To establish baselines, we consider both a classical SfM pipeline and a state-of-the-art pre-trained feed-forward neural network (VGGT) as pose estimators, and train NVS models based on NeRF and Gaussian Splatting. Our experiments reveal significant performance gaps in current methods under unconstrained handheld conditions, highlighting the need for more robust approaches. NVS-HO thus offers a challenging real-world benchmark to drive progress in RGB-based novel view synthesis of handheld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具有多任务潜在空间目标的自监督学习</w:t>
      </w:r>
    </w:p>
    <w:p>
      <w:r>
        <w:rPr>
          <w:rFonts w:ascii="Times New Roman" w:hAnsi="Times New Roman" w:eastAsia="宋体"/>
          <w:b/>
          <w:color w:val="003264"/>
          <w:sz w:val="24"/>
        </w:rPr>
        <w:t>Self-Supervised Learning with a Multi-Task Latent Space Objective</w:t>
      </w:r>
    </w:p>
    <w:p>
      <w:r>
        <w:rPr>
          <w:rFonts w:ascii="Times New Roman" w:hAnsi="Times New Roman" w:eastAsia="宋体"/>
          <w:sz w:val="21"/>
        </w:rPr>
        <w:t>作者: Marc Proesmans</w:t>
        <w:br/>
      </w:r>
      <w:r>
        <w:rPr>
          <w:rFonts w:ascii="Times New Roman" w:hAnsi="Times New Roman" w:eastAsia="宋体"/>
          <w:sz w:val="21"/>
        </w:rPr>
        <w:t xml:space="preserve">时间: 2026-02-05T16:33:30Z | </w:t>
      </w:r>
      <w:r>
        <w:t xml:space="preserve">链接: </w:t>
      </w:r>
      <w:hyperlink r:id="rId168">
        <w:r>
          <w:rPr>
            <w:rFonts w:ascii="Times New Roman" w:hAnsi="Times New Roman" w:eastAsia="宋体"/>
            <w:color w:val="0000FF"/>
            <w:sz w:val="21"/>
            <w:u w:val="single"/>
          </w:rPr>
          <w:t>https://arxiv.org/abs/2602.05845v1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基于孪生网络的自监督学习（SSL）方法通过对齐同一图像的不同视图来学习视觉表示。多作物策略将小型本地作物与全球作物相结合，增强了许多 SSL 框架，但导致基于预测器的架构（例如 BYOL、SimSiam 和 MoCo v3）不稳定。我们将这种失败追溯到所有视图中使用的共享预测器，并证明为每个视图类型分配单独的预测器可以稳定多作物训练，从而显着提高性能。扩展这个想法，我们将每个空间变换视为不同的对齐任务，并添加剪切视图，其中图像的一部分在编码之前被屏蔽。这产生了非对称 Siamese SSL 的简单多任务公式，它将全局、局部和屏蔽视图组合到单个框架中。该方法稳定，普遍适用于各主干网络，并持续提高 ImageNet 上 ResNet 和 ViT 模型的性能。</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methods based on Siamese networks learn visual representations by aligning different views of the same image. The multi-crop strategy, which incorporates small local crops to global ones, enhances many SSL frameworks but causes instability in predictor-based architectures such as BYOL, SimSiam, and MoCo v3. We trace this failure to the shared predictor used across all views and demonstrate that assigning a separate predictor to each view type stabilizes multi-crop training, resulting in significant performance gains. Extending this idea, we treat each spatial transformation as a distinct alignment task and add cutout views, where part of the image is masked before encoding. This yields a simple multi-task formulation of asymmetric Siamese SSL that combines global, local, and masked views into a single framework. The approach is stable, generally applicable across backbones, and consistently improves the performance of ResNet and ViT models on ImageNet.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自回归长视频生成的路径测试时间校正</w:t>
      </w:r>
    </w:p>
    <w:p>
      <w:r>
        <w:rPr>
          <w:rFonts w:ascii="Times New Roman" w:hAnsi="Times New Roman" w:eastAsia="宋体"/>
          <w:b/>
          <w:color w:val="003264"/>
          <w:sz w:val="24"/>
        </w:rPr>
        <w:t>Pathwise Test-Time Correction for Autoregressive Long Video Generation</w:t>
      </w:r>
    </w:p>
    <w:p>
      <w:r>
        <w:rPr>
          <w:rFonts w:ascii="Times New Roman" w:hAnsi="Times New Roman" w:eastAsia="宋体"/>
          <w:sz w:val="21"/>
        </w:rPr>
        <w:t>作者: Chunchao Guo</w:t>
        <w:br/>
      </w:r>
      <w:r>
        <w:rPr>
          <w:rFonts w:ascii="Times New Roman" w:hAnsi="Times New Roman" w:eastAsia="宋体"/>
          <w:sz w:val="21"/>
        </w:rPr>
        <w:t xml:space="preserve">时间: 2026-02-05T16:50:39Z | </w:t>
      </w:r>
      <w:r>
        <w:t xml:space="preserve">链接: </w:t>
      </w:r>
      <w:hyperlink r:id="rId169">
        <w:r>
          <w:rPr>
            <w:rFonts w:ascii="Times New Roman" w:hAnsi="Times New Roman" w:eastAsia="宋体"/>
            <w:color w:val="0000FF"/>
            <w:sz w:val="21"/>
            <w:u w:val="single"/>
          </w:rPr>
          <w:t>https://arxiv.org/abs/2602.05871v1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蒸馏自回归扩散模型有利于实时短视频合成，但在长序列生成过程中会遭受严重的错误积累。虽然现有的测试时间优化（TTO）方法被证明对图像或短片有效，但我们发现，由于不稳定的奖励景观和蒸馏参数的超敏性，它们无法减轻扩展序列中的漂移。为了克服这些限制，我们引入了测试时校正（TTC），这是一种免训练的替代方案。具体来说，TTC 利用初始帧作为稳定的参考锚点来校准沿采样轨迹的中间随机状态。大量实验表明，我们的方法与各种精炼模型无缝集成，以可忽略不计的开销延长了生成长度，同时在 30 秒基准上与基于资源密集型训练的方法的质量相匹配。</w:t>
      </w:r>
    </w:p>
    <w:p>
      <w:pPr>
        <w:spacing w:before="120"/>
      </w:pPr>
      <w:r>
        <w:rPr>
          <w:rFonts w:ascii="Times New Roman" w:hAnsi="Times New Roman" w:eastAsia="宋体"/>
          <w:b/>
          <w:sz w:val="21"/>
        </w:rPr>
        <w:t>English Abstract:</w:t>
      </w:r>
    </w:p>
    <w:p>
      <w:r>
        <w:rPr>
          <w:rFonts w:ascii="Times New Roman" w:hAnsi="Times New Roman" w:eastAsia="宋体"/>
          <w:sz w:val="21"/>
        </w:rPr>
        <w:t>Distilled autoregressive diffusion models facilitate real-time short video synthesis but suffer from severe error accumulation during long-sequence generation. While existing Test-Time Optimization (TTO) methods prove effective for images or short clips, we identify that they fail to mitigate drift in extended sequences due to unstable reward landscapes and the hypersensitivity of distilled parameters. To overcome these limitations, we introduce Test-Time Correction (TTC), a training-free alternative. Specifically, TTC utilizes the initial frame as a stable reference anchor to calibrate intermediate stochastic states along the sampling trajectory. Extensive experiments demonstrate that our method seamlessly integrates with various distilled models, extending generation lengths with negligible overhead while matching the quality of resource-intensive training-based methods on 30-second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在低数据范围内使用离散扩散进行轮廓细化</w:t>
      </w:r>
    </w:p>
    <w:p>
      <w:r>
        <w:rPr>
          <w:rFonts w:ascii="Times New Roman" w:hAnsi="Times New Roman" w:eastAsia="宋体"/>
          <w:b/>
          <w:color w:val="003264"/>
          <w:sz w:val="24"/>
        </w:rPr>
        <w:t>Contour Refinement using Discrete Diffusion in Low Data Regime</w:t>
      </w:r>
    </w:p>
    <w:p>
      <w:r>
        <w:rPr>
          <w:rFonts w:ascii="Times New Roman" w:hAnsi="Times New Roman" w:eastAsia="宋体"/>
          <w:sz w:val="21"/>
        </w:rPr>
        <w:t>作者: Steven Waslander</w:t>
        <w:br/>
      </w:r>
      <w:r>
        <w:rPr>
          <w:rFonts w:ascii="Times New Roman" w:hAnsi="Times New Roman" w:eastAsia="宋体"/>
          <w:sz w:val="21"/>
        </w:rPr>
        <w:t xml:space="preserve">时间: 2026-02-05T16:55:08Z | </w:t>
      </w:r>
      <w:r>
        <w:t xml:space="preserve">链接: </w:t>
      </w:r>
      <w:hyperlink r:id="rId170">
        <w:r>
          <w:rPr>
            <w:rFonts w:ascii="Times New Roman" w:hAnsi="Times New Roman" w:eastAsia="宋体"/>
            <w:color w:val="0000FF"/>
            <w:sz w:val="21"/>
            <w:u w:val="single"/>
          </w:rPr>
          <w:t>https://arxiv.org/abs/2602.05880v1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规则和半透明物体的边界检测是医学成像、环境监测和制造应用中的一个重要问题，其中许多应用都受到标记数据稀缺和原位计算资源低的困扰。虽然最近的图像分割研究侧重于分割掩模与地面实况的对齐，但边界检测的任务仍然没有得到充分研究，特别是在低数据情况下。在这项工作中，我们提出了一种轻量级离散扩散轮廓细化管道，用于低数据状态下的鲁棒边界检测。我们使用带有自注意力层的卷积神经网络（CNN）架构作为我们管道的核心，并以分割掩模为条件，迭代地对稀疏轮廓表示进行去噪。我们引入了多种新颖的适应方法，以提高低数据效率和推理效率，包括使用简化的扩散过程、定制的模型架构和最少的后处理，以在给定大小&lt;500个训练图像的数据集的情况下生成密集的、孤立的轮廓。我们的方法在医学成像数据集 KVASIR 上优于多个 SOTA 基线，在 HAM10K 和我们的自定义野火数据集 Smoke 上具有竞争力，同时将推理帧率提高了 3.5 倍。</w:t>
      </w:r>
    </w:p>
    <w:p>
      <w:pPr>
        <w:spacing w:before="120"/>
      </w:pPr>
      <w:r>
        <w:rPr>
          <w:rFonts w:ascii="Times New Roman" w:hAnsi="Times New Roman" w:eastAsia="宋体"/>
          <w:b/>
          <w:sz w:val="21"/>
        </w:rPr>
        <w:t>English Abstract:</w:t>
      </w:r>
    </w:p>
    <w:p>
      <w:r>
        <w:rPr>
          <w:rFonts w:ascii="Times New Roman" w:hAnsi="Times New Roman" w:eastAsia="宋体"/>
          <w:sz w:val="21"/>
        </w:rPr>
        <w:t>Boundary detection of irregular and translucent objects is an important problem with applications in medical imaging, environmental monitoring and manufacturing, where many of these applications are plagued with scarce labeled data and low in situ computational resources. While recent image segmentation studies focus on segmentation mask alignment with ground-truth, the task of boundary detection remains understudied, especially in the low data regime. In this work, we present a lightweight discrete diffusion contour refinement pipeline for robust boundary detection in the low data regime. We use a Convolutional Neural Network(CNN) architecture with self-attention layers as the core of our pipeline, and condition on a segmentation mask, iteratively denoising a sparse contour representation. We introduce multiple novel adaptations for improved low-data efficacy and inference efficiency, including using a simplified diffusion process, a customized model architecture, and minimal post processing to produce a dense, isolated contour given a dataset of size &lt;500 training images. Our method outperforms several SOTA baselines on the medical imaging dataset KVASIR, is competitive on HAM10K and our custom wildfire dataset, Smoke, while improving inference framerate by 3.5X.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EoCD：仅编码器遥感变化检测</w:t>
      </w:r>
    </w:p>
    <w:p>
      <w:r>
        <w:rPr>
          <w:rFonts w:ascii="Times New Roman" w:hAnsi="Times New Roman" w:eastAsia="宋体"/>
          <w:b/>
          <w:color w:val="003264"/>
          <w:sz w:val="24"/>
        </w:rPr>
        <w:t>EoCD: Encoder only Remote Sensing Change Detection</w:t>
      </w:r>
    </w:p>
    <w:p>
      <w:r>
        <w:rPr>
          <w:rFonts w:ascii="Times New Roman" w:hAnsi="Times New Roman" w:eastAsia="宋体"/>
          <w:sz w:val="21"/>
        </w:rPr>
        <w:t>作者: Salman Khan</w:t>
        <w:br/>
      </w:r>
      <w:r>
        <w:rPr>
          <w:rFonts w:ascii="Times New Roman" w:hAnsi="Times New Roman" w:eastAsia="宋体"/>
          <w:sz w:val="21"/>
        </w:rPr>
        <w:t xml:space="preserve">时间: 2026-02-05T16:58:42Z | </w:t>
      </w:r>
      <w:r>
        <w:t xml:space="preserve">链接: </w:t>
      </w:r>
      <w:hyperlink r:id="rId171">
        <w:r>
          <w:rPr>
            <w:rFonts w:ascii="Times New Roman" w:hAnsi="Times New Roman" w:eastAsia="宋体"/>
            <w:color w:val="0000FF"/>
            <w:sz w:val="21"/>
            <w:u w:val="single"/>
          </w:rPr>
          <w:t>https://arxiv.org/abs/2602.05882v1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时间分析的基石，变化检测在现代地球观测中一直发挥着关键作用。现有的变化检测方法依赖于连体编码器来单独提取时间特征，然后进行时间融合。随后，这些方法设计了复杂的解码器来提高变化检测性能，而不考虑模型的复杂性。上述这些问题加剧了总体计算成本以及网络的复杂性，这是不希望的。或者，很少有方法利用早期融合方案来组合时间图像。这些方法避免了暹罗编码器的额外开销，但是，它们也依赖于复杂的解码器来获得更好的性能。此外，与基于后期融合的方法相比，这些方法表现出较差的性能。为了弥补这些差距，我们引入了仅编码器变化检测（EoCD），这是一种简单有效的变化检测任务方法。所提出的方法执行时间数据的早期融合，并用无参数多尺度特征融合模块替换解码器，从而显着降低模型的整体复杂度。 EoCD 展示了各种编码器架构中变化检测性能和预测速度之间的最佳平衡。此外，EoCD 表明模型的性能主要取决于编码器网络，这使得解码器成为一个额外的组件。对四个具有挑战性的变化检测数据集的广泛实验揭示了所提出方法的有效性。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Being a cornerstone of temporal analysis, change detection has been playing a pivotal role in modern earth observation. Existing change detection methods rely on the Siamese encoder to individually extract temporal features followed by temporal fusion. Subsequently, these methods design sophisticated decoders to improve the change detection performance without taking into consideration the complexity of the model. These aforementioned issues intensify the overall computational cost as well as the network's complexity which is undesirable. Alternatively, few methods utilize the early fusion scheme to combine the temporal images. These methods prevent the extra overhead of Siamese encoder, however, they also rely on sophisticated decoders for better performance. In addition, these methods demonstrate inferior performance as compared to late fusion based methods. To bridge these gaps, we introduce encoder only change detection (EoCD) that is a simple and effective method for the change detection task. The proposed method performs the early fusion of the temporal data and replaces the decoder with a parameter-free multiscale feature fusion module thereby significantly reducing the overall complexity of the model. EoCD demonstrate the optimal balance between the change detection performance and the prediction speed across a variety of encoder architectures. Additionally, EoCD demonstrate that the performance of the model is predominantly dependent on the encoder network, making the decoder an additional component. Extensive experimentation on four challenging change detection datasets reveals the effectiveness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CLIP-Map：用于参数高效 CLIP 压缩的结构化矩阵映射</w:t>
      </w:r>
    </w:p>
    <w:p>
      <w:r>
        <w:rPr>
          <w:rFonts w:ascii="Times New Roman" w:hAnsi="Times New Roman" w:eastAsia="宋体"/>
          <w:b/>
          <w:color w:val="003264"/>
          <w:sz w:val="24"/>
        </w:rPr>
        <w:t>CLIP-Map: Structured Matrix Mapping for Parameter-Efficient CLIP Compression</w:t>
      </w:r>
    </w:p>
    <w:p>
      <w:r>
        <w:rPr>
          <w:rFonts w:ascii="Times New Roman" w:hAnsi="Times New Roman" w:eastAsia="宋体"/>
          <w:sz w:val="21"/>
        </w:rPr>
        <w:t>作者: Shaohui Lin</w:t>
        <w:br/>
      </w:r>
      <w:r>
        <w:rPr>
          <w:rFonts w:ascii="Times New Roman" w:hAnsi="Times New Roman" w:eastAsia="宋体"/>
          <w:sz w:val="21"/>
        </w:rPr>
        <w:t xml:space="preserve">时间: 2026-02-05T17:25:16Z | </w:t>
      </w:r>
      <w:r>
        <w:t xml:space="preserve">链接: </w:t>
      </w:r>
      <w:hyperlink r:id="rId172">
        <w:r>
          <w:rPr>
            <w:rFonts w:ascii="Times New Roman" w:hAnsi="Times New Roman" w:eastAsia="宋体"/>
            <w:color w:val="0000FF"/>
            <w:sz w:val="21"/>
            <w:u w:val="single"/>
          </w:rPr>
          <w:t>https://arxiv.org/abs/2602.05909v1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对比语言-图像预训练（CLIP）在各种计算机视觉任务中取得了广泛的应用，例如文本到图像生成、图像文本检索和图像字幕。然而，CLIP的内存和计算成本较高，这限制了其在资源有限的应用场景中的使用。现有的 CLIP 压缩方法通常通过选择其子集作为权重继承来减小预训练 CLIP 权重的大小，以便通过掩模优化或重要权重测量进一步重新训练。然而，这些基于选择的权重继承通常会损害特征呈现能力，尤其是在极端压缩时。在本文中，我们提出了一种新颖的基于映射的 CLIP 压缩框架，CLIP-Map。它利用可学习矩阵通过全映射和克罗内克分解来映射和组合预训练权重，旨在保留尽可能多的原始权重信息。为了减轻可学习映射带来的优化挑战，我们提出对角继承初始化来减少分布移位问题，从而实现高效且有效的映射学习。大量的实验结果表明，所提出的 CLIP-Map 在各种压缩比上都优于基于选择的框架，在高压缩设置下观察到特别显着的增益。</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achieved widely applications in various computer vision tasks, e.g., text-to-image generation, Image-Text retrieval and Image captioning. However, CLIP suffers from high memory and computation cost, which prohibits its usage to the resource-limited application scenarios. Existing CLIP compression methods typically reduce the size of pre-trained CLIP weights by selecting their subset as weight inheritance for further retraining via mask optimization or important weight measurement. However, these select-based weight inheritance often compromises the feature presentation ability, especially on the extreme compression. In this paper, we propose a novel mapping-based CLIP compression framework, CLIP-Map. It leverages learnable matrices to map and combine pretrained weights by Full-Mapping with Kronecker Factorization, aiming to preserve as much information from the original weights as possible. To mitigate the optimization challenges introduced by the learnable mapping, we propose Diagonal Inheritance Initialization to reduce the distribution shifting problem for efficient and effective mapping learning. Extensive experimental results demonstrate that the proposed CLIP-Map outperforms select-based frameworks across various compression ratios, with particularly significant gains observed under high compression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用于医学图像分割中持续测试时间适应的多尺度全局实例提示调整</w:t>
      </w:r>
    </w:p>
    <w:p>
      <w:r>
        <w:rPr>
          <w:rFonts w:ascii="Times New Roman" w:hAnsi="Times New Roman" w:eastAsia="宋体"/>
          <w:b/>
          <w:color w:val="003264"/>
          <w:sz w:val="24"/>
        </w:rPr>
        <w:t>Multi-Scale Global-Instance Prompt Tuning for Continual Test-time Adaptation in Medical Image Segmentation</w:t>
      </w:r>
    </w:p>
    <w:p>
      <w:r>
        <w:rPr>
          <w:rFonts w:ascii="Times New Roman" w:hAnsi="Times New Roman" w:eastAsia="宋体"/>
          <w:sz w:val="21"/>
        </w:rPr>
        <w:t>作者: Zhun Zhong</w:t>
        <w:br/>
      </w:r>
      <w:r>
        <w:rPr>
          <w:rFonts w:ascii="Times New Roman" w:hAnsi="Times New Roman" w:eastAsia="宋体"/>
          <w:sz w:val="21"/>
        </w:rPr>
        <w:t xml:space="preserve">时间: 2026-02-05T17:47:35Z | </w:t>
      </w:r>
      <w:r>
        <w:t xml:space="preserve">链接: </w:t>
      </w:r>
      <w:hyperlink r:id="rId173">
        <w:r>
          <w:rPr>
            <w:rFonts w:ascii="Times New Roman" w:hAnsi="Times New Roman" w:eastAsia="宋体"/>
            <w:color w:val="0000FF"/>
            <w:sz w:val="21"/>
            <w:u w:val="single"/>
          </w:rPr>
          <w:t>https://arxiv.org/abs/2602.05937v1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分布偏移是从不同临床中心获得的医学图像中的一个常见挑战，极大地阻碍了预训练语义分割模型在跨多个领域的实际应用中的部署。持续测试时间适应 (CTTA) 已成为解决不断发展的目标域期间跨域转移的一种有前景的方法。大多数现有的 CTTA 方法依赖于增量更新模型参数，这不可避免地会遭受错误积累和灾难性遗忘，特别是在长期适应过程中。最近基于提示调整的工作已经显示出通过仅更新视觉提示来缓解上述两个问题的潜力。虽然这些方法表现出了良好的性能，但仍然存在一些局限性：1）缺乏多尺度即时多样性，2）实例特定知识的结合不足，3）隐私泄露的风险。为了克服这些限制，我们提出了多尺度全局实例提示调整（MGIPT），以增强提示的尺度多样性并捕获全局和实例级知识以实现稳健的 CTTA。具体来说，MGIPT由自适应尺度实例提示（AIP）和多尺度全局级提示（MGP）组成。 AIP 动态学习轻量级和特定于实例的提示，以通过自适应最佳规模选择机制减轻错误累积。 MGP 捕获不同尺度的领域级知识，以确保具有防遗忘功能的稳健适应。这些互补的组成部分通过加权集成方法组合在一起，从而实现整合全球和本地信息的有效双层适应。对医学图像分割基准的大量实验表明，我们的 MGIPT 优于最先进的方法，在不断变化的目标领域中实现了强大的适应。</w:t>
      </w:r>
    </w:p>
    <w:p>
      <w:pPr>
        <w:spacing w:before="120"/>
      </w:pPr>
      <w:r>
        <w:rPr>
          <w:rFonts w:ascii="Times New Roman" w:hAnsi="Times New Roman" w:eastAsia="宋体"/>
          <w:b/>
          <w:sz w:val="21"/>
        </w:rPr>
        <w:t>English Abstract:</w:t>
      </w:r>
    </w:p>
    <w:p>
      <w:r>
        <w:rPr>
          <w:rFonts w:ascii="Times New Roman" w:hAnsi="Times New Roman" w:eastAsia="宋体"/>
          <w:sz w:val="21"/>
        </w:rPr>
        <w:t>Distribution shift is a common challenge in medical images obtained from different clinical centers, significantly hindering the deployment of pre-trained semantic segmentation models in real-world applications across multiple domains. Continual Test-Time Adaptation(CTTA) has emerged as a promising approach to address cross-domain shifts during continually evolving target domains. Most existing CTTA methods rely on incrementally updating model parameters, which inevitably suffer from error accumulation and catastrophic forgetting, especially in long-term adaptation. Recent prompt-tuning-based works have shown potential to mitigate the two issues above by updating only visual prompts. While these approaches have demonstrated promising performance, several limitations remain:1)lacking multi-scale prompt diversity, 2)inadequate incorporation of instance-specific knowledge, and 3)risk of privacy leakage. To overcome these limitations, we propose Multi-scale Global-Instance Prompt Tuning(MGIPT), to enhance scale diversity of prompts and capture both global- and instance-level knowledge for robust CTTA. Specifically, MGIPT consists of an Adaptive-scale Instance Prompt(AIP) and a Multi-scale Global-level Prompt(MGP). AIP dynamically learns lightweight and instance-specific prompts to mitigate error accumulation with adaptive optimal-scale selection mechanism. MGP captures domain-level knowledge across different scales to ensure robust adaptation with anti-forgetting capabilities. These complementary components are combined through a weighted ensemble approach, enabling effective dual-level adaptation that integrates both global and local information. Extensive experiments on medical image segmentation benchmarks demonstrate that our MGIPT outperforms state-of-the-art methods, achieving robust adaptation across continually changing target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更好的源，更好的流量：学习条件相关的源分布以进行流量匹配</w:t>
      </w:r>
    </w:p>
    <w:p>
      <w:r>
        <w:rPr>
          <w:rFonts w:ascii="Times New Roman" w:hAnsi="Times New Roman" w:eastAsia="宋体"/>
          <w:b/>
          <w:color w:val="003264"/>
          <w:sz w:val="24"/>
        </w:rPr>
        <w:t>Better Source, Better Flow: Learning Condition-Dependent Source Distribution for Flow Matching</w:t>
      </w:r>
    </w:p>
    <w:p>
      <w:r>
        <w:rPr>
          <w:rFonts w:ascii="Times New Roman" w:hAnsi="Times New Roman" w:eastAsia="宋体"/>
          <w:sz w:val="21"/>
        </w:rPr>
        <w:t>作者: Seungryong Kim</w:t>
        <w:br/>
      </w:r>
      <w:r>
        <w:rPr>
          <w:rFonts w:ascii="Times New Roman" w:hAnsi="Times New Roman" w:eastAsia="宋体"/>
          <w:sz w:val="21"/>
        </w:rPr>
        <w:t xml:space="preserve">时间: 2026-02-05T18:08:20Z | </w:t>
      </w:r>
      <w:r>
        <w:t xml:space="preserve">链接: </w:t>
      </w:r>
      <w:hyperlink r:id="rId174">
        <w:r>
          <w:rPr>
            <w:rFonts w:ascii="Times New Roman" w:hAnsi="Times New Roman" w:eastAsia="宋体"/>
            <w:color w:val="0000FF"/>
            <w:sz w:val="21"/>
            <w:u w:val="single"/>
          </w:rPr>
          <w:t>https://arxiv.org/abs/2602.05951v1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最近已成为基于扩散的生成模型的有前途的替代方案，特别是对于文本到图像的生成。尽管其在允许任意源分布方面具有灵活性，但大多数现有方法依赖于标准高斯分布，这是从扩散模型继承的选择，并且很少将源分布本身视为此类设置中的优化目标。在这项工作中，我们证明了源分布的原则性设计不仅是可行的，而且在现代文本到图像系统的规模上也是有益的。具体来说，我们建议在流量匹配目标下学习条件相关的源分布，以更好地利用丰富的调节信号。我们确定了直接将条件合并到源中时出现的关键故障模式，包括分布崩溃和不稳定性，并表明适当的方差正则化和源与目标之间的方向对齐对于稳定有效的学习至关重要。我们进一步分析了目标表示空间的选择如何影响与结构化源的流匹配，揭示了此类设计最有效的机制。跨多个文本到图像基准的广泛实验证明了一致和稳健的改进，包括 FID 收敛速度提高了 3 倍，突出了用于条件流匹配的原则性源分布设计的实际优势。</w:t>
      </w:r>
    </w:p>
    <w:p>
      <w:pPr>
        <w:spacing w:before="120"/>
      </w:pPr>
      <w:r>
        <w:rPr>
          <w:rFonts w:ascii="Times New Roman" w:hAnsi="Times New Roman" w:eastAsia="宋体"/>
          <w:b/>
          <w:sz w:val="21"/>
        </w:rPr>
        <w:t>English Abstract:</w:t>
      </w:r>
    </w:p>
    <w:p>
      <w:r>
        <w:rPr>
          <w:rFonts w:ascii="Times New Roman" w:hAnsi="Times New Roman" w:eastAsia="宋体"/>
          <w:sz w:val="21"/>
        </w:rPr>
        <w:t>Flow matching has recently emerged as a promising alternative to diffusion-based generative models, particularly for text-to-image generation. Despite its flexibility in allowing arbitrary source distributions, most existing approaches rely on a standard Gaussian distribution, a choice inherited from diffusion models, and rarely consider the source distribution itself as an optimization target in such settings. In this work, we show that principled design of the source distribution is not only feasible but also beneficial at the scale of modern text-to-image systems. Specifically, we propose learning a condition-dependent source distribution under flow matching objective that better exploit rich conditioning signals. We identify key failure modes that arise when directly incorporating conditioning into the source, including distributional collapse and instability, and show that appropriate variance regularization and directional alignment between source and target are critical for stable and effective learning. We further analyze how the choice of target representation space impacts flow matching with structured sources, revealing regimes in which such designs are most effective. Extensive experiments across multiple text-to-image benchmarks demonstrate consistent and robust improvements, including up to a 3x faster convergence in FID, highlighting the practical benefits of a principled source distribution design for conditional flow matching.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RISE-Video：视频生成器可以解码隐式世界规则吗？</w:t>
      </w:r>
    </w:p>
    <w:p>
      <w:r>
        <w:rPr>
          <w:rFonts w:ascii="Times New Roman" w:hAnsi="Times New Roman" w:eastAsia="宋体"/>
          <w:b/>
          <w:color w:val="003264"/>
          <w:sz w:val="24"/>
        </w:rPr>
        <w:t>RISE-Video: Can Video Generators Decode Implicit World Rules?</w:t>
      </w:r>
    </w:p>
    <w:p>
      <w:r>
        <w:rPr>
          <w:rFonts w:ascii="Times New Roman" w:hAnsi="Times New Roman" w:eastAsia="宋体"/>
          <w:sz w:val="21"/>
        </w:rPr>
        <w:t>作者: Xue Yang</w:t>
        <w:br/>
      </w:r>
      <w:r>
        <w:rPr>
          <w:rFonts w:ascii="Times New Roman" w:hAnsi="Times New Roman" w:eastAsia="宋体"/>
          <w:sz w:val="21"/>
        </w:rPr>
        <w:t xml:space="preserve">时间: 2026-02-05T18:36:10Z | </w:t>
      </w:r>
      <w:r>
        <w:t xml:space="preserve">链接: </w:t>
      </w:r>
      <w:hyperlink r:id="rId175">
        <w:r>
          <w:rPr>
            <w:rFonts w:ascii="Times New Roman" w:hAnsi="Times New Roman" w:eastAsia="宋体"/>
            <w:color w:val="0000FF"/>
            <w:sz w:val="21"/>
            <w:u w:val="single"/>
          </w:rPr>
          <w:t>https://arxiv.org/abs/2602.05986v1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虽然生成视频模型已经实现了卓越的视觉保真度，但它们内化和推理隐含世界规则的能力仍然是一个关键但尚未充分探索的前沿领域。为了弥补这一差距，我们推出了 RISE-Video，这是一种面向文本图像到视频 (TI2V) 合成的开创性推理导向基准，它将评估焦点从表面美学转移到深层认知推理。 RISE-Video 包含 467 个经过精心人工注释的样本，涵盖八个严格的类别，为探索不同维度的模型智能提供了一个结构化的测试平台，从常识和空间动态到专业学科领域。我们的框架引入了一个多维评估协议，由四个指标组成：\textit{推理对齐}、\textit{时间一致性}、\textit{物理理性}和\textit{视觉质量}。为了进一步支持可扩展的评估，我们提出了一个利用大型多模态模型（LMM）来模拟以人为中心的评估的自动化管道。对 11 个最先进的 TI2V 模型进行的广泛实验揭示了在隐式约束下模拟复杂场景时普遍存在的缺陷，为未来世界模拟生成模型的发展提供了重要的见解。</w:t>
      </w:r>
    </w:p>
    <w:p>
      <w:pPr>
        <w:spacing w:before="120"/>
      </w:pPr>
      <w:r>
        <w:rPr>
          <w:rFonts w:ascii="Times New Roman" w:hAnsi="Times New Roman" w:eastAsia="宋体"/>
          <w:b/>
          <w:sz w:val="21"/>
        </w:rPr>
        <w:t>English Abstract:</w:t>
      </w:r>
    </w:p>
    <w:p>
      <w:r>
        <w:rPr>
          <w:rFonts w:ascii="Times New Roman" w:hAnsi="Times New Roman" w:eastAsia="宋体"/>
          <w:sz w:val="21"/>
        </w:rPr>
        <w:t>While generative video models have achieved remarkable visual fidelity, their capacity to internalize and reason over implicit world rules remains a critical yet under-explored frontier. To bridge this gap, we present RISE-Video, a pioneering reasoning-oriented benchmark for Text-Image-to-Video (TI2V) synthesis that shifts the evaluative focus from surface-level aesthetics to deep cognitive reasoning. RISE-Video comprises 467 meticulously human-annotated samples spanning eight rigorous categories, providing a structured testbed for probing model intelligence across diverse dimensions, ranging from commonsense and spatial dynamics to specialized subject domains. Our framework introduces a multi-dimensional evaluation protocol consisting of four metrics: \textit{Reasoning Alignment}, \textit{Temporal Consistency}, \textit{Physical Rationality}, and \textit{Visual Quality}. To further support scalable evaluation, we propose an automated pipeline leveraging Large Multimodal Models (LMMs) to emulate human-centric assessment. Extensive experiments on 11 state-of-the-art TI2V models reveal pervasive deficiencies in simulating complex scenarios under implicit constraints, offering critical insights for the advancement of future world-simulating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MambaVF：高效视频融合的状态空间模型</w:t>
      </w:r>
    </w:p>
    <w:p>
      <w:r>
        <w:rPr>
          <w:rFonts w:ascii="Times New Roman" w:hAnsi="Times New Roman" w:eastAsia="宋体"/>
          <w:b/>
          <w:color w:val="003264"/>
          <w:sz w:val="24"/>
        </w:rPr>
        <w:t>MambaVF: State Space Model for Efficient Video Fusion</w:t>
      </w:r>
    </w:p>
    <w:p>
      <w:r>
        <w:rPr>
          <w:rFonts w:ascii="Times New Roman" w:hAnsi="Times New Roman" w:eastAsia="宋体"/>
          <w:sz w:val="21"/>
        </w:rPr>
        <w:t>作者: Konrad Schindler</w:t>
        <w:br/>
      </w:r>
      <w:r>
        <w:rPr>
          <w:rFonts w:ascii="Times New Roman" w:hAnsi="Times New Roman" w:eastAsia="宋体"/>
          <w:sz w:val="21"/>
        </w:rPr>
        <w:t xml:space="preserve">时间: 2026-02-05T18:53:47Z | </w:t>
      </w:r>
      <w:r>
        <w:t xml:space="preserve">链接: </w:t>
      </w:r>
      <w:hyperlink r:id="rId176">
        <w:r>
          <w:rPr>
            <w:rFonts w:ascii="Times New Roman" w:hAnsi="Times New Roman" w:eastAsia="宋体"/>
            <w:color w:val="0000FF"/>
            <w:sz w:val="21"/>
            <w:u w:val="single"/>
          </w:rPr>
          <w:t>https://arxiv.org/abs/2602.06017v1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视频融合是各种视频处理任务中的基本技术。然而，现有的视频融合方法严重依赖于光流估计和特征扭曲，导致严重的计算开销和有限的可扩展性。本文提出了 MambaVF，这是一种基于状态空间模型 (SSM) 的高效视频融合框架，无需显式运动估计即可执行时间建模。首先，通过将视频融合重新表述为顺序状态更新过程，MambaVF 以线性复杂度捕获长程时间依赖性，同时显着降低计算和内存成本。其次，MambaVF提出了一种基于SSM的轻量级融合模块，通过时空双向扫描机制取代传统的流引导对准。该模块可实现跨帧的高效信息聚合。跨多个基准的大量实验表明，我们的 MambaVF 在多重曝光、多焦点、红外可见光和医疗视频融合任务中实现了最先进的性能。我们强调，MambaVF 具有很高的效率，与现有方法相比，可减少高达 92.25% 的参数和 88.79% 的计算 FLOP，加速速度提高 2.1 倍。项目页面：https://mambavf.github.io</w:t>
      </w:r>
    </w:p>
    <w:p>
      <w:pPr>
        <w:spacing w:before="120"/>
      </w:pPr>
      <w:r>
        <w:rPr>
          <w:rFonts w:ascii="Times New Roman" w:hAnsi="Times New Roman" w:eastAsia="宋体"/>
          <w:b/>
          <w:sz w:val="21"/>
        </w:rPr>
        <w:t>English Abstract:</w:t>
      </w:r>
    </w:p>
    <w:p>
      <w:r>
        <w:rPr>
          <w:rFonts w:ascii="Times New Roman" w:hAnsi="Times New Roman" w:eastAsia="宋体"/>
          <w:sz w:val="21"/>
        </w:rPr>
        <w:t>Video fusion is a fundamental technique in various video processing tasks. However, existing video fusion methods heavily rely on optical flow estimation and feature warping, resulting in severe computational overhead and limited scalability. This paper presents MambaVF, an efficient video fusion framework based on state space models (SSMs) that performs temporal modeling without explicit motion estimation. First, by reformulating video fusion as a sequential state update process, MambaVF captures long-range temporal dependencies with linear complexity while significantly reducing computation and memory costs. Second, MambaVF proposes a lightweight SSM-based fusion module that replaces conventional flow-guided alignment via a spatio-temporal bidirectional scanning mechanism. This module enables efficient information aggregation across frames. Extensive experiments across multiple benchmarks demonstrate that our MambaVF achieves state-of-the-art performance in multi-exposure, multi-focus, infrared-visible, and medical video fusion tasks. We highlight that MambaVF enjoys high efficiency, reducing up to 92.25% of parameters and 88.79% of computational FLOPs and a 2.1x speedup compared to existing methods. Project page: https://mambavf.github.io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从空间推理的视角描述预测相机姿势</w:t>
      </w:r>
    </w:p>
    <w:p>
      <w:r>
        <w:rPr>
          <w:rFonts w:ascii="Times New Roman" w:hAnsi="Times New Roman" w:eastAsia="宋体"/>
          <w:b/>
          <w:color w:val="003264"/>
          <w:sz w:val="24"/>
        </w:rPr>
        <w:t>Predicting Camera Pose from Perspective Descriptions for Spatial Reasoning</w:t>
      </w:r>
    </w:p>
    <w:p>
      <w:r>
        <w:rPr>
          <w:rFonts w:ascii="Times New Roman" w:hAnsi="Times New Roman" w:eastAsia="宋体"/>
          <w:sz w:val="21"/>
        </w:rPr>
        <w:t>作者: Heng Ji</w:t>
        <w:br/>
      </w:r>
      <w:r>
        <w:rPr>
          <w:rFonts w:ascii="Times New Roman" w:hAnsi="Times New Roman" w:eastAsia="宋体"/>
          <w:sz w:val="21"/>
        </w:rPr>
        <w:t xml:space="preserve">时间: 2026-02-05T18:59:55Z | </w:t>
      </w:r>
      <w:r>
        <w:t xml:space="preserve">链接: </w:t>
      </w:r>
      <w:hyperlink r:id="rId177">
        <w:r>
          <w:rPr>
            <w:rFonts w:ascii="Times New Roman" w:hAnsi="Times New Roman" w:eastAsia="宋体"/>
            <w:color w:val="0000FF"/>
            <w:sz w:val="21"/>
            <w:u w:val="single"/>
          </w:rPr>
          <w:t>https://arxiv.org/abs/2602.06041v1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当前的多模态大语言模型（MLLM）来说，多图像空间推理仍然具有挑战性。虽然单视图感知本质上是二维的，但对多个视图的推理需要跨视点建立连贯的场景理解。特别是，我们研究观点采择，其中模型必须从多视图观察中建立连贯的 3D 理解，并使用它从新的、特定语言的角度进行推理。我们介绍了 CAMCUE，一种姿势感知的多图像框架，它使用相机姿势作为跨视图融合和新颖视图推理的显式几何锚点。 CAMCUE 将每个视图的姿势注入视觉标记中，将自然语言视点描述基于目标相机姿势，并合成姿势条件想象的目标视图以支持回答。为了支持这种设置，我们策划了 CAMCUE-DATA，其中包含 27,668 个训练实例和 508 个测试实例，这些实例与多视图图像配对，并具有不同的目标视点描述和视角转换问题。我们还在测试中包含人工注释的观点描述，以评估对人类语言的泛化。 CAMCUE 将整体准确度提高了 9.06%，并根据自然语言视点描述预测目标姿势，20° 内的旋转准确度超过 90%，平移准确度在 0.5 误差阈值内。这种直接接地避免了昂贵的测试时搜索和匹配，将每个示例的推理时间从 256.6 秒减少到 1.45 秒，并在现实场景中实现快速、交互式使用。</w:t>
      </w:r>
    </w:p>
    <w:p>
      <w:pPr>
        <w:spacing w:before="120"/>
      </w:pPr>
      <w:r>
        <w:rPr>
          <w:rFonts w:ascii="Times New Roman" w:hAnsi="Times New Roman" w:eastAsia="宋体"/>
          <w:b/>
          <w:sz w:val="21"/>
        </w:rPr>
        <w:t>English Abstract:</w:t>
      </w:r>
    </w:p>
    <w:p>
      <w:r>
        <w:rPr>
          <w:rFonts w:ascii="Times New Roman" w:hAnsi="Times New Roman" w:eastAsia="宋体"/>
          <w:sz w:val="21"/>
        </w:rPr>
        <w:t>Multi-image spatial reasoning remains challenging for current multimodal large language models (MLLMs). While single-view perception is inherently 2D, reasoning over multiple views requires building a coherent scene understanding across viewpoints. In particular, we study perspective taking, where a model must build a coherent 3D understanding from multi-view observations and use it to reason from a new, language-specified viewpoint. We introduce CAMCUE, a pose-aware multi-image framework that uses camera pose as an explicit geometric anchor for cross-view fusion and novel-view reasoning. CAMCUE injects per-view pose into visual tokens, grounds natural-language viewpoint descriptions to a target camera pose, and synthesizes a pose-conditioned imagined target view to support answering. To support this setting, we curate CAMCUE-DATA with 27,668 training and 508 test instances pairing multi-view images and poses with diverse target-viewpoint descriptions and perspective-shift questions. We also include human-annotated viewpoint descriptions in the test split to evaluate generalization to human language. CAMCUE improves overall accuracy by 9.06% and predicts target poses from natural-language viewpoint descriptions with over 90% rotation accuracy within 20° and translation accuracy within a 0.5 error threshold. This direct grounding avoids expensive test-time search-and-match, reducing inference time from 256.6s to 1.45s per example and enabling fast, interactive use in real-world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伪可逆神经网络</w:t>
      </w:r>
    </w:p>
    <w:p>
      <w:r>
        <w:rPr>
          <w:rFonts w:ascii="Times New Roman" w:hAnsi="Times New Roman" w:eastAsia="宋体"/>
          <w:b/>
          <w:color w:val="003264"/>
          <w:sz w:val="24"/>
        </w:rPr>
        <w:t>Pseudo-Invertible Neural Networks</w:t>
      </w:r>
    </w:p>
    <w:p>
      <w:r>
        <w:rPr>
          <w:rFonts w:ascii="Times New Roman" w:hAnsi="Times New Roman" w:eastAsia="宋体"/>
          <w:sz w:val="21"/>
        </w:rPr>
        <w:t>作者: Assaf Shocher</w:t>
        <w:br/>
      </w:r>
      <w:r>
        <w:rPr>
          <w:rFonts w:ascii="Times New Roman" w:hAnsi="Times New Roman" w:eastAsia="宋体"/>
          <w:sz w:val="21"/>
        </w:rPr>
        <w:t xml:space="preserve">时间: 2026-02-05T18:59:58Z | </w:t>
      </w:r>
      <w:r>
        <w:t xml:space="preserve">链接: </w:t>
      </w:r>
      <w:hyperlink r:id="rId178">
        <w:r>
          <w:rPr>
            <w:rFonts w:ascii="Times New Roman" w:hAnsi="Times New Roman" w:eastAsia="宋体"/>
            <w:color w:val="0000FF"/>
            <w:sz w:val="21"/>
            <w:u w:val="single"/>
          </w:rPr>
          <w:t>https://arxiv.org/abs/2602.06042v1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Moore-Penrose 伪逆 (PInv) 是线性系统的基本解。在本文中，我们提出了将 PInv 自然推广到一般非线性机制，特别是神经网络的方法。我们引入了满射伪可逆神经网络（SPNN），这是一类明确设计用于接纳易处理的非线性 PInv 的架构。所提出的非线性 PInv 及其在 SPNN 中的实现满足基本几何特性。其中一个属性是零空间投影或“反向投影”，$x' = x + A^\dagger(y-Ax)$，它将样本 $x$ 移动到其最接近的一致状态 $x'$ 满足 $Ax=y$。我们形式化了非线性反投影（NLBP），这是一种通过我们定义的 PInv 保证非线性映射 $f(x)=y$ 具有相同一致性约束的方法。我们利用 SPNN 来扩大零样本逆问题的范围。基于扩散的零空间投影通过利用封闭形式的反投影彻底改变了线性逆问题的零样本求解。我们将此方法扩展到非线性退化。在这里，“退化”被广泛概括为包括任何非线性信息丢失，从光学扭曲到分类等语义抽象。这种方法能够实现复杂退化的零样本反演，并允许对生成输出进行精确的语义控制，而无需重新训练扩散先验。</w:t>
      </w:r>
    </w:p>
    <w:p>
      <w:pPr>
        <w:spacing w:before="120"/>
      </w:pPr>
      <w:r>
        <w:rPr>
          <w:rFonts w:ascii="Times New Roman" w:hAnsi="Times New Roman" w:eastAsia="宋体"/>
          <w:b/>
          <w:sz w:val="21"/>
        </w:rPr>
        <w:t>English Abstract:</w:t>
      </w:r>
    </w:p>
    <w:p>
      <w:r>
        <w:rPr>
          <w:rFonts w:ascii="Times New Roman" w:hAnsi="Times New Roman" w:eastAsia="宋体"/>
          <w:sz w:val="21"/>
        </w:rPr>
        <w:t>The Moore-Penrose Pseudo-inverse (PInv) serves as the fundamental solution for linear systems. In this paper, we propose a natural generalization of PInv to the nonlinear regime in general and to neural networks in particular. We introduce Surjective Pseudo-invertible Neural Networks (SPNN), a class of architectures explicitly designed to admit a tractable non-linear PInv. The proposed non-linear PInv and its implementation in SPNN satisfy fundamental geometric properties. One such property is null-space projection or "Back-Projection", $x' = x + A^\dagger(y-Ax)$, which moves a sample $x$ to its closest consistent state $x'$ satisfying $Ax=y$. We formalize Non-Linear Back-Projection (NLBP), a method that guarantees the same consistency constraint for non-linear mappings $f(x)=y$ via our defined PInv. We leverage SPNNs to expand the scope of zero-shot inverse problems. Diffusion-based null-space projection has revolutionized zero-shot solving for linear inverse problems by exploiting closed-form back-projection. We extend this method to non-linear degradations. Here, "degradation" is broadly generalized to include any non-linear loss of information, spanning from optical distortions to semantic abstractions like classification. This approach enables zero-shot inversion of complex degradations and allows precise semantic control over generative outputs without retraining the diffusion prior.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共享 LoRA 子空间用于近乎严格的持续学习</w:t>
      </w:r>
    </w:p>
    <w:p>
      <w:r>
        <w:rPr>
          <w:rFonts w:ascii="Times New Roman" w:hAnsi="Times New Roman" w:eastAsia="宋体"/>
          <w:b/>
          <w:color w:val="003264"/>
          <w:sz w:val="24"/>
        </w:rPr>
        <w:t>Shared LoRA Subspaces for almost Strict Continual Learning</w:t>
      </w:r>
    </w:p>
    <w:p>
      <w:r>
        <w:rPr>
          <w:rFonts w:ascii="Times New Roman" w:hAnsi="Times New Roman" w:eastAsia="宋体"/>
          <w:sz w:val="21"/>
        </w:rPr>
        <w:t>作者: Alan Yuille</w:t>
        <w:br/>
      </w:r>
      <w:r>
        <w:rPr>
          <w:rFonts w:ascii="Times New Roman" w:hAnsi="Times New Roman" w:eastAsia="宋体"/>
          <w:sz w:val="21"/>
        </w:rPr>
        <w:t xml:space="preserve">时间: 2026-02-05T18:59:58Z | </w:t>
      </w:r>
      <w:r>
        <w:t xml:space="preserve">链接: </w:t>
      </w:r>
      <w:hyperlink r:id="rId179">
        <w:r>
          <w:rPr>
            <w:rFonts w:ascii="Times New Roman" w:hAnsi="Times New Roman" w:eastAsia="宋体"/>
            <w:color w:val="0000FF"/>
            <w:sz w:val="21"/>
            <w:u w:val="single"/>
          </w:rPr>
          <w:t>https://arxiv.org/abs/2602.06043v1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效、持续地使大型预训练模型适应新任务对于现实世界的部署至关重要，但由于灾难性遗忘和再训练的高昂成本，仍然具有挑战性。虽然像低阶自适应（LoRA）这样的参数高效调整方法可以减少计算需求，但它们缺乏严格的持续学习和知识集成的机制，而不依赖于数据重放或多个适配器。我们提出了 Share，这是一种参数高效持续微调的新颖方法，可以学习并动态更新单个共享的低秩子空间，从而实现跨多个任务和模式的无缝适应。 Share 构建了一个基础子空间，从过去的任务中提取核心知识，并通过识别基本的子空间方向逐步集成新信息。每个新任务的知识都被纳入这个不断发展的子空间中，促进向前的知识转移，同时最大限度地减少灾难性干扰。与传统 LoRA 方法相比，该方法可减少高达 100 倍的参数并节省 281 倍的内存，保持与联合训练模型相当的性能。单个共享模型可以取代数百个特定于任务的 LoRA 适配器，支持可扩展的异步持续学习。图像分类、自然语言理解、3D 姿态估计和文本到图像生成的实验验证了其有效性，使 Share 成为大规模 AI 系统中终身学习的实用且可扩展的解决方案。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Adapting large pretrained models to new tasks efficiently and continually is crucial for real-world deployment but remains challenging due to catastrophic forgetting and the high cost of retraining. While parameter-efficient tuning methods like low rank adaptation (LoRA) reduce computational demands, they lack mechanisms for strict continual learning and knowledge integration, without relying on data replay, or multiple adapters. We propose Share, a novel approach to parameter efficient continual finetuning that learns and dynamically updates a single, shared low-rank subspace, enabling seamless adaptation across multiple tasks and modalities. Share constructs a foundational subspace that extracts core knowledge from past tasks and incrementally integrates new information by identifying essential subspace directions. Knowledge from each new task is incorporated into this evolving subspace, facilitating forward knowledge transfer, while minimizing catastrophic interference. This approach achieves up to 100x parameter reduction and 281x memory savings over traditional LoRA methods, maintaining performance comparable to jointly trained models. A single Share model can replace hundreds of task-specific LoRA adapters, supporting scalable, asynchronous continual learning. Experiments across image classification, natural language understanding, 3D pose estimation, and text-to-image generation validate its effectiveness, making Share a practical and scalable solution for lifelong learning in large-scale AI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11:31 ---</w:t>
      </w:r>
    </w:p>
    <w:p>
      <w:pPr>
        <w:pStyle w:val="Heading2"/>
      </w:pPr>
      <w:r/>
      <w:r>
        <w:rPr>
          <w:rFonts w:ascii="Times New Roman" w:hAnsi="Times New Roman" w:eastAsia="宋体"/>
          <w:b/>
          <w:color w:val="000000"/>
          <w:sz w:val="24"/>
        </w:rPr>
        <w:t>ShapePuri：形状引导和外观广义对抗性净化</w:t>
      </w:r>
    </w:p>
    <w:p>
      <w:r>
        <w:rPr>
          <w:rFonts w:ascii="Times New Roman" w:hAnsi="Times New Roman" w:eastAsia="宋体"/>
          <w:b/>
          <w:color w:val="003264"/>
          <w:sz w:val="24"/>
        </w:rPr>
        <w:t>ShapePuri: Shape Guided and Appearance Generalized Adversarial Purification</w:t>
      </w:r>
    </w:p>
    <w:p>
      <w:r>
        <w:rPr>
          <w:rFonts w:ascii="Times New Roman" w:hAnsi="Times New Roman" w:eastAsia="宋体"/>
          <w:sz w:val="21"/>
        </w:rPr>
        <w:t>作者: Bernhard Kainz</w:t>
        <w:br/>
      </w:r>
      <w:r>
        <w:rPr>
          <w:rFonts w:ascii="Times New Roman" w:hAnsi="Times New Roman" w:eastAsia="宋体"/>
          <w:sz w:val="21"/>
        </w:rPr>
        <w:t xml:space="preserve">时间: 2026-02-05T01:07:27Z | </w:t>
      </w:r>
      <w:r>
        <w:t xml:space="preserve">链接: </w:t>
      </w:r>
      <w:hyperlink r:id="rId180">
        <w:r>
          <w:rPr>
            <w:rFonts w:ascii="Times New Roman" w:hAnsi="Times New Roman" w:eastAsia="宋体"/>
            <w:color w:val="0000FF"/>
            <w:sz w:val="21"/>
            <w:u w:val="single"/>
          </w:rPr>
          <w:t>https://arxiv.org/abs/2602.05175v1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在视觉识别方面表现出令人印象深刻的性能，但它们仍然容易受到人类无法察觉的对抗性攻击。尽管对抗性训练和净化等现有的防御策略已经取得了进展，但基于扩散的净化往往涉及高昂的计算成本和信息丢失。为了应对这些挑战，我们引入了形状引导纯化（ShapePuri），这是一种新颖的防御框架，通过将模型表示与稳定的结构不变量对齐来增强鲁棒性。 ShapePuri 集成了两个组件：形状编码模块 (SEM)，通过有符号距离函数 (SDF) 提供密集的几何指导；全局外观去偏差 (GAD) 模块，通过随机变换减轻外观偏差。在我们的实验中，ShapePuri 在 AutoAttack 协议下实现了 $84.06\%$ 的干净准确度和 $81.64\%$ 的稳健准确度，代表了第一个超过该基准测试 $80\%$ 阈值的防御框架。我们的方法提供了一种可扩展且高效的对抗性防御，可以在推理过程中保持预测稳定性，而不需要辅助模块或额外的计算成本。</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demonstrate impressive performance in visual recognition, but they remain vulnerable to adversarial attacks that is imperceptible to the human. Although existing defense strategies such as adversarial training and purification have achieved progress, diffusion-based purification often involves high computational costs and information loss. To address these challenges, we introduce Shape Guided Purification (ShapePuri), a novel defense framework enhances robustness by aligning model representations with stable structural invariants. ShapePuri integrates two components: a Shape Encoding Module (SEM) that provides dense geometric guidance through Signed Distance Functions (SDF), and a Global Appearance Debiasing (GAD) module that mitigates appearance bias via stochastic transformations. In our experiments, ShapePuri achieves $84.06\%$ clean accuracy and $81.64\%$ robust accuracy under the AutoAttack protocol, representing the first defense framework to surpass the $80\%$ threshold on this benchmark. Our approach provides a scalable and efficient adversarial defense that preserves prediction stability during inference without requiring auxiliary modules or additional computational cost.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通过嵌入优化实现蛋白质扩散模型的鲁棒推理时间控制</w:t>
      </w:r>
    </w:p>
    <w:p>
      <w:r>
        <w:rPr>
          <w:rFonts w:ascii="Times New Roman" w:hAnsi="Times New Roman" w:eastAsia="宋体"/>
          <w:b/>
          <w:color w:val="003264"/>
          <w:sz w:val="24"/>
        </w:rPr>
        <w:t>Robust Inference-Time Steering of Protein Diffusion Models via Embedding Optimization</w:t>
      </w:r>
    </w:p>
    <w:p>
      <w:r>
        <w:rPr>
          <w:rFonts w:ascii="Times New Roman" w:hAnsi="Times New Roman" w:eastAsia="宋体"/>
          <w:sz w:val="21"/>
        </w:rPr>
        <w:t>作者: Luhuan Wu</w:t>
        <w:br/>
      </w:r>
      <w:r>
        <w:rPr>
          <w:rFonts w:ascii="Times New Roman" w:hAnsi="Times New Roman" w:eastAsia="宋体"/>
          <w:sz w:val="21"/>
        </w:rPr>
        <w:t xml:space="preserve">时间: 2026-02-05T04:13:33Z | </w:t>
      </w:r>
      <w:r>
        <w:t xml:space="preserve">链接: </w:t>
      </w:r>
      <w:hyperlink r:id="rId181">
        <w:r>
          <w:rPr>
            <w:rFonts w:ascii="Times New Roman" w:hAnsi="Times New Roman" w:eastAsia="宋体"/>
            <w:color w:val="0000FF"/>
            <w:sz w:val="21"/>
            <w:u w:val="single"/>
          </w:rPr>
          <w:t>https://arxiv.org/abs/2602.05285v1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许多生物物理逆问题中，目标是生成物理上合理且与实验测量结果一致的生物分子构象。由于最近的序列到结构扩散模型提供了强大的数据驱动先验，后验采样已成为一种流行的框架，通过使用实验可能性引导原子坐标到目标构象。然而，当目标位于先验的低密度区域时，后验采样需要对似然指导进行积极而脆弱的加权。受此限制的启发，我们提出了 EmbedOpt，这是一种用于引导扩散模型的替代推理时间方法，以优化条件嵌入空间中的实验可能性。由于该空间编码丰富的序列和共同进化信号，因此对其进行优化可以有效地改变扩散，从而与实验约束保持一致。我们在模拟冷冻电子显微镜图拟合和实验距离约束的两个基准上验证 EmbedOpt。我们表明，EmbedOpt 在地图拟合任务中优于基于坐标的后验采样方法，与距离约束任务的性能相匹配，并且在跨两个数量级的超参数上表现出卓越的工程鲁棒性。此外，其平滑的优化行为可以显着减少推理所需的扩散步骤数量，从而提高效率。</w:t>
      </w:r>
    </w:p>
    <w:p>
      <w:pPr>
        <w:spacing w:before="120"/>
      </w:pPr>
      <w:r>
        <w:rPr>
          <w:rFonts w:ascii="Times New Roman" w:hAnsi="Times New Roman" w:eastAsia="宋体"/>
          <w:b/>
          <w:sz w:val="21"/>
        </w:rPr>
        <w:t>English Abstract:</w:t>
      </w:r>
    </w:p>
    <w:p>
      <w:r>
        <w:rPr>
          <w:rFonts w:ascii="Times New Roman" w:hAnsi="Times New Roman" w:eastAsia="宋体"/>
          <w:sz w:val="21"/>
        </w:rPr>
        <w:t>In many biophysical inverse problems, the goal is to generate biomolecular conformations that are both physically plausible and consistent with experimental measurements. As recent sequence-to-structure diffusion models provide powerful data-driven priors, posterior sampling has emerged as a popular framework by guiding atomic coordinates to target conformations using experimental likelihoods. However, when the target lies in a low-density region of the prior, posterior sampling requires aggressive and brittle weighting of the likelihood guidance. Motivated by this limitation, we propose EmbedOpt, an alternative inference-time approach for steering diffusion models to optimize experimental likelihoods in the conditional embedding space. As this space encodes rich sequence and coevolutionary signals, optimizing over it effectively shifts the diffusion prior to align with experimental constraints. We validate EmbedOpt on two benchmarks simulating cryo-electron microscopy map fitting and experimental distance constraints. We show that EmbedOpt outperforms the coordinate-based posterior sampling method in map fitting tasks, matches performance on distance constraint tasks, and exhibits superior engineering robustness across hyperparameters spanning two orders of magnitude. Moreover, its smooth optimization behavior enables a significant reduction in the number of diffusion steps required for inference, leading to better efficiency.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13:28 ---</w:t>
      </w:r>
    </w:p>
    <w:p>
      <w:pPr>
        <w:pStyle w:val="Heading2"/>
      </w:pPr>
      <w:r/>
      <w:r>
        <w:rPr>
          <w:rFonts w:ascii="Times New Roman" w:hAnsi="Times New Roman" w:eastAsia="宋体"/>
          <w:b/>
          <w:color w:val="000000"/>
          <w:sz w:val="24"/>
        </w:rPr>
        <w:t>使用啁啾功率振荡波进行精确运动跟踪和测速</w:t>
      </w:r>
    </w:p>
    <w:p>
      <w:r>
        <w:rPr>
          <w:rFonts w:ascii="Times New Roman" w:hAnsi="Times New Roman" w:eastAsia="宋体"/>
          <w:b/>
          <w:color w:val="003264"/>
          <w:sz w:val="24"/>
        </w:rPr>
        <w:t>Precise motion tracking and velocimetry using chirped power oscillation wave</w:t>
      </w:r>
    </w:p>
    <w:p>
      <w:r>
        <w:rPr>
          <w:rFonts w:ascii="Times New Roman" w:hAnsi="Times New Roman" w:eastAsia="宋体"/>
          <w:sz w:val="21"/>
        </w:rPr>
        <w:t>作者: Wei Du, Yujia Li, Hao Wu, Lei Chen, Lei Gao, Dongmei Huang, Leilei Shi, Wei Gao, Lei Wei, Baicheng Yao, Tao Zhu</w:t>
        <w:br/>
      </w:r>
      <w:r>
        <w:rPr>
          <w:rFonts w:ascii="Times New Roman" w:hAnsi="Times New Roman" w:eastAsia="宋体"/>
          <w:sz w:val="21"/>
        </w:rPr>
        <w:t xml:space="preserve">时间: 2026 | </w:t>
      </w:r>
      <w:r>
        <w:t xml:space="preserve">链接: </w:t>
      </w:r>
      <w:hyperlink r:id="rId186">
        <w:r>
          <w:rPr>
            <w:rFonts w:ascii="Times New Roman" w:hAnsi="Times New Roman" w:eastAsia="宋体"/>
            <w:color w:val="0000FF"/>
            <w:sz w:val="21"/>
            <w:u w:val="single"/>
          </w:rPr>
          <w:t>https://doi.org/10.37188/lam.2026.033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13:28 ---</w:t>
      </w:r>
    </w:p>
    <w:p>
      <w:pPr>
        <w:pStyle w:val="Heading2"/>
      </w:pPr>
      <w:r/>
      <w:r>
        <w:rPr>
          <w:rFonts w:ascii="Times New Roman" w:hAnsi="Times New Roman" w:eastAsia="宋体"/>
          <w:b/>
          <w:color w:val="000000"/>
          <w:sz w:val="24"/>
        </w:rPr>
        <w:t>用于远距离、强大气湍流下波前估计的轻量级神经网络</w:t>
      </w:r>
    </w:p>
    <w:p>
      <w:r>
        <w:rPr>
          <w:rFonts w:ascii="Times New Roman" w:hAnsi="Times New Roman" w:eastAsia="宋体"/>
          <w:b/>
          <w:color w:val="003264"/>
          <w:sz w:val="24"/>
        </w:rPr>
        <w:t>Lightweight neural network for wavefront estimation under long-distance, strong atmospheric turbulence</w:t>
      </w:r>
    </w:p>
    <w:p>
      <w:r>
        <w:rPr>
          <w:rFonts w:ascii="Times New Roman" w:hAnsi="Times New Roman" w:eastAsia="宋体"/>
          <w:sz w:val="21"/>
        </w:rPr>
        <w:t>作者: Yonghao Chen, Wuli Hu, Zheqiang Zhong, Bin Zhang</w:t>
        <w:br/>
      </w:r>
      <w:r>
        <w:rPr>
          <w:rFonts w:ascii="Times New Roman" w:hAnsi="Times New Roman" w:eastAsia="宋体"/>
          <w:sz w:val="21"/>
        </w:rPr>
        <w:t xml:space="preserve">时间: 2026-02-03 | </w:t>
      </w:r>
      <w:r>
        <w:t xml:space="preserve">链接: </w:t>
      </w:r>
      <w:hyperlink r:id="rId199">
        <w:r>
          <w:rPr>
            <w:rFonts w:ascii="Times New Roman" w:hAnsi="Times New Roman" w:eastAsia="宋体"/>
            <w:color w:val="0000FF"/>
            <w:sz w:val="21"/>
            <w:u w:val="single"/>
          </w:rPr>
          <w:t>https://doi.org/10.1364/josaa.585179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距离、强大气湍流下的波前估计仍然是自由空间光通信（FSOC）中的一个关键挑战。传统方法总是面临高计算成本和延迟的问题。为了解决这个问题，我们提出了一种轻量级高精度神经网络（LHP-Net），这是一种紧凑而准确的模型，可以直接预测远距离、强大气湍流下的单帧失真图像的泽尼克系数。该架构将优化的卷积主干与轻量级 Zernike 感知注意力 (LZA) 模块相结合，增强了对湍流引起的像差的敏感性，同时最大限度地降低了计算成本。为了严格评估性能，使用光谱相位屏幕模拟获得了大规模数据集，覆盖传播距离长达 10 公里，湍流强度从弱到强。仿真结果表明，LHP-Net 的预测误差降低了 92.4%，推理速度提高了 37.5%，表现出比传统卷积神经网络 (CNN) 更好的性能。此外，我们的混合训练策略显着增强了不同湍流强度的泛化能力。值得注意的是，LHP-Net 即使在极端湍流下也能保持稳健的性能，表现出最小的预测误差，为下一代自由空间光学系统中的实时自适应光学提供了潜力。</w:t>
      </w:r>
    </w:p>
    <w:p>
      <w:pPr>
        <w:spacing w:before="120"/>
      </w:pPr>
      <w:r>
        <w:rPr>
          <w:rFonts w:ascii="Times New Roman" w:hAnsi="Times New Roman" w:eastAsia="宋体"/>
          <w:b/>
          <w:sz w:val="21"/>
        </w:rPr>
        <w:t>English Abstract:</w:t>
      </w:r>
    </w:p>
    <w:p>
      <w:r>
        <w:rPr>
          <w:rFonts w:ascii="Times New Roman" w:hAnsi="Times New Roman" w:eastAsia="宋体"/>
          <w:sz w:val="21"/>
        </w:rPr>
        <w:t>Wavefront estimation under long-distance, strong atmospheric turbulence remains a critical challenge in free-space optical communication (FSOC). Conventional approaches always suffer from high computational cost and latency. To address this issue, we proposed a lightweight high-precision neural network (LHP-Net), a compact yet accurate model that directly predicts Zernike coefficients from single-frame distorted images under long-distance, strong atmospheric turbulence. The architecture combines an optimized convolutional backbone with a lightweight Zernike-aware attention (LZA) module, enhancing the sensitivity to turbulence-induced aberrations while minimizing computational cost. To rigorously evaluate performance, a large-scale dataset using spectral phase screen simulations was obtained, covering propagation distances up to 10 km and turbulence intensity ranging from weak to strong. Simulation results indicate that LHP-Net achieves up to 92.4% lower prediction error and 37.5% faster inference, exhibiting better performance than a conventional convolutional neural network (CNN). Furthermore, our hybrid training strategy significantly enhances the generalization across different turbulence intensities. Remarkably, LHP-Net maintains robust performance even under extreme turbulence, exhibiting minimal prediction error, providing potential for real-time adaptive optics in next-generation free-space optical systems.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249-8" TargetMode="External"/><Relationship Id="rId11" Type="http://schemas.openxmlformats.org/officeDocument/2006/relationships/hyperlink" Target="https://doi.org/10.1038/s41598-026-38248-6" TargetMode="External"/><Relationship Id="rId12" Type="http://schemas.openxmlformats.org/officeDocument/2006/relationships/hyperlink" Target="https://doi.org/10.1038/s41598-025-32699-z" TargetMode="External"/><Relationship Id="rId13" Type="http://schemas.openxmlformats.org/officeDocument/2006/relationships/hyperlink" Target="https://doi.org/10.1038/s41598-026-38105-6" TargetMode="External"/><Relationship Id="rId14" Type="http://schemas.openxmlformats.org/officeDocument/2006/relationships/hyperlink" Target="https://doi.org/10.1038/s41598-026-37740-3" TargetMode="External"/><Relationship Id="rId15" Type="http://schemas.openxmlformats.org/officeDocument/2006/relationships/hyperlink" Target="https://doi.org/10.1016/j.displa.2026.103378" TargetMode="External"/><Relationship Id="rId16" Type="http://schemas.openxmlformats.org/officeDocument/2006/relationships/hyperlink" Target="https://doi.org/10.1016/j.displa.2026.103376" TargetMode="External"/><Relationship Id="rId17" Type="http://schemas.openxmlformats.org/officeDocument/2006/relationships/hyperlink" Target="https://doi.org/10.1016/j.optlastec.2026.114799" TargetMode="External"/><Relationship Id="rId18" Type="http://schemas.openxmlformats.org/officeDocument/2006/relationships/hyperlink" Target="https://doi.org/10.1016/j.optlastec.2026.114815" TargetMode="External"/><Relationship Id="rId19" Type="http://schemas.openxmlformats.org/officeDocument/2006/relationships/hyperlink" Target="https://doi.org/10.1016/j.optlastec.2026.114876" TargetMode="External"/><Relationship Id="rId20" Type="http://schemas.openxmlformats.org/officeDocument/2006/relationships/hyperlink" Target="https://doi.org/10.1016/j.optlastec.2026.114882" TargetMode="External"/><Relationship Id="rId21" Type="http://schemas.openxmlformats.org/officeDocument/2006/relationships/hyperlink" Target="https://doi.org/10.1016/j.optlaseng.2026.109659" TargetMode="External"/><Relationship Id="rId22" Type="http://schemas.openxmlformats.org/officeDocument/2006/relationships/hyperlink" Target="https://doi.org/10.1016/j.optcom.2026.132998" TargetMode="External"/><Relationship Id="rId23" Type="http://schemas.openxmlformats.org/officeDocument/2006/relationships/hyperlink" Target="https://doi.org/10.1016/j.optcom.2026.132990" TargetMode="External"/><Relationship Id="rId24" Type="http://schemas.openxmlformats.org/officeDocument/2006/relationships/hyperlink" Target="https://doi.org/10.1016/j.optcom.2026.132981" TargetMode="External"/><Relationship Id="rId25" Type="http://schemas.openxmlformats.org/officeDocument/2006/relationships/hyperlink" Target="https://doi.org/10.1364/ao.580653" TargetMode="External"/><Relationship Id="rId26" Type="http://schemas.openxmlformats.org/officeDocument/2006/relationships/hyperlink" Target="https://doi.org/10.1364/ol.578134" TargetMode="External"/><Relationship Id="rId27" Type="http://schemas.openxmlformats.org/officeDocument/2006/relationships/hyperlink" Target="https://doi.org/10.1364/ol.582649" TargetMode="External"/><Relationship Id="rId28" Type="http://schemas.openxmlformats.org/officeDocument/2006/relationships/hyperlink" Target="https://doi.org/10.1038/s41377-025-02143-y" TargetMode="External"/><Relationship Id="rId29" Type="http://schemas.openxmlformats.org/officeDocument/2006/relationships/hyperlink" Target="https://doi.org/10.1109/tvcg.2025.3637033" TargetMode="External"/><Relationship Id="rId30" Type="http://schemas.openxmlformats.org/officeDocument/2006/relationships/hyperlink" Target="https://doi.org/10.1021/acsphotonics.5c02490" TargetMode="External"/><Relationship Id="rId31" Type="http://schemas.openxmlformats.org/officeDocument/2006/relationships/hyperlink" Target="https://doi.org/10.1109/tip.2026.3659337" TargetMode="External"/><Relationship Id="rId32" Type="http://schemas.openxmlformats.org/officeDocument/2006/relationships/hyperlink" Target="https://doi.org/10.1109/tip.2026.3659325" TargetMode="External"/><Relationship Id="rId33" Type="http://schemas.openxmlformats.org/officeDocument/2006/relationships/hyperlink" Target="https://doi.org/10.1109/tip.2026.3659334" TargetMode="External"/><Relationship Id="rId34" Type="http://schemas.openxmlformats.org/officeDocument/2006/relationships/hyperlink" Target="https://doi.org/10.1109/tip.2026.3659292" TargetMode="External"/><Relationship Id="rId35" Type="http://schemas.openxmlformats.org/officeDocument/2006/relationships/hyperlink" Target="https://doi.org/10.1109/tip.2026.3659331" TargetMode="External"/><Relationship Id="rId36" Type="http://schemas.openxmlformats.org/officeDocument/2006/relationships/hyperlink" Target="https://doi.org/10.1109/tpami.2026.3661049" TargetMode="External"/><Relationship Id="rId37" Type="http://schemas.openxmlformats.org/officeDocument/2006/relationships/hyperlink" Target="https://doi.org/10.1038/s41467-026-68737-1" TargetMode="External"/><Relationship Id="rId38" Type="http://schemas.openxmlformats.org/officeDocument/2006/relationships/hyperlink" Target="https://doi.org/10.1038/s41598-026-37122-9" TargetMode="External"/><Relationship Id="rId39" Type="http://schemas.openxmlformats.org/officeDocument/2006/relationships/hyperlink" Target="https://doi.org/10.1038/s41598-025-34490-6" TargetMode="External"/><Relationship Id="rId40" Type="http://schemas.openxmlformats.org/officeDocument/2006/relationships/hyperlink" Target="https://doi.org/10.1038/s41598-026-38496-6" TargetMode="External"/><Relationship Id="rId41" Type="http://schemas.openxmlformats.org/officeDocument/2006/relationships/hyperlink" Target="https://doi.org/10.1038/s41598-025-31311-8" TargetMode="External"/><Relationship Id="rId42" Type="http://schemas.openxmlformats.org/officeDocument/2006/relationships/hyperlink" Target="https://doi.org/10.1038/s41598-026-37977-y" TargetMode="External"/><Relationship Id="rId43" Type="http://schemas.openxmlformats.org/officeDocument/2006/relationships/hyperlink" Target="https://doi.org/10.1038/s41598-026-38767-2" TargetMode="External"/><Relationship Id="rId44" Type="http://schemas.openxmlformats.org/officeDocument/2006/relationships/hyperlink" Target="https://doi.org/10.1038/s41598-026-36512-3" TargetMode="External"/><Relationship Id="rId45" Type="http://schemas.openxmlformats.org/officeDocument/2006/relationships/hyperlink" Target="https://doi.org/10.1038/s41598-026-38781-4" TargetMode="External"/><Relationship Id="rId46" Type="http://schemas.openxmlformats.org/officeDocument/2006/relationships/hyperlink" Target="https://doi.org/10.1038/s41598-026-38965-y" TargetMode="External"/><Relationship Id="rId47" Type="http://schemas.openxmlformats.org/officeDocument/2006/relationships/hyperlink" Target="https://doi.org/10.1038/s41598-026-38638-w" TargetMode="External"/><Relationship Id="rId48" Type="http://schemas.openxmlformats.org/officeDocument/2006/relationships/hyperlink" Target="https://doi.org/10.1038/s41598-026-39051-z" TargetMode="External"/><Relationship Id="rId49" Type="http://schemas.openxmlformats.org/officeDocument/2006/relationships/hyperlink" Target="https://doi.org/10.1038/s41598-026-37092-y" TargetMode="External"/><Relationship Id="rId50" Type="http://schemas.openxmlformats.org/officeDocument/2006/relationships/hyperlink" Target="https://doi.org/10.1038/s41598-026-37052-6" TargetMode="External"/><Relationship Id="rId51" Type="http://schemas.openxmlformats.org/officeDocument/2006/relationships/hyperlink" Target="https://doi.org/10.1038/s41598-026-38466-y" TargetMode="External"/><Relationship Id="rId52" Type="http://schemas.openxmlformats.org/officeDocument/2006/relationships/hyperlink" Target="https://doi.org/10.1038/s41598-026-37894-0" TargetMode="External"/><Relationship Id="rId53" Type="http://schemas.openxmlformats.org/officeDocument/2006/relationships/hyperlink" Target="https://doi.org/10.1038/s41566-025-01815-w" TargetMode="External"/><Relationship Id="rId54" Type="http://schemas.openxmlformats.org/officeDocument/2006/relationships/hyperlink" Target="https://doi.org/10.29026/oea.2026.250274" TargetMode="External"/><Relationship Id="rId55" Type="http://schemas.openxmlformats.org/officeDocument/2006/relationships/hyperlink" Target="https://doi.org/10.1016/j.optlastec.2026.114820" TargetMode="External"/><Relationship Id="rId56" Type="http://schemas.openxmlformats.org/officeDocument/2006/relationships/hyperlink" Target="https://doi.org/10.1016/j.optlastec.2026.114879" TargetMode="External"/><Relationship Id="rId57" Type="http://schemas.openxmlformats.org/officeDocument/2006/relationships/hyperlink" Target="https://doi.org/10.1016/j.optlaseng.2026.109672" TargetMode="External"/><Relationship Id="rId58" Type="http://schemas.openxmlformats.org/officeDocument/2006/relationships/hyperlink" Target="https://doi.org/10.1364/oe.583573" TargetMode="External"/><Relationship Id="rId59" Type="http://schemas.openxmlformats.org/officeDocument/2006/relationships/hyperlink" Target="https://doi.org/10.1364/oe.582146" TargetMode="External"/><Relationship Id="rId60" Type="http://schemas.openxmlformats.org/officeDocument/2006/relationships/hyperlink" Target="https://doi.org/10.1364/oe.582936" TargetMode="External"/><Relationship Id="rId61" Type="http://schemas.openxmlformats.org/officeDocument/2006/relationships/hyperlink" Target="https://doi.org/10.1364/oe.583299" TargetMode="External"/><Relationship Id="rId62" Type="http://schemas.openxmlformats.org/officeDocument/2006/relationships/hyperlink" Target="https://doi.org/10.1364/oe.586767" TargetMode="External"/><Relationship Id="rId63" Type="http://schemas.openxmlformats.org/officeDocument/2006/relationships/hyperlink" Target="https://doi.org/10.1364/oe.582190" TargetMode="External"/><Relationship Id="rId64" Type="http://schemas.openxmlformats.org/officeDocument/2006/relationships/hyperlink" Target="https://doi.org/10.1364/oe.584775" TargetMode="External"/><Relationship Id="rId65" Type="http://schemas.openxmlformats.org/officeDocument/2006/relationships/hyperlink" Target="https://doi.org/10.1364/oe.581146" TargetMode="External"/><Relationship Id="rId66" Type="http://schemas.openxmlformats.org/officeDocument/2006/relationships/hyperlink" Target="https://doi.org/10.1117/1.ap.8.1.016009" TargetMode="External"/><Relationship Id="rId67" Type="http://schemas.openxmlformats.org/officeDocument/2006/relationships/hyperlink" Target="https://doi.org/10.1002/lpor.202502674" TargetMode="External"/><Relationship Id="rId68" Type="http://schemas.openxmlformats.org/officeDocument/2006/relationships/hyperlink" Target="https://doi.org/10.1002/lpor.v20.3" TargetMode="External"/><Relationship Id="rId69" Type="http://schemas.openxmlformats.org/officeDocument/2006/relationships/hyperlink" Target="https://doi.org/10.1002/lpor.70881" TargetMode="External"/><Relationship Id="rId70" Type="http://schemas.openxmlformats.org/officeDocument/2006/relationships/hyperlink" Target="https://doi.org/10.1002/lpor.70880" TargetMode="External"/><Relationship Id="rId71" Type="http://schemas.openxmlformats.org/officeDocument/2006/relationships/hyperlink" Target="https://doi.org/10.1002/lpor.70879" TargetMode="External"/><Relationship Id="rId72" Type="http://schemas.openxmlformats.org/officeDocument/2006/relationships/hyperlink" Target="https://doi.org/10.1002/lpor.70883" TargetMode="External"/><Relationship Id="rId73" Type="http://schemas.openxmlformats.org/officeDocument/2006/relationships/hyperlink" Target="https://doi.org/10.1002/lpor.70882" TargetMode="External"/><Relationship Id="rId74" Type="http://schemas.openxmlformats.org/officeDocument/2006/relationships/hyperlink" Target="https://doi.org/10.1038/s41377-025-02161-w" TargetMode="External"/><Relationship Id="rId75" Type="http://schemas.openxmlformats.org/officeDocument/2006/relationships/hyperlink" Target="https://doi.org/10.1038/s41377-025-02177-2" TargetMode="External"/><Relationship Id="rId76" Type="http://schemas.openxmlformats.org/officeDocument/2006/relationships/hyperlink" Target="https://doi.org/10.1021/acsphotonics.5c02187" TargetMode="External"/><Relationship Id="rId77" Type="http://schemas.openxmlformats.org/officeDocument/2006/relationships/hyperlink" Target="https://doi.org/10.1021/acsphotonics.5c01950" TargetMode="External"/><Relationship Id="rId78" Type="http://schemas.openxmlformats.org/officeDocument/2006/relationships/hyperlink" Target="https://doi.org/10.1038/s41467-026-68984-2" TargetMode="External"/><Relationship Id="rId79" Type="http://schemas.openxmlformats.org/officeDocument/2006/relationships/hyperlink" Target="https://doi.org/10.1038/s41598-025-34800-y" TargetMode="External"/><Relationship Id="rId80" Type="http://schemas.openxmlformats.org/officeDocument/2006/relationships/hyperlink" Target="https://doi.org/10.1038/s41598-026-35180-7" TargetMode="External"/><Relationship Id="rId81" Type="http://schemas.openxmlformats.org/officeDocument/2006/relationships/hyperlink" Target="https://doi.org/10.1038/s41598-026-38543-2" TargetMode="External"/><Relationship Id="rId82" Type="http://schemas.openxmlformats.org/officeDocument/2006/relationships/hyperlink" Target="https://doi.org/10.1038/s41598-026-37358-5" TargetMode="External"/><Relationship Id="rId83" Type="http://schemas.openxmlformats.org/officeDocument/2006/relationships/hyperlink" Target="https://doi.org/10.1038/s41598-026-38184-5" TargetMode="External"/><Relationship Id="rId84" Type="http://schemas.openxmlformats.org/officeDocument/2006/relationships/hyperlink" Target="https://doi.org/10.1038/s41598-026-38010-y" TargetMode="External"/><Relationship Id="rId85" Type="http://schemas.openxmlformats.org/officeDocument/2006/relationships/hyperlink" Target="https://doi.org/10.1038/s41598-025-32078-8" TargetMode="External"/><Relationship Id="rId86" Type="http://schemas.openxmlformats.org/officeDocument/2006/relationships/hyperlink" Target="https://doi.org/10.1038/s41598-026-37272-w" TargetMode="External"/><Relationship Id="rId87" Type="http://schemas.openxmlformats.org/officeDocument/2006/relationships/hyperlink" Target="https://doi.org/10.1016/j.optlastec.2026.114877" TargetMode="External"/><Relationship Id="rId88" Type="http://schemas.openxmlformats.org/officeDocument/2006/relationships/hyperlink" Target="https://doi.org/10.1038/s41467-026-69136-2" TargetMode="External"/><Relationship Id="rId89" Type="http://schemas.openxmlformats.org/officeDocument/2006/relationships/hyperlink" Target="https://doi.org/10.1038/s41467-026-69032-9" TargetMode="External"/><Relationship Id="rId90" Type="http://schemas.openxmlformats.org/officeDocument/2006/relationships/hyperlink" Target="https://doi.org/10.1038/s41467-026-68680-1" TargetMode="External"/><Relationship Id="rId91" Type="http://schemas.openxmlformats.org/officeDocument/2006/relationships/hyperlink" Target="https://doi.org/10.1038/s41598-026-38849-1" TargetMode="External"/><Relationship Id="rId92" Type="http://schemas.openxmlformats.org/officeDocument/2006/relationships/hyperlink" Target="https://doi.org/10.1038/s41598-026-38765-4" TargetMode="External"/><Relationship Id="rId93" Type="http://schemas.openxmlformats.org/officeDocument/2006/relationships/hyperlink" Target="https://doi.org/10.1364/ao.582729" TargetMode="External"/><Relationship Id="rId94" Type="http://schemas.openxmlformats.org/officeDocument/2006/relationships/hyperlink" Target="https://doi.org/10.1364/ao.579901" TargetMode="External"/><Relationship Id="rId95" Type="http://schemas.openxmlformats.org/officeDocument/2006/relationships/hyperlink" Target="https://doi.org/10.1364/boe.586520" TargetMode="External"/><Relationship Id="rId96" Type="http://schemas.openxmlformats.org/officeDocument/2006/relationships/hyperlink" Target="https://doi.org/10.1021/acsphotonics.5c02757" TargetMode="External"/><Relationship Id="rId97" Type="http://schemas.openxmlformats.org/officeDocument/2006/relationships/hyperlink" Target="https://arxiv.org/abs/2602.05907v1" TargetMode="External"/><Relationship Id="rId98" Type="http://schemas.openxmlformats.org/officeDocument/2006/relationships/hyperlink" Target="https://arxiv.org/abs/2602.05653v1" TargetMode="External"/><Relationship Id="rId99" Type="http://schemas.openxmlformats.org/officeDocument/2006/relationships/hyperlink" Target="https://arxiv.org/abs/2602.05102v1" TargetMode="External"/><Relationship Id="rId100" Type="http://schemas.openxmlformats.org/officeDocument/2006/relationships/hyperlink" Target="https://arxiv.org/abs/2602.05151v1" TargetMode="External"/><Relationship Id="rId101" Type="http://schemas.openxmlformats.org/officeDocument/2006/relationships/hyperlink" Target="https://arxiv.org/abs/2602.05245v1" TargetMode="External"/><Relationship Id="rId102" Type="http://schemas.openxmlformats.org/officeDocument/2006/relationships/hyperlink" Target="https://arxiv.org/abs/2602.05427v1" TargetMode="External"/><Relationship Id="rId103" Type="http://schemas.openxmlformats.org/officeDocument/2006/relationships/hyperlink" Target="https://arxiv.org/abs/2602.05469v1" TargetMode="External"/><Relationship Id="rId104" Type="http://schemas.openxmlformats.org/officeDocument/2006/relationships/hyperlink" Target="https://arxiv.org/abs/2602.05475v1" TargetMode="External"/><Relationship Id="rId105" Type="http://schemas.openxmlformats.org/officeDocument/2006/relationships/hyperlink" Target="https://arxiv.org/abs/2602.05491v1" TargetMode="External"/><Relationship Id="rId106" Type="http://schemas.openxmlformats.org/officeDocument/2006/relationships/hyperlink" Target="https://arxiv.org/abs/2602.05691v1" TargetMode="External"/><Relationship Id="rId107" Type="http://schemas.openxmlformats.org/officeDocument/2006/relationships/hyperlink" Target="https://arxiv.org/abs/2602.05736v1" TargetMode="External"/><Relationship Id="rId108" Type="http://schemas.openxmlformats.org/officeDocument/2006/relationships/hyperlink" Target="https://arxiv.org/abs/2602.05757v1" TargetMode="External"/><Relationship Id="rId109" Type="http://schemas.openxmlformats.org/officeDocument/2006/relationships/hyperlink" Target="https://arxiv.org/abs/2602.05908v1" TargetMode="External"/><Relationship Id="rId110" Type="http://schemas.openxmlformats.org/officeDocument/2006/relationships/hyperlink" Target="https://arxiv.org/abs/2602.05918v1" TargetMode="External"/><Relationship Id="rId111" Type="http://schemas.openxmlformats.org/officeDocument/2006/relationships/hyperlink" Target="https://arxiv.org/abs/2602.05982v1" TargetMode="External"/><Relationship Id="rId112" Type="http://schemas.openxmlformats.org/officeDocument/2006/relationships/hyperlink" Target="https://arxiv.org/abs/2602.06003v1" TargetMode="External"/><Relationship Id="rId113" Type="http://schemas.openxmlformats.org/officeDocument/2006/relationships/hyperlink" Target="https://arxiv.org/abs/2602.04944v1" TargetMode="External"/><Relationship Id="rId114" Type="http://schemas.openxmlformats.org/officeDocument/2006/relationships/hyperlink" Target="https://arxiv.org/abs/2602.04983v1" TargetMode="External"/><Relationship Id="rId115" Type="http://schemas.openxmlformats.org/officeDocument/2006/relationships/hyperlink" Target="https://arxiv.org/abs/2602.05078v1" TargetMode="External"/><Relationship Id="rId116" Type="http://schemas.openxmlformats.org/officeDocument/2006/relationships/hyperlink" Target="https://arxiv.org/abs/2602.05104v1" TargetMode="External"/><Relationship Id="rId117" Type="http://schemas.openxmlformats.org/officeDocument/2006/relationships/hyperlink" Target="https://arxiv.org/abs/2602.05201v1" TargetMode="External"/><Relationship Id="rId118" Type="http://schemas.openxmlformats.org/officeDocument/2006/relationships/hyperlink" Target="https://arxiv.org/abs/2602.05208v1" TargetMode="External"/><Relationship Id="rId119" Type="http://schemas.openxmlformats.org/officeDocument/2006/relationships/hyperlink" Target="https://arxiv.org/abs/2602.05453v1" TargetMode="External"/><Relationship Id="rId120" Type="http://schemas.openxmlformats.org/officeDocument/2006/relationships/hyperlink" Target="https://arxiv.org/abs/2602.05738v1" TargetMode="External"/><Relationship Id="rId121" Type="http://schemas.openxmlformats.org/officeDocument/2006/relationships/hyperlink" Target="https://arxiv.org/abs/2602.04994v1" TargetMode="External"/><Relationship Id="rId122" Type="http://schemas.openxmlformats.org/officeDocument/2006/relationships/hyperlink" Target="https://arxiv.org/abs/2602.05013v1" TargetMode="External"/><Relationship Id="rId123" Type="http://schemas.openxmlformats.org/officeDocument/2006/relationships/hyperlink" Target="https://arxiv.org/abs/2602.05029v1" TargetMode="External"/><Relationship Id="rId124" Type="http://schemas.openxmlformats.org/officeDocument/2006/relationships/hyperlink" Target="https://arxiv.org/abs/2602.05096v1" TargetMode="External"/><Relationship Id="rId125" Type="http://schemas.openxmlformats.org/officeDocument/2006/relationships/hyperlink" Target="https://arxiv.org/abs/2602.05100v1" TargetMode="External"/><Relationship Id="rId126" Type="http://schemas.openxmlformats.org/officeDocument/2006/relationships/hyperlink" Target="https://arxiv.org/abs/2602.05132v1" TargetMode="External"/><Relationship Id="rId127" Type="http://schemas.openxmlformats.org/officeDocument/2006/relationships/hyperlink" Target="https://arxiv.org/abs/2602.05163v1" TargetMode="External"/><Relationship Id="rId128" Type="http://schemas.openxmlformats.org/officeDocument/2006/relationships/hyperlink" Target="https://arxiv.org/abs/2602.05218v1" TargetMode="External"/><Relationship Id="rId129" Type="http://schemas.openxmlformats.org/officeDocument/2006/relationships/hyperlink" Target="https://arxiv.org/abs/2602.05238v1" TargetMode="External"/><Relationship Id="rId130" Type="http://schemas.openxmlformats.org/officeDocument/2006/relationships/hyperlink" Target="https://arxiv.org/abs/2602.05262v1" TargetMode="External"/><Relationship Id="rId131" Type="http://schemas.openxmlformats.org/officeDocument/2006/relationships/hyperlink" Target="https://arxiv.org/abs/2602.05321v1" TargetMode="External"/><Relationship Id="rId132" Type="http://schemas.openxmlformats.org/officeDocument/2006/relationships/hyperlink" Target="https://arxiv.org/abs/2602.05330v1" TargetMode="External"/><Relationship Id="rId133" Type="http://schemas.openxmlformats.org/officeDocument/2006/relationships/hyperlink" Target="https://arxiv.org/abs/2602.05339v1" TargetMode="External"/><Relationship Id="rId134" Type="http://schemas.openxmlformats.org/officeDocument/2006/relationships/hyperlink" Target="https://arxiv.org/abs/2602.05382v1" TargetMode="External"/><Relationship Id="rId135" Type="http://schemas.openxmlformats.org/officeDocument/2006/relationships/hyperlink" Target="https://arxiv.org/abs/2602.05384v1" TargetMode="External"/><Relationship Id="rId136" Type="http://schemas.openxmlformats.org/officeDocument/2006/relationships/hyperlink" Target="https://arxiv.org/abs/2602.05387v1" TargetMode="External"/><Relationship Id="rId137" Type="http://schemas.openxmlformats.org/officeDocument/2006/relationships/hyperlink" Target="https://arxiv.org/abs/2602.05391v1" TargetMode="External"/><Relationship Id="rId138" Type="http://schemas.openxmlformats.org/officeDocument/2006/relationships/hyperlink" Target="https://arxiv.org/abs/2602.05397v1" TargetMode="External"/><Relationship Id="rId139" Type="http://schemas.openxmlformats.org/officeDocument/2006/relationships/hyperlink" Target="https://arxiv.org/abs/2602.05415v1" TargetMode="External"/><Relationship Id="rId140" Type="http://schemas.openxmlformats.org/officeDocument/2006/relationships/hyperlink" Target="https://arxiv.org/abs/2602.05423v1" TargetMode="External"/><Relationship Id="rId141" Type="http://schemas.openxmlformats.org/officeDocument/2006/relationships/hyperlink" Target="https://arxiv.org/abs/2602.05426v1" TargetMode="External"/><Relationship Id="rId142" Type="http://schemas.openxmlformats.org/officeDocument/2006/relationships/hyperlink" Target="https://arxiv.org/abs/2602.05434v1" TargetMode="External"/><Relationship Id="rId143" Type="http://schemas.openxmlformats.org/officeDocument/2006/relationships/hyperlink" Target="https://arxiv.org/abs/2602.05435v1" TargetMode="External"/><Relationship Id="rId144" Type="http://schemas.openxmlformats.org/officeDocument/2006/relationships/hyperlink" Target="https://arxiv.org/abs/2602.05449v1" TargetMode="External"/><Relationship Id="rId145" Type="http://schemas.openxmlformats.org/officeDocument/2006/relationships/hyperlink" Target="https://arxiv.org/abs/2602.05480v1" TargetMode="External"/><Relationship Id="rId146" Type="http://schemas.openxmlformats.org/officeDocument/2006/relationships/hyperlink" Target="https://arxiv.org/abs/2602.05487v1" TargetMode="External"/><Relationship Id="rId147" Type="http://schemas.openxmlformats.org/officeDocument/2006/relationships/hyperlink" Target="https://arxiv.org/abs/2602.05508v1" TargetMode="External"/><Relationship Id="rId148" Type="http://schemas.openxmlformats.org/officeDocument/2006/relationships/hyperlink" Target="https://arxiv.org/abs/2602.05527v1" TargetMode="External"/><Relationship Id="rId149" Type="http://schemas.openxmlformats.org/officeDocument/2006/relationships/hyperlink" Target="https://arxiv.org/abs/2602.05534v1" TargetMode="External"/><Relationship Id="rId150" Type="http://schemas.openxmlformats.org/officeDocument/2006/relationships/hyperlink" Target="https://arxiv.org/abs/2602.05538v1" TargetMode="External"/><Relationship Id="rId151" Type="http://schemas.openxmlformats.org/officeDocument/2006/relationships/hyperlink" Target="https://arxiv.org/abs/2602.05551v1" TargetMode="External"/><Relationship Id="rId152" Type="http://schemas.openxmlformats.org/officeDocument/2006/relationships/hyperlink" Target="https://arxiv.org/abs/2602.05555v1" TargetMode="External"/><Relationship Id="rId153" Type="http://schemas.openxmlformats.org/officeDocument/2006/relationships/hyperlink" Target="https://arxiv.org/abs/2602.05573v1" TargetMode="External"/><Relationship Id="rId154" Type="http://schemas.openxmlformats.org/officeDocument/2006/relationships/hyperlink" Target="https://arxiv.org/abs/2602.05574v1" TargetMode="External"/><Relationship Id="rId155" Type="http://schemas.openxmlformats.org/officeDocument/2006/relationships/hyperlink" Target="https://arxiv.org/abs/2602.05577v1" TargetMode="External"/><Relationship Id="rId156" Type="http://schemas.openxmlformats.org/officeDocument/2006/relationships/hyperlink" Target="https://arxiv.org/abs/2602.05578v1" TargetMode="External"/><Relationship Id="rId157" Type="http://schemas.openxmlformats.org/officeDocument/2006/relationships/hyperlink" Target="https://arxiv.org/abs/2602.05582v1" TargetMode="External"/><Relationship Id="rId158" Type="http://schemas.openxmlformats.org/officeDocument/2006/relationships/hyperlink" Target="https://arxiv.org/abs/2602.05588v1" TargetMode="External"/><Relationship Id="rId159" Type="http://schemas.openxmlformats.org/officeDocument/2006/relationships/hyperlink" Target="https://arxiv.org/abs/2602.05590v1" TargetMode="External"/><Relationship Id="rId160" Type="http://schemas.openxmlformats.org/officeDocument/2006/relationships/hyperlink" Target="https://arxiv.org/abs/2602.05598v1" TargetMode="External"/><Relationship Id="rId161" Type="http://schemas.openxmlformats.org/officeDocument/2006/relationships/hyperlink" Target="https://arxiv.org/abs/2602.05617v1" TargetMode="External"/><Relationship Id="rId162" Type="http://schemas.openxmlformats.org/officeDocument/2006/relationships/hyperlink" Target="https://arxiv.org/abs/2602.05676v1" TargetMode="External"/><Relationship Id="rId163" Type="http://schemas.openxmlformats.org/officeDocument/2006/relationships/hyperlink" Target="https://arxiv.org/abs/2602.05706v1" TargetMode="External"/><Relationship Id="rId164" Type="http://schemas.openxmlformats.org/officeDocument/2006/relationships/hyperlink" Target="https://arxiv.org/abs/2602.05710v1" TargetMode="External"/><Relationship Id="rId165" Type="http://schemas.openxmlformats.org/officeDocument/2006/relationships/hyperlink" Target="https://arxiv.org/abs/2602.05785v1" TargetMode="External"/><Relationship Id="rId166" Type="http://schemas.openxmlformats.org/officeDocument/2006/relationships/hyperlink" Target="https://arxiv.org/abs/2602.05789v1" TargetMode="External"/><Relationship Id="rId167" Type="http://schemas.openxmlformats.org/officeDocument/2006/relationships/hyperlink" Target="https://arxiv.org/abs/2602.05822v1" TargetMode="External"/><Relationship Id="rId168" Type="http://schemas.openxmlformats.org/officeDocument/2006/relationships/hyperlink" Target="https://arxiv.org/abs/2602.05845v1" TargetMode="External"/><Relationship Id="rId169" Type="http://schemas.openxmlformats.org/officeDocument/2006/relationships/hyperlink" Target="https://arxiv.org/abs/2602.05871v1" TargetMode="External"/><Relationship Id="rId170" Type="http://schemas.openxmlformats.org/officeDocument/2006/relationships/hyperlink" Target="https://arxiv.org/abs/2602.05880v1" TargetMode="External"/><Relationship Id="rId171" Type="http://schemas.openxmlformats.org/officeDocument/2006/relationships/hyperlink" Target="https://arxiv.org/abs/2602.05882v1" TargetMode="External"/><Relationship Id="rId172" Type="http://schemas.openxmlformats.org/officeDocument/2006/relationships/hyperlink" Target="https://arxiv.org/abs/2602.05909v1" TargetMode="External"/><Relationship Id="rId173" Type="http://schemas.openxmlformats.org/officeDocument/2006/relationships/hyperlink" Target="https://arxiv.org/abs/2602.05937v1" TargetMode="External"/><Relationship Id="rId174" Type="http://schemas.openxmlformats.org/officeDocument/2006/relationships/hyperlink" Target="https://arxiv.org/abs/2602.05951v1" TargetMode="External"/><Relationship Id="rId175" Type="http://schemas.openxmlformats.org/officeDocument/2006/relationships/hyperlink" Target="https://arxiv.org/abs/2602.05986v1" TargetMode="External"/><Relationship Id="rId176" Type="http://schemas.openxmlformats.org/officeDocument/2006/relationships/hyperlink" Target="https://arxiv.org/abs/2602.06017v1" TargetMode="External"/><Relationship Id="rId177" Type="http://schemas.openxmlformats.org/officeDocument/2006/relationships/hyperlink" Target="https://arxiv.org/abs/2602.06041v1" TargetMode="External"/><Relationship Id="rId178" Type="http://schemas.openxmlformats.org/officeDocument/2006/relationships/hyperlink" Target="https://arxiv.org/abs/2602.06042v1" TargetMode="External"/><Relationship Id="rId179" Type="http://schemas.openxmlformats.org/officeDocument/2006/relationships/hyperlink" Target="https://arxiv.org/abs/2602.06043v1" TargetMode="External"/><Relationship Id="rId180" Type="http://schemas.openxmlformats.org/officeDocument/2006/relationships/hyperlink" Target="https://arxiv.org/abs/2602.05175v1" TargetMode="External"/><Relationship Id="rId181" Type="http://schemas.openxmlformats.org/officeDocument/2006/relationships/hyperlink" Target="https://arxiv.org/abs/2602.05285v1" TargetMode="External"/><Relationship Id="rId182" Type="http://schemas.openxmlformats.org/officeDocument/2006/relationships/hyperlink" Target="https://doi.org/10.1038/s41598-025-31800-w" TargetMode="External"/><Relationship Id="rId183" Type="http://schemas.openxmlformats.org/officeDocument/2006/relationships/hyperlink" Target="https://doi.org/10.1038/s41598-026-38404-y" TargetMode="External"/><Relationship Id="rId184" Type="http://schemas.openxmlformats.org/officeDocument/2006/relationships/hyperlink" Target="https://doi.org/10.1038/s41598-026-35862-2" TargetMode="External"/><Relationship Id="rId185" Type="http://schemas.openxmlformats.org/officeDocument/2006/relationships/hyperlink" Target="https://doi.org/10.1038/s41598-026-38006-8" TargetMode="External"/><Relationship Id="rId186" Type="http://schemas.openxmlformats.org/officeDocument/2006/relationships/hyperlink" Target="https://doi.org/10.37188/lam.2026.033" TargetMode="External"/><Relationship Id="rId187" Type="http://schemas.openxmlformats.org/officeDocument/2006/relationships/hyperlink" Target="https://doi.org/10.1364/oe.586491" TargetMode="External"/><Relationship Id="rId188" Type="http://schemas.openxmlformats.org/officeDocument/2006/relationships/hyperlink" Target="https://doi.org/10.1364/ol.586780" TargetMode="External"/><Relationship Id="rId189" Type="http://schemas.openxmlformats.org/officeDocument/2006/relationships/hyperlink" Target="https://doi.org/10.1364/ol.583755" TargetMode="External"/><Relationship Id="rId190" Type="http://schemas.openxmlformats.org/officeDocument/2006/relationships/hyperlink" Target="https://doi.org/10.1364/ol.586582" TargetMode="External"/><Relationship Id="rId191" Type="http://schemas.openxmlformats.org/officeDocument/2006/relationships/hyperlink" Target="https://doi.org/10.1364/ol.587730" TargetMode="External"/><Relationship Id="rId192" Type="http://schemas.openxmlformats.org/officeDocument/2006/relationships/hyperlink" Target="https://doi.org/10.1364/ol.585241" TargetMode="External"/><Relationship Id="rId193" Type="http://schemas.openxmlformats.org/officeDocument/2006/relationships/hyperlink" Target="https://doi.org/10.1364/ol.585270" TargetMode="External"/><Relationship Id="rId194" Type="http://schemas.openxmlformats.org/officeDocument/2006/relationships/hyperlink" Target="https://doi.org/10.1364/ol.584316" TargetMode="External"/><Relationship Id="rId195" Type="http://schemas.openxmlformats.org/officeDocument/2006/relationships/hyperlink" Target="https://doi.org/10.1364/ol.586201" TargetMode="External"/><Relationship Id="rId196" Type="http://schemas.openxmlformats.org/officeDocument/2006/relationships/hyperlink" Target="https://doi.org/10.1364/ol.587005" TargetMode="External"/><Relationship Id="rId197" Type="http://schemas.openxmlformats.org/officeDocument/2006/relationships/hyperlink" Target="https://doi.org/10.1364/ol.586875" TargetMode="External"/><Relationship Id="rId198" Type="http://schemas.openxmlformats.org/officeDocument/2006/relationships/hyperlink" Target="https://doi.org/10.1364/ol.582789" TargetMode="External"/><Relationship Id="rId199" Type="http://schemas.openxmlformats.org/officeDocument/2006/relationships/hyperlink" Target="https://doi.org/10.1364/josaa.585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