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光调节雄性小鼠的长期威胁回避行为</w:t>
      </w:r>
    </w:p>
    <w:p>
      <w:r>
        <w:rPr>
          <w:rFonts w:ascii="Times New Roman" w:hAnsi="Times New Roman" w:eastAsia="宋体"/>
          <w:b/>
          <w:color w:val="003264"/>
          <w:sz w:val="24"/>
        </w:rPr>
        <w:t>Light tunes long-term threat avoidance behavior in male mice</w:t>
      </w:r>
    </w:p>
    <w:p>
      <w:r>
        <w:rPr>
          <w:rFonts w:ascii="Times New Roman" w:hAnsi="Times New Roman" w:eastAsia="宋体"/>
          <w:sz w:val="21"/>
        </w:rPr>
        <w:t>作者: Marcos L. Aranda, Eric Min, Lucy T. Liu, Anika E. Schipma, Hui Wang, Tiffany M. Schmidt</w:t>
        <w:br/>
      </w:r>
      <w:r>
        <w:rPr>
          <w:rFonts w:ascii="Times New Roman" w:hAnsi="Times New Roman" w:eastAsia="宋体"/>
          <w:sz w:val="21"/>
        </w:rPr>
        <w:t xml:space="preserve">时间: 2026-02-13 | </w:t>
      </w:r>
      <w:r>
        <w:t xml:space="preserve">链接: </w:t>
      </w:r>
      <w:hyperlink r:id="rId10">
        <w:r>
          <w:rPr>
            <w:rFonts w:ascii="Times New Roman" w:hAnsi="Times New Roman" w:eastAsia="宋体"/>
            <w:color w:val="0000FF"/>
            <w:sz w:val="21"/>
            <w:u w:val="single"/>
          </w:rPr>
          <w:t>https://doi.org/10.1038/s41467-026-69564-0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在这项研究中，作者描述了光如何通过连接小鼠眼睛和边缘系统的视觉回路塑造长期威胁规避行为。</w:t>
      </w:r>
    </w:p>
    <w:p>
      <w:pPr>
        <w:spacing w:before="120"/>
      </w:pPr>
      <w:r>
        <w:rPr>
          <w:rFonts w:ascii="Times New Roman" w:hAnsi="Times New Roman" w:eastAsia="宋体"/>
          <w:b/>
          <w:sz w:val="21"/>
        </w:rPr>
        <w:t>English Abstract:</w:t>
      </w:r>
    </w:p>
    <w:p>
      <w:r>
        <w:rPr>
          <w:rFonts w:ascii="Times New Roman" w:hAnsi="Times New Roman" w:eastAsia="宋体"/>
          <w:sz w:val="21"/>
        </w:rPr>
        <w:t>In this study, the authors describe how light shapes a long-term threat avoidance behavior via a visual circuit linking the eye with the limbic system in mice.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用于空穴传输层的杂芳基衍生物可提高钙钛矿太阳能电池的热稳定性</w:t>
      </w:r>
    </w:p>
    <w:p>
      <w:r>
        <w:rPr>
          <w:rFonts w:ascii="Times New Roman" w:hAnsi="Times New Roman" w:eastAsia="宋体"/>
          <w:b/>
          <w:color w:val="003264"/>
          <w:sz w:val="24"/>
        </w:rPr>
        <w:t>Heteroaryl derivatives for hole-transport layers improve thermal stability of perovskite solar cells</w:t>
      </w:r>
    </w:p>
    <w:p>
      <w:r>
        <w:rPr>
          <w:rFonts w:ascii="Times New Roman" w:hAnsi="Times New Roman" w:eastAsia="宋体"/>
          <w:sz w:val="21"/>
        </w:rPr>
        <w:t>作者: Hiroyuki Kanda, Santa Mondal, Naoto Eguchi, Naoyuki Nishimura, Yoyo Hinuma, Kohei Yamamoto, Masaki Yumoto, Kenichi Tashiro, Hideyuki Takada, Aiko Narazaki, Takashi Koida, Takurou N. Murakami</w:t>
        <w:br/>
      </w:r>
      <w:r>
        <w:rPr>
          <w:rFonts w:ascii="Times New Roman" w:hAnsi="Times New Roman" w:eastAsia="宋体"/>
          <w:sz w:val="21"/>
        </w:rPr>
        <w:t xml:space="preserve">时间: 2026-02-13 | </w:t>
      </w:r>
      <w:r>
        <w:t xml:space="preserve">链接: </w:t>
      </w:r>
      <w:hyperlink r:id="rId11">
        <w:r>
          <w:rPr>
            <w:rFonts w:ascii="Times New Roman" w:hAnsi="Times New Roman" w:eastAsia="宋体"/>
            <w:color w:val="0000FF"/>
            <w:sz w:val="21"/>
            <w:u w:val="single"/>
          </w:rPr>
          <w:t>https://doi.org/10.1038/s41467-025-68236-9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钙钛矿太阳能电池（PSC）的热稳定性仍然是其集成到电网应用中的关键挑战。在这里，我们通过在 Spiro-OMeTAD 中使用杂芳基添加剂来报道热稳定 PSC。这些添加剂有效控制空穴传输层中空隙的形成，并最大限度地减少与钙钛矿层的反应性，显着提高PSC在85°C下的热稳定性。结果，具有3-苯基吡啶和2-苯基吡啶的PSC在85℃测试2400小时后分别保持了其初始光转换效率的101%和104%。作为一个额外的好处，光伏性能实现了 25% 的光转换效率。此外，户外测试显示，在最大功率点跟踪下，1570小时后初始功率点电压仍保持在90%，表现出卓越的光稳定性和循环稳定性。我们通过比较 36 种杂芳基衍生物和 60 种添加剂组合，揭示了添加剂如何提高 PSC 热稳定性的机制。</w:t>
      </w:r>
    </w:p>
    <w:p>
      <w:pPr>
        <w:spacing w:before="120"/>
      </w:pPr>
      <w:r>
        <w:rPr>
          <w:rFonts w:ascii="Times New Roman" w:hAnsi="Times New Roman" w:eastAsia="宋体"/>
          <w:b/>
          <w:sz w:val="21"/>
        </w:rPr>
        <w:t>English Abstract:</w:t>
      </w:r>
    </w:p>
    <w:p>
      <w:r>
        <w:rPr>
          <w:rFonts w:ascii="Times New Roman" w:hAnsi="Times New Roman" w:eastAsia="宋体"/>
          <w:sz w:val="21"/>
        </w:rPr>
        <w:t>Abstract The thermal stability of perovskite solar cells (PSCs) remains a critical challenge for their integration into power grid applications. Here, we report the thermally stable PSCs by employing heteroaryl additives in the Spiro-OMeTAD. These additives effectively control void formation in the hole-transport layer and minimize reactivity with the perovskite layer, significantly improving the thermal stability of PSCs at 85 °C. As a result, PSCs with 3-phenylpyridine and 2-phenylpyridine maintained 101% and 104% of their initial photoconversion efficiency after 2400 hours of 85 °C test, respectively. As an added benefit, photovoltaic performance achieved a photoconversion efficiency of 25%. Also, the outdoor test shows 90% of the initial power point voltage after 1570 hours with maximum-power point tracking, showing remarkable light and cycle stability. We revealed the mechanism of how the additive can improve the thermal stability of PSCs by comparing 36 heteroaryl derivatives and 60 additive combinations.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患病结肠组织中的 eQTL 识别与 IBD 相关的潜在靶基因</w:t>
      </w:r>
    </w:p>
    <w:p>
      <w:r>
        <w:rPr>
          <w:rFonts w:ascii="Times New Roman" w:hAnsi="Times New Roman" w:eastAsia="宋体"/>
          <w:b/>
          <w:color w:val="003264"/>
          <w:sz w:val="24"/>
        </w:rPr>
        <w:t>eQTL in diseased colon tissue identifies potential target genes associated with IBD</w:t>
      </w:r>
    </w:p>
    <w:p>
      <w:r>
        <w:rPr>
          <w:rFonts w:ascii="Times New Roman" w:hAnsi="Times New Roman" w:eastAsia="宋体"/>
          <w:sz w:val="21"/>
        </w:rPr>
        <w:t>作者: Nina C. Nishiyama, Sophie Silverstein, Kimberly Darlington, Meaghan M. Kennedy Ng, Katelyn M. Clough, Mikaela Bauer, Caroline Beasley, Akshatha Bharadwaj, Rajee Ganesan, Muneera R. Kapadia, Gwen Lau, Grace Lian, Reza Rahbar, Timothy S. Sadiq, Matthew R. Schaner, Jonathan Stem, Jessica Friton, William A. Faubion, Shehzad Z. Sheikh, Terrence S. Furey</w:t>
        <w:br/>
      </w:r>
      <w:r>
        <w:rPr>
          <w:rFonts w:ascii="Times New Roman" w:hAnsi="Times New Roman" w:eastAsia="宋体"/>
          <w:sz w:val="21"/>
        </w:rPr>
        <w:t xml:space="preserve">时间: 2026-02-13 | </w:t>
      </w:r>
      <w:r>
        <w:t xml:space="preserve">链接: </w:t>
      </w:r>
      <w:hyperlink r:id="rId68">
        <w:r>
          <w:rPr>
            <w:rFonts w:ascii="Times New Roman" w:hAnsi="Times New Roman" w:eastAsia="宋体"/>
            <w:color w:val="0000FF"/>
            <w:sz w:val="21"/>
            <w:u w:val="single"/>
          </w:rPr>
          <w:t>https://doi.org/10.1038/s41467-026-69364-6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炎症性肠病患者的表达数量性状位点 (eQTL) 分析确定了在未患病个体中不易检测到的 IBD GWAS 位点的潜在靶基因，强调了以疾病为中心的研究的重要性。</w:t>
      </w:r>
    </w:p>
    <w:p>
      <w:pPr>
        <w:spacing w:before="120"/>
      </w:pPr>
      <w:r>
        <w:rPr>
          <w:rFonts w:ascii="Times New Roman" w:hAnsi="Times New Roman" w:eastAsia="宋体"/>
          <w:b/>
          <w:sz w:val="21"/>
        </w:rPr>
        <w:t>English Abstract:</w:t>
      </w:r>
    </w:p>
    <w:p>
      <w:r>
        <w:rPr>
          <w:rFonts w:ascii="Times New Roman" w:hAnsi="Times New Roman" w:eastAsia="宋体"/>
          <w:sz w:val="21"/>
        </w:rPr>
        <w:t>Expression quantitative trait loci (eQTL) analysis in patients with inflammatory bowel disease identify potential target genes for IBD GWAS loci not readily detected in individuals without disease highlighting the importance disease-focused studies.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通过单神经元扰动测量的可解码性、灵敏度和关键性</w:t>
      </w:r>
    </w:p>
    <w:p>
      <w:r>
        <w:rPr>
          <w:rFonts w:ascii="Times New Roman" w:hAnsi="Times New Roman" w:eastAsia="宋体"/>
          <w:b/>
          <w:color w:val="003264"/>
          <w:sz w:val="24"/>
        </w:rPr>
        <w:t>Decodability, sensitivity, and criticality measured through single-neuron perturbations</w:t>
      </w:r>
    </w:p>
    <w:p>
      <w:r>
        <w:rPr>
          <w:rFonts w:ascii="Times New Roman" w:hAnsi="Times New Roman" w:eastAsia="宋体"/>
          <w:sz w:val="21"/>
        </w:rPr>
        <w:t>作者: Matthew Farrell, Taro Toyoizumi</w:t>
        <w:br/>
      </w:r>
      <w:r>
        <w:rPr>
          <w:rFonts w:ascii="Times New Roman" w:hAnsi="Times New Roman" w:eastAsia="宋体"/>
          <w:sz w:val="21"/>
        </w:rPr>
        <w:t xml:space="preserve">时间: 2026-02-13 | </w:t>
      </w:r>
      <w:r>
        <w:t xml:space="preserve">链接: </w:t>
      </w:r>
      <w:hyperlink r:id="rId69">
        <w:r>
          <w:rPr>
            <w:rFonts w:ascii="Times New Roman" w:hAnsi="Times New Roman" w:eastAsia="宋体"/>
            <w:color w:val="0000FF"/>
            <w:sz w:val="21"/>
            <w:u w:val="single"/>
          </w:rPr>
          <w:t>https://doi.org/10.1038/s41467-026-69121-9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此评论重点介绍了 Ribeiro 等人的一项新研究，该研究调查了单神经元尖峰如何影响体内周围的皮质网络。通过从可解码性、灵敏度和关键性的角度比较诱导峰值和背景峰值，这项工作强调了局部扰动如何与持续的网络动态相互作用，以揭示关键神经计算的多方面特征。</w:t>
      </w:r>
    </w:p>
    <w:p>
      <w:pPr>
        <w:spacing w:before="120"/>
      </w:pPr>
      <w:r>
        <w:rPr>
          <w:rFonts w:ascii="Times New Roman" w:hAnsi="Times New Roman" w:eastAsia="宋体"/>
          <w:b/>
          <w:sz w:val="21"/>
        </w:rPr>
        <w:t>English Abstract:</w:t>
      </w:r>
    </w:p>
    <w:p>
      <w:r>
        <w:rPr>
          <w:rFonts w:ascii="Times New Roman" w:hAnsi="Times New Roman" w:eastAsia="宋体"/>
          <w:sz w:val="21"/>
        </w:rPr>
        <w:t>This comment highlights a new study by Ribeiro et al.1 which investigates how single-neuron spikes influence the surrounding cortical network in vivo. By comparing induced and background spikes through the lenses of decodability, sensitivity, and criticality, this work highlights how local perturbations interact with ongoing network dynamics to reveal multi-faceted signatures of critical neural computation.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00:28 ---</w:t>
      </w:r>
    </w:p>
    <w:p>
      <w:pPr>
        <w:pStyle w:val="Heading2"/>
      </w:pPr>
      <w:r/>
      <w:r>
        <w:rPr>
          <w:rFonts w:ascii="Times New Roman" w:hAnsi="Times New Roman" w:eastAsia="宋体"/>
          <w:b/>
          <w:color w:val="000000"/>
          <w:sz w:val="24"/>
        </w:rPr>
        <w:t>M6：多生成器、多领域、多语言和文化、多流派、多乐器机器生成的音乐检测数据库</w:t>
      </w:r>
    </w:p>
    <w:p>
      <w:r>
        <w:rPr>
          <w:rFonts w:ascii="Times New Roman" w:hAnsi="Times New Roman" w:eastAsia="宋体"/>
          <w:b/>
          <w:color w:val="003264"/>
          <w:sz w:val="24"/>
        </w:rPr>
        <w:t>M6: multi-generator, multi-domain, multi-lingual and cultural, multi-genres, multi-instrument machine-generated music detection databases</w:t>
      </w:r>
    </w:p>
    <w:p>
      <w:r>
        <w:rPr>
          <w:rFonts w:ascii="Times New Roman" w:hAnsi="Times New Roman" w:eastAsia="宋体"/>
          <w:sz w:val="21"/>
        </w:rPr>
        <w:t>作者: Yupei Li, Hanqian Li, Lucia Specia, Bjorn Schuller</w:t>
        <w:br/>
      </w:r>
      <w:r>
        <w:rPr>
          <w:rFonts w:ascii="Times New Roman" w:hAnsi="Times New Roman" w:eastAsia="宋体"/>
          <w:sz w:val="21"/>
        </w:rPr>
        <w:t xml:space="preserve">时间: 2026-02-13 | </w:t>
      </w:r>
      <w:r>
        <w:t xml:space="preserve">链接: </w:t>
      </w:r>
      <w:hyperlink r:id="rId12">
        <w:r>
          <w:rPr>
            <w:rFonts w:ascii="Times New Roman" w:hAnsi="Times New Roman" w:eastAsia="宋体"/>
            <w:color w:val="0000FF"/>
            <w:sz w:val="21"/>
            <w:u w:val="single"/>
          </w:rPr>
          <w:t>https://doi.org/10.1038/s41598-026-36044-w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机器生成音乐（MGM）已成为一种强大的工具，可应用于音乐治疗、个性化编辑和创意灵感。然而，其不受管制的使用会降低高质量人类作品的价值，从而威胁到娱乐、教育和艺术领域。有效检测机器生成的音乐（MGMD）至关重要，但缺乏全面的数据集阻碍了进展。为了解决这一差距，我们引入了 M6，这是一个专为 MGMD 研究而设计的大型基准数据集。 M6 以其多样性而著称，涵盖多种生成器、领域、语言、文化背景、流派和乐器，全部以 WAV 格式提供。我们详细介绍了数据收集方法和分析，以及基础二元分类模型的基线性能分数，强调了 MGMD 的复杂性和进一步改进的必要性。 M6 是支持未来研究开发有效检测方法的强大资源。该数据集可在 https://huggingface.co/datasets/yl7622/M6 上获取，以促进协作和创新。</w:t>
      </w:r>
    </w:p>
    <w:p>
      <w:pPr>
        <w:spacing w:before="120"/>
      </w:pPr>
      <w:r>
        <w:rPr>
          <w:rFonts w:ascii="Times New Roman" w:hAnsi="Times New Roman" w:eastAsia="宋体"/>
          <w:b/>
          <w:sz w:val="21"/>
        </w:rPr>
        <w:t>English Abstract:</w:t>
      </w:r>
    </w:p>
    <w:p>
      <w:r>
        <w:rPr>
          <w:rFonts w:ascii="Times New Roman" w:hAnsi="Times New Roman" w:eastAsia="宋体"/>
          <w:sz w:val="21"/>
        </w:rPr>
        <w:t>Abstract Machine-generated music (MGM) has become a powerful tool with applications in music therapy, personalised editing, and creative inspiration. However, its unregulated use threatens the entertainment, education, and arts sectors by diminishing the value of high-quality human compositions. Effective detection of machine-generated music (MGMD) is essential, yet progress is hindered by the lack of comprehensive datasets. To address this gap, we introduce M6 , a large-scope benchmark dataset designed for MGMD research. M6 is distinguished by its diversity, encompassing multiple generators, domains, languages, cultural contexts, genres, and instruments, all provided in WAV format. We detail the data collection methodology and analysis, alongside baseline performance scores from foundational binary classification models, highlighting the complexity of MGMD and the need for further advancements. M6 serves as a robust resource to support future research in developing effective detection methods. The dataset is available at https://huggingface.co/datasets/yl7622/M6 to promote collaboration and innovation.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黄秋葵植物废料纤维的表征，用于可持续复合材料和生物医学应用</w:t>
      </w:r>
    </w:p>
    <w:p>
      <w:r>
        <w:rPr>
          <w:rFonts w:ascii="Times New Roman" w:hAnsi="Times New Roman" w:eastAsia="宋体"/>
          <w:b/>
          <w:color w:val="003264"/>
          <w:sz w:val="24"/>
        </w:rPr>
        <w:t>Characterization of Abelmoschus esculentus plant waste fiber for sustainable composite and biomedical applications</w:t>
      </w:r>
    </w:p>
    <w:p>
      <w:r>
        <w:rPr>
          <w:rFonts w:ascii="Times New Roman" w:hAnsi="Times New Roman" w:eastAsia="宋体"/>
          <w:sz w:val="21"/>
        </w:rPr>
        <w:t>作者: Thandavamoorthy Raja, Yuvarajan Devarajan, Aravindan Munusamy Kalidhas, G. M. Sandeep, Mukul Saxena, Sasanka Choudhury, D. Dhorajiya Amitkumar, Kulmani Mehar</w:t>
        <w:br/>
      </w:r>
      <w:r>
        <w:rPr>
          <w:rFonts w:ascii="Times New Roman" w:hAnsi="Times New Roman" w:eastAsia="宋体"/>
          <w:sz w:val="21"/>
        </w:rPr>
        <w:t xml:space="preserve">时间: 2026-02-13 | </w:t>
      </w:r>
      <w:r>
        <w:t xml:space="preserve">链接: </w:t>
      </w:r>
      <w:hyperlink r:id="rId13">
        <w:r>
          <w:rPr>
            <w:rFonts w:ascii="Times New Roman" w:hAnsi="Times New Roman" w:eastAsia="宋体"/>
            <w:color w:val="0000FF"/>
            <w:sz w:val="21"/>
            <w:u w:val="single"/>
          </w:rPr>
          <w:t>https://doi.org/10.1038/s41598-026-39438-y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农业废弃物作为可持续材料来源的价值在复合材料开发中正在获得动力。本研究的重点是通过水沤制、机械刮削和碱处理从秋葵植物废茎中提取纤维，然后进行综合表征。 X射线衍射分析显示出半结晶结构，结晶度指数为30.3%，而傅里叶变换红外光谱证实了纤维素、半纤维素和木质素官能团的存在。拉伸测试表明，拉伸强度为 13.79 MPa，断裂伸长率为 0.36，表明可生物降解复合材料具有良好的机械性能。扫描电子显微镜显示纤维表面粗糙且原纤化，表明界面粘附潜力增强。针对鼠伤寒沙门氏菌的抗菌测试在 50 µg 浓度下显示出 23 mm 的显着抑菌圈，与标准抗生素链霉素非常接近。共焦激光扫描显微镜进一步揭示了生物膜形成的显着破坏，纤维提取物处理后细菌细胞死亡增加。这些发现共同强调，黄秋葵纤维具有机械强度、化学功能和抗菌活性的有利组合，使其成为环境和生物医学领域环保复合材料应用的有效材料。</w:t>
      </w:r>
    </w:p>
    <w:p>
      <w:pPr>
        <w:spacing w:before="120"/>
      </w:pPr>
      <w:r>
        <w:rPr>
          <w:rFonts w:ascii="Times New Roman" w:hAnsi="Times New Roman" w:eastAsia="宋体"/>
          <w:b/>
          <w:sz w:val="21"/>
        </w:rPr>
        <w:t>English Abstract:</w:t>
      </w:r>
    </w:p>
    <w:p>
      <w:r>
        <w:rPr>
          <w:rFonts w:ascii="Times New Roman" w:hAnsi="Times New Roman" w:eastAsia="宋体"/>
          <w:sz w:val="21"/>
        </w:rPr>
        <w:t>The valorization of agricultural waste as a source of sustainable materials is gaining momentum in composite development. This study focuses on fibers extracted from Abelmoschus esculentus (okra) plant waste stems through water retting, mechanical scraping, and alkali treatment, followed by comprehensive characterization. X-ray diffraction analysis revealed a semi-crystalline structure with a crystallinity index of 30.3%, while Fourier-transform infrared spectroscopy confirmed the presence of cellulose, hemicellulose, and lignin functional groups. Tensile testing demonstrated a tensile strength of 13.79 MPa and an elongation at break of 0.36 indicating good mechanical performance for biodegradable composites. Scanning electron microscopy showed rough and fibrillated fiber surfaces, suggesting enhanced interfacial adhesion potential. Antibacterial testing against Salmonella typhimurium exhibited a notable inhibition zone of 23 mm at a 50 µg concentration, closely comparable to the standard antibiotic streptomycin. Confocal laser scanning microscopy further revealed significant disruption of biofilm formation, with increased bacterial cell death after fiber extract treatment. These findings collectively highlight that Abelmoschus esculentus fibers possess an advantageous combination of mechanical strength, chemical functionality, and antimicrobial activity, making them efficient material for eco-friendly composite applications in environmental and biomedical sectors.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使用深度学习算法对临床矢状和冠状 T1 加权 MRI 上的肩袖肌肉进行定量脂肪分数分析</w:t>
      </w:r>
    </w:p>
    <w:p>
      <w:r>
        <w:rPr>
          <w:rFonts w:ascii="Times New Roman" w:hAnsi="Times New Roman" w:eastAsia="宋体"/>
          <w:b/>
          <w:color w:val="003264"/>
          <w:sz w:val="24"/>
        </w:rPr>
        <w:t>Quantitative fat-fraction analysis of the rotator cuff muscles on clinical sagittal and coronal T1-weighted MRI using deep learning algorithms</w:t>
      </w:r>
    </w:p>
    <w:p>
      <w:r>
        <w:rPr>
          <w:rFonts w:ascii="Times New Roman" w:hAnsi="Times New Roman" w:eastAsia="宋体"/>
          <w:sz w:val="21"/>
        </w:rPr>
        <w:t>作者: Hanspeter Hess, Alexandra Oswald, Keivan Daneshvar, Nicolas Gerber, Michael Schär, Matthias A. Zumstein, Kate Gerber</w:t>
        <w:br/>
      </w:r>
      <w:r>
        <w:rPr>
          <w:rFonts w:ascii="Times New Roman" w:hAnsi="Times New Roman" w:eastAsia="宋体"/>
          <w:sz w:val="21"/>
        </w:rPr>
        <w:t xml:space="preserve">时间: 2026-02-13 | </w:t>
      </w:r>
      <w:r>
        <w:t xml:space="preserve">链接: </w:t>
      </w:r>
      <w:hyperlink r:id="rId14">
        <w:r>
          <w:rPr>
            <w:rFonts w:ascii="Times New Roman" w:hAnsi="Times New Roman" w:eastAsia="宋体"/>
            <w:color w:val="0000FF"/>
            <w:sz w:val="21"/>
            <w:u w:val="single"/>
          </w:rPr>
          <w:t>https://doi.org/10.1038/s41598-026-38108-3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肩袖肌肉脂肪浸润增加是肩袖修复手术效果不佳的主要预后因素。术前脂肪评估目前依赖于使用磁共振成像 (MRI) 的定性古塔利尔分类。该方法存在观察者变异性较高的问题，并且仅评估单个切片。本研究的目的是利用深度学习从标准 T1 加权 MRI 中预测定量的体素脂肪分数 (FF)。开发了一种基于深度学习的算法，用于使用体素五类系统进行自动 FF 预测。该网络使用配对 T1 加权和 2 点 Dixon MRI 对 75 名患者进行了训练，肩袖肌肉在冠状面和矢状面进行了分段。该方法已在 24 名患者身上得到验证。所提出的算法明显比二元脂肪分类方法更准确（p &lt; 0.001）。与 Dixon MRI 测量相比，平均全肌肉 FF 计算误差（平均值±标准差）范围为 − 0.5 ± 2.2% 至 2.3 ± 3.9%。深度学习使用临床 T1 加权 MRI 实现准确的体素 FF 量化。该方法可以进行肌肉 FF 分布分析，提供更全面的评估，可以改善预后分析并优化治疗计划。</w:t>
      </w:r>
    </w:p>
    <w:p>
      <w:pPr>
        <w:spacing w:before="120"/>
      </w:pPr>
      <w:r>
        <w:rPr>
          <w:rFonts w:ascii="Times New Roman" w:hAnsi="Times New Roman" w:eastAsia="宋体"/>
          <w:b/>
          <w:sz w:val="21"/>
        </w:rPr>
        <w:t>English Abstract:</w:t>
      </w:r>
    </w:p>
    <w:p>
      <w:r>
        <w:rPr>
          <w:rFonts w:ascii="Times New Roman" w:hAnsi="Times New Roman" w:eastAsia="宋体"/>
          <w:sz w:val="21"/>
        </w:rPr>
        <w:t>Abstract Increased fatty infiltration of the rotator cuff muscles is a primary prognostic factor for poor surgical outcomes of rotator cuff repair surgery. Preoperative fat assessment currently relies on the qualitative Goutallier classification using magnetic resonance imaging (MRI). This method suffers from high observer variability and only assesses a single slice. The aim of this study was to use deep learning to predict quantitative, voxel-wise fat fraction (FF) from standard T1-weighted MRIs. A deep learning-based algorithm was developed for automatic FF prediction using a voxel-wise, five-class system. The network was trained on 75 patients using paired T1-weighted and 2-point Dixon MRI, with rotator cuff muscles segmented in coronal and sagittal planes. It was validated on 24 patients. The proposed algorithm was significantly more accurate than a binary fat classification approach ( p &lt; 0.001). Average whole muscle FF calculation errors (mean ± standard deviation) ranged from − 0.5 ± 2.2% to 2.3 ± 3.9% compared to Dixon MRI measures. Deep learning enabled an accurate, voxel-wise FF quantification using clinical T1-weighted MRIs. This method allows for muscle FF distribution analysis, providing a more comprehensive assessment, that can improve prognosis analysis and optimise treatment planning.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短双歧杆菌通过转录组重编程瞬时促进阴道毛滴虫的生长和脂质改变</w:t>
      </w:r>
    </w:p>
    <w:p>
      <w:r>
        <w:rPr>
          <w:rFonts w:ascii="Times New Roman" w:hAnsi="Times New Roman" w:eastAsia="宋体"/>
          <w:b/>
          <w:color w:val="003264"/>
          <w:sz w:val="24"/>
        </w:rPr>
        <w:t>Bifidobacterium breve promotes growth and lipid alteration in Trichomonas vaginalis transiently through transcriptomic reprogramming</w:t>
      </w:r>
    </w:p>
    <w:p>
      <w:r>
        <w:rPr>
          <w:rFonts w:ascii="Times New Roman" w:hAnsi="Times New Roman" w:eastAsia="宋体"/>
          <w:sz w:val="21"/>
        </w:rPr>
        <w:t>作者: Pei-Yun Chen, Yuan-Ming Yeh, Chun-Hsien Chen, Ming-Chi Li, Yu-Tzu Hsu, Po-Jung Huang, Wei-Hung Cheng</w:t>
        <w:br/>
      </w:r>
      <w:r>
        <w:rPr>
          <w:rFonts w:ascii="Times New Roman" w:hAnsi="Times New Roman" w:eastAsia="宋体"/>
          <w:sz w:val="21"/>
        </w:rPr>
        <w:t xml:space="preserve">时间: 2026-02-13 | </w:t>
      </w:r>
      <w:r>
        <w:t xml:space="preserve">链接: </w:t>
      </w:r>
      <w:hyperlink r:id="rId15">
        <w:r>
          <w:rPr>
            <w:rFonts w:ascii="Times New Roman" w:hAnsi="Times New Roman" w:eastAsia="宋体"/>
            <w:color w:val="0000FF"/>
            <w:sz w:val="21"/>
            <w:u w:val="single"/>
          </w:rPr>
          <w:t>https://doi.org/10.1038/s41598-026-38866-0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阴道毛滴虫被认为是最常见的非病毒性传播寄生虫感染，它与共生细菌一起存在于阴道微生物群中，特别是乳杆菌和双歧杆菌。值得注意的是，感染阴道毛滴虫的女性中短双歧杆菌数量有所减少。然而，阴道毛滴虫和这些有益细菌物种之间相互作用的动态仍然没有得到充分的了解，需要进一步研究以阐明潜在的机制和对阴道健康的潜在影响。我们研究了短双歧杆菌对阴道毛滴虫生长的影响，包括其基因表达和与宿主的相互作用。将 HeLa 细胞暴露于经过或不经过短双歧杆菌预处理的阴道毛滴虫。我们评估了细胞因子反应（特别是 IL-6 和 IL-8）并评估了细胞病变效应。通过显微镜监测共培养的动态。此外，我们还进行了转录组学和代谢组学分析，以表征阴道毛滴虫对短双歧杆菌的反应。将阴道毛滴虫与短双歧杆菌共培养 4 小时，原生动物增殖显着增加 1.2 倍，而细菌丰度降低 27%。无论是在阴道毛滴虫之前还是同时使用，用短双歧杆菌治疗后，HeLa 细胞均未表现出细胞病变效应或变化。显微镜显示这两种生物之间存在直接的物理联系。与短双歧杆菌共培养的阴道毛滴虫的转录组分析揭示了与脂肪酸代谢和 DNA 复制相关的基因的上调。代谢组学分析证实了长链脂肪酸含量的变化。此外，毒力相关基因（包括粘附素）也有所增加。短双歧杆菌可促进阴道毛滴虫的生长并短暂调节寄生虫基因表达和脂质代谢。然而，它在感染过程中不为宿主上皮细胞提供保护。这些发现表明，短双歧杆菌可能有助于维持微生物群落平衡，但不能直接对抗阴道毛滴虫。重要的是，这些见解强调了短双歧杆菌相关微生物或代谢特征作为导致寄生虫过度生长的生态变化指标的潜在价值。</w:t>
      </w:r>
    </w:p>
    <w:p>
      <w:pPr>
        <w:spacing w:before="120"/>
      </w:pPr>
      <w:r>
        <w:rPr>
          <w:rFonts w:ascii="Times New Roman" w:hAnsi="Times New Roman" w:eastAsia="宋体"/>
          <w:b/>
          <w:sz w:val="21"/>
        </w:rPr>
        <w:t>English Abstract:</w:t>
      </w:r>
    </w:p>
    <w:p>
      <w:r>
        <w:rPr>
          <w:rFonts w:ascii="Times New Roman" w:hAnsi="Times New Roman" w:eastAsia="宋体"/>
          <w:sz w:val="21"/>
        </w:rPr>
        <w:t>Trichomonas vaginalis is recognized as the most prevalent non-viral sexually transmitted parasitic infection, establishing its presence in the vaginal microbiota alongside commensal bacteria, particularly Lactobacillus and Bifidobacterium species. Notably, a reduction in the population of Bifidobacterium breve has been documented in women infected with T. vaginalis. However, the dynamics of the interaction between T. vaginalis and these beneficial bacterial species remain inadequately understood, warranting further investigation to elucidate the underlying mechanisms and potential implications for vaginal health. We investigated the effects of B. breve on the growth of T. vaginalis, including its gene expression and interactions with the host. HeLa cells were exposed to T. vaginalis that had been pretreated with or without B. breve. We assessed cytokine responses (specifically IL-6 and IL-8) and evaluated cytopathic effects. The dynamics of the co-culture were monitored microscopically. Additionally, we conducted transcriptomic and metabolomic analyses to characterize the responses of T. vaginalis to B. breve. Co-culture of T. vaginalis with B. breve for 4 h significantly increased protozoan proliferation by 1.2-fold, while bacterial abundance was reduced by 27%. HeLa cells showed no cytopathic effects or changes after treatment with B. breve, whether given before or alongside T. vaginalis. Microscopy showed a direct physical association between the two organisms. Transcriptomic profiling of T. vaginalis co-cultured with B. breve revealed an upregulation of genes related to fatty acid metabolism and DNA replication. Metabolomic analysis confirmed changes in the content of long-chain fatty acids. Additionally, there was an increase in virulence-associated genes, including adhesins. B. breve promotes the growth of T. vaginalis and modulates parasite gene expression and lipid metabolism transiently. However, it does not confer protection on host epithelial cells during infection. These findings suggest that B. breve may contribute to maintaining microbial community balance but does not directly counteract T. vaginalis. Importantly, these insights highlight the potential value of B. breve–associated microbial or metabolic signatures as indicators of ecological shifts that predispose to parasite overgrowth.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Silvaco TCAD 建模、光学模拟和高电流钙钛矿和 u-CIGS 串联太阳能电池优化，效率超过 30%</w:t>
      </w:r>
    </w:p>
    <w:p>
      <w:r>
        <w:rPr>
          <w:rFonts w:ascii="Times New Roman" w:hAnsi="Times New Roman" w:eastAsia="宋体"/>
          <w:b/>
          <w:color w:val="003264"/>
          <w:sz w:val="24"/>
        </w:rPr>
        <w:t>Silvaco TCAD modeling, optical simulation, and optimization for high-current perovskite and u-CIGS tandem solar cells with efficiencies above 30%</w:t>
      </w:r>
    </w:p>
    <w:p>
      <w:r>
        <w:rPr>
          <w:rFonts w:ascii="Times New Roman" w:hAnsi="Times New Roman" w:eastAsia="宋体"/>
          <w:sz w:val="21"/>
        </w:rPr>
        <w:t>作者: Reza Mosalanezhad, Mohammad Reza Shayesteh, Majid Pourahmadi</w:t>
        <w:br/>
      </w:r>
      <w:r>
        <w:rPr>
          <w:rFonts w:ascii="Times New Roman" w:hAnsi="Times New Roman" w:eastAsia="宋体"/>
          <w:sz w:val="21"/>
        </w:rPr>
        <w:t xml:space="preserve">时间: 2026-02-13 | </w:t>
      </w:r>
      <w:r>
        <w:t xml:space="preserve">链接: </w:t>
      </w:r>
      <w:hyperlink r:id="rId16">
        <w:r>
          <w:rPr>
            <w:rFonts w:ascii="Times New Roman" w:hAnsi="Times New Roman" w:eastAsia="宋体"/>
            <w:color w:val="0000FF"/>
            <w:sz w:val="21"/>
            <w:u w:val="single"/>
          </w:rPr>
          <w:t>https://doi.org/10.1038/s41598-026-39816-6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串联钙钛矿太阳能电池（TPSC）由于其具有高效率、低生产成本和出色的可扩展性的潜力而引起了广泛的关注。在这项研究中，两端单片串联太阳能电池结合了无铅甲基碘化铋铵（(CH₃NH₃)₃Bi2I₉，缩写为MBI）钙钛矿顶部子电池（Eg = 1.9 eV，吸收体厚度320 nm）和薄CIGS底部子电池（Eg = 1.68 eV，吸收体厚度） 500 nm）是使用 Silvaco Atlas TCAD 进行设计和全面优化的。为了消除稀缺且昂贵的铟的使用，特意选择掺氟氧化锡（FTO）作为正面透明导电氧化物（TCO），而不是传统使用的氧化铟锡（ITO）。 FTO 卓越的热稳定性（稳定高达 600 °C，而 ITO 为 350 °C）、更高的物理磨损耐受性以及无需中间钝化层即可在玻璃上直接沉积的能力，使其成为大规模制造以及 CIGS 沉积所需的后续高温处理步骤的更稳健且更具成本效益的选择。使用FTO的独立优化的MBI-钙钛矿单结电池实现了15.13%的功率转换效率。对两个子电池进行单独校准和优化后，完全耦合的两端单片串联器件在标准 AM1.5G 照明下实现了 35.67% 的真实且可重复的效率（Voc = 4.53 V，Jsc = 29.23 mA/cm²，FF = 77.88%）。这些结果凸显了高性能、无铟、无铅钙钛矿/CIGS 串联架构的可行性。</w:t>
      </w:r>
    </w:p>
    <w:p>
      <w:pPr>
        <w:spacing w:before="120"/>
      </w:pPr>
      <w:r>
        <w:rPr>
          <w:rFonts w:ascii="Times New Roman" w:hAnsi="Times New Roman" w:eastAsia="宋体"/>
          <w:b/>
          <w:sz w:val="21"/>
        </w:rPr>
        <w:t>English Abstract:</w:t>
      </w:r>
    </w:p>
    <w:p>
      <w:r>
        <w:rPr>
          <w:rFonts w:ascii="Times New Roman" w:hAnsi="Times New Roman" w:eastAsia="宋体"/>
          <w:sz w:val="21"/>
        </w:rPr>
        <w:t>Tandem perovskite solar cells (TPSCs) have attracted considerable attention due to their potential for achieving high efficiency, low production cost, and excellent scalability. In this study, a two-terminal monolithic tandem solar cell combining a lead-free Methylammonium Bismuth Iodide ((CH₃NH₃)₃Bi₂I₉, abbreviated as MBI) perovskite top sub-cell (Eg = 1.9 eV, absorber thickness 320 nm) and an thin CIGS bottom sub-cell (Eg = 1.68 eV, absorber thickness 500 nm) was designed and comprehensively optimized using Silvaco Atlas TCAD. To eliminate the use of scarce and expensive indium, fluorine-doped tin oxide (FTO) was deliberately selected as the front transparent conductive oxide (TCO) instead of the conventionally used indium tin oxide (ITO). The superior thermal stability of FTO (stable up to 600 °C versus 350 °C for ITO), its higher tolerance to physical abrasion, and its direct deposition capability on glass without an intermediate passivation layer make it a more robust and cost-effective choice for large-scale manufacturing and for subsequent high-temperature processing steps required in CIGS deposition. The standalone optimized MBI-perovskite single-junction cell using FTO achieved a power conversion efficiency of 15.13%. After individual calibration and optimization of both sub-cells, the fully coupled two-terminal monolithic tandem device delivered a realistic and reproducible efficiency of 35.67% (Voc = 4.53 V, Jsc = 29.23 mA/cm², FF = 77.88%) under standard AM1.5G illumination. These results highlight the feasibility of high-performance, indium-free, lead-free perovskite/CIGS tandem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通过空间建模和验证加强土壤有机碳的数字绘图</w:t>
      </w:r>
    </w:p>
    <w:p>
      <w:r>
        <w:rPr>
          <w:rFonts w:ascii="Times New Roman" w:hAnsi="Times New Roman" w:eastAsia="宋体"/>
          <w:b/>
          <w:color w:val="003264"/>
          <w:sz w:val="24"/>
        </w:rPr>
        <w:t>Enhancing digital mapping of soil organic carbon through spatial modeling and validation</w:t>
      </w:r>
    </w:p>
    <w:p>
      <w:r>
        <w:rPr>
          <w:rFonts w:ascii="Times New Roman" w:hAnsi="Times New Roman" w:eastAsia="宋体"/>
          <w:sz w:val="21"/>
        </w:rPr>
        <w:t>作者: Azam Jafari, Fereydoon Sarmadian, Ahmad Heidari, Zahra Rasaei</w:t>
        <w:br/>
      </w:r>
      <w:r>
        <w:rPr>
          <w:rFonts w:ascii="Times New Roman" w:hAnsi="Times New Roman" w:eastAsia="宋体"/>
          <w:sz w:val="21"/>
        </w:rPr>
        <w:t xml:space="preserve">时间: 2026-02-13 | </w:t>
      </w:r>
      <w:r>
        <w:t xml:space="preserve">链接: </w:t>
      </w:r>
      <w:hyperlink r:id="rId17">
        <w:r>
          <w:rPr>
            <w:rFonts w:ascii="Times New Roman" w:hAnsi="Times New Roman" w:eastAsia="宋体"/>
            <w:color w:val="0000FF"/>
            <w:sz w:val="21"/>
            <w:u w:val="single"/>
          </w:rPr>
          <w:t>https://doi.org/10.1038/s41598-026-39496-2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土壤有机碳（SOC）是土壤健康、稳定性和安全的关键指标，也是全球固碳的主要组成部分。准确的 SOC 建模对于环境管理和减缓气候变化至关重要。尽管机器学习取得了进步，空间自相关仍然是 SOC 预测的一个挑战。本研究通过比较 0-30 cm 土壤深度的四种随机森林 (RF) 模型来评估其影响：(1) 具有非空间变量和随机交叉验证的经典 RF，(2) 具有空间和非空间变量和随机交叉验证的经典 RF，(3) 具有非空间变量和空间交叉验证的经典 RF，以及 (4) 具有非空间变量和随机交叉验证的空间 RF。该研究利用六年来在伊朗阿比耶克收集的 281 个土壤样本，整合了空间和非空间预测因子，包括地形、气候和植被指数。场景 4 产生最高的预测精度（R2 = 0.86，RMSE = 0.11）并消除残差中的空间自相关（Moran’s I = -0.01，p = 0.82）。相反，缺乏空间成分的模型（例如场景 1）显示残差聚类和有偏差的预测（Moran’s I &gt; 0.15，p &lt; 0.001）。这些结果凸显了整合空间依赖性和适当验证以增强 SOC 预测的重要性。该研究为数字土壤测绘、碳储量评估和可持续农业的土地管理提供了信息。</w:t>
      </w:r>
    </w:p>
    <w:p>
      <w:pPr>
        <w:spacing w:before="120"/>
      </w:pPr>
      <w:r>
        <w:rPr>
          <w:rFonts w:ascii="Times New Roman" w:hAnsi="Times New Roman" w:eastAsia="宋体"/>
          <w:b/>
          <w:sz w:val="21"/>
        </w:rPr>
        <w:t>English Abstract:</w:t>
      </w:r>
    </w:p>
    <w:p>
      <w:r>
        <w:rPr>
          <w:rFonts w:ascii="Times New Roman" w:hAnsi="Times New Roman" w:eastAsia="宋体"/>
          <w:sz w:val="21"/>
        </w:rPr>
        <w:t>Soil organic carbon (SOC) is a key indicator of soil health, stability, and security, and a major component of global carbon sequestration. Accurate SOC modeling is vital for environmental management and climate change mitigation. Despite machine learning advances, spatial autocorrelation remains a challenge in SOC prediction. This study assesses its impact by comparing four Random Forest (RF) models at 0–30 cm soil depth: (1) classic RF with non-spatial variables and random cross-validation, (2) classic RF with spatial and non-spatial variables and random cross-validation, (3) classic RF with non-spatial variables and spatial cross-validation, and (4) spatial RF with non-spatial variables and random cross-validation. Using 281 soil samples collected over six years in Abyek, Iran, the study integrates spatial and non-spatial predictors, including topographic, climatic, and vegetation indices. Scenario 4 yields the highest predictive accuracy (R2 = 0.86, RMSE = 0.11) and eliminates spatial autocorrelation in residuals (Moran’s I = -0.01, p = 0.82). In contrast, models lacking spatial components (e.g., Scenario 1) show residual clustering and biased predictions (Moran’s I &gt; 0.15, p &lt; 0.001). These results highlight the importance of incorporating spatial dependencies and proper validation to enhance SOC prediction. The study informs digital soil mapping, carbon stock assessment, and land management for sustainable agriculture.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大黄通过钙介导的肠道乙酰胆碱释放增强胃肠动力：一项网络药理学研究</w:t>
      </w:r>
    </w:p>
    <w:p>
      <w:r>
        <w:rPr>
          <w:rFonts w:ascii="Times New Roman" w:hAnsi="Times New Roman" w:eastAsia="宋体"/>
          <w:b/>
          <w:color w:val="003264"/>
          <w:sz w:val="24"/>
        </w:rPr>
        <w:t>Rhubarb enhances gastrointestinal motility via calcium-mediated intestinal acetylcholine release: a network pharmacology study</w:t>
      </w:r>
    </w:p>
    <w:p>
      <w:r>
        <w:rPr>
          <w:rFonts w:ascii="Times New Roman" w:hAnsi="Times New Roman" w:eastAsia="宋体"/>
          <w:sz w:val="21"/>
        </w:rPr>
        <w:t>作者: Zhiyong Wen, Weihua Liu, Jialing Li, Songling Tan, Jianbo Wen</w:t>
        <w:br/>
      </w:r>
      <w:r>
        <w:rPr>
          <w:rFonts w:ascii="Times New Roman" w:hAnsi="Times New Roman" w:eastAsia="宋体"/>
          <w:sz w:val="21"/>
        </w:rPr>
        <w:t xml:space="preserve">时间: 2026-02-13 | </w:t>
      </w:r>
      <w:r>
        <w:t xml:space="preserve">链接: </w:t>
      </w:r>
      <w:hyperlink r:id="rId18">
        <w:r>
          <w:rPr>
            <w:rFonts w:ascii="Times New Roman" w:hAnsi="Times New Roman" w:eastAsia="宋体"/>
            <w:color w:val="0000FF"/>
            <w:sz w:val="21"/>
            <w:u w:val="single"/>
          </w:rPr>
          <w:t>https://doi.org/10.1038/s41598-026-39372-z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肠道蠕动的快速恢复对于治疗急性胰腺炎（AP）至关重要，特别是在重症病例中。本研究旨在探讨中药大黄通过调节胃肠道钙离子信号来增强肠蠕动的潜力。一种整合网络药理学、KEGG 通路富集和蛋白质-蛋白质相互作用 (PPI) 分析的多组学方法，以鉴定大黄的活性成分和与 AP 相关的靶基因。 KEGG分析突出了钙离子通路中的关键基因，有利于网络药理学框架的构建。 C57BL/6小鼠被单盲随机给予盐水或大黄灌胃（0.2mL/10g，每天三次，持续2天）。收集回肠组织和血清来测量关键基因、乙酰胆碱（ACh）和乙酰胆碱酯酶（AChE）。同样，萍乡市人民医院的轻至中度 AP 患者被单盲随机分配到对照组或大黄组，并分析血清中的 AChE 水平。多维分析确定了大黄中与 67 种靶蛋白相互作用的 10 种活性成分。与 AP 相关靶点的交叉参考确定了 55 个关键调控基因，其中 10 个在钙信号通路中显着富集。动物研究表明，大黄显着增加小鼠回肠中的 ACh (p = 0.0023) 和血清 AChE 水平 (p &lt; 0.0001)。 Q-PCR 分析表明九个钙途径相关基因上调。在一项对 10 名 AP 患者进行的随机单盲试验中，接受口服大黄治疗的患者排便次数明显增多 (p &lt; 0.0001)，血清 AChE 水平 (p &lt; 0.0001) 明显高于对照组。没有发生不良事件。大黄通过增强胃肠蠕动、激活钙离子信号传导以及促进乙酰胆碱和乙酰胆碱酯酶释放来增加小鼠腹泻。它还会提高 AP 患者的血清 AChE 水平和排便频率。这些作用可以解释大黄在治疗与 AP 相关的胃肠动力障碍中的治疗作用。试用注册号：ITMCTR2025002044。</w:t>
      </w:r>
    </w:p>
    <w:p>
      <w:pPr>
        <w:spacing w:before="120"/>
      </w:pPr>
      <w:r>
        <w:rPr>
          <w:rFonts w:ascii="Times New Roman" w:hAnsi="Times New Roman" w:eastAsia="宋体"/>
          <w:b/>
          <w:sz w:val="21"/>
        </w:rPr>
        <w:t>English Abstract:</w:t>
      </w:r>
    </w:p>
    <w:p>
      <w:r>
        <w:rPr>
          <w:rFonts w:ascii="Times New Roman" w:hAnsi="Times New Roman" w:eastAsia="宋体"/>
          <w:sz w:val="21"/>
        </w:rPr>
        <w:t>Abstract Rapid restoration of intestinal motility is crucial in managing acute pancreatitis (AP), particularly in severe cases. This study aims to investigate the potential of Chinese medicinal rhubarb to enhance bowel motility through modulation of calcium ion signaling in the gastrointestinal tract. A multi-omics approach integrating network pharmacology, KEGG pathway enrichment, and protein–protein interaction (PPI) analyses to identify rhubarb’s active components and target genes linked to AP. KEGG analysis highlighted key genes in the calcium ion pathway, facilitating the construction of a network pharmacology framework. C57BL/6 mice were single-blind randomly given saline or rhubarb gavage (0.2 mL/10 g, thrice daily for 2 days). Ileum tissues and serum were collected to measure key genes, acetylcholine (ACh), and acetylcholinesterase (AChE). Similarly, mild to moderate AP patients in Pingxiang People’s Hospital were single-blind randomly assigned to control or rhubarb groups, with serum analyzed for AChE levels. Multi-dimensional analyses identified ten active components in rhubarb that interact with 67 target proteins. Cross-referencing with AP-related targets identified 55 key regulatory genes, ten of which were significantly enriched in the calcium signaling pathway. Animal studies demonstrated that rhubarb significantly increased ACh in the mice ileum ( p = 0.0023) and serum AChE levels ( p &lt; 0.0001). Q-PCR analysis indicated upregulation of nine calcium pathway-related genes. In a randomized single-blind trial with 10 AP patients, those receiving oral rhubarb had significantly more frequent bowel movements ( p &lt; 0.0001) and higher serum AChE levels ( p &lt; 0.0001) than controls. No adverse events occurred. Rhubarb increases diarrhea in mice by enhancing gastrointestinal motility, activating calcium ion signaling, and boosting ACh and AChE release. It also raises serum AChE levels and defecation frequency in AP patients. These effects may explain rhubarb’s therapeutic role in treating gastrointestinal motility disorders linked to AP. Trial registration number: ITMCTR2025002044.</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在高心脏代谢风险的超重个体中，Alistipes 与脂蛋白谱的疾病特异性串扰</w:t>
      </w:r>
    </w:p>
    <w:p>
      <w:r>
        <w:rPr>
          <w:rFonts w:ascii="Times New Roman" w:hAnsi="Times New Roman" w:eastAsia="宋体"/>
          <w:b/>
          <w:color w:val="003264"/>
          <w:sz w:val="24"/>
        </w:rPr>
        <w:t>Disease-specific crosstalk of Alistipes with lipoprotein profiles in overweight individuals at high cardiometabolic risk</w:t>
      </w:r>
    </w:p>
    <w:p>
      <w:r>
        <w:rPr>
          <w:rFonts w:ascii="Times New Roman" w:hAnsi="Times New Roman" w:eastAsia="宋体"/>
          <w:sz w:val="21"/>
        </w:rPr>
        <w:t>作者: Amanda Cuevas-Sierra, Andrea Higuera-Gómez, Begoña de Cuevillas, Núria Amigó, María Martínez-Urbistondo, Raquel Castejón, J. Antonio Vargas, J. Alfredo Martínez</w:t>
        <w:br/>
      </w:r>
      <w:r>
        <w:rPr>
          <w:rFonts w:ascii="Times New Roman" w:hAnsi="Times New Roman" w:eastAsia="宋体"/>
          <w:sz w:val="21"/>
        </w:rPr>
        <w:t xml:space="preserve">时间: 2026-02-13 | </w:t>
      </w:r>
      <w:r>
        <w:t xml:space="preserve">链接: </w:t>
      </w:r>
      <w:hyperlink r:id="rId19">
        <w:r>
          <w:rPr>
            <w:rFonts w:ascii="Times New Roman" w:hAnsi="Times New Roman" w:eastAsia="宋体"/>
            <w:color w:val="0000FF"/>
            <w:sz w:val="21"/>
            <w:u w:val="single"/>
          </w:rPr>
          <w:t>https://doi.org/10.1038/s41598-026-36024-0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代谢综合征（MS）和系统性红斑狼疮（SLE）代表两种病理生理学不同的慢性疾病，与心血管风险升高相关。新的证据将肠道微生物群与宿主脂质代谢和脂蛋白功能联系起来。本研究旨在分析受 MS 和 SLE 影响的超重人群中肠道微生物群与高级脂蛋白分析之间的疾病特异性关系。总共包括 85 名 MS 患者和 66 名 SLE 患者，全部超重。评估了人体测量、身体成分和生化参数。脂蛋白谱通过 1 H-NMR 光谱进行定量，肠道微生物群组成通过 16S rRNA 测序进行定量。机器学习 Boruta 特征选择识别出与脂质特征相关的微生物类群。回归模型按疾病类型评估了微生物群与低密度脂蛋白颗粒的关联。 MS 组的参与者在人体测量、身体成分和临床生物化学方面表现出更不利的数值。高级脂蛋白分析显示，MS 个体的 IDL-C、VLDL-TG、小 LDL-P 和总 LDL-P 水平较高，而 HDL-C 降低，反映出更容易发生动脉粥样硬化。肠道微生物群分析将 Alistipes 确定为关键的判别类群。观察到 Alitipes 丰度与小 LDL 颗粒浓度之间存在显着关联，并受疾病类型调节，这表明肠道微生物群与脂质代谢之间的关联可能因疾病类型而异。与患有自身免疫性系统性红斑狼疮的个体相比，患有代谢综合征的参与者表现出不利的人体测量、临床和脂蛋白特征，以及独特的肠道微生物群。结果强调了特定条件下的宿主-微生物群-脂质关系，并支持使用新方法来指导降低高危人群心血管风险的精准策略。</w:t>
      </w:r>
    </w:p>
    <w:p>
      <w:pPr>
        <w:spacing w:before="120"/>
      </w:pPr>
      <w:r>
        <w:rPr>
          <w:rFonts w:ascii="Times New Roman" w:hAnsi="Times New Roman" w:eastAsia="宋体"/>
          <w:b/>
          <w:sz w:val="21"/>
        </w:rPr>
        <w:t>English Abstract:</w:t>
      </w:r>
    </w:p>
    <w:p>
      <w:r>
        <w:rPr>
          <w:rFonts w:ascii="Times New Roman" w:hAnsi="Times New Roman" w:eastAsia="宋体"/>
          <w:sz w:val="21"/>
        </w:rPr>
        <w:t>Abstract Metabolic syndrome (MS) and systemic lupus erythematosus (SLE) represent two pathophysiologically distinct chronic conditions associated with elevated cardiovascular risk. Emerging evidence links gut microbiota to host lipid metabolism and lipoprotein function. This investigation aimed to analyze disease-specific relations between gut microbiota and an advanced lipoprotein profiling in an overweight population affected by MS and SLE. A total of 85 individuals with MS and 66 with SLE, all overweight, were included. Anthropometric, body composition, and biochemical parameters were assessed. Lipoprotein profiles were quantified by 1 H-NMR spectroscopy, and gut microbiota composition via 16S rRNA sequencing. Machine learning Boruta feature selection identified microbial taxa linked to lipid traits. Regression models evaluated microbiota–LDL particle associations by disease type. Participants in the MS group showed more unfavorable values in anthropometric, body composition and clinical biochemistry. Advanced lipoprotein analysis revealed that MS individuals had higher levels of IDL-C, VLDL-TG, small LDL-P, and total LDL-P, with decreased HDL-C, reflecting a more atherogenic profile. Gut microbiota analysis identified Alistipes as a key discriminant taxon. A significant association was observed between Alistipes abundance and small LDL particle concentrations, being modulated by disease type, suggesting that the association between gut microbiota and lipid metabolism may differ by disease type. Participants with metabolic syndrome showed unfavorable anthropometric, clinical, and lipoprotein profiles, along with distinct gut microbiota, compared to individuals with the autoimmune-driven SLE. The results highlight condition-specific host–microbiota–lipid relationship and supports the use of novel approaches to guide precision strategies for cardiovascular risk reduction in high-risk populations.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用于验证纺织服装中再生棉纤维的存在、数量和来源的分析工具箱</w:t>
      </w:r>
    </w:p>
    <w:p>
      <w:r>
        <w:rPr>
          <w:rFonts w:ascii="Times New Roman" w:hAnsi="Times New Roman" w:eastAsia="宋体"/>
          <w:b/>
          <w:color w:val="003264"/>
          <w:sz w:val="24"/>
        </w:rPr>
        <w:t>An analytical toolbox to verify the presence, quantity and origin of recycled cotton fibres in textile garments</w:t>
      </w:r>
    </w:p>
    <w:p>
      <w:r>
        <w:rPr>
          <w:rFonts w:ascii="Times New Roman" w:hAnsi="Times New Roman" w:eastAsia="宋体"/>
          <w:sz w:val="21"/>
        </w:rPr>
        <w:t>作者: Anke B. G. M. Ten Berge, Robin Temmink, Maud Kuppen, Maaike B. van Slagmaat, Sven Kamphuis, Richard A. J. Groeneveld, Anton Luiken, Jens Oelerich, Jan W. G. Mahy</w:t>
        <w:br/>
      </w:r>
      <w:r>
        <w:rPr>
          <w:rFonts w:ascii="Times New Roman" w:hAnsi="Times New Roman" w:eastAsia="宋体"/>
          <w:sz w:val="21"/>
        </w:rPr>
        <w:t xml:space="preserve">时间: 2026-02-13 | </w:t>
      </w:r>
      <w:r>
        <w:t xml:space="preserve">链接: </w:t>
      </w:r>
      <w:hyperlink r:id="rId20">
        <w:r>
          <w:rPr>
            <w:rFonts w:ascii="Times New Roman" w:hAnsi="Times New Roman" w:eastAsia="宋体"/>
            <w:color w:val="0000FF"/>
            <w:sz w:val="21"/>
            <w:u w:val="single"/>
          </w:rPr>
          <w:t>https://doi.org/10.1038/s41598-026-39268-y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纺织工业是污染最严重的工业之一。为了减少对环境的影响，整个供应链必须从线性经济转向循环经济，因此纺织品报废时的回收至关重要。在新法规的刺激下，该行业越来越多地将回收（主要是机械回收）棉纤维融入新服装中。然而，使用再生纤维生产服装比使用原生纤维生产成本更高。目前，没有独立的方法来评估生产商声称的机械回收棉花的数量。因此，“洗绿”现象屡见不鲜。在这项研究中，开发了一个分析工具箱，以便能够独立验证服装中声称的机械再生棉含量。为工具箱开发了三种分析方法。显微镜可用于定性确认机械回收棉纤维的存在。测量纤维长度分布可以半定量地确定回收纤维的数量。聚合度 (DP) 测量可用于区分回收纤维的消费前和/或消费后来源。一旦进一步丰富并发展成为标准，该工具箱将成为减少绿色清洗和促进再生纤维使用的资产。</w:t>
      </w:r>
    </w:p>
    <w:p>
      <w:pPr>
        <w:spacing w:before="120"/>
      </w:pPr>
      <w:r>
        <w:rPr>
          <w:rFonts w:ascii="Times New Roman" w:hAnsi="Times New Roman" w:eastAsia="宋体"/>
          <w:b/>
          <w:sz w:val="21"/>
        </w:rPr>
        <w:t>English Abstract:</w:t>
      </w:r>
    </w:p>
    <w:p>
      <w:r>
        <w:rPr>
          <w:rFonts w:ascii="Times New Roman" w:hAnsi="Times New Roman" w:eastAsia="宋体"/>
          <w:sz w:val="21"/>
        </w:rPr>
        <w:t>The textile industry is one of the most polluting industries. To reduce its environmental impact, the entire supply chain must transition from a linear to a circular economy, making textile recycling at end-of-life critical. Stimulated by new regulations, the industry is increasingly incorporating recycled – mainly mechanically – cotton fibres into new garments. However, producing garments with recycled fibres is costlier than using virgin fibres. Currently, there is no independent way to assess the quantity of mechanically recycled cotton claimed by producers. As a result, “greenwashing” is frequently encountered. In this study, an analytical toolbox was developed to enable independent verification of the claimed mechanically recycled cotton content in garments. For the toolbox three analysis methods were developed. Microscopy can be used to qualitatively confirm the presence of mechanically recycled cotton fibres. Measuring the fibre length distribution allows the amount of recycled fibres to be determined semi-quantitatively. Degree of polymerisation (DP) measurements can be used to distinguish the pre- and/or post-consumer origin of the recycled fibres. Once further enriched and developed into a standard, the toolbox will be an asset in reducing greenwashing and boosting the use of recycled fibres.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通过强化学习驱动的任务技术适配和服务交互，动态适配非标准服务任务</w:t>
      </w:r>
    </w:p>
    <w:p>
      <w:r>
        <w:rPr>
          <w:rFonts w:ascii="Times New Roman" w:hAnsi="Times New Roman" w:eastAsia="宋体"/>
          <w:b/>
          <w:color w:val="003264"/>
          <w:sz w:val="24"/>
        </w:rPr>
        <w:t>Dynamic adaptation of non standard service tasks through reinforcement learning driven task technology fit and service interaction</w:t>
      </w:r>
    </w:p>
    <w:p>
      <w:r>
        <w:rPr>
          <w:rFonts w:ascii="Times New Roman" w:hAnsi="Times New Roman" w:eastAsia="宋体"/>
          <w:sz w:val="21"/>
        </w:rPr>
        <w:t>作者: Yixin Sun, Jinming Gao, Kai Han, Chul-Hyun Hwang, Hoekyung Jung</w:t>
        <w:br/>
      </w:r>
      <w:r>
        <w:rPr>
          <w:rFonts w:ascii="Times New Roman" w:hAnsi="Times New Roman" w:eastAsia="宋体"/>
          <w:sz w:val="21"/>
        </w:rPr>
        <w:t xml:space="preserve">时间: 2026-02-13 | </w:t>
      </w:r>
      <w:r>
        <w:t xml:space="preserve">链接: </w:t>
      </w:r>
      <w:hyperlink r:id="rId21">
        <w:r>
          <w:rPr>
            <w:rFonts w:ascii="Times New Roman" w:hAnsi="Times New Roman" w:eastAsia="宋体"/>
            <w:color w:val="0000FF"/>
            <w:sz w:val="21"/>
            <w:u w:val="single"/>
          </w:rPr>
          <w:t>https://doi.org/10.1038/s41598-026-38808-w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任务异构、缺乏标准化工作流程，非标准化服务型小微企业在数字化转型中面临重大挑战。本研究提出了一种轻量级的嵌入式平台构建方法——任务-服务-人机交互（TSH）方法，将任务-技术契合（TTF）、服务流程定制（SPC）和人机交互（HCI）集成到任务识别、工作流配置和交互反馈的闭环机制中。基于该方法，设计了强化学习驱动的任务技术拟合优化（RL-TTFO）系统架构，以实现语义任务解析和自适应工作流生成。在专业组织行业部署了一个原型平台，收集来自 300 个用户的行为日志和调查数据。结构方程建模结果表明，任务-技术契合度对用户满意度有显着的正向影响（β = 0.62，p &lt; 0.001），配置参与在感知控制中发挥中介作用（p &lt; 0.01）。回归分析进一步表明，与静态工作流配置相比，RL-TTFO 机制的使用频率提高了 35.4%，感知系统智能提高了 27.1%（p &lt; 0.001）。这些发现表明，所提出的方法为在高度定制的服务环境中运营的资源有限的微型企业提供了可持续的、低门槛的数字化转型解决方案。</w:t>
      </w:r>
    </w:p>
    <w:p>
      <w:pPr>
        <w:spacing w:before="120"/>
      </w:pPr>
      <w:r>
        <w:rPr>
          <w:rFonts w:ascii="Times New Roman" w:hAnsi="Times New Roman" w:eastAsia="宋体"/>
          <w:b/>
          <w:sz w:val="21"/>
        </w:rPr>
        <w:t>English Abstract:</w:t>
      </w:r>
    </w:p>
    <w:p>
      <w:r>
        <w:rPr>
          <w:rFonts w:ascii="Times New Roman" w:hAnsi="Times New Roman" w:eastAsia="宋体"/>
          <w:sz w:val="21"/>
        </w:rPr>
        <w:t>Non-standard service-oriented microenterprises face significant challenges in digital transformation due to heterogeneous tasks and the absence of standardized workflows. This study proposes a lightweight, embedded platform construction methodology—the Task–Service–HCI (TSH) method—which integrates Task–Technology Fit (TTF), Service Process Customization (SPC), and Human–Computer Interaction (HCI) into a closed-loop mechanism for task recognition, workflow configuration, and interactive feedback. Based on this method, a Reinforcement Learning–driven Task–Technology Fit Optimization (RL-TTFO) system architecture is designed to enable semantic task parsing and adaptive workflow generation.A prototype platform was deployed in the professional organizing industry, collecting behavioral logs and survey data from 300 users. Structural equation modeling results show that task–technology fit has a significant positive effect on user satisfaction (β = 0.62, p &lt; 0.001), with configuration participation playing a mediating role in perceived control (p &lt; 0.01). Regression analysis further indicates that the RL-TTFO mechanism increases usage frequency by 35.4% and improves perceived system intelligence by 27.1% compared with static workflow configurations (p &lt; 0.001). These findings demonstrate that the proposed approach provides a sustainable, low-barrier digital transformation solution for resource-constrained microenterprises operating in highly customized service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cN0分化型甲状腺癌临床特征及淋巴结转移风险分析</w:t>
      </w:r>
    </w:p>
    <w:p>
      <w:r>
        <w:rPr>
          <w:rFonts w:ascii="Times New Roman" w:hAnsi="Times New Roman" w:eastAsia="宋体"/>
          <w:b/>
          <w:color w:val="003264"/>
          <w:sz w:val="24"/>
        </w:rPr>
        <w:t>Clinical characteristics and risk analysis of lymph node metastasis in patients with cN0 differentiated thyroid carcinoma</w:t>
      </w:r>
    </w:p>
    <w:p>
      <w:r>
        <w:rPr>
          <w:rFonts w:ascii="Times New Roman" w:hAnsi="Times New Roman" w:eastAsia="宋体"/>
          <w:sz w:val="21"/>
        </w:rPr>
        <w:t>作者: Meng Wei, Kaipeng Hu, Gaolin Qiu, Qing Lin, Jincan Qian, Yao Lu, Rui Wang</w:t>
        <w:br/>
      </w:r>
      <w:r>
        <w:rPr>
          <w:rFonts w:ascii="Times New Roman" w:hAnsi="Times New Roman" w:eastAsia="宋体"/>
          <w:sz w:val="21"/>
        </w:rPr>
        <w:t xml:space="preserve">时间: 2026-02-13 | </w:t>
      </w:r>
      <w:r>
        <w:t xml:space="preserve">链接: </w:t>
      </w:r>
      <w:hyperlink r:id="rId22">
        <w:r>
          <w:rPr>
            <w:rFonts w:ascii="Times New Roman" w:hAnsi="Times New Roman" w:eastAsia="宋体"/>
            <w:color w:val="0000FF"/>
            <w:sz w:val="21"/>
            <w:u w:val="single"/>
          </w:rPr>
          <w:t>https://doi.org/10.1038/s41598-026-39630-0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旨在检查临床淋巴结阴性 (cN0)、最小肿瘤直径 &gt; 0.5 cm 和最大肿瘤直径 &lt; 3.0 cm 的分化型甲状腺癌患者的临床特征和淋巴结转移 (LNM) 的可能性。收集232例符合纳入和排除标准的接受甲状腺根治术的患者的临床资料，发现LNM阳性组的平均年龄较LNM阴性组年轻（40.9±10.8比45.3±11.8，P=0.0031）；性别分布也显示出统计学上的显着差异，男性患者更容易患LNM（P = 0.0436）。 LNM 阳性患者的甲状腺结节超声甲状腺成像报告和数据系统 (TI-RADS) 评分较高 (p &lt; 0.001)。在最大肿瘤直径和RET融合方面，LNM阳性组高于LNM阴性组（1.11±0.832 cm vs. 0.808±0.616 cm，P=0.0034和16.3% vs. 2.7%，P=0.0026），呈现统计学差异，LNM阳性组多灶性病灶的比例也较高。 （26.8% 对比 20.2%）。 LNM阳性组患者外周血促甲状腺激素水平较高（2.68±2.88μIU/L vs. 2.12±2.07μIU/L）。值得注意的是，LNM 阳性组和阴性组在凝血酶原时间活性 (PT%)（110 ± 13.0% 与 107 ± 11.5%，P = 0.034）和白细胞（WBC）计数（6.11 ± 1.76 × 10^9/L vs. 6.59 ± 1.85 × 10^9/L，P = 0.034）方面观察到统计学显着差异。 0.0495），进一步研究发现BMI（R=0.19）和血尿素氮（R=0.17）与PT%呈正相关，而PT%与外周血T3（R=−0.17）和T4（R=−0.13）水平呈负相关，这在以往的研究中未见报道。我们观察到，对于cN0分化型甲状腺癌患者，还应关注性别、年龄、肿瘤直径、RET融合甚至PT、WBC等因素对淋巴结转移的影响。</w:t>
      </w:r>
    </w:p>
    <w:p>
      <w:pPr>
        <w:spacing w:before="120"/>
      </w:pPr>
      <w:r>
        <w:rPr>
          <w:rFonts w:ascii="Times New Roman" w:hAnsi="Times New Roman" w:eastAsia="宋体"/>
          <w:b/>
          <w:sz w:val="21"/>
        </w:rPr>
        <w:t>English Abstract:</w:t>
      </w:r>
    </w:p>
    <w:p>
      <w:r>
        <w:rPr>
          <w:rFonts w:ascii="Times New Roman" w:hAnsi="Times New Roman" w:eastAsia="宋体"/>
          <w:sz w:val="21"/>
        </w:rPr>
        <w:t>To examine the clinical attributes and likelihood of lymph node metastasis (LNM) in patients with differentiated thyroid carcinoma classified as clinically lymph node-negative (cN0), with a minimum tumor diameter &gt; 0.5 cm and maximum tumor diameter &lt; 3.0 cm. Clinical data of 232 patients who underwent radical thyroidectomy and satisfied the inclusion and exclusion criteria were collected, and we found that average age of the LNM-positive group was younger than that of the LNM-negative group (40.9 ± 10.8 vs. 45.3 ± 11.8, P = 0.0031); sex distribution also showed a statistically significant difference, with male patients being more prone to LNM (P = 0.0436). Patients with positive LNM exhibited higher ultrasound thyroid imaging reporting and data system (TI-RADS) scores for thyroid nodules (p &lt; 0.001). In terms of maximum tumor diameter and RET fusion, the LNM-positive group was higher in LNM-negative group (1.11 ± 0.832 cm vs. 0.808 ± 0.616 cm, P = 0.0034 and 16.3% vs. 2.7%, P = 0.0026), showing a statistically significant difference, The proportion of multifocal lesions was also higher in the LNM-positive group (26.8% vs. 20.2%). Patients in the LNM-positive group had higher levels of peripheral blood thyroid stimulating hormone (2.68 ± 2.88 μIU/L vs. 2.12 ± 2.07 μIU/L). Notably, statistically significant differences were observed between the LNM-positive and negative groups in terms of prothrombin time activity (PT%) (110 ± 13.0% vs. 107 ± 11.5%, P = 0.034) and white blood cell (WBC) count (6.11 ± 1.76 × 10^9/L vs. 6.59 ± 1.85 × 10^9/L, P = 0.0495), and further investigations revealed that BMI (R = 0.19) and blood urea nitrogen (R = 0.17) were positively correlated with PT%, whereas PT% was negatively correlated with peripheral blood T3 (R = − 0.17) and T4 (R = − 0.13) levels, which has not been reported in previous studies. We observed that for patients with cN0 differentiated thyroid cancer, we should also pay attention to the influence of factors such as gender, age, tumor diameter, RET fusion, and even PT and WBC on lymph node metastasis.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使用微通道梯度离心进行单细胞质量密度测量</w:t>
      </w:r>
    </w:p>
    <w:p>
      <w:r>
        <w:rPr>
          <w:rFonts w:ascii="Times New Roman" w:hAnsi="Times New Roman" w:eastAsia="宋体"/>
          <w:b/>
          <w:color w:val="003264"/>
          <w:sz w:val="24"/>
        </w:rPr>
        <w:t>Single-cell mass-density measurements using microchannel gradient centrifugation</w:t>
      </w:r>
    </w:p>
    <w:p>
      <w:r>
        <w:rPr>
          <w:rFonts w:ascii="Times New Roman" w:hAnsi="Times New Roman" w:eastAsia="宋体"/>
          <w:sz w:val="21"/>
        </w:rPr>
        <w:t>作者: Richard Soller, Per Augustsson, Rune Barnkob</w:t>
        <w:br/>
      </w:r>
      <w:r>
        <w:rPr>
          <w:rFonts w:ascii="Times New Roman" w:hAnsi="Times New Roman" w:eastAsia="宋体"/>
          <w:sz w:val="21"/>
        </w:rPr>
        <w:t xml:space="preserve">时间: 2026-02-13 | </w:t>
      </w:r>
      <w:r>
        <w:t xml:space="preserve">链接: </w:t>
      </w:r>
      <w:hyperlink r:id="rId23">
        <w:r>
          <w:rPr>
            <w:rFonts w:ascii="Times New Roman" w:hAnsi="Times New Roman" w:eastAsia="宋体"/>
            <w:color w:val="0000FF"/>
            <w:sz w:val="21"/>
            <w:u w:val="single"/>
          </w:rPr>
          <w:t>https://doi.org/10.1038/s41598-026-38872-2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我们提出了一种基于微通道的质量密度梯度离心法，用于细胞或微粒的质量密度测量。工作流程包括三个基本步骤：微通道填充、离心和显微镜检查。微通道填充和随后的两种不同密度液体的离心可以瞬时、精确且可重复地生成一维质量密度梯度，并同时将感兴趣的细胞或颗粒沉降到其质量密度等于梯度质量密度的点。我们介绍两种不同的方法，即校准粒子和示踪分子，用于显微质量密度读数。我们通过测量酵母细胞的质量密度来演示测量原理，并表明该方法可以测量单个细胞的质量密度，位置相关的中值不确定度为 3.3 $$\text{kg}\,\text{m}^{-3}$$，吞吐量约为每小时 16000 个细胞。这种测量精度处于当前使用的最佳单细胞方法的范围内，但具有更高的通量。该方法在技术上简单、可靠且经济实惠，使得单细胞质量密度测量得到广泛应用。</w:t>
      </w:r>
    </w:p>
    <w:p>
      <w:pPr>
        <w:spacing w:before="120"/>
      </w:pPr>
      <w:r>
        <w:rPr>
          <w:rFonts w:ascii="Times New Roman" w:hAnsi="Times New Roman" w:eastAsia="宋体"/>
          <w:b/>
          <w:sz w:val="21"/>
        </w:rPr>
        <w:t>English Abstract:</w:t>
      </w:r>
    </w:p>
    <w:p>
      <w:r>
        <w:rPr>
          <w:rFonts w:ascii="Times New Roman" w:hAnsi="Times New Roman" w:eastAsia="宋体"/>
          <w:sz w:val="21"/>
        </w:rPr>
        <w:t>Abstract We present a microchannel-based adaptation of mass density-gradient centrifugation for the mass density measurement of cells or microparticles. The workflow consists of three basic steps: Microchannel filling, centrifugation, and microscopy. Microchannel filling and subsequent centrifugation of two liquids with different densities allows the instantaneous, precise, and repeatable generation of a one-dimensional mass-density gradient and the simultaneous sedimentation of cells or particles of interest to a point where their mass density is equal to the gradient’s mass density. We introduce two different methods, calibration particles and tracer molecules, for microscopic mass density readout. We demonstrate the measurement principle by measuring the mass density of yeast cells and show that the method allows the mass density measurement of single cells with a position dependent median uncertainty of 3.3 $$\text{kg}\,\text{m}^{-3}$$ with a throughput of approximately 16000 cells per hour. This measurement precision is in the range of the best single-cell methods currently in use but with a higher throughput. The method is technically straightforward, robust, and affordable, making single-cell mass density measurements widely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妊娠期循环短链和中链脂肪酸及其与母婴代谢、炎症和身体成分的关系</w:t>
      </w:r>
    </w:p>
    <w:p>
      <w:r>
        <w:rPr>
          <w:rFonts w:ascii="Times New Roman" w:hAnsi="Times New Roman" w:eastAsia="宋体"/>
          <w:b/>
          <w:color w:val="003264"/>
          <w:sz w:val="24"/>
        </w:rPr>
        <w:t>Circulating short- and medium-chain fatty acids in pregnancy and associations with maternal and infant metabolism, inflammation, and body composition</w:t>
      </w:r>
    </w:p>
    <w:p>
      <w:r>
        <w:rPr>
          <w:rFonts w:ascii="Times New Roman" w:hAnsi="Times New Roman" w:eastAsia="宋体"/>
          <w:sz w:val="21"/>
        </w:rPr>
        <w:t>作者: Maryam Kebbe, Renny S. Lan, Lindsay Pack, Clark Sims, Leanne M. Redman, Aline Andres</w:t>
        <w:br/>
      </w:r>
      <w:r>
        <w:rPr>
          <w:rFonts w:ascii="Times New Roman" w:hAnsi="Times New Roman" w:eastAsia="宋体"/>
          <w:sz w:val="21"/>
        </w:rPr>
        <w:t xml:space="preserve">时间: 2026-02-13 | </w:t>
      </w:r>
      <w:r>
        <w:t xml:space="preserve">链接: </w:t>
      </w:r>
      <w:hyperlink r:id="rId24">
        <w:r>
          <w:rPr>
            <w:rFonts w:ascii="Times New Roman" w:hAnsi="Times New Roman" w:eastAsia="宋体"/>
            <w:color w:val="0000FF"/>
            <w:sz w:val="21"/>
            <w:u w:val="single"/>
          </w:rPr>
          <w:t>https://doi.org/10.1038/s41598-026-39010-8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短链和中链脂肪酸 (SCFA/MCFA) 调节代谢和炎症途径。本研究探讨了孕早期 (T1) 和孕晚期 (T3) 的母体血浆 SCFA/MCFA 与产后 2 周和 6 个月的母婴代谢炎症指数、母体能量代谢以及婴儿人体测量和身体成分之间的关​​联。数据取自“成长生活、优化健康”研究。 SCFAs/MCFAs 用 3-NPH 衍生化，并在高能量模式下通过飞行时间质谱法进行 LC-MS 定量，而代谢炎症指数则根据标准化生物标志物（例如胆固醇、胰岛素、瘦素）计算。 T1 时的样本量为 231 名，T3 时为 156 名，2 周时为 80 名，6 个月时为 55 名。针对协变量和多重比较调整的广义线性模型。在 T3 时，较高的丁酸、己酸、丙酸、异丁酸和异戊酸与较低的母体代谢炎症指数相关，而较高的乙酸与丙酸、乙酸与丁酸和丙酸与丁酸的比率与较高的指数相关。母体乙酸和总 SCFA/MCFA 浓度与 T1 和 T3 时的呼吸交换率呈负相关。观察到与婴儿指数或身体成分之间的有限关联。总体而言，妊娠晚期 SCFA 与母体代谢炎症途径相关，对下游婴儿的影响最小。</w:t>
      </w:r>
    </w:p>
    <w:p>
      <w:pPr>
        <w:spacing w:before="120"/>
      </w:pPr>
      <w:r>
        <w:rPr>
          <w:rFonts w:ascii="Times New Roman" w:hAnsi="Times New Roman" w:eastAsia="宋体"/>
          <w:b/>
          <w:sz w:val="21"/>
        </w:rPr>
        <w:t>English Abstract:</w:t>
      </w:r>
    </w:p>
    <w:p>
      <w:r>
        <w:rPr>
          <w:rFonts w:ascii="Times New Roman" w:hAnsi="Times New Roman" w:eastAsia="宋体"/>
          <w:sz w:val="21"/>
        </w:rPr>
        <w:t>Short- and medium-chain fatty acids (SCFAs/MCFAs) modulate metabolic and inflammatory pathways. This study examined associations between maternal plasma SCFAs/MCFAs in the first (T1) and third (T3) trimesters and maternal and infant metabolic–inflammatory indices, maternal energy metabolism, and infant anthropometrics and body composition at 2 weeks and 6 months postpartum. Data were retrieved from the Growing Life, Optimizing Wellness Study. SCFAs/MCFAs were derivatized with 3-NPH and quantified by LC–MS in Time-of-Flight mass spectrometry with elevated energy mode., while metabolic–inflammatory indices were computed from standardized biomarkers (e.g., cholesterol, insulin, leptin). Sample sizes included up to 231 participants at T1, 156 at T3, 80 infants at 2 weeks, and 55 at 6 months. Generalized linear models adjusted for covariates and multiple comparisons. At T3, higher butyric, caproic, propionic, isobutyric, and isovaleric acids were linked to a lower maternal metabolic–inflammatory index, whereas higher acetate-to-propionate, acetate-to-butyrate, and propionate-to-butyrate ratios were linked to a higher index. Maternal acetic acid and total SCFA/MCFA concentrations were inversely associated with respiratory exchange ratio at T1 and T3. Limited associations were observed with infant indices or body composition. Overall, third-trimester SCFAs were associated with maternal metabolic–inflammatory pathways with minimal downstream infant effects.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超声波有效地破坏和破坏有包膜呼吸道病毒的结构完整性</w:t>
      </w:r>
    </w:p>
    <w:p>
      <w:r>
        <w:rPr>
          <w:rFonts w:ascii="Times New Roman" w:hAnsi="Times New Roman" w:eastAsia="宋体"/>
          <w:b/>
          <w:color w:val="003264"/>
          <w:sz w:val="24"/>
        </w:rPr>
        <w:t>Ultrasound effectively destabilizes and disrupts the structural integrity of enveloped respiratory viruses</w:t>
      </w:r>
    </w:p>
    <w:p>
      <w:r>
        <w:rPr>
          <w:rFonts w:ascii="Times New Roman" w:hAnsi="Times New Roman" w:eastAsia="宋体"/>
          <w:sz w:val="21"/>
        </w:rPr>
        <w:t>作者: Flavio P. Veras, Gilberto Nakamura, Marcelo A. Pereira-da-Silva, Gilia C. M. Ruiz, Carlos J. L. Constantino, Ronaldo Martins, Eurico Arruda, Fernando Q. Cunha, Odemir M. Bruno</w:t>
        <w:br/>
      </w:r>
      <w:r>
        <w:rPr>
          <w:rFonts w:ascii="Times New Roman" w:hAnsi="Times New Roman" w:eastAsia="宋体"/>
          <w:sz w:val="21"/>
        </w:rPr>
        <w:t xml:space="preserve">时间: 2026-02-13 | </w:t>
      </w:r>
      <w:r>
        <w:t xml:space="preserve">链接: </w:t>
      </w:r>
      <w:hyperlink r:id="rId25">
        <w:r>
          <w:rPr>
            <w:rFonts w:ascii="Times New Roman" w:hAnsi="Times New Roman" w:eastAsia="宋体"/>
            <w:color w:val="0000FF"/>
            <w:sz w:val="21"/>
            <w:u w:val="single"/>
          </w:rPr>
          <w:t>https://doi.org/10.1038/s41598-026-37584-x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这项研究表明，高频超声（3-20 MHz）可以通过与经典空化（kHz 范围）不同的共振驱动机制，有效破坏甲型流感病毒 (H1N1) 和 SARS-CoV-2 的结构完整性。在这些条件下，病毒颗粒会发生明显的变化（破碎、包膜破裂和形态均匀性丧失），这与直接机械不稳定一致，而不是热或气泡介导的效应。详细的结构分析揭示了病毒包膜的显着破坏，伴随着粒径分布的可测量变化和直径的减小，表明共振诱导的断裂。这些结构修饰与生物学后果并行：SARS-CoV-2 的感染性在体外显着降低，受感染细胞的病毒载量显着降低。重要的是，这项工作提供了第一个实验证据，表明声共振可以直接与病毒结构成分耦合，诱导包膜的选择性机械不稳定。结构和功能数据的融合支持了这样一种观点，即这代表了一种先前未描述的生物物理现象，与空化有着根本的区别。这种共振介导的不稳定凸显了一种新颖的、非侵入性的、广谱的抗病毒策略，该策略不同于空化，更适合无菌和灭菌，并提供了一种针对包膜呼吸道病毒和其他临床相关病原体的潜在应用的治疗方法。</w:t>
      </w:r>
    </w:p>
    <w:p>
      <w:pPr>
        <w:spacing w:before="120"/>
      </w:pPr>
      <w:r>
        <w:rPr>
          <w:rFonts w:ascii="Times New Roman" w:hAnsi="Times New Roman" w:eastAsia="宋体"/>
          <w:b/>
          <w:sz w:val="21"/>
        </w:rPr>
        <w:t>English Abstract:</w:t>
      </w:r>
    </w:p>
    <w:p>
      <w:r>
        <w:rPr>
          <w:rFonts w:ascii="Times New Roman" w:hAnsi="Times New Roman" w:eastAsia="宋体"/>
          <w:sz w:val="21"/>
        </w:rPr>
        <w:t>This study demonstrates that high-frequency ultrasound (3–20 MHz) can effectively disrupt the structural integrity of both Influenza A virus (H1N1) and SARS-CoV-2 through a resonance-driven mechanism distinct from classical cavitation (kHz range). Under these conditions, viral particles undergo pronounced alterations (fragmentation, envelope rupture, and loss of morphological uniformity) consistent with direct mechanical destabilization rather than thermal or bubble-mediated effects. Detailed structural analyses revealed significant disruption of the viral envelope, accompanied by measurable shifts in particle size distribution and reduced diameters, indicative of resonance-induced fragmentation. These structural modifications were paralleled by biological consequences: SARS-CoV-2 infectivity was markedly reduced in vitro, with infected cells exhibiting substantially lower viral loads. Importantly, this work provides the first experimental evidence that acoustic resonance can directly couple with viral structural components, inducing selective mechanical destabilization of the envelope. The convergence of structural and functional data supports the view that this represents a previously undescribed biophysical phenomenon, fundamentally distinct from cavitation. This resonance-mediated destabilization highlights a novel, non-invasive, and broad-spectrum antiviral strategy that differs from cavitation, more suited to asepsis and sterilization, and offers a therapeutic approach with potential applications against enveloped respiratory viruses and other clinically relevant pathogens.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新辅助化疗对肿瘤患者脂肪间充质基质细胞功能的影响及其对成纤维细胞的调节作用</w:t>
      </w:r>
    </w:p>
    <w:p>
      <w:r>
        <w:rPr>
          <w:rFonts w:ascii="Times New Roman" w:hAnsi="Times New Roman" w:eastAsia="宋体"/>
          <w:b/>
          <w:color w:val="003264"/>
          <w:sz w:val="24"/>
        </w:rPr>
        <w:t>Impact of neoadjuvant chemotherapy on the functionality of adipose-derived mesenchymal stromal cells and their modulatory effects on fibroblasts in oncology patients</w:t>
      </w:r>
    </w:p>
    <w:p>
      <w:r>
        <w:rPr>
          <w:rFonts w:ascii="Times New Roman" w:hAnsi="Times New Roman" w:eastAsia="宋体"/>
          <w:sz w:val="21"/>
        </w:rPr>
        <w:t>作者: Aneta Skoniecka, Paulina Słonimska, Agata Tymińska, Katarzyna Czerwiec, Milena Deptuła, Małgorzata Zawrzykraj, Karolina Kondej, Jacek Zieliński, Serena Zacchigna, Paweł Sachadyn, Michał Pikuła</w:t>
        <w:br/>
      </w:r>
      <w:r>
        <w:rPr>
          <w:rFonts w:ascii="Times New Roman" w:hAnsi="Times New Roman" w:eastAsia="宋体"/>
          <w:sz w:val="21"/>
        </w:rPr>
        <w:t xml:space="preserve">时间: 2026-02-13 | </w:t>
      </w:r>
      <w:r>
        <w:t xml:space="preserve">链接: </w:t>
      </w:r>
      <w:hyperlink r:id="rId26">
        <w:r>
          <w:rPr>
            <w:rFonts w:ascii="Times New Roman" w:hAnsi="Times New Roman" w:eastAsia="宋体"/>
            <w:color w:val="0000FF"/>
            <w:sz w:val="21"/>
            <w:u w:val="single"/>
          </w:rPr>
          <w:t>https://doi.org/10.1038/s41598-026-39457-9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脂肪源性间充质基质细胞（AD-MSC），也称为间充质干细胞，由于其多效性（包括分泌细胞因子、趋化因子和生长因子）而在再生医学中具有广阔的前景。这些细胞可以促进组织修复、增强血管生成和调节炎症。然而，了解新辅助化疗对 AD-MSC 功能、免疫表型、细胞因子分泌及其与成纤维细胞相互作用的影响仍然不够。本研究旨在探讨化疗对 AD-MSC 的影响及其在体外影响成纤维细胞功能的能力。人自体 AD-MSC 和皮肤成纤维细胞是从两个患者队列中分离出来的，即未接受新辅助化疗的患者和接受新辅助化疗的患者，这些患者是从手术过程中获得的皮下脂肪组织中分离出来的。 AD-MSCs 的身份通过流式细胞术、阳性和阴性标记以及脂肪形成、成骨和软骨形成分化的诱导来证实。将自体成纤维细胞与 AD-MSC 共培养，以评估成纤维细胞趋化性、增殖、迁移、细胞因子分泌、细胞周期分布、胶原沉积和基因表达。对表面标志物、分泌细胞因子、转录组分析和细胞周期的流式细胞术分析显示，接受或未接受化疗的患者的 AD-MSC 之间没有显着差异。在化疗患者的细胞中观察到线粒体活性略有增加。对真皮成纤维细胞的分析揭示了化疗后其生物活性的显着变化。它们的趋化活性、迁移和胶原蛋白的产生被削弱，并且它们的细胞因子分泌谱被改变。自体成纤维细胞和 AD-MSC 的共培养表明，AD-MSC 刺激两组成纤维细胞趋化活性。然而，AD-MSC 仅在未接受过化疗的患者中刺激成纤维细胞迁移和增殖。这项研究表明，AD-MSC 在化疗后仍能保持其功能，并能影响成纤维细胞活性。这些发现有助于了解化疗对皮肤成纤维细胞和 AD-MSC 的影响，并支持进一步研究，以优化 AD-MSC 在肿瘤患者再生医学中的使用，特别是在癌症治疗后的伤口愈合和组织修复中。</w:t>
      </w:r>
    </w:p>
    <w:p>
      <w:pPr>
        <w:spacing w:before="120"/>
      </w:pPr>
      <w:r>
        <w:rPr>
          <w:rFonts w:ascii="Times New Roman" w:hAnsi="Times New Roman" w:eastAsia="宋体"/>
          <w:b/>
          <w:sz w:val="21"/>
        </w:rPr>
        <w:t>English Abstract:</w:t>
      </w:r>
    </w:p>
    <w:p>
      <w:r>
        <w:rPr>
          <w:rFonts w:ascii="Times New Roman" w:hAnsi="Times New Roman" w:eastAsia="宋体"/>
          <w:sz w:val="21"/>
        </w:rPr>
        <w:t>Adipose-derived mesenchymal stromal cells (AD-MSCs), also known as mesenchymal stem cells, hold great promise in regenerative medicine due to their pleiotropic effects, including the secretion of cytokines, chemokines, and growth factors. These cells can promote tissue repair, enhance angiogenesis, and modulate inflammation. However, understanding neoadjuvant chemotherapy’s impacts on AD-MSC functionality, immunophenotype, cytokine secretion, and their interactions with fibroblasts remains insufficient. This study aimed to investigate the effects of chemotherapy on AD-MSCs and their ability to influence fibroblast function in vitro. Human, autologous AD-MSCs and skin fibroblasts were isolated from two patient cohorts - those without and those after neoadjuvant chemotherapy, from subcutaneous adipose tissue obtained during surgical procedures. AD-MSCs identity was confirmed by flow cytometry, positive and negative markers, and by induction of adipogenic, osteogenic, and chondrogenic differentiation. Autologous fibroblasts were co-cultured with AD-MSCs to assess fibroblast chemotaxis, proliferation, migration, cytokine secretion, cell-cycle distribution, collagen deposition, and gene expression. Flow cytometric analysis of surface markers, secreted cytokines, transcriptomic analysis, and the cell cycle revealed no significant differences between AD-MSCs from patients who either received or did not receive chemotherapy. A slight increase in mitochondrial activity was observed in cells from chemotherapy-treated patients. Analysis of dermal fibroblasts revealed significant alterations in their biological activity post-chemotherapy. Their chemotactic activity, migration, and collagen production were weakened, and their cytokine secretion profile was altered. Co-culture of autologous fibroblasts and AD-MSCs showed that AD-MSCs stimulated fibroblast chemotactic activity in both groups. However, AD-MSCs stimulated fibroblast migration and proliferation only in patients without previous chemotherapy. This study shows that AD-MSCs maintain their functionality after chemotherapy and can influence fibroblast activity. These findings add to understanding the chemotherapy effects on skin fibroblasts and AD-MSCs and support further research to optimize the use of AD-MSCs in regenerative medicine for oncology patients, particularly in wound healing and tissue repair post-cancer treatments.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用于实时检测马铃薯叶病的轻量级可扩展深度学习框架</w:t>
      </w:r>
    </w:p>
    <w:p>
      <w:r>
        <w:rPr>
          <w:rFonts w:ascii="Times New Roman" w:hAnsi="Times New Roman" w:eastAsia="宋体"/>
          <w:b/>
          <w:color w:val="003264"/>
          <w:sz w:val="24"/>
        </w:rPr>
        <w:t>Lightweight scalable deep learning framework for real time detection of potato leaf diseases</w:t>
      </w:r>
    </w:p>
    <w:p>
      <w:r>
        <w:rPr>
          <w:rFonts w:ascii="Times New Roman" w:hAnsi="Times New Roman" w:eastAsia="宋体"/>
          <w:sz w:val="21"/>
        </w:rPr>
        <w:t>作者: Girigula Durga Bhavani, Mukkoti Maruthi Venkata Chalapathi</w:t>
        <w:br/>
      </w:r>
      <w:r>
        <w:rPr>
          <w:rFonts w:ascii="Times New Roman" w:hAnsi="Times New Roman" w:eastAsia="宋体"/>
          <w:sz w:val="21"/>
        </w:rPr>
        <w:t xml:space="preserve">时间: 2026-02-13 | </w:t>
      </w:r>
      <w:r>
        <w:t xml:space="preserve">链接: </w:t>
      </w:r>
      <w:hyperlink r:id="rId27">
        <w:r>
          <w:rPr>
            <w:rFonts w:ascii="Times New Roman" w:hAnsi="Times New Roman" w:eastAsia="宋体"/>
            <w:color w:val="0000FF"/>
            <w:sz w:val="21"/>
            <w:u w:val="single"/>
          </w:rPr>
          <w:t>https://doi.org/10.1038/s41598-025-33423-7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马铃薯叶病如果未被发现，将威胁农业经济的粮食安全并造成重大农作物损失。为了应对这一严峻挑战，我们开发了一种基于人工智能的系统，称为增强型单次多盒检测器 (EF-SSD)，这是 SSD 的一种变体，集成了多尺度特征融合和挤压和激励注意力，以改进细粒度病变检测。增强型模型可处理高分辨率图像（512$$\times$$512 像素）并以 10 倍放大级别分析叶子，使其能够识别哪怕是最轻微的感染迹象。挤压和激发过滤器的加入使系统能够更有效地关注特征疾病模式，从而提高检测精度。扫描叶子后，系统应用先进的图像处理技术来定位患病区域并评估其严重程度。我们使用 2,500 张标记的马铃薯叶片图像（代表健康植物以及早疫病和晚疫病病例）评估 EF-SSD。所提出的模型在 0.5 IoU 下实现了 97% 的平均精度 (mAP)、95% 的 F1 分数和 89% 的并交交集 (IoU)，在所有指标上均优于 YOLOv5、YOLOv8、RetinaNet 和 Faster R-CNN 等高级检测器。它还以 47 FPS 的速度提供实时推理，确认其适合现场部署。消融研究进一步证明了 SE 块和扩展特征层次结构在提高检测精度方面的有效性。这些结果凸显了 EF-SSD 作为智能农业和早期作物病害管理的可靠、高效和可扩展工具的潜力。</w:t>
      </w:r>
    </w:p>
    <w:p>
      <w:pPr>
        <w:spacing w:before="120"/>
      </w:pPr>
      <w:r>
        <w:rPr>
          <w:rFonts w:ascii="Times New Roman" w:hAnsi="Times New Roman" w:eastAsia="宋体"/>
          <w:b/>
          <w:sz w:val="21"/>
        </w:rPr>
        <w:t>English Abstract:</w:t>
      </w:r>
    </w:p>
    <w:p>
      <w:r>
        <w:rPr>
          <w:rFonts w:ascii="Times New Roman" w:hAnsi="Times New Roman" w:eastAsia="宋体"/>
          <w:sz w:val="21"/>
        </w:rPr>
        <w:t>Potato leaf diseases, if left undetected, threaten food security in agricultural economies and cause substantial crop losses. To address this critical challenge, we developed an AI-based system called the Enhanced Single Shot Multibox Detector(EF-SSD), a variant of SSD that integrates multiscale feature fusion and Squeeze-and-Excitation attention to improve fine-grained lesion detection. The enhanced model processes high-resolution images (512$$\times$$512 pixels) and analyzes leaves at ten magnification levels, enabling it to identify even minor signs of infection. The inclusion of Squeeze-and-Excitation filters allows the system to focus more effectively on characteristic disease patterns, increasing detection precision. After scanning the leaves, the system applies advanced image processing techniques to localize disease regions and assess their severity. We evaluated EF-SSD using 2,500 labeled potato leaf images representing healthy plants and cases of early and late blight. The proposed model achieved a mean Average Precision (mAP) of 97% at 0.5 IoU, an F1-score of 95%, and an Intersection over Union (IoU) of 89%, outperforming advanced detectors such as YOLOv5, YOLOv8, RetinaNet, and Faster R-CNN across all metrics. It also delivers real-time inference at 47 FPS, confirming its suitability for on-field deployment. An ablation study further demonstrates the effectiveness of SE blocks and extended feature hierarchies in enhancing detection accuracy. These outcomes highlight EF-SSD’s potential as a reliable, efficient, and scalable tool for smart agriculture and early crop disease management.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深度强化学习驱动的多目标优化及其在照明基础设施运维策略中的应用</w:t>
      </w:r>
    </w:p>
    <w:p>
      <w:r>
        <w:rPr>
          <w:rFonts w:ascii="Times New Roman" w:hAnsi="Times New Roman" w:eastAsia="宋体"/>
          <w:b/>
          <w:color w:val="003264"/>
          <w:sz w:val="24"/>
        </w:rPr>
        <w:t>Deep reinforcement learning-driven multi-objective optimization and its applications on lighting infrastructure operation and maintenance strategy</w:t>
      </w:r>
    </w:p>
    <w:p>
      <w:r>
        <w:rPr>
          <w:rFonts w:ascii="Times New Roman" w:hAnsi="Times New Roman" w:eastAsia="宋体"/>
          <w:sz w:val="21"/>
        </w:rPr>
        <w:t>作者: Zhiliu Wang, Jiabao Tang, Pengda Wei, Wenhao Lun, Yulong Wang, Weihong Yang, Hui Xiao</w:t>
        <w:br/>
      </w:r>
      <w:r>
        <w:rPr>
          <w:rFonts w:ascii="Times New Roman" w:hAnsi="Times New Roman" w:eastAsia="宋体"/>
          <w:sz w:val="21"/>
        </w:rPr>
        <w:t xml:space="preserve">时间: 2026-02-13 | </w:t>
      </w:r>
      <w:r>
        <w:t xml:space="preserve">链接: </w:t>
      </w:r>
      <w:hyperlink r:id="rId28">
        <w:r>
          <w:rPr>
            <w:rFonts w:ascii="Times New Roman" w:hAnsi="Times New Roman" w:eastAsia="宋体"/>
            <w:color w:val="0000FF"/>
            <w:sz w:val="21"/>
            <w:u w:val="single"/>
          </w:rPr>
          <w:t>https://doi.org/10.1038/s41598-026-37811-5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解决了隧道照明系统维护所面临的挑战，其中传统的单目标优化策略和传统的维护方法难以平衡多维需求。研究重点关注隧道照明基础设施的生命周期维护管理，通过分解策略将多目标优化转化为一组帕累托最优子问题。该框架通过将深度强化学习的双深度 Q 网络（DDQN）算法与邻域梯度转移策略相结合，在解空间内建立动态拓扑网络。本研究提出了维纳退化过程和DDQN算法的创新集成，以建立用于设备性能分析的动态可靠性-成本耦合模型。开发了多目标深度强化学习（MODRL）驱动的智能维护框架，通过计算学习机制系统地协调退化动态和经济约束。结果表明，将维护成本和可靠性作为多目标优化问题（MOP）的奖励成分，可同时提高运行可靠性，并将综合维护支出减少 29.7%。基于邻域的参数传输策略将单集训练时间减少了 41.9%，参数同步时间减少了 68.3%，同时 GPU 利用率提高了 34.9%。它实现了更快的收敛速度，阈值步数减少了 22.8，并将多目标冲突率降低了 17.0%。开发的隧道照明系统多目标优化框架克服了固定维护阈值限制。该框架显示，在照明故障条件附近，可靠性下降了 68.5%，同时有效解决了过度自信问题。基于权重组合的自适应机制可以实现优化目标的特定场景定制，为成本优先、注重可靠性或平衡的运营策略提供可扩展的解决方案。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This study addresses the challenges facing tunnel lighting system maintenance, where conventional single-objective optimization strategies and traditional maintenance approaches struggle to balance multidimensional requirements. Focusing on lifecycle maintenance management of tunnel lighting infrastructure, the research transforms multi-objective optimization into a set of Pareto-optimal subproblems through decomposition strategies. The proposed framework establishes a dynamic topological network within the solution space by integrating the Double Deep Q-Network(DDQN) algorithm from deep reinforcement learning with neighborhood gradient transfer strategies. This study proposes an innovative integration of Wiener degradation processes and the DDQN algorithm to establish a dynamic reliability-cost coupling model for equipment performance analysis. A multi-objective deep reinforcement learning (MODRL)-driven intelligent maintenance framework is developed, systematically coordinating degradation dynamics and economic constraints through computational learning mechanisms. The results show that incorporating maintenance costs and reliability as reward components in the multi-objective optimization problem (MOP) simultaneously enhances operational reliability and reduces comprehensive maintenance expenditures by 29.7%. The neighborhood-based parameter transfer strategy reduced single-episode training time by 41.9% and parameter synchronization time by 68.3%, while improving GPU utilization by 34.9%. It achieved faster convergence with 22.8 fewer threshold steps and reduced multi-objective conflict rates by 17.0%. The developed multi-objective optimization framework for tunnel lighting systems overcomes fixed maintenance threshold limitations. The framework demonstrated a 68.5% reliability decline near lighting failure conditions while effectively addressing overconfidence issues. The weight-combination-based adaptive mechanism enables scenario-specific customization of optimization objectives, offering scalable solutions for cost-prioritized, reliability-focused, or balanced operational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局部加热导致周围血管脉搏波速度增加</w:t>
      </w:r>
    </w:p>
    <w:p>
      <w:r>
        <w:rPr>
          <w:rFonts w:ascii="Times New Roman" w:hAnsi="Times New Roman" w:eastAsia="宋体"/>
          <w:b/>
          <w:color w:val="003264"/>
          <w:sz w:val="24"/>
        </w:rPr>
        <w:t>Local heating induces an increase in the pulse wave velocity in peripheral vessels</w:t>
      </w:r>
    </w:p>
    <w:p>
      <w:r>
        <w:rPr>
          <w:rFonts w:ascii="Times New Roman" w:hAnsi="Times New Roman" w:eastAsia="宋体"/>
          <w:sz w:val="21"/>
        </w:rPr>
        <w:t>作者: Alexei A. Kamshilin, Natalia P. Podolyan, Irina A. Mizeva, Oleg V. Mamontov, Valeriy V. Zaytsev, Maria E. Vasilieva, Victor A. Kashchenko, Anastasiia V. Sakovskaia, Polina M. Dolotovskaya, Nikita B. Margaryants, Roman V. Romashko</w:t>
        <w:br/>
      </w:r>
      <w:r>
        <w:rPr>
          <w:rFonts w:ascii="Times New Roman" w:hAnsi="Times New Roman" w:eastAsia="宋体"/>
          <w:sz w:val="21"/>
        </w:rPr>
        <w:t xml:space="preserve">时间: 2026-02-13 | </w:t>
      </w:r>
      <w:r>
        <w:t xml:space="preserve">链接: </w:t>
      </w:r>
      <w:hyperlink r:id="rId29">
        <w:r>
          <w:rPr>
            <w:rFonts w:ascii="Times New Roman" w:hAnsi="Times New Roman" w:eastAsia="宋体"/>
            <w:color w:val="0000FF"/>
            <w:sz w:val="21"/>
            <w:u w:val="single"/>
          </w:rPr>
          <w:t>https://doi.org/10.1038/s41598-026-40041-4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外周微循环的准确评估对于从常规临床检查到手术室患者监测的广泛临床应用具有重要意义。评估体内微循环血流动力学的一种有前景的方法是使用基于同步成像光电体积描记法 (iPPG) 和心电图 (ECG) 的多模态系统。然而，由于运动伪影，精确估计周围脉搏波的时间特征仍然是一项具有挑战性的任务。在本研究中，我们实现了以提高信噪比为特征的数据处理算法。我们分析了 47 名健康志愿者的 iPPG-ECG 系统测量的前臂对局部加热的微循环反应的 67 条记录。将前臂皮肤加热至 41°C 后，所有记录中均观察到脉冲到达时间显着缩短，同时脉动幅度增加数倍（高达 23 倍）。首次检测到局部周边区域脉搏波速度的增加。我们将这些发现解释为局部加热导致动静脉吻合管腔增加的结果。因此，动脉脉搏波的传播速度的改变不仅是由于动脉壁硬度的变化，而且是由于外周血流的重新分布，这是通过动静脉吻合的功能实现的。先进的多模态 iPPG-ECG 技术为进一步深入研究正常和病理条件下的区域和中心血流动力学提供了良好的前景。</w:t>
      </w:r>
    </w:p>
    <w:p>
      <w:pPr>
        <w:spacing w:before="120"/>
      </w:pPr>
      <w:r>
        <w:rPr>
          <w:rFonts w:ascii="Times New Roman" w:hAnsi="Times New Roman" w:eastAsia="宋体"/>
          <w:b/>
          <w:sz w:val="21"/>
        </w:rPr>
        <w:t>English Abstract:</w:t>
      </w:r>
    </w:p>
    <w:p>
      <w:r>
        <w:rPr>
          <w:rFonts w:ascii="Times New Roman" w:hAnsi="Times New Roman" w:eastAsia="宋体"/>
          <w:sz w:val="21"/>
        </w:rPr>
        <w:t>Accurate assessment of peripheral microcirculation is of great importance for wide range of clinical applications, from routine clinical examinations to patient monitoring in the operation room. Promising approach for assessing microcirculatory hemodynamics in-vivo is the use of a multimodal system based on synchronized imaging photoplethysmography (iPPG) and electrocardiography (ECG). However, precise estimation of the temporal characteristics of peripheral pulse waves is still a challenging task due to motion artifacts. In this study, we implemented data processing algorithm characterized by an increased signal-to-noise ratio. We analyzed 67 recordings of the microcirculation response in the forearm to local heating measured by the iPPG-ECG system from 47 healthy volunteers. A significant decrease in the pulse arrival time, accompanied by a multiple (up to 23-fold) increase in the pulsation amplitude was observed in all recordings after heating the forearm skin up to 41 °C. For the first time, an increase in the pulse wave velocity in a local peripheral area was detected. We interpret these findings as a consequence of an increase in the lumen of arteriovenous anastomoses in response to local heating. Therefore, the velocity of propagation of the arterial pulse wave is changed not only due to variations in the stiffness of the arterial walls but also because of redistribution of blood flow in the periphery, which is accomplished through the functioning of arteriovenous anastomoses. The advanced multimodal iPPG-ECG technique holds good promise for further in-depth studies of regional and central hemodynamics both in normal and pathological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用于预测常染色体显性多囊肾病患者 CKD 分期的机器学习：日本的一项全国性队列研究</w:t>
      </w:r>
    </w:p>
    <w:p>
      <w:r>
        <w:rPr>
          <w:rFonts w:ascii="Times New Roman" w:hAnsi="Times New Roman" w:eastAsia="宋体"/>
          <w:b/>
          <w:color w:val="003264"/>
          <w:sz w:val="24"/>
        </w:rPr>
        <w:t>Machine learning for predicting CKD stages in patients with autosomal dominant polycystic kidney disease: a nationwide cohort study in Japan</w:t>
      </w:r>
    </w:p>
    <w:p>
      <w:r>
        <w:rPr>
          <w:rFonts w:ascii="Times New Roman" w:hAnsi="Times New Roman" w:eastAsia="宋体"/>
          <w:sz w:val="21"/>
        </w:rPr>
        <w:t>作者: Yosuke Shimada, Hiroshi Kataoka, Saori Nishio, Junichi Hoshino, Keiju Hiromura, Yoshitaka Isaka, Satoru Muto</w:t>
        <w:br/>
      </w:r>
      <w:r>
        <w:rPr>
          <w:rFonts w:ascii="Times New Roman" w:hAnsi="Times New Roman" w:eastAsia="宋体"/>
          <w:sz w:val="21"/>
        </w:rPr>
        <w:t xml:space="preserve">时间: 2026-02-13 | </w:t>
      </w:r>
      <w:r>
        <w:t xml:space="preserve">链接: </w:t>
      </w:r>
      <w:hyperlink r:id="rId30">
        <w:r>
          <w:rPr>
            <w:rFonts w:ascii="Times New Roman" w:hAnsi="Times New Roman" w:eastAsia="宋体"/>
            <w:color w:val="0000FF"/>
            <w:sz w:val="21"/>
            <w:u w:val="single"/>
          </w:rPr>
          <w:t>https://doi.org/10.1038/s41598-026-39885-7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机器学习 (ML) 是医疗保健领域的一种宝贵工具，可以通过数据驱动的回归和非线性建模来预测疾病进展。与传统统计方法不同，机器学习可以识别解释变量之间复杂的相互作用。常染色体显性多囊肾病 (ADPKD) 是慢性肾病 (CKD) 的常见原因，常常进展为终末期肾衰竭。准确预测 ADPKD 患者的 CKD 进展对于个性化治疗策略至关重要。本研究分析了日本全国队列中 2,737 名 ADPKD 患者的数据。使用该数据集，我们开发了 ML 模型来预测 CKD 阶段。进行特征重要性分析以确定关键的预测变量。评估了三种 ML 模型（随机森林、支持向量机和朴素贝叶斯）的预测准确性。随机森林在测试的模型中表现出最高的预测精度。特征重要性分析确定估计肾小球滤过率 (eGFR)、血清肌酐、CKD 热图、尿蛋白和肾总体积是 CKD 分期最重要的预测因子。作为一种非线性模型，随机森林有效地捕捉了变量之间复杂的相互作用，优于线性支持向量机。朴素贝叶斯模型尽管假设变量之间独立，但仍超越了线性模型，表明一些预测变量之间的相互依赖性有限。机器学习（尤其是随机森林）通过考虑非线性变量关系，提供了一种预测 ADPKD 患者 CKD 分期的稳健方法。这些发现强调了机器学习在个性化 CKD 管理中的潜力，并强调了个性化治疗方法的必要性。</w:t>
      </w:r>
    </w:p>
    <w:p>
      <w:pPr>
        <w:spacing w:before="120"/>
      </w:pPr>
      <w:r>
        <w:rPr>
          <w:rFonts w:ascii="Times New Roman" w:hAnsi="Times New Roman" w:eastAsia="宋体"/>
          <w:b/>
          <w:sz w:val="21"/>
        </w:rPr>
        <w:t>English Abstract:</w:t>
      </w:r>
    </w:p>
    <w:p>
      <w:r>
        <w:rPr>
          <w:rFonts w:ascii="Times New Roman" w:hAnsi="Times New Roman" w:eastAsia="宋体"/>
          <w:sz w:val="21"/>
        </w:rPr>
        <w:t>Machine learning (ML) is a valuable tool in healthcare, enabling the prediction of disease progression through data-driven regression and nonlinear modeling. Unlike traditional statistical methods, ML can identify complex interactions among explanatory variables. Autosomal dominant polycystic kidney disease (ADPKD) is a common cause of chronic kidney disease (CKD), often progressing to end-stage renal failure. Accurately predicting CKD progression in ADPKD patients is essential for personalized treatment strategies. This study analyzed data from 2,737 patients with ADPKD enrolled in the Japanese Nationwide Cohort. Using this dataset, we developed ML models to predict CKD stages. Feature importance analysis was performed to identify key predictive variables. Three ML models—random forest, support vector machine, and naïve Bayes—were evaluated for their predictive accuracy. Random forest exhibited the highest predictive accuracy among the models tested. Feature importance analysis identified estimated glomerular filtration rate (eGFR), serum creatinine, CKD heat map, urinary protein, and total kidney volume as the most significant predictors of CKD stage. As a nonlinear model, random forest effectively captured complex interactions between variables, outperforming the linear support vector machine. The naïve Bayes model, despite assuming independence among variables, surpassed the linear model, indicating limited interdependence among some predictors. ML, particularly random forest, provides a robust approach for predicting CKD stages in patients with ADPKD by accounting for nonlinear variable relationships. These findings emphasize ML’s potential in personalized CKD management and highlight the need for individualized treatment approaches.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BMIA-12（正常和血液恶性肿瘤样本中骨髓细胞定量系统）的综合性能评估</w:t>
      </w:r>
    </w:p>
    <w:p>
      <w:r>
        <w:rPr>
          <w:rFonts w:ascii="Times New Roman" w:hAnsi="Times New Roman" w:eastAsia="宋体"/>
          <w:b/>
          <w:color w:val="003264"/>
          <w:sz w:val="24"/>
        </w:rPr>
        <w:t>Comprehensive performance assessment of the BMIA-12 a system for bone marrow cell quantification in normal and hematological malignancy samples</w:t>
      </w:r>
    </w:p>
    <w:p>
      <w:r>
        <w:rPr>
          <w:rFonts w:ascii="Times New Roman" w:hAnsi="Times New Roman" w:eastAsia="宋体"/>
          <w:sz w:val="21"/>
        </w:rPr>
        <w:t>作者: Ha Nui Kim, Jin Hee Lee, Yoon Jung, Jung Ah Kwon, Soo-Young Yoon</w:t>
        <w:br/>
      </w:r>
      <w:r>
        <w:rPr>
          <w:rFonts w:ascii="Times New Roman" w:hAnsi="Times New Roman" w:eastAsia="宋体"/>
          <w:sz w:val="21"/>
        </w:rPr>
        <w:t xml:space="preserve">时间: 2026-02-13 | </w:t>
      </w:r>
      <w:r>
        <w:t xml:space="preserve">链接: </w:t>
      </w:r>
      <w:hyperlink r:id="rId31">
        <w:r>
          <w:rPr>
            <w:rFonts w:ascii="Times New Roman" w:hAnsi="Times New Roman" w:eastAsia="宋体"/>
            <w:color w:val="0000FF"/>
            <w:sz w:val="21"/>
            <w:u w:val="single"/>
          </w:rPr>
          <w:t>https://doi.org/10.1038/s41598-026-39443-1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手动骨髓 (BM) 分类计数是一项劳动密集型、耗时的工作，并且容易出现观察者之间的差异。基于人工智能 (AI) 的系统可以标准化 BM 细胞学评估。本研究评估了 BMIA-12 A 系统（UIMD，韩国首尔）的自动化 BM 细胞识别和差异计数功能。总共分析了 149 名患者的 298 份 BM 抽吸涂片，包括正常对照 (n = 50)、多发性骨髓瘤 (n = 33)、意义未明的单克隆丙种球蛋白病 (n = 6)、急性髓系白血病 (AML；n = 40)、急性早幼粒细胞白血病 (n = 4) 和急性淋巴细胞白血病 (ALL；n = 16）。比较了三种分类方法：人工智能自动化、专家评审的人工智能和手动显微计数。评估了楔形和南瓜制剂。使用召回率、精确度、F1 分数和准确度来评估系统性能。 BMIA-12 A 的准确率达到 94.6%（楔形）和 94.0%（南瓜），14/16 细胞类型的召回率 &gt; 90%。楔形制剂对关键诊断细胞（包括浆细胞、母细胞和嗜碱性粒细胞）显示出卓越的精度。九种细胞类型的人工智能自动分类和专家评审分类之间存在很强的相关性 (r ≥ 0.9)。然而，疾病特异性定量因方法而异，特别是浆细胞和母细胞百分比。在具有 NPM1 突变的 AML 和具有 BCR::ABL1 融合的 B-ALL 中，方法间差异很明显。总体而言，BMIA-12 A 为正常 BM 样本提供了稳健的分类。持续存在的方法间差异凸显了进一步验证的必要性。</w:t>
      </w:r>
    </w:p>
    <w:p>
      <w:pPr>
        <w:spacing w:before="120"/>
      </w:pPr>
      <w:r>
        <w:rPr>
          <w:rFonts w:ascii="Times New Roman" w:hAnsi="Times New Roman" w:eastAsia="宋体"/>
          <w:b/>
          <w:sz w:val="21"/>
        </w:rPr>
        <w:t>English Abstract:</w:t>
      </w:r>
    </w:p>
    <w:p>
      <w:r>
        <w:rPr>
          <w:rFonts w:ascii="Times New Roman" w:hAnsi="Times New Roman" w:eastAsia="宋体"/>
          <w:sz w:val="21"/>
        </w:rPr>
        <w:t>Manual bone marrow (BM) differential counting is labor-intensive, time-consuming, and prone to inter-observer variability. Artificial intelligence (AI)-based systems can standardize BM cytological assessments. This study evaluated the BMIA-12 A system (UIMD, Seoul, Korea) for automated BM cell recognition and differential counting. A total of 298 BM aspirate smears from 149 patients were analyzed, including normal controls (n = 50), multiple myeloma (n = 33), monoclonal gammopathy of undetermined significance (n = 6), acute myeloid leukemia (AML; n = 40), acute promyelocytic leukemia (n = 4), and acute lymphoblastic leukemia (ALL; n = 16). Three classification methods were compared: AI-automated, expert-reviewed AI, and manual microscopic counting. Both wedge and squash preparations were assessed. System performance was evaluated using recall, precision, F1-score, and accuracy. BMIA-12 A achieved accuracies of 94.6% (wedge) and 94.0% (squash), with recall &gt; 90% for 14/16 cell types. Wedge preparations showed superior precision for key diagnostic cells, including plasma cells, blasts, and basophils. Strong correlations (r ≥ 0.9) were observed between AI-automated and expert-reviewed classifications for nine cell types. However, disease-specific quantification varied significantly by method, particularly for plasma cell and blast percentages. Inter-method discrepancies were pronounced in AML with NPM1 mutation and B-ALL with BCR::ABL1 fusion. Overall, BMIA-12 A provides robust classification for normal BM samples. Persistent inter-method differences highlight the need for further validation.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一次性牙科手术刀形变的SEM形貌分析</w:t>
      </w:r>
    </w:p>
    <w:p>
      <w:r>
        <w:rPr>
          <w:rFonts w:ascii="Times New Roman" w:hAnsi="Times New Roman" w:eastAsia="宋体"/>
          <w:b/>
          <w:color w:val="003264"/>
          <w:sz w:val="24"/>
        </w:rPr>
        <w:t>SEM morphological analysis of the deformation on disposable scalpels used in dentistry</w:t>
      </w:r>
    </w:p>
    <w:p>
      <w:r>
        <w:rPr>
          <w:rFonts w:ascii="Times New Roman" w:hAnsi="Times New Roman" w:eastAsia="宋体"/>
          <w:sz w:val="21"/>
        </w:rPr>
        <w:t>作者: Enzo Cumbo, Pietro Messina, Giuseppe Gallina, Giuseppe Alessandro Scardina, Mohammad Fareed, Mohmed Isaqali Karobari</w:t>
        <w:br/>
      </w:r>
      <w:r>
        <w:rPr>
          <w:rFonts w:ascii="Times New Roman" w:hAnsi="Times New Roman" w:eastAsia="宋体"/>
          <w:sz w:val="21"/>
        </w:rPr>
        <w:t xml:space="preserve">时间: 2026-02-13 | </w:t>
      </w:r>
      <w:r>
        <w:t xml:space="preserve">链接: </w:t>
      </w:r>
      <w:hyperlink r:id="rId32">
        <w:r>
          <w:rPr>
            <w:rFonts w:ascii="Times New Roman" w:hAnsi="Times New Roman" w:eastAsia="宋体"/>
            <w:color w:val="0000FF"/>
            <w:sz w:val="21"/>
            <w:u w:val="single"/>
          </w:rPr>
          <w:t>https://doi.org/10.1038/s41598-026-40261-8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一次性手术刀刀片通常用于口腔外科手术；然而，在临床使用过程中，特别是在全层皮瓣抬高过程中，它们的尖端完整性可能会受到损害。关于口内手术中切口长度和刀片变形之间关系的证据仍然有限。本研究旨在使用扫描电子显微镜 (SEM) 评估常用牙科手术刀刀片变形的存在和程度，作为全层口腔切口线性长度的函数。对 96 名接受全层皮瓣口腔外科手术的患者进行了体内研究。手术刀刀片编号11 和没有。对来自两个制造商的 15 个样品进行了评估，并根据切口长度（0-2 厘米、2-4 厘米、4-6 厘米和 6-8 厘米）进行分组。通过记录变形的存在、变形长度和变形宽度，在SEM下评估叶片变形。使用 ANOVA 和 Tukey 事后检验进行统计分析（P ≤ 0.05）。总体而言，96 个刀片中有 94 个（97.9%）在临床使用后出现变形。 91.7% 用于切口不超过 2 cm 的刀片和 100% 用于切口超过 2 cm 的刀片观察到变形。随着切口长度的增加，变形长度和变形宽度均显着增加（P &lt; 0.05）。叶片形态影响变形特性，叶片号。 15 显示更大的变形长度和刀片编号。 11表现出更大的变形宽度。对于相同形态的刀片，制造商之间没有观察到统计学上的显着差异（P &gt; 0.05）。根据目前的发现，一次性手术刀刀片没有。 11 和没有。 15 在全层口腔外科手术的临床使用过程中经历了可测量的变形。无论制造商如何，刀片变形的存在、长度和宽度都会随着切口的线性长度而增加。</w:t>
      </w:r>
    </w:p>
    <w:p>
      <w:pPr>
        <w:spacing w:before="120"/>
      </w:pPr>
      <w:r>
        <w:rPr>
          <w:rFonts w:ascii="Times New Roman" w:hAnsi="Times New Roman" w:eastAsia="宋体"/>
          <w:b/>
          <w:sz w:val="21"/>
        </w:rPr>
        <w:t>English Abstract:</w:t>
      </w:r>
    </w:p>
    <w:p>
      <w:r>
        <w:rPr>
          <w:rFonts w:ascii="Times New Roman" w:hAnsi="Times New Roman" w:eastAsia="宋体"/>
          <w:sz w:val="21"/>
        </w:rPr>
        <w:t>Disposable scalpel blades are routinely used in oral surgical procedures; however, their cutting-edge integrity may be compromised during clinical use, particularly during full-thickness flap elevation. Evidence regarding the relationship between incision length and blade deformation in intraoral surgery remains limited. This study aimed to evaluate the presence and extent of deformation of commonly used dental scalpel blades as a function of the linear length of full-thickness oral incisions using scanning electron microscopy (SEM). An in vivo study was conducted on 96 patients undergoing oral surgical procedures requiring full-thickness flaps. Scalpel blades no. 11 and no. 15 from two manufacturers were evaluated and grouped according to incision length (0–2 cm, 2–4 cm, 4–6 cm, and 6–8 cm). Blade deformation was assessed under SEM by recording the presence of deformation, deformation length, and deformation width. Statistical analysis was performed using ANOVA with Tukey post-hoc tests (P ≤ 0.05). Overall, 94 of 96 blades (97.9%) exhibited deformation following clinical use. Deformation was observed in 91.7% of blades used for incisions up to 2 cm and in 100% of blades used for incisions exceeding 2 cm. Both deformation length and deformation width increased significantly with increasing incision length (P &lt; 0.05). Blade morphology influenced deformation characteristics, with blade no. 15 showing greater deformation length and blade no. 11 exhibiting greater deformation width. No statistically significant differences were observed between manufacturers for blades of identical morphology (P &gt; 0.05). Based on the present findings, disposable scalpel blades no. 11 and no. 15 undergo measurable deformation during clinical use in full-thickness oral surgical procedures. The presence, length, and width of blade deformation increase with the linear length of the incision, regardless of the manufacturer.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局部/全局视觉处理影响数量级冲突解决</w:t>
      </w:r>
    </w:p>
    <w:p>
      <w:r>
        <w:rPr>
          <w:rFonts w:ascii="Times New Roman" w:hAnsi="Times New Roman" w:eastAsia="宋体"/>
          <w:b/>
          <w:color w:val="003264"/>
          <w:sz w:val="24"/>
        </w:rPr>
        <w:t>Local/global visual processing impacts numerosity-magnitude conflict resolution</w:t>
      </w:r>
    </w:p>
    <w:p>
      <w:r>
        <w:rPr>
          <w:rFonts w:ascii="Times New Roman" w:hAnsi="Times New Roman" w:eastAsia="宋体"/>
          <w:sz w:val="21"/>
        </w:rPr>
        <w:t>作者: Léa Chrétien, Nicolas Poirel, André Knops, Arnaud Viarouge</w:t>
        <w:br/>
      </w:r>
      <w:r>
        <w:rPr>
          <w:rFonts w:ascii="Times New Roman" w:hAnsi="Times New Roman" w:eastAsia="宋体"/>
          <w:sz w:val="21"/>
        </w:rPr>
        <w:t xml:space="preserve">时间: 2026-02-13 | </w:t>
      </w:r>
      <w:r>
        <w:t xml:space="preserve">链接: </w:t>
      </w:r>
      <w:hyperlink r:id="rId82">
        <w:r>
          <w:rPr>
            <w:rFonts w:ascii="Times New Roman" w:hAnsi="Times New Roman" w:eastAsia="宋体"/>
            <w:color w:val="0000FF"/>
            <w:sz w:val="21"/>
            <w:u w:val="single"/>
          </w:rPr>
          <w:t>https://doi.org/10.1038/s41598-026-37755-w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在非符号数值比较任务（近似数字系统或 ANS 任务）中，参与者确定两个点阵列中哪一个的数量较多，判断可能会因不相关的非数字量值（例如点大小或总占用面积）而产生偏差。虽然抑制可能有助于克服这些冲突，但引导人们关注相关数字信息的机制仍不清楚。我们假设注意力处理模式——关注单个元素（局部处理）与整体配置（全局处理）——可能会影响参与者解决数字冲突的方式。 54 名成年人（法师 = 32.07 岁，SD = 11.38）完成了 ANS 试验，之前有启动项目，旨在激活局部或全局处理模式，或者在控制条件下不启动。全局启动并没有显着影响性能，而局部启动调节了跨幅度维度的数量/幅度冲突，显着减少了凸包的影响。这些发现揭示了感知模式如何影响成年人在面对视觉冲突时提取数字信息的能力。</w:t>
      </w:r>
    </w:p>
    <w:p>
      <w:pPr>
        <w:spacing w:before="120"/>
      </w:pPr>
      <w:r>
        <w:rPr>
          <w:rFonts w:ascii="Times New Roman" w:hAnsi="Times New Roman" w:eastAsia="宋体"/>
          <w:b/>
          <w:sz w:val="21"/>
        </w:rPr>
        <w:t>English Abstract:</w:t>
      </w:r>
    </w:p>
    <w:p>
      <w:r>
        <w:rPr>
          <w:rFonts w:ascii="Times New Roman" w:hAnsi="Times New Roman" w:eastAsia="宋体"/>
          <w:sz w:val="21"/>
        </w:rPr>
        <w:t>In non-symbolic numerical comparison tasks (Approximate Number System or ANS tasks) where participants determine which of two dot arrays is more numerous, judgments can be biased by irrelevant non-numerical dimensions of magnitude, such as dot size or the total occupied area. While inhibition may help overcome these conflicts, the mechanisms guiding attention toward relevant numerical information remain unclear. We hypothesized that modes of attentional processing - focusing on individual elements (local processing) versus the overall configuration (global processing) - may influence how participants resolve numerical conflicts. Fifty-four adults (Mage = 32.07 years, SD = 11.38) completed ANS trials preceded by prime items designed to activate either a local or global processing mode, or no prime in a control condition. Global priming did not significantly affect performance, while local priming modulated numerosity/magnitude conflicts across magnitude dimensions, notably reducing the impact of convex hull. These findings shed light on how perceptual modes impact adults’ ability to extract numerical information in the face of visual conflict.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视频大语言模型在干眼科普视频质量评估中的基准评估</w:t>
      </w:r>
    </w:p>
    <w:p>
      <w:r>
        <w:rPr>
          <w:rFonts w:ascii="Times New Roman" w:hAnsi="Times New Roman" w:eastAsia="宋体"/>
          <w:b/>
          <w:color w:val="003264"/>
          <w:sz w:val="24"/>
        </w:rPr>
        <w:t>Benchmark evaluation of video large language models in quality assessment of science popularization videos for dry eye</w:t>
      </w:r>
    </w:p>
    <w:p>
      <w:r>
        <w:rPr>
          <w:rFonts w:ascii="Times New Roman" w:hAnsi="Times New Roman" w:eastAsia="宋体"/>
          <w:sz w:val="21"/>
        </w:rPr>
        <w:t>作者: Shiqi Zhou, Mingxue Huang, Jiawen Wei, Huihui Fang, Weihua Yang, Hanyi Yu, Yanwu Xu</w:t>
        <w:br/>
      </w:r>
      <w:r>
        <w:rPr>
          <w:rFonts w:ascii="Times New Roman" w:hAnsi="Times New Roman" w:eastAsia="宋体"/>
          <w:sz w:val="21"/>
        </w:rPr>
        <w:t xml:space="preserve">时间: 2026-02-13 | </w:t>
      </w:r>
      <w:r>
        <w:t xml:space="preserve">链接: </w:t>
      </w:r>
      <w:hyperlink r:id="rId83">
        <w:r>
          <w:rPr>
            <w:rFonts w:ascii="Times New Roman" w:hAnsi="Times New Roman" w:eastAsia="宋体"/>
            <w:color w:val="0000FF"/>
            <w:sz w:val="21"/>
            <w:u w:val="single"/>
          </w:rPr>
          <w:t>https://doi.org/10.1038/s41598-026-39444-0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短视频平台的快速发展重塑了个人获取健康信息的方式，但也助长了错误信息和虚假信息的传播。干眼症是一种常见的眼表疾病，为研究这些挑战提供了一个代表性案例。迫切需要可靠且可扩展的方法来识别和减轻在线健康内容中的错误信息风险。我们提出了一种采用视频大语言模型（VideoLLM）的框架来自动评估科普视频。使用三种既定工具对三个代表性 VideoLLM（VideoLLaMA3、QwenVL 和 InternVL）进行基准测试：视听材料患者教育材料评估工具 (PEMAT-A/V)、全局质量评分 (GQS) 以及视频信息和质量指数 (VIQI)。从 TikTok 收集了 185 个有关干眼症的中文视频的数据集，并由两名眼科医生独立注释。 VideoLLM 生成的分数与专家评分之间的一致性使用类内相关系数 (ICC) 进行量化。在大多数指标中，VideoLLM 与专家注释的一致性较差（ICC &lt; 0.40），但 PEMAT-A/V 的可操作性维度除外，其中 QwenVL 和 InternVL 与专家的 ICC 分别为 0.50 和 0.43。这项工作为评估眼科科普视频建立了 VideoLLM 的第一个基准，并揭示了当前模型性能的重大局限性，一致性水平远远低于实际可接受性。我们的开源框架不是展示部署准备情况，而是作为参考工具，用于系统地评估模型行为，突出现有差距，并在 VideoLLM 被考虑用于医疗视频内容的自动评估或治理之前激励进一步的方法改进。</w:t>
      </w:r>
    </w:p>
    <w:p>
      <w:pPr>
        <w:spacing w:before="120"/>
      </w:pPr>
      <w:r>
        <w:rPr>
          <w:rFonts w:ascii="Times New Roman" w:hAnsi="Times New Roman" w:eastAsia="宋体"/>
          <w:b/>
          <w:sz w:val="21"/>
        </w:rPr>
        <w:t>English Abstract:</w:t>
      </w:r>
    </w:p>
    <w:p>
      <w:r>
        <w:rPr>
          <w:rFonts w:ascii="Times New Roman" w:hAnsi="Times New Roman" w:eastAsia="宋体"/>
          <w:sz w:val="21"/>
        </w:rPr>
        <w:t>The rapid growth of short-video platforms has reshaped how individuals access health information, but it has also fueled the spread of misinformation and disinformation. Dry eye, a prevalent ocular surface disorder, provides a representative case for examining these challenges. Reliable and scalable methods are urgently needed to identify and mitigate misinformation risks in online health content. We proposed a framework employing Video Large Language Models (VideoLLMs) for automated evaluation of science popularization videos. Three representative VideoLLMs (VideoLLaMA3, QwenVL, and InternVL) were benchmarked using three established instruments: Patient Education Materials Assessment Tool for Audiovisual Materials (PEMAT-A/V), Global Quality Score (GQS), and Video Information and Quality Index (VIQI). A dataset of 185 Chinese-language videos on dry eye was collected from TikTok and independently annotated by two ophthalmologists. Agreement between VideoLLM-generated scores and expert ratings was quantified using the Intraclass Correlation Coefficient (ICC). Across most metrics, VideoLLMs demonstrated poor agreement with expert annotations (ICC &lt; 0.40), except for the actionability dimension of PEMAT-A/V, where QwenVL and InternVL achieved ICCs of 0.50 and 0.43, respectively, with the experts. This work establishes the first benchmark of VideoLLMs for evaluating ophthalmic science popularization videos and reveals substantial limitations in the performance of current models, with agreement levels falling well short of practical acceptability. Rather than demonstrating readiness for deployment, our open-source framework serves as a reference tool for systematically assessing model behavior, highlighting existing gaps, and motivating further methodological improvements before VideoLLMs can be considered for automated evaluation or governance of medical video content.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胖大海内生真菌的生物活性筛选和强效分离毛壳菌的 GC-MS 代谢物分析</w:t>
      </w:r>
    </w:p>
    <w:p>
      <w:r>
        <w:rPr>
          <w:rFonts w:ascii="Times New Roman" w:hAnsi="Times New Roman" w:eastAsia="宋体"/>
          <w:b/>
          <w:color w:val="003264"/>
          <w:sz w:val="24"/>
        </w:rPr>
        <w:t>Bioactivity screening of endophytic fungi from Sterculia urens and GC–MS metabolites profiling of the potent isolate Chaetomium meridiolense</w:t>
      </w:r>
    </w:p>
    <w:p>
      <w:r>
        <w:rPr>
          <w:rFonts w:ascii="Times New Roman" w:hAnsi="Times New Roman" w:eastAsia="宋体"/>
          <w:sz w:val="21"/>
        </w:rPr>
        <w:t>作者: Garima Yadav, Mukesh Meena, Priyankaraj Sonigra</w:t>
        <w:br/>
      </w:r>
      <w:r>
        <w:rPr>
          <w:rFonts w:ascii="Times New Roman" w:hAnsi="Times New Roman" w:eastAsia="宋体"/>
          <w:sz w:val="21"/>
        </w:rPr>
        <w:t xml:space="preserve">时间: 2026-02-13 | </w:t>
      </w:r>
      <w:r>
        <w:t xml:space="preserve">链接: </w:t>
      </w:r>
      <w:hyperlink r:id="rId84">
        <w:r>
          <w:rPr>
            <w:rFonts w:ascii="Times New Roman" w:hAnsi="Times New Roman" w:eastAsia="宋体"/>
            <w:color w:val="0000FF"/>
            <w:sz w:val="21"/>
            <w:u w:val="single"/>
          </w:rPr>
          <w:t>https://doi.org/10.1038/s41598-026-39125-y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药用植物相关的内生真菌被认为是生物活性次生代谢物的有前途的来源。在这项研究中，从胖大海（一种具有治疗相关性的民族药用植物）的健康叶子中分离出内生真菌，并评估了其植物化学成分和生物活性。使用 DPPH 和 ABTS 自由基清除测定法筛选了九种内生真菌的抗氧化潜力，并通过最低抑制和杀菌浓度分析筛选了对金黄色葡萄球菌、大肠杆菌和伤寒沙门氏菌的抗菌活性。在这些分离株中，Chaetomium meridiolense 表现出相对较高的抗氧化和抗菌活性，因此被选择进行详细的代谢研究。该分离物还显示出较高的酚类和类黄酮含量，表明其生物活性的化学基础。气相色谱-质谱分析揭示了富含萜类和酚类衍生化合物的代谢物谱。多变量统计分析表明酚类富集与观察到的抗氧化和抗菌作用之间呈正相关。总体而言，这项研究为 C. meridiolense 与 S. urens 相关的生物活性潜力提供了新的见解，并支持内生真菌作为生物活性代谢物潜在来源的相关性，以供进一步探索。</w:t>
      </w:r>
    </w:p>
    <w:p>
      <w:pPr>
        <w:spacing w:before="120"/>
      </w:pPr>
      <w:r>
        <w:rPr>
          <w:rFonts w:ascii="Times New Roman" w:hAnsi="Times New Roman" w:eastAsia="宋体"/>
          <w:b/>
          <w:sz w:val="21"/>
        </w:rPr>
        <w:t>English Abstract:</w:t>
      </w:r>
    </w:p>
    <w:p>
      <w:r>
        <w:rPr>
          <w:rFonts w:ascii="Times New Roman" w:hAnsi="Times New Roman" w:eastAsia="宋体"/>
          <w:sz w:val="21"/>
        </w:rPr>
        <w:t>Endophytic fungi associated with medicinal plants are recognized as promising sources of bioactive secondary metabolites. In this study, fungal endophytes were isolated from healthy leaves of Sterculia urens, an ethnomedicinal plant with documented therapeutic relevance, and evaluated for their phytochemical composition and biological activities. Nine endophytic fungi were screened for antioxidant potential using DPPH and ABTS radical scavenging assays and for antibacterial activity against Staphylococcus aureus, Escherichia coli, and Salmonella typhi through minimum inhibitory and bactericidal concentration analyses. Among the isolates, Chaetomium meridiolense exhibited comparatively higher antioxidant and antibacterial activities and was therefore selected for detailed metabolic investigation. This isolate also showed elevated phenolic and flavonoid contents, suggesting a chemical basis for its bioactivity. Gas chromatography–mass spectrometry analysis revealed a metabolite profile enriched with terpenoid- and phenolic-derived compounds. Multivariate statistical analyses indicated positive associations between phenolic enrichment and observed antioxidant and antibacterial effects. Overall, this study provides new insight into the bioactive potential of C. meridiolense associated with S. urens and supports the relevance of endophytic fungi as potential sources of biologically active metabolites for further exploration.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使用来自全向图像的伪 LiDAR 在光照变化下进行鲁棒位置识别</w:t>
      </w:r>
    </w:p>
    <w:p>
      <w:r>
        <w:rPr>
          <w:rFonts w:ascii="Times New Roman" w:hAnsi="Times New Roman" w:eastAsia="宋体"/>
          <w:b/>
          <w:color w:val="003264"/>
          <w:sz w:val="24"/>
        </w:rPr>
        <w:t>Robust place recognition under illumination changes using pseudo-LiDAR from omnidirectional images</w:t>
      </w:r>
    </w:p>
    <w:p>
      <w:r>
        <w:rPr>
          <w:rFonts w:ascii="Times New Roman" w:hAnsi="Times New Roman" w:eastAsia="宋体"/>
          <w:sz w:val="21"/>
        </w:rPr>
        <w:t>作者: Juan José Cabrera, Marcos Alfaro, Arturo Gil, Oscar Reinoso, Luis Payá</w:t>
        <w:br/>
      </w:r>
      <w:r>
        <w:rPr>
          <w:rFonts w:ascii="Times New Roman" w:hAnsi="Times New Roman" w:eastAsia="宋体"/>
          <w:sz w:val="21"/>
        </w:rPr>
        <w:t xml:space="preserve">时间: 2026-02-13 | </w:t>
      </w:r>
      <w:r>
        <w:t xml:space="preserve">链接: </w:t>
      </w:r>
      <w:hyperlink r:id="rId85">
        <w:r>
          <w:rPr>
            <w:rFonts w:ascii="Times New Roman" w:hAnsi="Times New Roman" w:eastAsia="宋体"/>
            <w:color w:val="0000FF"/>
            <w:sz w:val="21"/>
            <w:u w:val="single"/>
          </w:rPr>
          <w:t>https://doi.org/10.1038/s41598-026-39848-y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当不同类型的视觉传感器之间的照明动态或异质性产生场景外观变化时，视觉位置识别（VPR）系统通常表现出鲁棒性降低。本文提出了一种利用深度估计技术来克服这些挑战的新颖框架。我们的方法使用 Distill Any Depth（基于 Depth Anything V2 的最先进的深度估计器）将全向图像转换为深度图。然后，这些深度图被转换为伪 LiDAR 点云，作为 MinkUNeXt 架构的输入，该架构生成全局外观描述符。一项关键的创新在于我们新颖的数据增强技术，该技术利用深度估计模型的不同精炼变体来增强不同条件下的鲁棒性。尽管仅使用在阴天条件下捕获的有限图像集进行训练，但我们的系统在跨不同照明场景进行评估时表现出强大的性能，并且使用不同数据集和相机类型的进一步测试证实了其对几何形状不同的输​​入的泛化。与最先进的方法的广泛比较证明，我们的方法在不同的照明条件下都具有竞争力，特别是在照明变化显着的场景中表现出色。此外，从标准相机生成伪 LiDAR 信息为 3D 传感器提供了一种经济高效的替代方案。总之，这项工作提出了一种完全不同的 VPR 场景表示方法，对具有挑战性的环境中的机器人定位具有良好的影响。该实现可在 https://juanjo-cabrera.github.io/projects-pL-MinkUNeXt/ 上公开获取。</w:t>
      </w:r>
    </w:p>
    <w:p>
      <w:pPr>
        <w:spacing w:before="120"/>
      </w:pPr>
      <w:r>
        <w:rPr>
          <w:rFonts w:ascii="Times New Roman" w:hAnsi="Times New Roman" w:eastAsia="宋体"/>
          <w:b/>
          <w:sz w:val="21"/>
        </w:rPr>
        <w:t>English Abstract:</w:t>
      </w:r>
    </w:p>
    <w:p>
      <w:r>
        <w:rPr>
          <w:rFonts w:ascii="Times New Roman" w:hAnsi="Times New Roman" w:eastAsia="宋体"/>
          <w:sz w:val="21"/>
        </w:rPr>
        <w:t>Abstract Visual Place Recognition (VPR) systems typically exhibit reduced robustness when subjected to changes in scene appearance produced by illumination dynamics or heterogeneity across different types of visual sensors. This paper proposes a novel framework that exploits depth estimation techniques to overcome these challenges. Our approach transforms omnidirectional images into depth maps using Distill Any Depth, a state-of-the-art depth estimator based on Depth Anything V2. These depth maps are then converted into pseudo-LiDAR point clouds, which serve as input to the MinkUNeXt architecture, which generates global-appearance descriptors. A key innovation lies in our novel data augmentation technique that exploits different distilled variants of depth estimation models to enhance robustness across varying conditions. Despite training with a limited set of images captured only under cloudy conditions, our system demonstrates robust performance when evaluated across diverse lighting scenarios, and further tests with different datasets and camera types confirm its generalization to geometrically dissimilar inputs. Extensive comparisons with state-of-the-art methods prove that our approach performs competitively across diverse lighting conditions, particularly excelling in scenarios with significant illumination changes. Furthermore, the generation of pseudo-LiDAR information from standard cameras provides a cost-effective alternative to 3D sensors. In summary, this work presents a fundamentally different approach to scene representation for VPR, with promising implications for robot localization in challenging environments. The implementation is publicly available at https://juanjo-cabrera.github.io/projects-pL-MinkUNeXt/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使用数据驱动框架衡量上海地铁可达性和公共服务需求之间的空间公平性</w:t>
      </w:r>
    </w:p>
    <w:p>
      <w:r>
        <w:rPr>
          <w:rFonts w:ascii="Times New Roman" w:hAnsi="Times New Roman" w:eastAsia="宋体"/>
          <w:b/>
          <w:color w:val="003264"/>
          <w:sz w:val="24"/>
        </w:rPr>
        <w:t>Measuring spatial equity between metro accessibility and public service demand in Shanghai using a data-driven framework</w:t>
      </w:r>
    </w:p>
    <w:p>
      <w:r>
        <w:rPr>
          <w:rFonts w:ascii="Times New Roman" w:hAnsi="Times New Roman" w:eastAsia="宋体"/>
          <w:sz w:val="21"/>
        </w:rPr>
        <w:t>作者: Pei Jiang, Yawen Liu, Xuewen Shi, Hui Zhuo, Yuntao Liu, Min Erin Fu, Siqi Lin, Shijun Cheng</w:t>
        <w:br/>
      </w:r>
      <w:r>
        <w:rPr>
          <w:rFonts w:ascii="Times New Roman" w:hAnsi="Times New Roman" w:eastAsia="宋体"/>
          <w:sz w:val="21"/>
        </w:rPr>
        <w:t xml:space="preserve">时间: 2026-02-13 | </w:t>
      </w:r>
      <w:r>
        <w:t xml:space="preserve">链接: </w:t>
      </w:r>
      <w:hyperlink r:id="rId86">
        <w:r>
          <w:rPr>
            <w:rFonts w:ascii="Times New Roman" w:hAnsi="Times New Roman" w:eastAsia="宋体"/>
            <w:color w:val="0000FF"/>
            <w:sz w:val="21"/>
            <w:u w:val="single"/>
          </w:rPr>
          <w:t>https://doi.org/10.1038/s41598-026-40160-y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城市地铁系统在创造出行机会和获得基本公共服务方面发挥着核心作用，但这些好处并不总是在城市之间公平分享。本研究通过研究地铁公共服务的可达性如何与实际乘客需求保持一致，评估上海的公平流动性。我们根据到达不同公共服务的出行时间为每个车站制定了多维可达性指数，并将其与客流数据相结合，构建了当地的路线指数。洛伦兹曲线和基尼系数捕获系统范围内的分布模式。分析显示了明显且持续的不平等：中心车站在可达性和需求之间保持着紧密的一致性，而许多外围车站始终面临着高需求但有限的可达性。全系统基尼系数为0.348，反映了无障碍福利分配的明显不平衡。这些结果凸显了地铁网络空间设计中嵌入的不公平空间格局。该研究引入了一个可复制的、行为敏感的框架，将实际的出行模式与公共服务的可及性联系起来。它还为以空间公平为导向的地铁规划提供了可操作的证据，强调需要对服务不足的地区进行有针对性的改进，并加强土地使用和交通发展之间的协调。这些贡献共同支持更具包容性和公平的城市交通规划。</w:t>
      </w:r>
    </w:p>
    <w:p>
      <w:pPr>
        <w:spacing w:before="120"/>
      </w:pPr>
      <w:r>
        <w:rPr>
          <w:rFonts w:ascii="Times New Roman" w:hAnsi="Times New Roman" w:eastAsia="宋体"/>
          <w:b/>
          <w:sz w:val="21"/>
        </w:rPr>
        <w:t>English Abstract:</w:t>
      </w:r>
    </w:p>
    <w:p>
      <w:r>
        <w:rPr>
          <w:rFonts w:ascii="Times New Roman" w:hAnsi="Times New Roman" w:eastAsia="宋体"/>
          <w:sz w:val="21"/>
        </w:rPr>
        <w:t>Urban metro systems play a central role in shaping mobility opportunities and access to essential public services, yet these benefits are not always shared equitably across cities. This study evaluates equitable mobility in Shanghai by examining how metro-based accessibility to public services aligns with actual passenger demand. We develop a multidimensional accessibility index for each station based on travel time to diverse public services and integrate it with passenger flow data to construct a local alignment index. A Lorenz curve and Gini coefficient capture system-wide distributional patterns. The analysis shows clear and persistent inequities: central stations maintain strong alignment between accessibility and demand, while many peripheral stations consistently face high demand but limited access. The system-wide Gini coefficient of 0.348 reflects a notable imbalance in the distribution of accessibility benefits. These results highlight inequitable spatial pattern embedded in the metro network’s spatial design. The study introduces a replicable, behaviour-sensitive framework that links actual mobility patterns with public service accessibility. It also provides actionable evidence for spatial-equity-oriented metro planning, emphasizing the need for targeted improvements in underserved areas and stronger coordination between land-use and transit development. Together, these contributions support more inclusive and equitable urban mobility planning.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Physical Review Letters</w:t>
      </w:r>
    </w:p>
    <w:p>
      <w:pPr>
        <w:jc w:val="center"/>
      </w:pPr>
      <w:r>
        <w:t>--- 更新: 00:29 ---</w:t>
      </w:r>
    </w:p>
    <w:p>
      <w:pPr>
        <w:pStyle w:val="Heading2"/>
      </w:pPr>
      <w:r/>
      <w:r>
        <w:rPr>
          <w:rFonts w:ascii="Times New Roman" w:hAnsi="Times New Roman" w:eastAsia="宋体"/>
          <w:b/>
          <w:color w:val="000000"/>
          <w:sz w:val="24"/>
        </w:rPr>
        <w:t>半导体微腔中的量子光滴</w:t>
      </w:r>
    </w:p>
    <w:p>
      <w:r>
        <w:rPr>
          <w:rFonts w:ascii="Times New Roman" w:hAnsi="Times New Roman" w:eastAsia="宋体"/>
          <w:b/>
          <w:color w:val="003264"/>
          <w:sz w:val="24"/>
        </w:rPr>
        <w:t>Quantum droplets of light in semiconductor microcavities</w:t>
      </w:r>
    </w:p>
    <w:p>
      <w:r>
        <w:rPr>
          <w:rFonts w:ascii="Times New Roman" w:hAnsi="Times New Roman" w:eastAsia="宋体"/>
          <w:sz w:val="21"/>
        </w:rPr>
        <w:t>作者: Anonymous</w:t>
        <w:br/>
      </w:r>
      <w:r>
        <w:rPr>
          <w:rFonts w:ascii="Times New Roman" w:hAnsi="Times New Roman" w:eastAsia="宋体"/>
          <w:sz w:val="21"/>
        </w:rPr>
        <w:t xml:space="preserve">时间: 2026-02-13 | </w:t>
      </w:r>
      <w:r>
        <w:t xml:space="preserve">链接: </w:t>
      </w:r>
      <w:hyperlink r:id="rId33">
        <w:r>
          <w:rPr>
            <w:rFonts w:ascii="Times New Roman" w:hAnsi="Times New Roman" w:eastAsia="宋体"/>
            <w:color w:val="0000FF"/>
            <w:sz w:val="21"/>
            <w:u w:val="single"/>
          </w:rPr>
          <w:t>https://doi.org/10.1103/qbz5-df6g</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通过抑制三声子散射，富集立方砷化硼具有出色的光学声子相干性</w:t>
      </w:r>
    </w:p>
    <w:p>
      <w:r>
        <w:rPr>
          <w:rFonts w:ascii="Times New Roman" w:hAnsi="Times New Roman" w:eastAsia="宋体"/>
          <w:b/>
          <w:color w:val="003264"/>
          <w:sz w:val="24"/>
        </w:rPr>
        <w:t>Exceptional optical phonon coherence in enriched cubic boron arsenide via suppression of three-phonon scattering</w:t>
      </w:r>
    </w:p>
    <w:p>
      <w:r>
        <w:rPr>
          <w:rFonts w:ascii="Times New Roman" w:hAnsi="Times New Roman" w:eastAsia="宋体"/>
          <w:sz w:val="21"/>
        </w:rPr>
        <w:t>作者: Anonymous</w:t>
        <w:br/>
      </w:r>
      <w:r>
        <w:rPr>
          <w:rFonts w:ascii="Times New Roman" w:hAnsi="Times New Roman" w:eastAsia="宋体"/>
          <w:sz w:val="21"/>
        </w:rPr>
        <w:t xml:space="preserve">时间: 2026-02-13 | </w:t>
      </w:r>
      <w:r>
        <w:t xml:space="preserve">链接: </w:t>
      </w:r>
      <w:hyperlink r:id="rId34">
        <w:r>
          <w:rPr>
            <w:rFonts w:ascii="Times New Roman" w:hAnsi="Times New Roman" w:eastAsia="宋体"/>
            <w:color w:val="0000FF"/>
            <w:sz w:val="21"/>
            <w:u w:val="single"/>
          </w:rPr>
          <w:t>https://doi.org/10.1103/qysd-d6rn</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超冷气体中空腔诱导密度波排序的显微镜</w:t>
      </w:r>
    </w:p>
    <w:p>
      <w:r>
        <w:rPr>
          <w:rFonts w:ascii="Times New Roman" w:hAnsi="Times New Roman" w:eastAsia="宋体"/>
          <w:b/>
          <w:color w:val="003264"/>
          <w:sz w:val="24"/>
        </w:rPr>
        <w:t>Microscopy of cavity-induced density-wave ordering in ultracold gases</w:t>
      </w:r>
    </w:p>
    <w:p>
      <w:r>
        <w:rPr>
          <w:rFonts w:ascii="Times New Roman" w:hAnsi="Times New Roman" w:eastAsia="宋体"/>
          <w:sz w:val="21"/>
        </w:rPr>
        <w:t>作者: Anonymous</w:t>
        <w:br/>
      </w:r>
      <w:r>
        <w:rPr>
          <w:rFonts w:ascii="Times New Roman" w:hAnsi="Times New Roman" w:eastAsia="宋体"/>
          <w:sz w:val="21"/>
        </w:rPr>
        <w:t xml:space="preserve">时间: 2026-02-13 | </w:t>
      </w:r>
      <w:r>
        <w:t xml:space="preserve">链接: </w:t>
      </w:r>
      <w:hyperlink r:id="rId87">
        <w:r>
          <w:rPr>
            <w:rFonts w:ascii="Times New Roman" w:hAnsi="Times New Roman" w:eastAsia="宋体"/>
            <w:color w:val="0000FF"/>
            <w:sz w:val="21"/>
            <w:u w:val="single"/>
          </w:rPr>
          <w:t>https://doi.org/10.1103/h3zm-rnnx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00:29 ---</w:t>
      </w:r>
    </w:p>
    <w:p>
      <w:pPr>
        <w:pStyle w:val="Heading2"/>
      </w:pPr>
      <w:r/>
      <w:r>
        <w:rPr>
          <w:rFonts w:ascii="Times New Roman" w:hAnsi="Times New Roman" w:eastAsia="宋体"/>
          <w:b/>
          <w:color w:val="000000"/>
          <w:sz w:val="24"/>
        </w:rPr>
        <w:t>基于双改进萨格纳克光栅干涉仪的宽带快照全偏振成像</w:t>
      </w:r>
    </w:p>
    <w:p>
      <w:r>
        <w:rPr>
          <w:rFonts w:ascii="Times New Roman" w:hAnsi="Times New Roman" w:eastAsia="宋体"/>
          <w:b/>
          <w:color w:val="003264"/>
          <w:sz w:val="24"/>
        </w:rPr>
        <w:t>Broadband snapshot complete polarization imaging based on dual modified Sagnac-grating interferometers</w:t>
      </w:r>
    </w:p>
    <w:p>
      <w:r>
        <w:rPr>
          <w:rFonts w:ascii="Times New Roman" w:hAnsi="Times New Roman" w:eastAsia="宋体"/>
          <w:sz w:val="21"/>
        </w:rPr>
        <w:t>作者: Haitao Wang, Fengqi Guo, Jingping Zhu, Kang Zong, Xiangzhe Zhang, Xizhen Luo, Huilin Jiang</w:t>
        <w:br/>
      </w:r>
      <w:r>
        <w:rPr>
          <w:rFonts w:ascii="Times New Roman" w:hAnsi="Times New Roman" w:eastAsia="宋体"/>
          <w:sz w:val="21"/>
        </w:rPr>
        <w:t xml:space="preserve">时间: 2026-06-01 | </w:t>
      </w:r>
      <w:r>
        <w:t xml:space="preserve">链接: </w:t>
      </w:r>
      <w:hyperlink r:id="rId35">
        <w:r>
          <w:rPr>
            <w:rFonts w:ascii="Times New Roman" w:hAnsi="Times New Roman" w:eastAsia="宋体"/>
            <w:color w:val="0000FF"/>
            <w:sz w:val="21"/>
            <w:u w:val="single"/>
          </w:rPr>
          <w:t>https://doi.org/10.1016/j.optlaseng.2026.109643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00:29 ---</w:t>
      </w:r>
    </w:p>
    <w:p>
      <w:pPr>
        <w:pStyle w:val="Heading2"/>
      </w:pPr>
      <w:r/>
      <w:r>
        <w:rPr>
          <w:rFonts w:ascii="Times New Roman" w:hAnsi="Times New Roman" w:eastAsia="宋体"/>
          <w:b/>
          <w:color w:val="000000"/>
          <w:sz w:val="24"/>
        </w:rPr>
        <w:t>集成交叉接收器校准和姿态鲁棒性的可见光定位系统</w:t>
      </w:r>
    </w:p>
    <w:p>
      <w:r>
        <w:rPr>
          <w:rFonts w:ascii="Times New Roman" w:hAnsi="Times New Roman" w:eastAsia="宋体"/>
          <w:b/>
          <w:color w:val="003264"/>
          <w:sz w:val="24"/>
        </w:rPr>
        <w:t>A Visible Light Positioning System Integrating Cross-Receiver Calibration and Attitude Robustness</w:t>
      </w:r>
    </w:p>
    <w:p>
      <w:r>
        <w:rPr>
          <w:rFonts w:ascii="Times New Roman" w:hAnsi="Times New Roman" w:eastAsia="宋体"/>
          <w:sz w:val="21"/>
        </w:rPr>
        <w:t>作者: Li Zhao, Zuzheng Wang, Amna Urooj, Xiangyan Meng, Feng Zhang</w:t>
        <w:br/>
      </w:r>
      <w:r>
        <w:rPr>
          <w:rFonts w:ascii="Times New Roman" w:hAnsi="Times New Roman" w:eastAsia="宋体"/>
          <w:sz w:val="21"/>
        </w:rPr>
        <w:t xml:space="preserve">时间: 2026-02-01 | </w:t>
      </w:r>
      <w:r>
        <w:t xml:space="preserve">链接: </w:t>
      </w:r>
      <w:hyperlink r:id="rId36">
        <w:r>
          <w:rPr>
            <w:rFonts w:ascii="Times New Roman" w:hAnsi="Times New Roman" w:eastAsia="宋体"/>
            <w:color w:val="0000FF"/>
            <w:sz w:val="21"/>
            <w:u w:val="single"/>
          </w:rPr>
          <w:t>https://doi.org/10.1016/j.optcom.2026.133008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表面反射对航空观测天空偏振方向图的影响模型</w:t>
      </w:r>
    </w:p>
    <w:p>
      <w:r>
        <w:rPr>
          <w:rFonts w:ascii="Times New Roman" w:hAnsi="Times New Roman" w:eastAsia="宋体"/>
          <w:b/>
          <w:color w:val="003264"/>
          <w:sz w:val="24"/>
        </w:rPr>
        <w:t>The Influence Model of Surface Reflection on Sky Polarization Pattern for Aerial Observation</w:t>
      </w:r>
    </w:p>
    <w:p>
      <w:r>
        <w:rPr>
          <w:rFonts w:ascii="Times New Roman" w:hAnsi="Times New Roman" w:eastAsia="宋体"/>
          <w:sz w:val="21"/>
        </w:rPr>
        <w:t>作者: Yunzhao Zang, Hongyuan Wang, Zhiqiang Yan, Qianhao Ning, Zhen Liao, Yinxi Lu, Shuai Yao, Tengyu Li, Ziyang Liu</w:t>
        <w:br/>
      </w:r>
      <w:r>
        <w:rPr>
          <w:rFonts w:ascii="Times New Roman" w:hAnsi="Times New Roman" w:eastAsia="宋体"/>
          <w:sz w:val="21"/>
        </w:rPr>
        <w:t xml:space="preserve">时间: 2026-02-01 | </w:t>
      </w:r>
      <w:r>
        <w:t xml:space="preserve">链接: </w:t>
      </w:r>
      <w:hyperlink r:id="rId90">
        <w:r>
          <w:rPr>
            <w:rFonts w:ascii="Times New Roman" w:hAnsi="Times New Roman" w:eastAsia="宋体"/>
            <w:color w:val="0000FF"/>
            <w:sz w:val="21"/>
            <w:u w:val="single"/>
          </w:rPr>
          <w:t>https://doi.org/10.1016/j.optcom.2026.133012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00:29 ---</w:t>
      </w:r>
    </w:p>
    <w:p>
      <w:pPr>
        <w:pStyle w:val="Heading2"/>
      </w:pPr>
      <w:r/>
      <w:r>
        <w:rPr>
          <w:rFonts w:ascii="Times New Roman" w:hAnsi="Times New Roman" w:eastAsia="宋体"/>
          <w:b/>
          <w:color w:val="000000"/>
          <w:sz w:val="24"/>
        </w:rPr>
        <w:t>纤维熔合效应作为传热机制</w:t>
      </w:r>
    </w:p>
    <w:p>
      <w:r>
        <w:rPr>
          <w:rFonts w:ascii="Times New Roman" w:hAnsi="Times New Roman" w:eastAsia="宋体"/>
          <w:b/>
          <w:color w:val="003264"/>
          <w:sz w:val="24"/>
        </w:rPr>
        <w:t>Fiber fuse effect as a mechanism of heat transfer</w:t>
      </w:r>
    </w:p>
    <w:p>
      <w:r>
        <w:rPr>
          <w:rFonts w:ascii="Times New Roman" w:hAnsi="Times New Roman" w:eastAsia="宋体"/>
          <w:sz w:val="21"/>
        </w:rPr>
        <w:t>作者: John Seekins</w:t>
        <w:br/>
      </w:r>
      <w:r>
        <w:rPr>
          <w:rFonts w:ascii="Times New Roman" w:hAnsi="Times New Roman" w:eastAsia="宋体"/>
          <w:sz w:val="21"/>
        </w:rPr>
        <w:t xml:space="preserve">时间: 2026-02-11 | </w:t>
      </w:r>
      <w:r>
        <w:t xml:space="preserve">链接: </w:t>
      </w:r>
      <w:hyperlink r:id="rId37">
        <w:r>
          <w:rPr>
            <w:rFonts w:ascii="Times New Roman" w:hAnsi="Times New Roman" w:eastAsia="宋体"/>
            <w:color w:val="0000FF"/>
            <w:sz w:val="21"/>
            <w:u w:val="single"/>
          </w:rPr>
          <w:t>https://doi.org/10.1364/ao.584819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局部光纤加热引发时，光纤熔断效应在高功率激光辐射下在光纤芯中产生高温等离子体。这种等离子体将入射激光辐射吸收为纤芯中的热量，然后向各个方向传导，包括径向向外。黑体辐射也从高温区域发出，并且在向纤维外层的热传递中占有不可忽略的比例。有意触发的纤维熔丝可以充当向其嵌入的任何材料传递热量的机制。利用轴对称热方程的有限差分离散化对光纤熔丝进行数值模拟，并采用内部再辐射模型来捕捉高温区域黑体发射的影响。研究了光纤包层直径对嵌入材料界面温度的影响。此外，还对激活和未激活辐射模型时生成的结果进行了比较，以证明在模拟光纤熔断效应时捕捉这种物理现象的重要性。</w:t>
      </w:r>
    </w:p>
    <w:p>
      <w:pPr>
        <w:spacing w:before="120"/>
      </w:pPr>
      <w:r>
        <w:rPr>
          <w:rFonts w:ascii="Times New Roman" w:hAnsi="Times New Roman" w:eastAsia="宋体"/>
          <w:b/>
          <w:sz w:val="21"/>
        </w:rPr>
        <w:t>English Abstract:</w:t>
      </w:r>
    </w:p>
    <w:p>
      <w:r>
        <w:rPr>
          <w:rFonts w:ascii="Times New Roman" w:hAnsi="Times New Roman" w:eastAsia="宋体"/>
          <w:sz w:val="21"/>
        </w:rPr>
        <w:t>The fiber fuse effect generates high-temperature plasma in the core of optical fibers under high-power laser radiation when initiated by local fiber heating. This plasma absorbs incident laser radiation as heat in the fiber core, which then conducts in all directions, including radially outward. Blackbody radiation is also emitted from the high-temperature region and accounts for a non-negligible proportion of heat transfer to the outer layers of the fiber. An intentionally triggered fiber fuse can act as a mechanism of heat transfer to any material into which it is embedded. A numerical simulation of the fiber fuse is developed utilizing a finite difference discretization of the axisymmetric heat equation, and an internal reradiation model is implemented to capture the effects of blackbody emission from the high-temperature region. An investigation into the effects of fiber cladding diameter on embedded material interface temperatures is conducted. Additionally, comparisons are made between results generated with and without the radiation model activated to demonstrate the importance of capturing this physics in simulating the fiber fuse effect.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优化光热信号：模式不匹配 Z 扫描中探测器位置和针孔半径的影响</w:t>
      </w:r>
    </w:p>
    <w:p>
      <w:r>
        <w:rPr>
          <w:rFonts w:ascii="Times New Roman" w:hAnsi="Times New Roman" w:eastAsia="宋体"/>
          <w:b/>
          <w:color w:val="003264"/>
          <w:sz w:val="24"/>
        </w:rPr>
        <w:t>Optimizing the photothermal signal: effects of the detector position and pinhole radius in mode-mismatched Z -scan</w:t>
      </w:r>
    </w:p>
    <w:p>
      <w:r>
        <w:rPr>
          <w:rFonts w:ascii="Times New Roman" w:hAnsi="Times New Roman" w:eastAsia="宋体"/>
          <w:sz w:val="21"/>
        </w:rPr>
        <w:t>作者: Komna Fata, Komlan S. Gadedjisso-Tossou, Dam-Bé L. Douti, Basma Khammari, Kosi M. Novidzro, Messanh A. Mohou, Abdul Rahman, Khalid Hassan Ibnaouf, Riadh Hannachi, Humberto Cabrera</w:t>
        <w:br/>
      </w:r>
      <w:r>
        <w:rPr>
          <w:rFonts w:ascii="Times New Roman" w:hAnsi="Times New Roman" w:eastAsia="宋体"/>
          <w:sz w:val="21"/>
        </w:rPr>
        <w:t xml:space="preserve">时间: 2026-02-12 | </w:t>
      </w:r>
      <w:r>
        <w:t xml:space="preserve">链接: </w:t>
      </w:r>
      <w:hyperlink r:id="rId38">
        <w:r>
          <w:rPr>
            <w:rFonts w:ascii="Times New Roman" w:hAnsi="Times New Roman" w:eastAsia="宋体"/>
            <w:color w:val="0000FF"/>
            <w:sz w:val="21"/>
            <w:u w:val="single"/>
          </w:rPr>
          <w:t>https://doi.org/10.1364/ao.583195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泵浦探针模式失配热透镜Z扫描技术用于研究探测器位置(L)和针孔半径(ρ 0 )对热透镜(TL)信号的影响。理论分析表明，TL 信号对这两个参数都很敏感，在探测器距离 ∼20cm 和针孔半径 0.02 cm 时具有最佳性能。随着针孔半径的增加，TLS 峰值会移向更高的 L 值，并且信号幅度会减小。使用乙醇溶液对针孔半径为 0.02、0.05、0.075 和 0.1 cm 进行的实验测量与理论模型吻合良好，验证了其可靠性。实验优化验证了理论模型，揭示了孔径尺寸和探测器位置的显着影响。</w:t>
      </w:r>
    </w:p>
    <w:p>
      <w:pPr>
        <w:spacing w:before="120"/>
      </w:pPr>
      <w:r>
        <w:rPr>
          <w:rFonts w:ascii="Times New Roman" w:hAnsi="Times New Roman" w:eastAsia="宋体"/>
          <w:b/>
          <w:sz w:val="21"/>
        </w:rPr>
        <w:t>English Abstract:</w:t>
      </w:r>
    </w:p>
    <w:p>
      <w:r>
        <w:rPr>
          <w:rFonts w:ascii="Times New Roman" w:hAnsi="Times New Roman" w:eastAsia="宋体"/>
          <w:sz w:val="21"/>
        </w:rPr>
        <w:t>The pump-probe mode-mismatched thermal lens Z -scan technique is used to investigate the effects of detector position (L) and pinhole radius ( ρ 0 ) on the thermal lens (TL) signal. Theoretical analysis shows that the TL signal is sensitive to both parameters, with optimal performance at a detector distance of ∼20cm and a pinhole radius of 0.02 cm. As the pinhole radius increases, the TLS peak shifts to higher L values and the signal amplitude decreases. Experimental measurements with pinhole radii of 0.02, 0.05, 0.075, and 0.1 cm, using an ethanol solution, exhibit good agreement with the theoretical model, validating its reliability. Experimental optimization validated the theoretical model, revealing the significant influence of aperture size and detector position.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结合优化非局部均值滤波和变分图像分解模型的离轴数字全息术中的零阶抑制</w:t>
      </w:r>
    </w:p>
    <w:p>
      <w:r>
        <w:rPr>
          <w:rFonts w:ascii="Times New Roman" w:hAnsi="Times New Roman" w:eastAsia="宋体"/>
          <w:b/>
          <w:color w:val="003264"/>
          <w:sz w:val="24"/>
        </w:rPr>
        <w:t>Zero-order suppression in off-axis digital holography combining optimized non-local means filtering and a variational image decomposition model</w:t>
      </w:r>
    </w:p>
    <w:p>
      <w:r>
        <w:rPr>
          <w:rFonts w:ascii="Times New Roman" w:hAnsi="Times New Roman" w:eastAsia="宋体"/>
          <w:sz w:val="21"/>
        </w:rPr>
        <w:t>作者: Aoqun Liu, Hongyi Bai, Laijun Sun, Jia Chen, Suyi Men, Zhe Li</w:t>
        <w:br/>
      </w:r>
      <w:r>
        <w:rPr>
          <w:rFonts w:ascii="Times New Roman" w:hAnsi="Times New Roman" w:eastAsia="宋体"/>
          <w:sz w:val="21"/>
        </w:rPr>
        <w:t xml:space="preserve">时间: 2026-02-11 | </w:t>
      </w:r>
      <w:r>
        <w:t xml:space="preserve">链接: </w:t>
      </w:r>
      <w:hyperlink r:id="rId39">
        <w:r>
          <w:rPr>
            <w:rFonts w:ascii="Times New Roman" w:hAnsi="Times New Roman" w:eastAsia="宋体"/>
            <w:color w:val="0000FF"/>
            <w:sz w:val="21"/>
            <w:u w:val="single"/>
          </w:rPr>
          <w:t>https://doi.org/10.1364/ao.583692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离轴数字全息术中，相位重建通常涉及提取+1阶项频谱，其携带样本的相位信息。然而，零阶项引起的干扰会降低提取的准确性。据我们所知，本研究提出了一种新颖的变分图像分解模型，可以有效抑制零阶项。首先构造积分图像来存储像素差平方累积和，以提高非局部均值（NLM）滤波器去除随机噪声的计算效率。存储的值用于快速计算相邻窗口的相似度，避免重复求和操作，从而减少 NLM 滤波的计算时间。随后，采用优化的 NLM 滤波器去除全息图中的随机噪声。使用 TV-G 算法将去噪全息图分解为结构和纹理分量。结构分量对应于零阶项，而纹理分量保留干涉条纹。根据分解结果，有效抑制零阶项，并利用纹理分量进行相位重建。此外，还检索了水滴蒸发的动态波动相图，以证明该方法的实时能力。</w:t>
      </w:r>
    </w:p>
    <w:p>
      <w:pPr>
        <w:spacing w:before="120"/>
      </w:pPr>
      <w:r>
        <w:rPr>
          <w:rFonts w:ascii="Times New Roman" w:hAnsi="Times New Roman" w:eastAsia="宋体"/>
          <w:b/>
          <w:sz w:val="21"/>
        </w:rPr>
        <w:t>English Abstract:</w:t>
      </w:r>
    </w:p>
    <w:p>
      <w:r>
        <w:rPr>
          <w:rFonts w:ascii="Times New Roman" w:hAnsi="Times New Roman" w:eastAsia="宋体"/>
          <w:sz w:val="21"/>
        </w:rPr>
        <w:t>In off-axis digital holography, phase reconstruction typically involves extracting the +1-order term spectrum, which carries the phase information of the sample. However, interference caused by the zero-order term can reduce the accuracy of this extraction. This study proposes a novel variational image decomposition model, to our knowledge, that effectively suppresses the zero-order term. An integral image is first constructed to store the cumulative sum of squared pixel differences to improve the computational efficiency of the non-local means (NLM) filter in removing random noise. The stored values are used to rapidly compute the similarity of neighboring windows by avoiding repeated summation operations, which reduces the computation time of NLM filtering. Subsequently, the optimized NLM filter is employed to remove random noise from the hologram. The denoised hologram is decomposed into structural and textural components using the TV-G algorithm. The structural component corresponds to the zero-order term while the textural component retains the interference fringes. Based on the decomposition results, the zero-order term is effectively suppressed, and the textural component is used for phase reconstruction. Additionally, the dynamic fluctuation phase maps of water droplet evaporation were retrieved to demonstrate the real-time capability of the method.</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00:30 ---</w:t>
      </w:r>
    </w:p>
    <w:p>
      <w:pPr>
        <w:pStyle w:val="Heading2"/>
      </w:pPr>
      <w:r/>
      <w:r>
        <w:rPr>
          <w:rFonts w:ascii="Times New Roman" w:hAnsi="Times New Roman" w:eastAsia="宋体"/>
          <w:b/>
          <w:color w:val="000000"/>
          <w:sz w:val="24"/>
        </w:rPr>
        <w:t>五能级原子系统中通过涡旋光束自发产生结构光</w:t>
      </w:r>
    </w:p>
    <w:p>
      <w:r>
        <w:rPr>
          <w:rFonts w:ascii="Times New Roman" w:hAnsi="Times New Roman" w:eastAsia="宋体"/>
          <w:b/>
          <w:color w:val="003264"/>
          <w:sz w:val="24"/>
        </w:rPr>
        <w:t>Spontaneously generated structured light via vortex beams in a five-level atomic system</w:t>
      </w:r>
    </w:p>
    <w:p>
      <w:r>
        <w:rPr>
          <w:rFonts w:ascii="Times New Roman" w:hAnsi="Times New Roman" w:eastAsia="宋体"/>
          <w:sz w:val="21"/>
        </w:rPr>
        <w:t>作者: Tong Zhang, Xu Deng, Kai-Kai Zhang, Tao Shui, Wen-Xing Yang</w:t>
        <w:br/>
      </w:r>
      <w:r>
        <w:rPr>
          <w:rFonts w:ascii="Times New Roman" w:hAnsi="Times New Roman" w:eastAsia="宋体"/>
          <w:sz w:val="21"/>
        </w:rPr>
        <w:t xml:space="preserve">时间: 2026-01-28 | </w:t>
      </w:r>
      <w:r>
        <w:t xml:space="preserve">链接: </w:t>
      </w:r>
      <w:hyperlink r:id="rId40">
        <w:r>
          <w:rPr>
            <w:rFonts w:ascii="Times New Roman" w:hAnsi="Times New Roman" w:eastAsia="宋体"/>
            <w:color w:val="0000FF"/>
            <w:sz w:val="21"/>
            <w:u w:val="single"/>
          </w:rPr>
          <w:t>https://doi.org/10.1364/oe.583721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有效的方案，在射频（RF）或微波场的辅助下，在相干驱动的冷五能级原子系统中使用携带轨道角动量（OAM）的光学涡旋来操纵自发发射光谱。使用实验可实现的参数，我们发现自发发射受到量子相消干涉的强烈影响。我们表明，探测场的结构光轮廓可以通过自发相干（SGC）转移到自发发射光谱。在 SGC 的帮助下，控制场和射频场的强度和失谐可用于定制涡流诱导自发发射光谱。当控制场和射频场配置为涡旋光束时，证明可以通过调整其拓扑电荷（TC）通过量子干涉来相干控制自发发射。此外，我们通过改变探针和控制场的 TC 来探索涡流诱导自发发射的有趣光学特性。这种连贯驱动的原子系统具有三个紧密间隔的水平，产生多个涡旋诱导的 SGC 路径。我们的方案为从光存储到光通信的结构光应用开辟了途径。</w:t>
      </w:r>
    </w:p>
    <w:p>
      <w:pPr>
        <w:spacing w:before="120"/>
      </w:pPr>
      <w:r>
        <w:rPr>
          <w:rFonts w:ascii="Times New Roman" w:hAnsi="Times New Roman" w:eastAsia="宋体"/>
          <w:b/>
          <w:sz w:val="21"/>
        </w:rPr>
        <w:t>English Abstract:</w:t>
      </w:r>
    </w:p>
    <w:p>
      <w:r>
        <w:rPr>
          <w:rFonts w:ascii="Times New Roman" w:hAnsi="Times New Roman" w:eastAsia="宋体"/>
          <w:sz w:val="21"/>
        </w:rPr>
        <w:t>We propose an efficient scheme to manipulate spontaneous emission spectra using optical vortices carrying orbital angular momentum (OAM) in a coherently driven cold five-level atomic system assisted by a radio frequency (RF) or microwave field. Using experimentally achievable parameters, we find that the spontaneous emission is strongly influenced by quantum destructive interference. And we show that the structured light profile of the probe field can be transferred to the spontaneous emission spectrum via spontaneously generated coherence (SGC). With the aid of SGC, the intensities and detunings of the control and RF fields can be used to tailor the vortex-induced spontaneous emission spectra. When the control and RF fields are configured as vortex beams, it is demonstrated that the spontaneous emission can be coherently controlled through quantum interference by adjusting their topological charges (TCs). Furthermore, we explore intriguing optical properties of the vortex-induced spontaneous emission by varying the TCs of the probe and control fields. This coherently driven atomic system features three closely spaced levels, giving rise to multiple vortex-induced SGC pathways. Our scheme opens avenues for applications in structured light, ranging from optical storage to optical communication.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从热光和偏振散斑的偏振矩阵构建斯托克斯概率云</w:t>
      </w:r>
    </w:p>
    <w:p>
      <w:r>
        <w:rPr>
          <w:rFonts w:ascii="Times New Roman" w:hAnsi="Times New Roman" w:eastAsia="宋体"/>
          <w:b/>
          <w:color w:val="003264"/>
          <w:sz w:val="24"/>
        </w:rPr>
        <w:t>Construction of Stokes probability clouds from the polarization matrices for thermal light and polarization speckle</w:t>
      </w:r>
    </w:p>
    <w:p>
      <w:r>
        <w:rPr>
          <w:rFonts w:ascii="Times New Roman" w:hAnsi="Times New Roman" w:eastAsia="宋体"/>
          <w:sz w:val="21"/>
        </w:rPr>
        <w:t>作者: Wei Wang, Mitsuo Takeda</w:t>
        <w:br/>
      </w:r>
      <w:r>
        <w:rPr>
          <w:rFonts w:ascii="Times New Roman" w:hAnsi="Times New Roman" w:eastAsia="宋体"/>
          <w:sz w:val="21"/>
        </w:rPr>
        <w:t xml:space="preserve">时间: 2026-02-11 | </w:t>
      </w:r>
      <w:r>
        <w:t xml:space="preserve">链接: </w:t>
      </w:r>
      <w:hyperlink r:id="rId41">
        <w:r>
          <w:rPr>
            <w:rFonts w:ascii="Times New Roman" w:hAnsi="Times New Roman" w:eastAsia="宋体"/>
            <w:color w:val="0000FF"/>
            <w:sz w:val="21"/>
            <w:u w:val="single"/>
          </w:rPr>
          <w:t>https://doi.org/10.1364/oe.587562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埃尔米特偏振矩阵的特征分解，我们提出了用于研究偏振散斑和部分偏振热光的几何框架。所提出的方法基于斯托克斯概率云的概念，它提供了瞬时（或空间局部）随机斯托克斯向量的联合概率分布的几何表示。除了指定斯托克斯概率云的形状和大小的特征值之外，我们还将找到定义斯托克斯概率云方向的相关特征向量。通过将斯托克斯概率云投影到三维希尔伯特空间的轴上来说明斯托克斯参数的联合概率密度和边际概率密度之间的关系。这种几何方法为光学中随机偏振现象所涉及的数学关系提供了直观的见解。</w:t>
      </w:r>
    </w:p>
    <w:p>
      <w:pPr>
        <w:spacing w:before="120"/>
      </w:pPr>
      <w:r>
        <w:rPr>
          <w:rFonts w:ascii="Times New Roman" w:hAnsi="Times New Roman" w:eastAsia="宋体"/>
          <w:b/>
          <w:sz w:val="21"/>
        </w:rPr>
        <w:t>English Abstract:</w:t>
      </w:r>
    </w:p>
    <w:p>
      <w:r>
        <w:rPr>
          <w:rFonts w:ascii="Times New Roman" w:hAnsi="Times New Roman" w:eastAsia="宋体"/>
          <w:sz w:val="21"/>
        </w:rPr>
        <w:t>Utilizing the eigendecomposition of the Hermitian polarization matrix, we present a geometric framework for the study of polarization speckles and partially polarized thermal light. The proposed methodology is founded on the concept of the Stokes probability cloud that provides a geometric representation of the joint probability distribution of instantaneous (or spatially localized) random Stokes vectors. In addition to the eigenvalues that specify the shape and size of the Stokes probability cloud, we will find the associated eigenvectors that define the orientation of the Stokes probability cloud. The relationship between the joint probability density and the marginal probability densities of the Stokes parameters is illustrated by projecting the Stokes probability cloud onto the axes in the three-dimensional Hilbert space. This geometrical approach provides intuitive insights into the involved mathematical relations of stochastic polarization phenomena in optics.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事件遇上相移数字全息术：实际采集、理论和算法</w:t>
      </w:r>
    </w:p>
    <w:p>
      <w:r>
        <w:rPr>
          <w:rFonts w:ascii="Times New Roman" w:hAnsi="Times New Roman" w:eastAsia="宋体"/>
          <w:b/>
          <w:color w:val="003264"/>
          <w:sz w:val="24"/>
        </w:rPr>
        <w:t>Events meet phase-shifting digital holography: practical acquisition, theory, and algorithms</w:t>
      </w:r>
    </w:p>
    <w:p>
      <w:r>
        <w:rPr>
          <w:rFonts w:ascii="Times New Roman" w:hAnsi="Times New Roman" w:eastAsia="宋体"/>
          <w:sz w:val="21"/>
        </w:rPr>
        <w:t>作者: Ittetsu Uchiyama, Chihiro Tsutake, Keita Takahashi, Toshiaki Fujii</w:t>
        <w:br/>
      </w:r>
      <w:r>
        <w:rPr>
          <w:rFonts w:ascii="Times New Roman" w:hAnsi="Times New Roman" w:eastAsia="宋体"/>
          <w:sz w:val="21"/>
        </w:rPr>
        <w:t xml:space="preserve">时间: 2026-01-29 | </w:t>
      </w:r>
      <w:r>
        <w:t xml:space="preserve">链接: </w:t>
      </w:r>
      <w:hyperlink r:id="rId42">
        <w:r>
          <w:rPr>
            <w:rFonts w:ascii="Times New Roman" w:hAnsi="Times New Roman" w:eastAsia="宋体"/>
            <w:color w:val="0000FF"/>
            <w:sz w:val="21"/>
            <w:u w:val="single"/>
          </w:rPr>
          <w:t>https://doi.org/10.1364/oe.584341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我们介绍了一种我们认为是利用混合基于事件的视觉传感器 (EVS) 的新型相移数字全息 (PSDH) 方法。我们方法的关键思想是单次曝光期间的相移。混合 EVS 记录因相移而模糊的全息图，以及与模糊变化相对应的事件。我们提出了基于分析和优化的方法，理论上支持从模糊全息图和事件重建全复杂波前。实验结果表明，我们的方法实现了与传统 PSDH 方法相当的重建质量，同时提高了采集效率。</w:t>
      </w:r>
    </w:p>
    <w:p>
      <w:pPr>
        <w:spacing w:before="120"/>
      </w:pPr>
      <w:r>
        <w:rPr>
          <w:rFonts w:ascii="Times New Roman" w:hAnsi="Times New Roman" w:eastAsia="宋体"/>
          <w:b/>
          <w:sz w:val="21"/>
        </w:rPr>
        <w:t>English Abstract:</w:t>
      </w:r>
    </w:p>
    <w:p>
      <w:r>
        <w:rPr>
          <w:rFonts w:ascii="Times New Roman" w:hAnsi="Times New Roman" w:eastAsia="宋体"/>
          <w:sz w:val="21"/>
        </w:rPr>
        <w:t>We introduce what we believe to be a novel phase-shifting digital holography (PSDH) method leveraging a hybrid event-based vision sensor (EVS). The key idea of our method is the phase shift during a single exposure. The hybrid EVS records a hologram blurred by the phase shift, together with the events corresponding to blur variations. We present analytical and optimization-based methods that theoretically support the reconstruction of full-complex wavefronts from the blurred hologram and events. The experimental results demonstrate that our method achieves a reconstruction quality comparable to that of a conventional PSDH method while enhancing the acquisition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采用通用正交循环变换预编码的有效性能增强型 CS-NFDM 系统</w:t>
      </w:r>
    </w:p>
    <w:p>
      <w:r>
        <w:rPr>
          <w:rFonts w:ascii="Times New Roman" w:hAnsi="Times New Roman" w:eastAsia="宋体"/>
          <w:b/>
          <w:color w:val="003264"/>
          <w:sz w:val="24"/>
        </w:rPr>
        <w:t>Effective performance-enhanced CS-NFDM system employing general orthogonal circulant transform precoding</w:t>
      </w:r>
    </w:p>
    <w:p>
      <w:r>
        <w:rPr>
          <w:rFonts w:ascii="Times New Roman" w:hAnsi="Times New Roman" w:eastAsia="宋体"/>
          <w:sz w:val="21"/>
        </w:rPr>
        <w:t>作者: Zhihang Sun, Chenglin Bai, Yaozheng Yue, Shijie Hou, Shuzhan Liu, Xinkuo Yu, Tianchi Chen, Yuting Wu, Hengying Xu, Yining Zhang, Na Wu</w:t>
        <w:br/>
      </w:r>
      <w:r>
        <w:rPr>
          <w:rFonts w:ascii="Times New Roman" w:hAnsi="Times New Roman" w:eastAsia="宋体"/>
          <w:sz w:val="21"/>
        </w:rPr>
        <w:t xml:space="preserve">时间: 2026-01-30 | </w:t>
      </w:r>
      <w:r>
        <w:t xml:space="preserve">链接: </w:t>
      </w:r>
      <w:hyperlink r:id="rId43">
        <w:r>
          <w:rPr>
            <w:rFonts w:ascii="Times New Roman" w:hAnsi="Times New Roman" w:eastAsia="宋体"/>
            <w:color w:val="0000FF"/>
            <w:sz w:val="21"/>
            <w:u w:val="single"/>
          </w:rPr>
          <w:t>https://doi.org/10.1364/oe.583193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连续频谱非线性频分复用（CS-NFDM）系统中，码间干扰（ISI）和系统噪声在非线性频谱（NS）上表现出非均匀分布特征，导致位于频谱边缘的子载波的信号干扰噪声比（SINR）显着下降，严重影响系统的整体传输性能。本文改进了通用正交循环变换（GOCT）预编码技术，并将其首次应用于CS-NFDM系统，有效解决了上述问题，我们将这种新系统称为GOCT-NFDM系统。该系统采用GOCT矩阵对每个子载波进行线性预编码，将每个子载波上的信息传播到所有子载波上，从而实现不同NS分量上均匀的SINR分布，有效提高系统性能。通过搭建800 km传输的GOCT-NFDM仿真系统验证了该方案的有效性。与传统CS-NFDM系统相比，GOCT-NFDM系统在128个子载波、52GHz信号带宽的传输场景下，在最佳发射功率下实现了1.67dB的Q值增益，在256个子载波、72GHz信号带宽的传输场景下，最大Q值增益为2.05dB。为了进一步验证该方案在实际场景中的可行性，建立了806 km传输的GOCT-NFDM实验系统。与传统CS-NFDM系统相比，GOCT-NFDM系统在128个子载波、信号带宽40 GHz和48 GHz的最佳发射功率下分别实现了0.56 dB和0.74 dB的Q因子增益。就实现复杂度而言，所提出的方案引入的额外复杂度为 O ( N c log ⁡ N c )。考虑到它给 CS-NFDM 系统带来的显着性能改进，这种复杂性的轻微增加是可以接受的。</w:t>
      </w:r>
    </w:p>
    <w:p>
      <w:pPr>
        <w:spacing w:before="120"/>
      </w:pPr>
      <w:r>
        <w:rPr>
          <w:rFonts w:ascii="Times New Roman" w:hAnsi="Times New Roman" w:eastAsia="宋体"/>
          <w:b/>
          <w:sz w:val="21"/>
        </w:rPr>
        <w:t>English Abstract:</w:t>
      </w:r>
    </w:p>
    <w:p>
      <w:r>
        <w:rPr>
          <w:rFonts w:ascii="Times New Roman" w:hAnsi="Times New Roman" w:eastAsia="宋体"/>
          <w:sz w:val="21"/>
        </w:rPr>
        <w:t>In the continuous spectrum nonlinear frequency division multiplexing (CS-NFDM) system, inter-symbol interference (ISI) and system noise exhibit non-uniform distribution characteristics on the nonlinear spectrum (NS), resulting in a significant reduction in the signal-to-interference-and-noise ratio (SINR) of subcarriers located at the edge of the spectrum, which seriously impairs the overall transmission performance of the system. This paper improves the general orthogonal circulant transform (GOCT) precoding technology and applies it to the CS-NFDM system for what we believe to be the first time, which effectively addresses the above issues, and we refer to this new system as the GOCT-NFDM system. This system employs the GOCT matrix to perform linear precoding on each subcarrier, which spreads the information on each subcarrier to all subcarriers, thereby achieving uniform SINR distribution across different NS components and effectively improving the system performance. The effectiveness of the proposed scheme is validated by building a GOCT-NFDM simulation system for 800 km transmission. Compared with the traditional CS-NFDM system, the GOCT-NFDM system achieves a 1.67 dB Q-factor gain at the optimal launch power under the transmission scenario with 128 subcarriers and a signal bandwidth of 52 GHz, and delivers a maximum Q-factor gain of 2.05 dB with 256 subcarriers and a signal bandwidth of 72 GHz. To further validate the feasibility of the proposed scheme in practical scenarios, a GOCT-NFDM experimental system for 806 km transmission is established. Compared with the traditional CS-NFDM system, the GOCT-NFDM system achieves Q-factor gains of 0.56 dB and 0.74 dB at the optimal launch power with 128 subcarriers and signal bandwidths of 40 GHz and 48 GHz, respectively. In terms of implementation complexity, the additional complexity introduced by the proposed scheme is O ( N c log ⁡ N c ). Given the significant performance improvement it brings to the CS-NFDM system, this slight increase in complexity is acceptable.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激光加工的千瓦级包层光剥离器，剥离效率 &gt; 37 dB</w:t>
      </w:r>
    </w:p>
    <w:p>
      <w:r>
        <w:rPr>
          <w:rFonts w:ascii="Times New Roman" w:hAnsi="Times New Roman" w:eastAsia="宋体"/>
          <w:b/>
          <w:color w:val="003264"/>
          <w:sz w:val="24"/>
        </w:rPr>
        <w:t>Laser-machined, kilowatt-class cladding light strippers with stripping efficiencies &gt; 37 dB</w:t>
      </w:r>
    </w:p>
    <w:p>
      <w:r>
        <w:rPr>
          <w:rFonts w:ascii="Times New Roman" w:hAnsi="Times New Roman" w:eastAsia="宋体"/>
          <w:sz w:val="21"/>
        </w:rPr>
        <w:t>作者: Nils Haverland, Finn Salhoff, Fabian Kranert, Jörg Neumann, Dietmar Kracht</w:t>
        <w:br/>
      </w:r>
      <w:r>
        <w:rPr>
          <w:rFonts w:ascii="Times New Roman" w:hAnsi="Times New Roman" w:eastAsia="宋体"/>
          <w:sz w:val="21"/>
        </w:rPr>
        <w:t xml:space="preserve">时间: 2026-02-10 | </w:t>
      </w:r>
      <w:r>
        <w:t xml:space="preserve">链接: </w:t>
      </w:r>
      <w:hyperlink r:id="rId44">
        <w:r>
          <w:rPr>
            <w:rFonts w:ascii="Times New Roman" w:hAnsi="Times New Roman" w:eastAsia="宋体"/>
            <w:color w:val="0000FF"/>
            <w:sz w:val="21"/>
            <w:u w:val="single"/>
          </w:rPr>
          <w:t>https://doi.org/10.1364/oe.584671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包层光剥离器是基于光纤的激光和放大器系统的关键组件，可剥离有源光纤后面未吸收的泵浦光。在高功率包层光剥离器的生产中，激光加工是化学蚀刻的有效替代方案。在这里，我们展示了对激光加工的微结构熔覆光剥离器的改进，它在仅 60 毫米的长度上实现了高达 37.3 dB 的熔覆光衰减。我们测试了包层光剥离器的高功率剥离能力，实现了1.2kW的剥离包层光功率。结果受到可用功率的限制。包层光剥离器的设计利用光线追踪模拟来优化光纤的微观结构，以实现均匀剥离和增加包层光衰减。随后，最有希望的结果被转移到制造中并进行表征。高功率、高衰减微结构熔覆光剥离器的出现有助于改进未来的激光系统，甚至可能不需要化学蚀刻。</w:t>
      </w:r>
    </w:p>
    <w:p>
      <w:pPr>
        <w:spacing w:before="120"/>
      </w:pPr>
      <w:r>
        <w:rPr>
          <w:rFonts w:ascii="Times New Roman" w:hAnsi="Times New Roman" w:eastAsia="宋体"/>
          <w:b/>
          <w:sz w:val="21"/>
        </w:rPr>
        <w:t>English Abstract:</w:t>
      </w:r>
    </w:p>
    <w:p>
      <w:r>
        <w:rPr>
          <w:rFonts w:ascii="Times New Roman" w:hAnsi="Times New Roman" w:eastAsia="宋体"/>
          <w:sz w:val="21"/>
        </w:rPr>
        <w:t>Cladding light strippers are a crucial component for fiber-based laser and amplifier systems, stripping unabsorbed pump light behind the active fiber. Laser-machining presents an effective alternative to chemical etching in the production of high-power cladding light strippers. Here, we present improvements to laser-machined, microstructured cladding light strippers, which achieve cladding light attenuation up to 37.3 dB on a length of just 60 mm. We tested the high-power stripping capability of a cladding light stripper, achieving a stripped cladding light power of 1.2 kW. The result was limited by the available power. The cladding light strippers were designed by utilizing raytracing simulations to optimize the microstructure on the fiber towards homogenized stripping and increased cladding light attenuation. Afterwards, the most promising results were transferred to manufacturing and characterized. The availability of high-power, high attenuation microstructured cladding light strippers can help to improve future laser systems, possibly foregoing the need for chemical etching.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测量多模空心光纤引导的模式数量</w:t>
      </w:r>
    </w:p>
    <w:p>
      <w:r>
        <w:rPr>
          <w:rFonts w:ascii="Times New Roman" w:hAnsi="Times New Roman" w:eastAsia="宋体"/>
          <w:b/>
          <w:color w:val="003264"/>
          <w:sz w:val="24"/>
        </w:rPr>
        <w:t>Measuring the number of modes guided by multi-mode hollow core fibres</w:t>
      </w:r>
    </w:p>
    <w:p>
      <w:r>
        <w:rPr>
          <w:rFonts w:ascii="Times New Roman" w:hAnsi="Times New Roman" w:eastAsia="宋体"/>
          <w:sz w:val="21"/>
        </w:rPr>
        <w:t>作者: Robbie Mears, Kerrianne Harrington, William J. Wadsworth, David M. Bird, James M. Stone, Tim A. Birks</w:t>
        <w:br/>
      </w:r>
      <w:r>
        <w:rPr>
          <w:rFonts w:ascii="Times New Roman" w:hAnsi="Times New Roman" w:eastAsia="宋体"/>
          <w:sz w:val="21"/>
        </w:rPr>
        <w:t xml:space="preserve">时间: 2026-02-11 | </w:t>
      </w:r>
      <w:r>
        <w:t xml:space="preserve">链接: </w:t>
      </w:r>
      <w:hyperlink r:id="rId45">
        <w:r>
          <w:rPr>
            <w:rFonts w:ascii="Times New Roman" w:hAnsi="Times New Roman" w:eastAsia="宋体"/>
            <w:color w:val="0000FF"/>
            <w:sz w:val="21"/>
            <w:u w:val="single"/>
          </w:rPr>
          <w:t>https://doi.org/10.1364/oe.582711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我们报告了一种利用远场强度分布实验估计多模反谐振空心光纤引导的有效模式数量的方法。通过简单的实验装置和不相干照明，可以快速准确地测量任意数量的模式。</w:t>
      </w:r>
    </w:p>
    <w:p>
      <w:pPr>
        <w:spacing w:before="120"/>
      </w:pPr>
      <w:r>
        <w:rPr>
          <w:rFonts w:ascii="Times New Roman" w:hAnsi="Times New Roman" w:eastAsia="宋体"/>
          <w:b/>
          <w:sz w:val="21"/>
        </w:rPr>
        <w:t>English Abstract:</w:t>
      </w:r>
    </w:p>
    <w:p>
      <w:r>
        <w:rPr>
          <w:rFonts w:ascii="Times New Roman" w:hAnsi="Times New Roman" w:eastAsia="宋体"/>
          <w:sz w:val="21"/>
        </w:rPr>
        <w:t>We report a method to experimentally estimate the effective number of modes guided by multi-mode anti-resonant hollow core optical fibres using their far field intensity distributions. With a simple experimental setup and incoherent illumination, an arbitrary number of modes can be measured quickly and accurately.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ADEV结合EMD-WT的变频系统噪声分析方法</w:t>
      </w:r>
    </w:p>
    <w:p>
      <w:r>
        <w:rPr>
          <w:rFonts w:ascii="Times New Roman" w:hAnsi="Times New Roman" w:eastAsia="宋体"/>
          <w:b/>
          <w:color w:val="003264"/>
          <w:sz w:val="24"/>
        </w:rPr>
        <w:t>Noise analysis method for frequency transfer systems by using ADEV combined with EMD-WT</w:t>
      </w:r>
    </w:p>
    <w:p>
      <w:r>
        <w:rPr>
          <w:rFonts w:ascii="Times New Roman" w:hAnsi="Times New Roman" w:eastAsia="宋体"/>
          <w:sz w:val="21"/>
        </w:rPr>
        <w:t>作者: Xuan Yang, Junhui Li, Bin Luo, Ziyang Chen, Hong Guo</w:t>
        <w:br/>
      </w:r>
      <w:r>
        <w:rPr>
          <w:rFonts w:ascii="Times New Roman" w:hAnsi="Times New Roman" w:eastAsia="宋体"/>
          <w:sz w:val="21"/>
        </w:rPr>
        <w:t xml:space="preserve">时间: 2026-01-26 | </w:t>
      </w:r>
      <w:r>
        <w:t xml:space="preserve">链接: </w:t>
      </w:r>
      <w:hyperlink r:id="rId46">
        <w:r>
          <w:rPr>
            <w:rFonts w:ascii="Times New Roman" w:hAnsi="Times New Roman" w:eastAsia="宋体"/>
            <w:color w:val="0000FF"/>
            <w:sz w:val="21"/>
            <w:u w:val="single"/>
          </w:rPr>
          <w:t>https://doi.org/10.1364/oe.588469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精密频率传输系统中，对传输信号的相位稳定性提出了严格的要求。在整个传输过程中，长距离信号传播的固有挑战不可避免地引入多种噪声成分，包括但不限于热噪声、相位波动和环境干扰。系统倾向于使用常规的评价指标——阿伦偏差（ADEV）来反映系统的稳定性，以评价噪声水平。而ADEV只能提供数值表达，缺乏时频细节，因此系统需要一个完整的评估体系。在本文中，我们提出了 ADEV 和小波变换经验模态分解 (EMD-WT) 的突破性集成，建立了一种新颖的分析框架，可以同时表征噪声类型和时频域属性。这种协同方法在频率传输系统中的噪声辨别方面实现了前所未有的双域分辨率。</w:t>
      </w:r>
    </w:p>
    <w:p>
      <w:pPr>
        <w:spacing w:before="120"/>
      </w:pPr>
      <w:r>
        <w:rPr>
          <w:rFonts w:ascii="Times New Roman" w:hAnsi="Times New Roman" w:eastAsia="宋体"/>
          <w:b/>
          <w:sz w:val="21"/>
        </w:rPr>
        <w:t>English Abstract:</w:t>
      </w:r>
    </w:p>
    <w:p>
      <w:r>
        <w:rPr>
          <w:rFonts w:ascii="Times New Roman" w:hAnsi="Times New Roman" w:eastAsia="宋体"/>
          <w:sz w:val="21"/>
        </w:rPr>
        <w:t>In precision frequency transfer systems, stringent requirements are imposed on the phase stability of transmitted signals. Throughout the transmission process, the inherent challenges of long-haul signal propagation inevitably introduce multiple noise components, including, but not limited to, thermal noise, phase fluctuations, and environmental interference. The system is inclined to use the conventional evaluation index – Allan deviation (ADEV) to reflect the system stability in order to evaluate the noise level. Whereas, ADEV can only provide numerical expression and lacks the time-frequency details, a complete evaluation system is therefore required by the system. In this paper, we present a groundbreaking integration of ADEV and wavelet-transformed empirical mode decomposition (EMD-WT), establishing a novel analytical framework that enables simultaneous characterization of noise types and time-frequency domain properties. This synergistic approach achieves unprecedented dual-domain resolution in noise discrimination in frequency transfer systems.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00:30 ---</w:t>
      </w:r>
    </w:p>
    <w:p>
      <w:pPr>
        <w:pStyle w:val="Heading2"/>
      </w:pPr>
      <w:r/>
      <w:r>
        <w:rPr>
          <w:rFonts w:ascii="Times New Roman" w:hAnsi="Times New Roman" w:eastAsia="宋体"/>
          <w:b/>
          <w:color w:val="000000"/>
          <w:sz w:val="24"/>
        </w:rPr>
        <w:t>角度相位匹配非线性晶体中下转换光子的高光谱成像</w:t>
      </w:r>
    </w:p>
    <w:p>
      <w:r>
        <w:rPr>
          <w:rFonts w:ascii="Times New Roman" w:hAnsi="Times New Roman" w:eastAsia="宋体"/>
          <w:b/>
          <w:color w:val="003264"/>
          <w:sz w:val="24"/>
        </w:rPr>
        <w:t>Hyperspectral imaging of downconverted photons in angle phase-matched nonlinear crystals</w:t>
      </w:r>
    </w:p>
    <w:p>
      <w:r>
        <w:rPr>
          <w:rFonts w:ascii="Times New Roman" w:hAnsi="Times New Roman" w:eastAsia="宋体"/>
          <w:sz w:val="21"/>
        </w:rPr>
        <w:t>作者: Evan J. Kumar, Lorenzo Uboldi, Cristian Manzoni, Giulio Cerullo, Ajay Ram Srimath Kandada</w:t>
        <w:br/>
      </w:r>
      <w:r>
        <w:rPr>
          <w:rFonts w:ascii="Times New Roman" w:hAnsi="Times New Roman" w:eastAsia="宋体"/>
          <w:sz w:val="21"/>
        </w:rPr>
        <w:t xml:space="preserve">时间: 2026-02-03 | </w:t>
      </w:r>
      <w:r>
        <w:t xml:space="preserve">链接: </w:t>
      </w:r>
      <w:hyperlink r:id="rId47">
        <w:r>
          <w:rPr>
            <w:rFonts w:ascii="Times New Roman" w:hAnsi="Times New Roman" w:eastAsia="宋体"/>
            <w:color w:val="0000FF"/>
            <w:sz w:val="21"/>
            <w:u w:val="single"/>
          </w:rPr>
          <w:t>https://doi.org/10.1364/ol.587889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自发参量下转换 (SPDC) 是生成用于量子光谱的宽带光谱纠缠光子的关键。在这里，我们使用共光路双折射干涉仪，通过高光谱 k 空间成像实验绘制 I 型和 II 型 β-硼酸钡晶体中 SPDC 的空间光谱分布。在宽带脉冲泵浦下，我们观察到光谱中强烈的空间变化，每种相位匹配类型具有独特的特征。基于双光子振幅和相位匹配条件的模拟与我们的结果定性匹配。这种空间光谱映射可以控制双光子纠缠熵，为优化材料光谱的量子光源铺平道路。</w:t>
      </w:r>
    </w:p>
    <w:p>
      <w:pPr>
        <w:spacing w:before="120"/>
      </w:pPr>
      <w:r>
        <w:rPr>
          <w:rFonts w:ascii="Times New Roman" w:hAnsi="Times New Roman" w:eastAsia="宋体"/>
          <w:b/>
          <w:sz w:val="21"/>
        </w:rPr>
        <w:t>English Abstract:</w:t>
      </w:r>
    </w:p>
    <w:p>
      <w:r>
        <w:rPr>
          <w:rFonts w:ascii="Times New Roman" w:hAnsi="Times New Roman" w:eastAsia="宋体"/>
          <w:sz w:val="21"/>
        </w:rPr>
        <w:t>Spontaneous Parametric Downconversion (SPDC) is key to generating broadband spectrally entangled photons for quantum optical spectroscopy. Here, we use a common-path birefringent interferometer to experimentally map the spatial-spectral distribution of SPDC in Type I and II β -barium borate crystals using hyperspectral k-space imaging. Under broadband pulsed pumping, we observe strong spatial variations in the spectra, with distinct features for each phase-matching type. Simulations based on biphoton amplitudes and phase-matching conditions qualitatively match our results. This spatial-spectral mapping enables control over biphoton entanglement entropy, paving the way for optimized quantum-light sources for material spectroscopy.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用于高性能热光开关的人工规范场工程波导超晶格</w:t>
      </w:r>
    </w:p>
    <w:p>
      <w:r>
        <w:rPr>
          <w:rFonts w:ascii="Times New Roman" w:hAnsi="Times New Roman" w:eastAsia="宋体"/>
          <w:b/>
          <w:color w:val="003264"/>
          <w:sz w:val="24"/>
        </w:rPr>
        <w:t>Artificial gauge field engineered waveguide superlattices for high-performance thermo-optic switches</w:t>
      </w:r>
    </w:p>
    <w:p>
      <w:r>
        <w:rPr>
          <w:rFonts w:ascii="Times New Roman" w:hAnsi="Times New Roman" w:eastAsia="宋体"/>
          <w:sz w:val="21"/>
        </w:rPr>
        <w:t>作者: Xuelin Zhang, Jiangbing Du, Ke Xu, Zuyuan He</w:t>
        <w:br/>
      </w:r>
      <w:r>
        <w:rPr>
          <w:rFonts w:ascii="Times New Roman" w:hAnsi="Times New Roman" w:eastAsia="宋体"/>
          <w:sz w:val="21"/>
        </w:rPr>
        <w:t xml:space="preserve">时间: 2026-01-27 | </w:t>
      </w:r>
      <w:r>
        <w:t xml:space="preserve">链接: </w:t>
      </w:r>
      <w:hyperlink r:id="rId48">
        <w:r>
          <w:rPr>
            <w:rFonts w:ascii="Times New Roman" w:hAnsi="Times New Roman" w:eastAsia="宋体"/>
            <w:color w:val="0000FF"/>
            <w:sz w:val="21"/>
            <w:u w:val="single"/>
          </w:rPr>
          <w:t>https://doi.org/10.1364/ol.586535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由于高功率效率、高带宽密度和低成本，光子开关技术已成为电子开关的有竞争力的替代品。在此，提出了一种基于人工规范场工程波导超晶格的高性能 1 × 8 热光开关。该开关的平均插入损耗为 1.96 dB，并且在 60 nm 带宽内将串扰保持在 -20 dB 以下。通过利用拓扑优化，这种热光移相器无需复杂的空气沟槽或底切工艺，同时提供卓越的指标：低功耗 (2.52 mW/π)、低损耗 (0.4 dB)、用于 2 π 调谐的低于 1V 驱动电压、宽带操作 (60 nm) 和紧凑的占位面积 (245 μm × 15 μm)。</w:t>
      </w:r>
    </w:p>
    <w:p>
      <w:pPr>
        <w:spacing w:before="120"/>
      </w:pPr>
      <w:r>
        <w:rPr>
          <w:rFonts w:ascii="Times New Roman" w:hAnsi="Times New Roman" w:eastAsia="宋体"/>
          <w:b/>
          <w:sz w:val="21"/>
        </w:rPr>
        <w:t>English Abstract:</w:t>
      </w:r>
    </w:p>
    <w:p>
      <w:r>
        <w:rPr>
          <w:rFonts w:ascii="Times New Roman" w:hAnsi="Times New Roman" w:eastAsia="宋体"/>
          <w:sz w:val="21"/>
        </w:rPr>
        <w:t>Photonic switching technologies have been proffered as competitive replacements for electronic switches, due to high power efficiency, high bandwidth density, and low cost. Here, a high-performance 1 × 8 thermo-optic switch based on artificial gauge field engineered waveguide superlattices is proposed. This switch exhibits an average insertion loss of 1.96 dB and keeps crosstalk below −20 dB over a 60 nm bandwidth. By leveraging topology optimization, this thermo-optic phase shifter eliminates the need for intricate air-trench or undercut processes while delivering exceptional metrics: low power consumption (2.52 mW/ π ), low loss (0.4 dB), sub-1V driving voltage for 2 π tuning, wideband operation (60 nm), and a compact footprint (245 μm × 15 μm).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通过连续衍射光学器件操纵软 X 射线束的轨道角动量</w:t>
      </w:r>
    </w:p>
    <w:p>
      <w:r>
        <w:rPr>
          <w:rFonts w:ascii="Times New Roman" w:hAnsi="Times New Roman" w:eastAsia="宋体"/>
          <w:b/>
          <w:color w:val="003264"/>
          <w:sz w:val="24"/>
        </w:rPr>
        <w:t>Manipulation of the orbital angular momentum of soft X-ray beams by consecutive diffractive optics</w:t>
      </w:r>
    </w:p>
    <w:p>
      <w:r>
        <w:rPr>
          <w:rFonts w:ascii="Times New Roman" w:hAnsi="Times New Roman" w:eastAsia="宋体"/>
          <w:sz w:val="21"/>
        </w:rPr>
        <w:t>作者: Nazir Khan, Rahul Jangid, Taras Stanislavchuk, Aaron Stein, Oleg Chubar, Andi Barbour, Andrei Sirenko, Valery Kiryukhin, Claudio Mazzoli</w:t>
        <w:br/>
      </w:r>
      <w:r>
        <w:rPr>
          <w:rFonts w:ascii="Times New Roman" w:hAnsi="Times New Roman" w:eastAsia="宋体"/>
          <w:sz w:val="21"/>
        </w:rPr>
        <w:t xml:space="preserve">时间: 2026-02-04 | </w:t>
      </w:r>
      <w:r>
        <w:t xml:space="preserve">链接: </w:t>
      </w:r>
      <w:hyperlink r:id="rId49">
        <w:r>
          <w:rPr>
            <w:rFonts w:ascii="Times New Roman" w:hAnsi="Times New Roman" w:eastAsia="宋体"/>
            <w:color w:val="0000FF"/>
            <w:sz w:val="21"/>
            <w:u w:val="single"/>
          </w:rPr>
          <w:t>https://doi.org/10.1364/ol.584139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利用连续衍射光学器件演示了相干软 X 射线束的轨道角动量 (OAM) 的产生和操纵。当光束通过连续的叉形光栅时，可以观察到 OAM 的增加。研究发现，光束的 OAM 与其自旋角动量 (SAM) 是解耦的。在 X 射线范围内通过连续设备实际实现角动量控制开辟了新的实验机会，例如直接测量光束的 OAM，而无需求助于包括全息术在内的相敏技术。利用叉形光栅的 OAM 分析仪可用于表征同步加速器和自由电子激光源产生的光束；它们也可用于散射实验。</w:t>
      </w:r>
    </w:p>
    <w:p>
      <w:pPr>
        <w:spacing w:before="120"/>
      </w:pPr>
      <w:r>
        <w:rPr>
          <w:rFonts w:ascii="Times New Roman" w:hAnsi="Times New Roman" w:eastAsia="宋体"/>
          <w:b/>
          <w:sz w:val="21"/>
        </w:rPr>
        <w:t>English Abstract:</w:t>
      </w:r>
    </w:p>
    <w:p>
      <w:r>
        <w:rPr>
          <w:rFonts w:ascii="Times New Roman" w:hAnsi="Times New Roman" w:eastAsia="宋体"/>
          <w:sz w:val="21"/>
        </w:rPr>
        <w:t>Production and manipulation of orbital angular momentum (OAM) of coherent soft X-ray beams is demonstrated utilizing consecutive diffractive optics. OAM addition is observed upon passing the beam through consecutive fork gratings. The OAM of the beam was found to be decoupled from its spin angular momentum (SAM). Practical implementation of angular momentum control by consecutive devices in the X-ray regime opens new experimental opportunities, such as direct measurement of the beam’s OAM without resorting to phase-sensitive techniques, including holography. OAM analyzers utilizing fork gratings can be used to characterize the beams produced by synchrotron and free electron lasers sources; they can also be used in scattering experiments.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基于具有并行 FBG 的可调谐迈克尔逊干涉仪的高精度 FBG 传感器解调</w:t>
      </w:r>
    </w:p>
    <w:p>
      <w:r>
        <w:rPr>
          <w:rFonts w:ascii="Times New Roman" w:hAnsi="Times New Roman" w:eastAsia="宋体"/>
          <w:b/>
          <w:color w:val="003264"/>
          <w:sz w:val="24"/>
        </w:rPr>
        <w:t>High-precision FBG sensor demodulation based on a tunable Michelson interferometer with parallel FBGs</w:t>
      </w:r>
    </w:p>
    <w:p>
      <w:r>
        <w:rPr>
          <w:rFonts w:ascii="Times New Roman" w:hAnsi="Times New Roman" w:eastAsia="宋体"/>
          <w:sz w:val="21"/>
        </w:rPr>
        <w:t>作者: Tingfeng Li, Shuo Wang, Fengyi Chen, Ruohui Wang, Xueguang Qiao</w:t>
        <w:br/>
      </w:r>
      <w:r>
        <w:rPr>
          <w:rFonts w:ascii="Times New Roman" w:hAnsi="Times New Roman" w:eastAsia="宋体"/>
          <w:sz w:val="21"/>
        </w:rPr>
        <w:t xml:space="preserve">时间: 2026-02-03 | </w:t>
      </w:r>
      <w:r>
        <w:t xml:space="preserve">链接: </w:t>
      </w:r>
      <w:hyperlink r:id="rId50">
        <w:r>
          <w:rPr>
            <w:rFonts w:ascii="Times New Roman" w:hAnsi="Times New Roman" w:eastAsia="宋体"/>
            <w:color w:val="0000FF"/>
            <w:sz w:val="21"/>
            <w:u w:val="single"/>
          </w:rPr>
          <w:t>https://doi.org/10.1364/ol.588506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提出了一种光纤布拉格光栅（FBG）高精度信号解调方案。该方案在迈克尔逊干涉仪 (MI) 的一个臂中利用压电换能器 (PZT) 调谐并置的多波长可调谐 FBG (CMWT-FBG)，调整其中心波长范围以完全覆盖传感 FBG 的波长偏移。该算法模块利用Savitzky-Golay（S-G）拟合算法精确定位干涉信号的包络峰值，从而准确地重建传感FBG中心波长的变化。实验结果表明，调制解调方案的温度精度为1.33×10 -6 °C，应变精度为1.04×10 -5 με。这些结果表明CMWT-FBGs-MI系统在高速、高精度信号测量方面具有竞争优势，为相关领域的进步提供了实验和理论支持。</w:t>
      </w:r>
    </w:p>
    <w:p>
      <w:pPr>
        <w:spacing w:before="120"/>
      </w:pPr>
      <w:r>
        <w:rPr>
          <w:rFonts w:ascii="Times New Roman" w:hAnsi="Times New Roman" w:eastAsia="宋体"/>
          <w:b/>
          <w:sz w:val="21"/>
        </w:rPr>
        <w:t>English Abstract:</w:t>
      </w:r>
    </w:p>
    <w:p>
      <w:r>
        <w:rPr>
          <w:rFonts w:ascii="Times New Roman" w:hAnsi="Times New Roman" w:eastAsia="宋体"/>
          <w:sz w:val="21"/>
        </w:rPr>
        <w:t>A high-precision signal demodulation scheme for fiber Bragg grating (FBG) is presented. The scheme utilizes a piezoelectric transducer (PZT) tuned co-located, multi-wavelength tunable FBGs (CMWT-FBGs) in one arm of the Michelson interferometer (MI), which adjusts its central-wavelength range to fully cover the wavelength shifts of the sensing FBG. The algorithm module utilizes a Savitzky-Golay (S-G) fitting algorithm to precisely locate the envelope peak of the interference signal, thereby accurately reconstructing the variations of the sensing FBG’s central wavelength. Experimental results demonstrate that the modulation-demodulation scheme achieves a temperature accuracy of 1.33×10 −6 °C and a strain accuracy of 1.04×10 −5 μ ε , respectively. These results show that the CMWT-FBGs-MI system offers a competitive advantage in high-speed and high-precision signal measurement, providing experimental and theoretical support for advancements in related fields.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非相干光源长基线干涉测量的相位稳定</w:t>
      </w:r>
    </w:p>
    <w:p>
      <w:r>
        <w:rPr>
          <w:rFonts w:ascii="Times New Roman" w:hAnsi="Times New Roman" w:eastAsia="宋体"/>
          <w:b/>
          <w:color w:val="003264"/>
          <w:sz w:val="24"/>
        </w:rPr>
        <w:t>Phase stabilization for long-baseline interferometry of incoherent optical sources</w:t>
      </w:r>
    </w:p>
    <w:p>
      <w:r>
        <w:rPr>
          <w:rFonts w:ascii="Times New Roman" w:hAnsi="Times New Roman" w:eastAsia="宋体"/>
          <w:sz w:val="21"/>
        </w:rPr>
        <w:t>作者: Joshua J. Collier, John S. Wallis, Benjamin P. Dix-Matthews, David R. Gozzard</w:t>
        <w:br/>
      </w:r>
      <w:r>
        <w:rPr>
          <w:rFonts w:ascii="Times New Roman" w:hAnsi="Times New Roman" w:eastAsia="宋体"/>
          <w:sz w:val="21"/>
        </w:rPr>
        <w:t xml:space="preserve">时间: 2026-02-04 | </w:t>
      </w:r>
      <w:r>
        <w:t xml:space="preserve">链接: </w:t>
      </w:r>
      <w:hyperlink r:id="rId51">
        <w:r>
          <w:rPr>
            <w:rFonts w:ascii="Times New Roman" w:hAnsi="Times New Roman" w:eastAsia="宋体"/>
            <w:color w:val="0000FF"/>
            <w:sz w:val="21"/>
            <w:u w:val="single"/>
          </w:rPr>
          <w:t>https://doi.org/10.1364/ol.586783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光学天文干涉仪的最大基线和分辨率受到孔径和光束组合器之间光路内的衰减和相位噪声以及构造长度超过数百米的光学延迟线的实际挑战的限制。我们在两条 85 公里长的光纤链路上实施带外相位稳定，创建了 170 公里的总基线。我们表明，该系统能够有效地稳定来自带宽为 11.2 nm 的非相干赝热源的信号。我们能够将 1 到 100 Hz 之间的相位噪声降低 4-5 个数量级，这样我们就可以通过连续测量解决每秒 0.16 个周期的应用相位差。我们表明，在相位稳定激活的情况下，干涉仪能够恢复一阶和二阶光子相关性。这些结果证明了该技术对于长基线光学和量子天文干涉仪的可行性。目前的结果受到光纤内色散的限制，可以使用色散补偿模块来减轻色散。</w:t>
      </w:r>
    </w:p>
    <w:p>
      <w:pPr>
        <w:spacing w:before="120"/>
      </w:pPr>
      <w:r>
        <w:rPr>
          <w:rFonts w:ascii="Times New Roman" w:hAnsi="Times New Roman" w:eastAsia="宋体"/>
          <w:b/>
          <w:sz w:val="21"/>
        </w:rPr>
        <w:t>English Abstract:</w:t>
      </w:r>
    </w:p>
    <w:p>
      <w:r>
        <w:rPr>
          <w:rFonts w:ascii="Times New Roman" w:hAnsi="Times New Roman" w:eastAsia="宋体"/>
          <w:sz w:val="21"/>
        </w:rPr>
        <w:t>The maximum baseline, and therefore resolution, of optical astronomical interferometers is limited by attenuation and phase noise within the optical path between the apertures and beam combiner, as well as the practical challenges of constructing optical delay lines more than a few hundred meters in length. We implement off-band phase stabilization on two fiber optic links of 85 km, creating a total baseline of 170 km. We show that the system is able to effectively phase stabilize signals from an incoherent pseudo-thermal source with a bandwidth of 11.2 nm. We are able to reduce the phase noise by 4–5 orders of magnitude between 1 and 100 Hz, such that we could resolve an applied phase difference of 0.16 cycles per second with continuous measurement. We show that, with phase stabilization active, the interferometer is able to recover both first-order and second-order photon correlations. These results demonstrate the feasibility of this technique for long-baseline optical and quantum astronomical interferometers. The present results are limited by chromatic dispersion within the fiber, which can be mitigated using dispersion-compensating modules.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通过联合算法-硬件校准实现高灵敏度和宽范围定量相位成像的增强型谱域相位显微镜</w:t>
      </w:r>
    </w:p>
    <w:p>
      <w:r>
        <w:rPr>
          <w:rFonts w:ascii="Times New Roman" w:hAnsi="Times New Roman" w:eastAsia="宋体"/>
          <w:b/>
          <w:color w:val="003264"/>
          <w:sz w:val="24"/>
        </w:rPr>
        <w:t>Enhanced spectral-domain phase microscopy for high-sensitivity and broad-range quantitative phase imaging via joint algorithm-hardware calibration</w:t>
      </w:r>
    </w:p>
    <w:p>
      <w:r>
        <w:rPr>
          <w:rFonts w:ascii="Times New Roman" w:hAnsi="Times New Roman" w:eastAsia="宋体"/>
          <w:sz w:val="21"/>
        </w:rPr>
        <w:t>作者: Jiayi Wang, Liuhang Zhao, Runnan Zhang, Zihao Zhou, Wei Yin, Xin Yuan, Ning Zhou, Chao Zuo</w:t>
        <w:br/>
      </w:r>
      <w:r>
        <w:rPr>
          <w:rFonts w:ascii="Times New Roman" w:hAnsi="Times New Roman" w:eastAsia="宋体"/>
          <w:sz w:val="21"/>
        </w:rPr>
        <w:t xml:space="preserve">时间: 2026-02-04 | </w:t>
      </w:r>
      <w:r>
        <w:t xml:space="preserve">链接: </w:t>
      </w:r>
      <w:hyperlink r:id="rId52">
        <w:r>
          <w:rPr>
            <w:rFonts w:ascii="Times New Roman" w:hAnsi="Times New Roman" w:eastAsia="宋体"/>
            <w:color w:val="0000FF"/>
            <w:sz w:val="21"/>
            <w:u w:val="single"/>
          </w:rPr>
          <w:t>https://doi.org/10.1364/ol.585468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谱域相位显微镜 (SDPM) 通过直接从干涉光谱中检索相位信息来实现高灵敏度定量相位成像，从而减轻离散傅里叶变换 (DFT) 中光谱泄漏造成的轴向分辨率损失。然而，传统的 SDPM 对突然的相位梯度和噪声仍然高度敏感，通常会导致环绕失配和全局偏差，从而限制其测量范围。在这封信中，我们提出了增强型 SDPM (eSDPM)，这是一种算法-硬件协同校准框架，可在扩展的测量范围内实现高精度、无偏差相位重建。在算法方面，我们明确地对光谱相位中的端点项进行建模，估计安全工作频带内的参考相位，并从源光谱的质心确定波数锚点。在硬件方面，受控光谱截断和边界波长校准可最大限度地减少端点偏差和波长未对准。对生物和工业样品的实验表明，eSDPM 在较宽的测量范围内实现了连续、无偏差和高精度的光程差重建，使其成为一种稳健且实用的宽范围定量相位成像方法。</w:t>
      </w:r>
    </w:p>
    <w:p>
      <w:pPr>
        <w:spacing w:before="120"/>
      </w:pPr>
      <w:r>
        <w:rPr>
          <w:rFonts w:ascii="Times New Roman" w:hAnsi="Times New Roman" w:eastAsia="宋体"/>
          <w:b/>
          <w:sz w:val="21"/>
        </w:rPr>
        <w:t>English Abstract:</w:t>
      </w:r>
    </w:p>
    <w:p>
      <w:r>
        <w:rPr>
          <w:rFonts w:ascii="Times New Roman" w:hAnsi="Times New Roman" w:eastAsia="宋体"/>
          <w:sz w:val="21"/>
        </w:rPr>
        <w:t>Spectral-domain phase microscopy (SDPM) enables high-sensitivity quantitative phase imaging by retrieving phase information directly from the interference spectrum, mitigating the axial-resolution penalty caused by spectral leakage in the discrete Fourier transform (DFT). However, conventional SDPM remains highly sensitive to abrupt phase gradients and noise, often leading to wrap mismatches and global bias that restrict its measurement range. In this Letter, we propose enhanced SDPM (eSDPM), an algorithm-hardware co-calibration framework that achieves high precision, bias-free phase reconstruction over an extended measurement range. On the algorithmic side, we explicitly model endpoint terms in the spectral phase, estimate a reference phase within a safe operating band, and determine a wavenumber anchor from the centroid of the source spectrum. On the hardware side, controlled spectral truncation and boundary-wavelength calibration minimize endpoint bias and wavelength misalignment. Experiments on biological and industrial samples demonstrate that eSDPM achieves continuous, bias-free, and high-accuracy optical path difference reconstruction over a broad measurement range, establishing it as a robust and practical approach for wide-range quantitative phase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通过光子分数傅里叶变换和低频检测对 LFM 微波信号进行高精度线性调频测量</w:t>
      </w:r>
    </w:p>
    <w:p>
      <w:r>
        <w:rPr>
          <w:rFonts w:ascii="Times New Roman" w:hAnsi="Times New Roman" w:eastAsia="宋体"/>
          <w:b/>
          <w:color w:val="003264"/>
          <w:sz w:val="24"/>
        </w:rPr>
        <w:t>High-precision chirp-rate measurement of LFM microwave signals via photonic fractional Fourier transform with low-frequency detection</w:t>
      </w:r>
    </w:p>
    <w:p>
      <w:r>
        <w:rPr>
          <w:rFonts w:ascii="Times New Roman" w:hAnsi="Times New Roman" w:eastAsia="宋体"/>
          <w:sz w:val="21"/>
        </w:rPr>
        <w:t>作者: Di Peng, Jingyi Zhang, Zewen Zhu, Ya Han, Heyun Tan, Songnian Fu, Shuoyang Qiu, Yuwen Qin</w:t>
        <w:br/>
      </w:r>
      <w:r>
        <w:rPr>
          <w:rFonts w:ascii="Times New Roman" w:hAnsi="Times New Roman" w:eastAsia="宋体"/>
          <w:sz w:val="21"/>
        </w:rPr>
        <w:t xml:space="preserve">时间: 2026-02-05 | </w:t>
      </w:r>
      <w:r>
        <w:t xml:space="preserve">链接: </w:t>
      </w:r>
      <w:hyperlink r:id="rId53">
        <w:r>
          <w:rPr>
            <w:rFonts w:ascii="Times New Roman" w:hAnsi="Times New Roman" w:eastAsia="宋体"/>
            <w:color w:val="0000FF"/>
            <w:sz w:val="21"/>
            <w:u w:val="single"/>
          </w:rPr>
          <w:t>https://doi.org/10.1364/ol.583187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我们提出并演示了一种线性调频 (LFM) 微波信号的高精度线性调频频率测量方法。通过利用光学频移环路中的可调谐分数傅立叶变换，该系统可以在光域中处理 LFM 微波信号，并通过低频检测提取其线性调频频率，从而无需使用高速电子设备。在实验中，实现了-1400 MHz/μs至800 MHz/μs范围内的线性调频脉冲测量，误差低于±0.2 MHz/μs。即使信噪比为-7.55 dB，在 5 GHz 至 40 GHz 的信号频率范围内也能保持这种高测量精度。此外，该方法能够测量多个频谱重叠的LFM微波信号的啁啾率。这些结果验证了所提出的方法是先进电子侦察应用中稳健且简化的线性调频频率测量解决方案。</w:t>
      </w:r>
    </w:p>
    <w:p>
      <w:pPr>
        <w:spacing w:before="120"/>
      </w:pPr>
      <w:r>
        <w:rPr>
          <w:rFonts w:ascii="Times New Roman" w:hAnsi="Times New Roman" w:eastAsia="宋体"/>
          <w:b/>
          <w:sz w:val="21"/>
        </w:rPr>
        <w:t>English Abstract:</w:t>
      </w:r>
    </w:p>
    <w:p>
      <w:r>
        <w:rPr>
          <w:rFonts w:ascii="Times New Roman" w:hAnsi="Times New Roman" w:eastAsia="宋体"/>
          <w:sz w:val="21"/>
        </w:rPr>
        <w:t>We propose and demonstrate a method for high-precision chirp-rate measurement of linear frequency-modulated (LFM) microwave signals. By leveraging tunable fractional Fourier transform within an optical frequency-shift loop, the system processes LFM microwave signals in the optical domain and extracts their chirp rates via low-frequency detection, avoiding the need for high-speed electronics. In the experiment, chirp-rate measurement across a range of −1400 MHz/µs to 800 MHz/µs is achieved, with errors below ±0.2 MHz/µs. This high measurement precision is maintained over a signal frequency range of 5 GHz to 40 GHz, even at a signal-to-noise ratio of −7.55 dB. Moreover, the method is capable of measuring the chirp rates of multiple spectrally overlapping LFM microwave signals. These results validate the proposed method as a robust and simplified chirp-rate measurement solution in advanced electronic reconnaissance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用于高分辨率类肤OLED的无损微图案弹性超薄膜</w:t>
      </w:r>
    </w:p>
    <w:p>
      <w:r>
        <w:rPr>
          <w:rFonts w:ascii="Times New Roman" w:hAnsi="Times New Roman" w:eastAsia="宋体"/>
          <w:b/>
          <w:color w:val="003264"/>
          <w:sz w:val="24"/>
        </w:rPr>
        <w:t>Non-destructive micro-patterned elastic ultra-thin films for high-resolution skin-like OLEDs</w:t>
      </w:r>
    </w:p>
    <w:p>
      <w:r>
        <w:rPr>
          <w:rFonts w:ascii="Times New Roman" w:hAnsi="Times New Roman" w:eastAsia="宋体"/>
          <w:sz w:val="21"/>
        </w:rPr>
        <w:t>作者: Juntong Li, Xiaoli Zhao, Hongyan Yu, Yao Fu, Peng Xue, Guodong Zhao, Mingxin Zhang, Yanhong Tong, Qingxin Tang, Yichun Liu</w:t>
        <w:br/>
      </w:r>
      <w:r>
        <w:rPr>
          <w:rFonts w:ascii="Times New Roman" w:hAnsi="Times New Roman" w:eastAsia="宋体"/>
          <w:sz w:val="21"/>
        </w:rPr>
        <w:t xml:space="preserve">时间: 2026-02-06 | </w:t>
      </w:r>
      <w:r>
        <w:t xml:space="preserve">链接: </w:t>
      </w:r>
      <w:hyperlink r:id="rId54">
        <w:r>
          <w:rPr>
            <w:rFonts w:ascii="Times New Roman" w:hAnsi="Times New Roman" w:eastAsia="宋体"/>
            <w:color w:val="0000FF"/>
            <w:sz w:val="21"/>
            <w:u w:val="single"/>
          </w:rPr>
          <w:t>https://doi.org/10.1364/ol.584678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类皮肤有机发光二极管 (OLED) 因其在可穿戴显示器、植入式电子产品和生物医学传感方面的潜力而受到关注。然而，制造高分辨率、机械稳定的 OLED 仍然具有挑战性。这项研究提出了一种简单的、非破坏性的图案化技术，以消除光刻胶和超薄弹性体薄膜之间的热膨胀失配。使用聚乙烯醇作为保护层，使弹性超薄膜能够形成 2 µm 以内的微图案，分辨率高达每英寸 6349 像素 (PPI)。这项工作增强了光学制造中微图案像素定义层（PDL）的稳定性，从而有助于高分辨率显示器的开发。</w:t>
      </w:r>
    </w:p>
    <w:p>
      <w:pPr>
        <w:spacing w:before="120"/>
      </w:pPr>
      <w:r>
        <w:rPr>
          <w:rFonts w:ascii="Times New Roman" w:hAnsi="Times New Roman" w:eastAsia="宋体"/>
          <w:b/>
          <w:sz w:val="21"/>
        </w:rPr>
        <w:t>English Abstract:</w:t>
      </w:r>
    </w:p>
    <w:p>
      <w:r>
        <w:rPr>
          <w:rFonts w:ascii="Times New Roman" w:hAnsi="Times New Roman" w:eastAsia="宋体"/>
          <w:sz w:val="21"/>
        </w:rPr>
        <w:t>Skin-like organic light-emitting diodes (OLEDs) have garnered attention for their potential in wearable displays, implantable electronics, and biomedical sensing. However, creating high-resolution, mechanically stable OLEDs remains challenging. This study proposes a simple, non-destructive patterning technique to eliminate the thermal expansion mismatch between photoresist and ultra-thin elastomer films. Polyvinyl alcohol is used as a protective layer to allow the elastic ultra-thin films to be micro-patterned to within 2 µm, giving a resolution of up to 6349 pixels per inch (PPI). This work enhances the stability of micro-patterned pixel-defining layers (PDL) in optical manufacturing, thereby contributing to the development of high-resolution displays.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受限量子铁磁流体中涡旋晶格和磁致伸缩的光学控制</w:t>
      </w:r>
    </w:p>
    <w:p>
      <w:r>
        <w:rPr>
          <w:rFonts w:ascii="Times New Roman" w:hAnsi="Times New Roman" w:eastAsia="宋体"/>
          <w:b/>
          <w:color w:val="003264"/>
          <w:sz w:val="24"/>
        </w:rPr>
        <w:t>Optical control of vortex lattices and magnetostriction in a confined quantum ferrofluid</w:t>
      </w:r>
    </w:p>
    <w:p>
      <w:r>
        <w:rPr>
          <w:rFonts w:ascii="Times New Roman" w:hAnsi="Times New Roman" w:eastAsia="宋体"/>
          <w:sz w:val="21"/>
        </w:rPr>
        <w:t>作者: Biao Dong, Xiao-Fei Zhang, YongChang Zhang</w:t>
        <w:br/>
      </w:r>
      <w:r>
        <w:rPr>
          <w:rFonts w:ascii="Times New Roman" w:hAnsi="Times New Roman" w:eastAsia="宋体"/>
          <w:sz w:val="21"/>
        </w:rPr>
        <w:t xml:space="preserve">时间: 2026-02-05 | </w:t>
      </w:r>
      <w:r>
        <w:t xml:space="preserve">链接: </w:t>
      </w:r>
      <w:hyperlink r:id="rId55">
        <w:r>
          <w:rPr>
            <w:rFonts w:ascii="Times New Roman" w:hAnsi="Times New Roman" w:eastAsia="宋体"/>
            <w:color w:val="0000FF"/>
            <w:sz w:val="21"/>
            <w:u w:val="single"/>
          </w:rPr>
          <w:t>https://doi.org/10.1364/ol.581219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用光设计物质拓扑态的能力是量子光学的核心目标。我们证明，可通过光学费什巴赫共振调节的各向异性偶极-偶极相互作用（DDI）为控制量子铁磁流体中的量子化涡旋提供了强大的光学旋钮。我们证明，DDI 引起的磁致伸缩可以拉长原子云，起到有效的光学透镜效应的作用，可以减小横向凝聚体的尺寸。这极大地降低了涡旋成核的临界旋转频率，从而能够以以前因塌陷而无法达到的相互作用强度形成涡旋晶格。我们的工作建立了一个通用的全光学框架，用于雕刻磁性原子中的拓扑激发，对量子模拟和各向异性量子湍流的研究具有影响。</w:t>
      </w:r>
    </w:p>
    <w:p>
      <w:pPr>
        <w:spacing w:before="120"/>
      </w:pPr>
      <w:r>
        <w:rPr>
          <w:rFonts w:ascii="Times New Roman" w:hAnsi="Times New Roman" w:eastAsia="宋体"/>
          <w:b/>
          <w:sz w:val="21"/>
        </w:rPr>
        <w:t>English Abstract:</w:t>
      </w:r>
    </w:p>
    <w:p>
      <w:r>
        <w:rPr>
          <w:rFonts w:ascii="Times New Roman" w:hAnsi="Times New Roman" w:eastAsia="宋体"/>
          <w:sz w:val="21"/>
        </w:rPr>
        <w:t>The ability to engineer topological states of matter with light is a central goal of quantum optics. We demonstrate that the anisotropic dipole–dipole interaction (DDI), tunable via optical Feshbach resonances, provides a powerful optical knob for controlling quantized vortices in quantum ferrofluids. We show that DDI-induced magnetostriction, which elongates the atomic cloud, acts as an effective optical lensing effect that reduces the transverse condensate size. This dramatically lowers the critical rotation frequency for vortex nucleation, enabling the formation of vortex lattices at interaction strengths previously inaccessible due to collapse. Our work establishes a general all-optical framework for sculpting topological excitations in magnetic atoms, with implications for quantum simulation and the study of anisotropic quantum turbulence.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通过布居和发射光测量探测冷原子系综中的次辐射动力学</w:t>
      </w:r>
    </w:p>
    <w:p>
      <w:r>
        <w:rPr>
          <w:rFonts w:ascii="Times New Roman" w:hAnsi="Times New Roman" w:eastAsia="宋体"/>
          <w:b/>
          <w:color w:val="003264"/>
          <w:sz w:val="24"/>
        </w:rPr>
        <w:t>Probing subradiant dynamics in cold atomic ensembles via population and emitted light measurements</w:t>
      </w:r>
    </w:p>
    <w:p>
      <w:r>
        <w:rPr>
          <w:rFonts w:ascii="Times New Roman" w:hAnsi="Times New Roman" w:eastAsia="宋体"/>
          <w:sz w:val="21"/>
        </w:rPr>
        <w:t>作者: Antoine Glicenstein, Daniel Benedicto Orenes, Apoorva Apoorva, Raphaël Saint-Jalm, Robin Kaiser</w:t>
        <w:br/>
      </w:r>
      <w:r>
        <w:rPr>
          <w:rFonts w:ascii="Times New Roman" w:hAnsi="Times New Roman" w:eastAsia="宋体"/>
          <w:sz w:val="21"/>
        </w:rPr>
        <w:t xml:space="preserve">时间: 2026-01-21 | </w:t>
      </w:r>
      <w:r>
        <w:t xml:space="preserve">链接: </w:t>
      </w:r>
      <w:hyperlink r:id="rId56">
        <w:r>
          <w:rPr>
            <w:rFonts w:ascii="Times New Roman" w:hAnsi="Times New Roman" w:eastAsia="宋体"/>
            <w:color w:val="0000FF"/>
            <w:sz w:val="21"/>
            <w:u w:val="single"/>
          </w:rPr>
          <w:t>https://doi.org/10.1364/ol.573926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在这封信中，我们报告了 174Yb 原子超冷原子云中次辐射激发态布居的时间和空间分辨测量。我们使用耗尽成像技术，利用类碱土原子的V型内能结构来直接观察激发态布居的时间分辨空间分布。我们使用激发态布居和散射光强度来表征次辐射模式的衰变动力学，发现与两级原子系综模拟的数值预测具有良好的定量一致性。</w:t>
      </w:r>
    </w:p>
    <w:p>
      <w:pPr>
        <w:spacing w:before="120"/>
      </w:pPr>
      <w:r>
        <w:rPr>
          <w:rFonts w:ascii="Times New Roman" w:hAnsi="Times New Roman" w:eastAsia="宋体"/>
          <w:b/>
          <w:sz w:val="21"/>
        </w:rPr>
        <w:t>English Abstract:</w:t>
      </w:r>
    </w:p>
    <w:p>
      <w:r>
        <w:rPr>
          <w:rFonts w:ascii="Times New Roman" w:hAnsi="Times New Roman" w:eastAsia="宋体"/>
          <w:sz w:val="21"/>
        </w:rPr>
        <w:t>In this letter, we report on the time- and space-resolved measurement of subradiant excited state population in an ultra-cold atomic cloud of 174Yb atoms. We use a depletion imaging technique that exploits the V-type internal energy structure of alkaline-earth-like atoms to directly observe the time-resolved spatial distribution of excited state population. We characterize the decay dynamics of the subradiant modes using both the excited state population and scattered light intensity, finding good quantitative agreement with numerical predictions from simulations of two-level atomic ensembles.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在大芯空心毛细管光纤中产生多μJ少周期蓝色自压缩孤子脉冲</w:t>
      </w:r>
    </w:p>
    <w:p>
      <w:r>
        <w:rPr>
          <w:rFonts w:ascii="Times New Roman" w:hAnsi="Times New Roman" w:eastAsia="宋体"/>
          <w:b/>
          <w:color w:val="003264"/>
          <w:sz w:val="24"/>
        </w:rPr>
        <w:t>Generation of multi-μJ few-cycle blue self-compressed soliton pulses in large-core hollow-capillary fibers</w:t>
      </w:r>
    </w:p>
    <w:p>
      <w:r>
        <w:rPr>
          <w:rFonts w:ascii="Times New Roman" w:hAnsi="Times New Roman" w:eastAsia="宋体"/>
          <w:sz w:val="21"/>
        </w:rPr>
        <w:t>作者: Ziping Huang, Jiale Peng, Weitao He, Hongyu Chen, Chengbo Sun, Zhihao Wang, Shuangxi Peng, Lixin He, Zuofei Hong, Qingbin Zhang, Peixiang Lu</w:t>
        <w:br/>
      </w:r>
      <w:r>
        <w:rPr>
          <w:rFonts w:ascii="Times New Roman" w:hAnsi="Times New Roman" w:eastAsia="宋体"/>
          <w:sz w:val="21"/>
        </w:rPr>
        <w:t xml:space="preserve">时间: 2026-02-05 | </w:t>
      </w:r>
      <w:r>
        <w:t xml:space="preserve">链接: </w:t>
      </w:r>
      <w:hyperlink r:id="rId57">
        <w:r>
          <w:rPr>
            <w:rFonts w:ascii="Times New Roman" w:hAnsi="Times New Roman" w:eastAsia="宋体"/>
            <w:color w:val="0000FF"/>
            <w:sz w:val="21"/>
            <w:u w:val="single"/>
          </w:rPr>
          <w:t>https://doi.org/10.1364/ol.582850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在这项工作中，通过将高效的宽带倍频、多板连续谱 (MPC) 生成与氦填充空心毛细管纤维 (HCF) 中的蓝色脉冲自压缩相结合，生成了 7.63 μJ 少周期蓝色自压缩孤子脉冲。多级预压缩设置为 HCF 中的自压缩创造了最佳条件。通过利用大芯 HCF 代替微结构光纤，我们实现了 7.63 μJ 的脉冲能量。色散分析揭示了近 4.4 fs 蓝色孤子的生成。数值研究揭示了我们的方案在高阶色散扰动下的鲁棒性，并强调了其能量缩放的潜力。此外，我们的方案消除了后压缩方案中最后光谱展宽阶段的色散管理组件。这项工作为产生高能超短蓝色脉冲铺平了道路，该脉冲在众多强场和超快应用中显示出重要价值。</w:t>
      </w:r>
    </w:p>
    <w:p>
      <w:pPr>
        <w:spacing w:before="120"/>
      </w:pPr>
      <w:r>
        <w:rPr>
          <w:rFonts w:ascii="Times New Roman" w:hAnsi="Times New Roman" w:eastAsia="宋体"/>
          <w:b/>
          <w:sz w:val="21"/>
        </w:rPr>
        <w:t>English Abstract:</w:t>
      </w:r>
    </w:p>
    <w:p>
      <w:r>
        <w:rPr>
          <w:rFonts w:ascii="Times New Roman" w:hAnsi="Times New Roman" w:eastAsia="宋体"/>
          <w:sz w:val="21"/>
        </w:rPr>
        <w:t>In this work, 7.63 μJ few-cycle blue self-compressed soliton pulses are generated by combining efficient broadband frequency doubling, multiplate continuum (MPC) generation with blue pulse self-compression in He-filled hollow-capillary fibers (HCF). The multi-stage pre-compression setup creates optimal conditions for self-compression in HCF. By utilizing large-core HCFs instead of micro-structured fibers, we achieve a 7.63 μJ pulse energy. Dispersion analysis reveals the generation of a near-4.4 fs blue soliton. Numerical studies reveal our scheme’s robustness under the perturbation of high-order dispersion and highlight its potential for energy scaling. Moreover, our scheme eliminates the dispersion management components for the final spectral broadening stage in post-compression schemes. This work paves the way for generating energetic ultrashort blue pulses, which show significant value in numerous strong-field and ultrafast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使用散斑照明和压缩传感通过 GRIN 光纤进行高分辨率无像差成像</w:t>
      </w:r>
    </w:p>
    <w:p>
      <w:r>
        <w:rPr>
          <w:rFonts w:ascii="Times New Roman" w:hAnsi="Times New Roman" w:eastAsia="宋体"/>
          <w:b/>
          <w:color w:val="003264"/>
          <w:sz w:val="24"/>
        </w:rPr>
        <w:t>High-resolution aberration-free imaging through GRIN fiber using speckle illumination and compressive sensing</w:t>
      </w:r>
    </w:p>
    <w:p>
      <w:r>
        <w:rPr>
          <w:rFonts w:ascii="Times New Roman" w:hAnsi="Times New Roman" w:eastAsia="宋体"/>
          <w:sz w:val="21"/>
        </w:rPr>
        <w:t>作者: M. S. Pochechuev, A. Dharmasiri, T. I. Rajib, A. M. Zheltikov</w:t>
        <w:br/>
      </w:r>
      <w:r>
        <w:rPr>
          <w:rFonts w:ascii="Times New Roman" w:hAnsi="Times New Roman" w:eastAsia="宋体"/>
          <w:sz w:val="21"/>
        </w:rPr>
        <w:t xml:space="preserve">时间: 2026-02-06 | </w:t>
      </w:r>
      <w:r>
        <w:t xml:space="preserve">链接: </w:t>
      </w:r>
      <w:hyperlink r:id="rId58">
        <w:r>
          <w:rPr>
            <w:rFonts w:ascii="Times New Roman" w:hAnsi="Times New Roman" w:eastAsia="宋体"/>
            <w:color w:val="0000FF"/>
            <w:sz w:val="21"/>
            <w:u w:val="single"/>
          </w:rPr>
          <w:t>https://doi.org/10.1364/ol.585272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渐变折射率 (GRIN) 镜片对于体内成像和内窥镜检查至关重要。由短段标准 GRIN 光纤制成的植入式探头比商用 GRIN 透镜具有重要优势；然而，他们却在与畸变作斗争。这项研究引入了一种将结构化散斑照明与压缩传感 (CS) 相结合的技术，以利用基于 GRIN 光纤的探头实现无像差成像。我们开发了一种波光模式扩展模型来模拟像差 GRIN 探针中相干照明和非相干荧光响应的传播。通过涉及顺序散斑照明和图像重建的 CS 的数值实验，我们在整个视场 (FOV) 内实现了高分辨率、无像差成像。与标准显微镜方法相比，重建图像质量与纤维长度无关。所提出的方法为微创单位点和多位点深部脑显微镜检查开辟了途径。</w:t>
      </w:r>
    </w:p>
    <w:p>
      <w:pPr>
        <w:spacing w:before="120"/>
      </w:pPr>
      <w:r>
        <w:rPr>
          <w:rFonts w:ascii="Times New Roman" w:hAnsi="Times New Roman" w:eastAsia="宋体"/>
          <w:b/>
          <w:sz w:val="21"/>
        </w:rPr>
        <w:t>English Abstract:</w:t>
      </w:r>
    </w:p>
    <w:p>
      <w:r>
        <w:rPr>
          <w:rFonts w:ascii="Times New Roman" w:hAnsi="Times New Roman" w:eastAsia="宋体"/>
          <w:sz w:val="21"/>
        </w:rPr>
        <w:t>Graded index (GRIN) lenses are essential for in vivo imaging and endoscopy. Implantable probes made from short segments of standard GRIN fiber offer important benefits over commercial GRIN lenses; however, they struggle with aberrations. This study introduces a technique that combines structured speckle illumination with compressive sensing (CS) to enable aberration-free imaging with GRIN fiber-based probes. We develop a wave-optic mode-expansion model to simulate the propagation of coherent illumination and incoherent fluorescence response in an aberrated GRIN probe. Through numerical experiments involving sequential speckle illumination and CS for image reconstruction, we achieve high-resolution, aberration-free imaging throughout the entire field of view (FOV). In contrast to standard microscopy methods, the reconstructed image quality is independent of the fiber length. The proposed method opens avenues to minimally invasive single- and multisite deep brain microscopy.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轴向切割 β-BBO 晶体的高场多周期太赫兹发射达到数百 kV/cm</w:t>
      </w:r>
    </w:p>
    <w:p>
      <w:r>
        <w:rPr>
          <w:rFonts w:ascii="Times New Roman" w:hAnsi="Times New Roman" w:eastAsia="宋体"/>
          <w:b/>
          <w:color w:val="003264"/>
          <w:sz w:val="24"/>
        </w:rPr>
        <w:t>High-field multi-cycle terahertz emission from axially cut β-BBO crystals reaching several hundred kV/cm</w:t>
      </w:r>
    </w:p>
    <w:p>
      <w:r>
        <w:rPr>
          <w:rFonts w:ascii="Times New Roman" w:hAnsi="Times New Roman" w:eastAsia="宋体"/>
          <w:sz w:val="21"/>
        </w:rPr>
        <w:t>作者: Xianghe Feng, Alexander H. Ohrt, Long Cheng, Oliver Nagy, Guochun Zhang, Peter Uhd Jepsen, Rukang Li, Binbin Zhou</w:t>
        <w:br/>
      </w:r>
      <w:r>
        <w:rPr>
          <w:rFonts w:ascii="Times New Roman" w:hAnsi="Times New Roman" w:eastAsia="宋体"/>
          <w:sz w:val="21"/>
        </w:rPr>
        <w:t xml:space="preserve">时间: 2026-02-06 | </w:t>
      </w:r>
      <w:r>
        <w:t xml:space="preserve">链接: </w:t>
      </w:r>
      <w:hyperlink r:id="rId59">
        <w:r>
          <w:rPr>
            <w:rFonts w:ascii="Times New Roman" w:hAnsi="Times New Roman" w:eastAsia="宋体"/>
            <w:color w:val="0000FF"/>
            <w:sz w:val="21"/>
            <w:u w:val="single"/>
          </w:rPr>
          <w:t>https://doi.org/10.1364/ol.584800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我们报告了由 800 nm 飞秒激光器驱动的轴向切割 β-硼酸钡 (β-BBO) 晶体中的光学整流 (OR) 有效产生高场多周期太赫兹 (THz) 辐射。 b 切和 c 切晶体都会产生相干太赫兹波形，具有两个以 10 太赫兹和 14 太赫兹为中心的窄带分量，较弱的边带延伸至 25 太赫兹。在泵浦功率为 3.95 W 时，b 切割晶体可提供 34 µW 太赫兹功率和 355 kV/cm 的聚焦峰值场，而更薄的 c 切割晶体可实现相当的输出和 390 kV/cm 的更高峰值场。高场强、实验简单性和高可扩展性潜力使轴向切割 β-BBO 成为紧凑而坚固的固态源，用于驱动 5-15 THz 范围内的强场动力学和基本激励。</w:t>
      </w:r>
    </w:p>
    <w:p>
      <w:pPr>
        <w:spacing w:before="120"/>
      </w:pPr>
      <w:r>
        <w:rPr>
          <w:rFonts w:ascii="Times New Roman" w:hAnsi="Times New Roman" w:eastAsia="宋体"/>
          <w:b/>
          <w:sz w:val="21"/>
        </w:rPr>
        <w:t>English Abstract:</w:t>
      </w:r>
    </w:p>
    <w:p>
      <w:r>
        <w:rPr>
          <w:rFonts w:ascii="Times New Roman" w:hAnsi="Times New Roman" w:eastAsia="宋体"/>
          <w:sz w:val="21"/>
        </w:rPr>
        <w:t>We report efficient generation of high-field multi-cycle terahertz (THz) radiation from optical rectification (OR) in axially cut β-barium borate (β-BBO) crystals driven by an 800 nm femtosecond laser. Both b-cut and c-cut crystals produce coherent THz waveforms featuring two narrowband components centered near 10 THz and 14 THz, with weaker sidebands extending up to 25 THz. At a pump power of 3.95 W, the b-cut crystal delivers 34 µW of THz power and a focused peak field of 355 kV/cm, while the thinner c-cut crystal achieves comparable output and a higher peak field of 390 kV/cm. The high-field strength, experimental simplicity, and high scalability potential make axially cut β-BBO a compact and robust solid-state source for driving strong-field dynamics and fundamental excitations in the 5–15 THz range.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00:30 ---</w:t>
      </w:r>
    </w:p>
    <w:p>
      <w:pPr>
        <w:pStyle w:val="Heading2"/>
      </w:pPr>
      <w:r/>
      <w:r>
        <w:rPr>
          <w:rFonts w:ascii="Times New Roman" w:hAnsi="Times New Roman" w:eastAsia="宋体"/>
          <w:b/>
          <w:color w:val="000000"/>
          <w:sz w:val="24"/>
        </w:rPr>
        <w:t>无掩模片上 LED 阵列显微镜，具有用于厘米级相位成像的空间变化角度校准</w:t>
      </w:r>
    </w:p>
    <w:p>
      <w:r>
        <w:rPr>
          <w:rFonts w:ascii="Times New Roman" w:hAnsi="Times New Roman" w:eastAsia="宋体"/>
          <w:b/>
          <w:color w:val="003264"/>
          <w:sz w:val="24"/>
        </w:rPr>
        <w:t>Maskless and on-chip LED-array microscope with spatially varying angle calibration for centimeter-scale phase imaging</w:t>
      </w:r>
    </w:p>
    <w:p>
      <w:r>
        <w:rPr>
          <w:rFonts w:ascii="Times New Roman" w:hAnsi="Times New Roman" w:eastAsia="宋体"/>
          <w:sz w:val="21"/>
        </w:rPr>
        <w:t>作者: Sibi Chakravarthy Shanmugavel, Vindya Senanayake, Donghwa Suh, Jeffrey M. Gross, Shwetadwip Chowdhury</w:t>
        <w:br/>
      </w:r>
      <w:r>
        <w:rPr>
          <w:rFonts w:ascii="Times New Roman" w:hAnsi="Times New Roman" w:eastAsia="宋体"/>
          <w:sz w:val="21"/>
        </w:rPr>
        <w:t xml:space="preserve">时间: 2026-02-03 | </w:t>
      </w:r>
      <w:r>
        <w:t xml:space="preserve">链接: </w:t>
      </w:r>
      <w:hyperlink r:id="rId60">
        <w:r>
          <w:rPr>
            <w:rFonts w:ascii="Times New Roman" w:hAnsi="Times New Roman" w:eastAsia="宋体"/>
            <w:color w:val="0000FF"/>
            <w:sz w:val="21"/>
            <w:u w:val="single"/>
          </w:rPr>
          <w:t>https://doi.org/10.1364/optica.578136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传统的基于镜头的显微镜受到分辨率和视场 (FOV) 之间权衡的限制，这限制了整体成像吞吐量。最近的研究表明，采用基于 LED 阵列的照明的片上成像系统为大视场相位成像提供了一种经济有效的方法。然而，该策略面临两个主要挑战：（1）双图像模糊性会降低相位重建。虽然基于掩模的调制可以提供帮助，但由于制造和对准要求，它增加了系统的复杂性； (2) 每个 LED 的照明角度在大视场范围内会有所不同，并且会在没有校准的情况下降低厘米级相位重建的性能。在这里，我们提出了一个计算框架，以共同实现无掩模片上相位成像和空间变化照明角度的自适应校准。传感器 FOV 分为多个子区域，每个子区域内的 LED 照明近似为平面。每个子区域的 LED 照明角度均以几何方式初始化。然后通过先用软光学透明度约束重建，同时细化角度估计，在每个子区域内执行相位恢复。重建的相位图被合并以产生高质量、大视场的相位图像。我们通过在各种生物组织切片上实现具有微米级分辨率的厘米级片上相位成像（高达 2.7×1.7cm 2 ）来演示这种方法。这种方法为大视场和无标记成像提供了一种简单、低成本且可扩展的解决方案。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2.7×1.7cm 2 ) with micron-scale resolution across various biological tissue sections. This approach provides a simple, low-cost, and scalable solution for large-FOV and label-free imaging.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J. Opt. Soc. Am. A</w:t>
      </w:r>
    </w:p>
    <w:p>
      <w:pPr>
        <w:jc w:val="center"/>
      </w:pPr>
      <w:r>
        <w:t>--- 更新: 00:30 ---</w:t>
      </w:r>
    </w:p>
    <w:p>
      <w:pPr>
        <w:pStyle w:val="Heading2"/>
      </w:pPr>
      <w:r/>
      <w:r>
        <w:rPr>
          <w:rFonts w:ascii="Times New Roman" w:hAnsi="Times New Roman" w:eastAsia="宋体"/>
          <w:b/>
          <w:color w:val="000000"/>
          <w:sz w:val="24"/>
        </w:rPr>
        <w:t>使用快速傅里叶变换生成用于大气波光学模拟的多波长相位屏幕</w:t>
      </w:r>
    </w:p>
    <w:p>
      <w:r>
        <w:rPr>
          <w:rFonts w:ascii="Times New Roman" w:hAnsi="Times New Roman" w:eastAsia="宋体"/>
          <w:b/>
          <w:color w:val="003264"/>
          <w:sz w:val="24"/>
        </w:rPr>
        <w:t>Generating multi-wavelength phase screens for atmospheric wave optics simulations using fast Fourier transforms</w:t>
      </w:r>
    </w:p>
    <w:p>
      <w:r>
        <w:rPr>
          <w:rFonts w:ascii="Times New Roman" w:hAnsi="Times New Roman" w:eastAsia="宋体"/>
          <w:sz w:val="21"/>
        </w:rPr>
        <w:t>作者: Milo Hyde, Mark Spencer, Matthew Kalensky</w:t>
        <w:br/>
      </w:r>
      <w:r>
        <w:rPr>
          <w:rFonts w:ascii="Times New Roman" w:hAnsi="Times New Roman" w:eastAsia="宋体"/>
          <w:sz w:val="21"/>
        </w:rPr>
        <w:t xml:space="preserve">时间: 2026-01-29 | </w:t>
      </w:r>
      <w:r>
        <w:t xml:space="preserve">链接: </w:t>
      </w:r>
      <w:hyperlink r:id="rId61">
        <w:r>
          <w:rPr>
            <w:rFonts w:ascii="Times New Roman" w:hAnsi="Times New Roman" w:eastAsia="宋体"/>
            <w:color w:val="0000FF"/>
            <w:sz w:val="21"/>
            <w:u w:val="single"/>
          </w:rPr>
          <w:t>https://doi.org/10.1364/josaa.586510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使用快速傅立叶变换来合成多波长大气波光学模拟的相位屏幕的方法。我们通过将理论双波长光路长度结构函数与模拟结果进行比较来验证我们的工作，我们发现两者非常一致。我们的相位屏幕合成方法将适用于强湍流或深度湍流中的双波长自适应光学模拟。</w:t>
      </w:r>
    </w:p>
    <w:p>
      <w:pPr>
        <w:spacing w:before="120"/>
      </w:pPr>
      <w:r>
        <w:rPr>
          <w:rFonts w:ascii="Times New Roman" w:hAnsi="Times New Roman" w:eastAsia="宋体"/>
          <w:b/>
          <w:sz w:val="21"/>
        </w:rPr>
        <w:t>English Abstract:</w:t>
      </w:r>
    </w:p>
    <w:p>
      <w:r>
        <w:rPr>
          <w:rFonts w:ascii="Times New Roman" w:hAnsi="Times New Roman" w:eastAsia="宋体"/>
          <w:sz w:val="21"/>
        </w:rPr>
        <w:t>We present a method to synthesize phase screens for multi-wavelength, atmospheric wave optics simulations using fast Fourier transforms. We validate our work by comparing the theoretical, two-wavelength optical path length structure function to simulated results, and we find the two to be in excellent agreement. Our phase screen synthesis method will be useful in two-wavelength adaptive optics simulations in strong or deep turbulence.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反对称穆勒发生器作为经典偏振和量子二能级系统中几何相位的普遍起源</w:t>
      </w:r>
    </w:p>
    <w:p>
      <w:r>
        <w:rPr>
          <w:rFonts w:ascii="Times New Roman" w:hAnsi="Times New Roman" w:eastAsia="宋体"/>
          <w:b/>
          <w:color w:val="003264"/>
          <w:sz w:val="24"/>
        </w:rPr>
        <w:t>Antisymmetric Mueller generator as the universal origin of geometric phase in classical polarization and quantum two-level systems</w:t>
      </w:r>
    </w:p>
    <w:p>
      <w:r>
        <w:rPr>
          <w:rFonts w:ascii="Times New Roman" w:hAnsi="Times New Roman" w:eastAsia="宋体"/>
          <w:sz w:val="21"/>
        </w:rPr>
        <w:t>作者: Jose Gil</w:t>
        <w:br/>
      </w:r>
      <w:r>
        <w:rPr>
          <w:rFonts w:ascii="Times New Roman" w:hAnsi="Times New Roman" w:eastAsia="宋体"/>
          <w:sz w:val="21"/>
        </w:rPr>
        <w:t xml:space="preserve">时间: 2026-01-30 | </w:t>
      </w:r>
      <w:r>
        <w:t xml:space="preserve">链接: </w:t>
      </w:r>
      <w:hyperlink r:id="rId62">
        <w:r>
          <w:rPr>
            <w:rFonts w:ascii="Times New Roman" w:hAnsi="Times New Roman" w:eastAsia="宋体"/>
            <w:color w:val="0000FF"/>
            <w:sz w:val="21"/>
            <w:u w:val="single"/>
          </w:rPr>
          <w:t>https://doi.org/10.1364/josaa.586965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我们证明反对称穆勒发生器为经典偏振光学和量子二能级系统中的几何相位提供了通用代数核。对于任何理想的延迟器，其 Mueller 矩阵的反对称 3x3 块（斯托克斯矢量上的伴随 SU(2) 作用的反对称生成器）对驱动庞加莱球上切向运动的角速度矢量进行编码，并完全确定 Pancharatnam-Berry 相位，而对称块在几何上是中性的。相同的反对称生成器控制着布洛赫球上纯量子位态的演化。这种统一的观点产生了操作标准，用于识别和控制来自测量的穆勒矩阵和量子位过程断层扫描的几何相位贡献。</w:t>
      </w:r>
    </w:p>
    <w:p>
      <w:pPr>
        <w:spacing w:before="120"/>
      </w:pPr>
      <w:r>
        <w:rPr>
          <w:rFonts w:ascii="Times New Roman" w:hAnsi="Times New Roman" w:eastAsia="宋体"/>
          <w:b/>
          <w:sz w:val="21"/>
        </w:rPr>
        <w:t>English Abstract:</w:t>
      </w:r>
    </w:p>
    <w:p>
      <w:r>
        <w:rPr>
          <w:rFonts w:ascii="Times New Roman" w:hAnsi="Times New Roman" w:eastAsia="宋体"/>
          <w:sz w:val="21"/>
        </w:rPr>
        <w:t>We show that the antisymmetric Mueller generator provides a universal algebraic kernel for geometric phase in classical polarization optics and in quantum two-level systems. For any ideal retarder, the antisymmetric 3x3 block of its Mueller matrix (the antisymmetric generator of the adjoint SU(2) action on the Stokes vector) encodes the angular-velocity vector that drives the tangential motion on the Poincar\'e sphere and fully determines the Pancharatnam-Berry phase, while the symmetric block is geometrically neutral. The same antisymmetric generator governs the evolution of pure qubit states on the Bloch sphere. This unified viewpoint yields operational criteria to identify and control geometric-phase contributions from measured Mueller matrices and from qubit process tomography.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Nexus</w:t>
      </w:r>
    </w:p>
    <w:p>
      <w:pPr>
        <w:jc w:val="center"/>
      </w:pPr>
      <w:r>
        <w:t>--- 更新: 00:30 ---</w:t>
      </w:r>
    </w:p>
    <w:p>
      <w:pPr>
        <w:pStyle w:val="Heading2"/>
      </w:pPr>
      <w:r/>
      <w:r>
        <w:rPr>
          <w:rFonts w:ascii="Times New Roman" w:hAnsi="Times New Roman" w:eastAsia="宋体"/>
          <w:b/>
          <w:color w:val="000000"/>
          <w:sz w:val="24"/>
        </w:rPr>
        <w:t>通过多种散射介质实现稳健的光子级单像素成像</w:t>
      </w:r>
    </w:p>
    <w:p>
      <w:r>
        <w:rPr>
          <w:rFonts w:ascii="Times New Roman" w:hAnsi="Times New Roman" w:eastAsia="宋体"/>
          <w:b/>
          <w:color w:val="003264"/>
          <w:sz w:val="24"/>
        </w:rPr>
        <w:t>Robust photon-level single-pixel imaging through diverse scattering media</w:t>
      </w:r>
    </w:p>
    <w:p>
      <w:r>
        <w:rPr>
          <w:rFonts w:ascii="Times New Roman" w:hAnsi="Times New Roman" w:eastAsia="宋体"/>
          <w:sz w:val="21"/>
        </w:rPr>
        <w:t>作者: Futong Zhang, Kai Song, Yaoxing Bian, Shijun Zhao, Hongrui Liu, Hongda Ge, Lei Han, Yichen Yu, Weifeng Zhang, Dong Wang, Liantuan Xiao</w:t>
        <w:br/>
      </w:r>
      <w:r>
        <w:rPr>
          <w:rFonts w:ascii="Times New Roman" w:hAnsi="Times New Roman" w:eastAsia="宋体"/>
          <w:sz w:val="21"/>
        </w:rPr>
        <w:t xml:space="preserve">时间: 2026-02-13 | </w:t>
      </w:r>
      <w:r>
        <w:t xml:space="preserve">链接: </w:t>
      </w:r>
      <w:hyperlink r:id="rId63">
        <w:r>
          <w:rPr>
            <w:rFonts w:ascii="Times New Roman" w:hAnsi="Times New Roman" w:eastAsia="宋体"/>
            <w:color w:val="0000FF"/>
            <w:sz w:val="21"/>
            <w:u w:val="single"/>
          </w:rPr>
          <w:t>https://doi.org/10.1117/1.apn.5.2.026007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散射介质成像在遥感、生物医学诊断和工业检测方面具有巨大的应用潜力。然而，传统的成像系统无法在不同的环境中保持鲁棒性和通用性。在这里，我们演示了一种光子级单像素成像系统，该系统利用数据域对齐来克服这一限制。通过将物理预处理模块与深度神经网络相结合，该系统将不同散射介质的散射引起的退化转化为统一的数据域，从而保留光学信息的基本结构。在自然雾和雨条件下，该方法清晰地重建了150 m距离处的精细目标细节，在散射介质上表现出很强的鲁棒性。单次测量中每个图案每个像素 0.088 个光子，可以很好地重建 256×256 动态成像。这些结果为不同散射介质中的光子级成像建立了一个可推广的框架，并强调了其在极端大气条件下实现稳健光学成像的前景。</w:t>
      </w:r>
    </w:p>
    <w:p>
      <w:pPr>
        <w:spacing w:before="120"/>
      </w:pPr>
      <w:r>
        <w:rPr>
          <w:rFonts w:ascii="Times New Roman" w:hAnsi="Times New Roman" w:eastAsia="宋体"/>
          <w:b/>
          <w:sz w:val="21"/>
        </w:rPr>
        <w:t>English Abstract:</w:t>
      </w:r>
    </w:p>
    <w:p>
      <w:r>
        <w:rPr>
          <w:rFonts w:ascii="Times New Roman" w:hAnsi="Times New Roman" w:eastAsia="宋体"/>
          <w:sz w:val="21"/>
        </w:rPr>
        <w:t>Imaging through scattering media holds significant application potential in remote sensing, biomedical diagnostics, and industrial detection. However, conventional imaging systems fail to maintain robustness and generalization across diverse environments. Here, we demonstrate a photon-level single-pixel imaging system that exploits data-domain alignment to overcome this limitation. By coupling a physical preprocessing module with a deep neural network, the system translates scattering-induced degradations from different scattering media into a unified data domain, preserving the essential structure of the optical information. Under natural fog and rain conditions, the proposed method clearly reconstructs the fine target details at a distance of 150 m, demonstrating strong robustness across the scattering medium. With 0.088 photons per pattern per pixel in a single measurement, the 256×256 dynamic imaging is well reconstructed. These results establish a generalizable framework for photon-level imaging in diverse scattering media and highlight its promise for robust optical imaging under extreme atmospheric conditions.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00:31 ---</w:t>
      </w:r>
    </w:p>
    <w:p>
      <w:pPr>
        <w:pStyle w:val="Heading2"/>
      </w:pPr>
      <w:r/>
      <w:r>
        <w:rPr>
          <w:rFonts w:ascii="Times New Roman" w:hAnsi="Times New Roman" w:eastAsia="宋体"/>
          <w:b/>
          <w:color w:val="000000"/>
          <w:sz w:val="24"/>
        </w:rPr>
        <w:t>通过单斜双钙钛矿中的 Fe 3+ ‐Ni 2+ 能量通道和晶体场调制增强 NIR-II/III 发光</w:t>
      </w:r>
    </w:p>
    <w:p>
      <w:r>
        <w:rPr>
          <w:rFonts w:ascii="Times New Roman" w:hAnsi="Times New Roman" w:eastAsia="宋体"/>
          <w:b/>
          <w:color w:val="003264"/>
          <w:sz w:val="24"/>
        </w:rPr>
        <w:t>Boosting NIR‐II/III Luminescence via Fe 3+ ‐Ni 2+ Energy Channels and Crystal Field Modulation in Monoclinic Double Perovskites</w:t>
      </w:r>
    </w:p>
    <w:p>
      <w:r>
        <w:rPr>
          <w:rFonts w:ascii="Times New Roman" w:hAnsi="Times New Roman" w:eastAsia="宋体"/>
          <w:sz w:val="21"/>
        </w:rPr>
        <w:t>作者: Xiaomeng Wang, Jiaren Du, Hengwei Lin</w:t>
        <w:br/>
      </w:r>
      <w:r>
        <w:rPr>
          <w:rFonts w:ascii="Times New Roman" w:hAnsi="Times New Roman" w:eastAsia="宋体"/>
          <w:sz w:val="21"/>
        </w:rPr>
        <w:t xml:space="preserve">时间: 2026-02-13 | </w:t>
      </w:r>
      <w:r>
        <w:t xml:space="preserve">链接: </w:t>
      </w:r>
      <w:hyperlink r:id="rId64">
        <w:r>
          <w:rPr>
            <w:rFonts w:ascii="Times New Roman" w:hAnsi="Times New Roman" w:eastAsia="宋体"/>
            <w:color w:val="0000FF"/>
            <w:sz w:val="21"/>
            <w:u w:val="single"/>
          </w:rPr>
          <w:t>https://doi.org/10.1002/lpor.202503148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摘要：蓝光激发近红外 (NIR) 发射材料在生物成像、无损检测和夜视领域作为紧凑型光源具有巨大的潜力。然而，由于激发-发射斯托克斯位移较大以及 f – f 或 d – d 跃迁的禁禁性质，在蓝色激发下实现高效的 NIR-II/III (1000–1800 nm) 发射仍然具有挑战性。在这项研究中，我们报道了Ni 2 + 掺杂的单斜晶双钙钛矿Ca 2 ScTaO 6 ，它表现出宽带NIR-II/III，半峰全宽为240 nm，在425 nm激发时光致发光量子产率约为21%。 Fe 3+ 离子的掺入通过从Fe 3+ 到Ni 2+ 的能量转移途径和晶体场调制将光致发光量子产率显着提高至约37%。结构和光谱研究表明，Fe 3+ 离子存在于不同的晶格位点，导致局部变形，促进 Ni 2+ 中 d – d 跃迁的弛豫。利用 Ca 2 ScTaO 6 :Fe 3+ , Ni 2+ 的原型近红外发光二极管表现出强烈的 NIR-II/III 发射，有助于可视化各种材料（包括水果、胶囊、肉类和硅片）的亚表面损伤。这项工作展示了通过协同能量转移和晶体场工程设计蓝光激发近红外材料的有效策略。</w:t>
      </w:r>
    </w:p>
    <w:p>
      <w:pPr>
        <w:spacing w:before="120"/>
      </w:pPr>
      <w:r>
        <w:rPr>
          <w:rFonts w:ascii="Times New Roman" w:hAnsi="Times New Roman" w:eastAsia="宋体"/>
          <w:b/>
          <w:sz w:val="21"/>
        </w:rPr>
        <w:t>English Abstract:</w:t>
      </w:r>
    </w:p>
    <w:p>
      <w:r>
        <w:rPr>
          <w:rFonts w:ascii="Times New Roman" w:hAnsi="Times New Roman" w:eastAsia="宋体"/>
          <w:sz w:val="21"/>
        </w:rPr>
        <w:t>ABSTRACT Blue‐light‐excitable near‐infrared (NIR) emitting materials exhibit significant potential for compact light sources in bioimaging, nondestructive detection, and night vision. However, achieving efficient NIR‐II/III (1000–1800 nm) emission under blue excitation remains challenging due to the large excitation–emission Stokes shift and the forbidden nature of f – f or d – d transitions. In this study, we report on the Ni 2 + ‐doped monoclinic double perovskite Ca 2 ScTaO 6 , which exhibits broadband NIR‐II/III with a full width at half maximum of 240 nm and a photoluminescence quantum yield of approximately 21% when excited at 425 nm. The incorporation of Fe 3+ ions significantly improves the photoluminescence quantum yield to approximately 37% through energy transfer pathways from Fe 3+ to Ni 2+ and crystal field modulation. Structural and spectroscopic investigations reveal the presence of Fe 3+ ions at various lattice sites, resulting in localized distortions that facilitate the relaxation of d – d transitions in Ni 2+ . A prototype NIR light‐emitting diode utilizing Ca 2 ScTaO 6 :Fe 3+ , Ni 2+ exhibits strong NIR‐II/III emission, facilitating the visualization of subsurface damage in various materials, including fruits, capsules, meat, and silicon wafers. This work demonstrates an effective strategy for designing blue‐light‐excitable NIR materials through synergistic energy transfer and crystal field engineering.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Cr 3 + 激活钽酸盐中的超稳定、自恢复和宽带可调谐近红外机械发光</w:t>
      </w:r>
    </w:p>
    <w:p>
      <w:r>
        <w:rPr>
          <w:rFonts w:ascii="Times New Roman" w:hAnsi="Times New Roman" w:eastAsia="宋体"/>
          <w:b/>
          <w:color w:val="003264"/>
          <w:sz w:val="24"/>
        </w:rPr>
        <w:t>Ultrastable, Self‐Recoverable and Broadband‐Tunable NIR Mechanoluminescence in Cr 3 + ‐Activated Tantalates</w:t>
      </w:r>
    </w:p>
    <w:p>
      <w:r>
        <w:rPr>
          <w:rFonts w:ascii="Times New Roman" w:hAnsi="Times New Roman" w:eastAsia="宋体"/>
          <w:sz w:val="21"/>
        </w:rPr>
        <w:t>作者: Wei Liu, Zexiong Zhou, Lin Li, Yu Zhang, Guihua Li, Xiaoyu Yao, Xinxin Yang, Qianli Li, Junben Huang, Guanghui Rao, Hao Suo, Jingtai Zhao</w:t>
        <w:br/>
      </w:r>
      <w:r>
        <w:rPr>
          <w:rFonts w:ascii="Times New Roman" w:hAnsi="Times New Roman" w:eastAsia="宋体"/>
          <w:sz w:val="21"/>
        </w:rPr>
        <w:t xml:space="preserve">时间: 2026-02-13 | </w:t>
      </w:r>
      <w:r>
        <w:t xml:space="preserve">链接: </w:t>
      </w:r>
      <w:hyperlink r:id="rId65">
        <w:r>
          <w:rPr>
            <w:rFonts w:ascii="Times New Roman" w:hAnsi="Times New Roman" w:eastAsia="宋体"/>
            <w:color w:val="0000FF"/>
            <w:sz w:val="21"/>
            <w:u w:val="single"/>
          </w:rPr>
          <w:t>https://doi.org/10.1002/lpor.202502922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摘要：近红外机械发光（NIR ML）材料有望实现原位应力可视化和无损体内诊断，但大多数报道的系统都存在预辐照要求、发射带宽窄或环境稳定性差的问题。在此，我们报道了一系列 Cr 3+ 激活的双钙钛矿钽酸盐，它们通过成分工程克服了这些限制。通过控制局部晶体场，无需预照射的 NIR ML 可以在较宽的波长范围（782-844 nm）内连续调谐，达到 160 nm 的最大半峰全宽（FWHM）。机理研究表明，自恢复ML源于局部压电场驱动的载流子传输，而不是陷阱控制的过程。值得注意的是，即使直接浸泡超过 3000 小时，宽带 NIR ML 仍表现出优异的耐水和有机溶剂性能，性能也没有明显下降，优于最先进的 NIR-ML 材料（即 CaZnOS:Nd 3+ ）。因此，ML复合膜能够通过5毫米的猪肉组织进行实时、高分辨率的生物力学成像。这项工作引入了高性能自恢复近红外机器学习材料系统的稳健设计策略，为应力传感和无损体内诊断等高级应用建立了多功能平台。</w:t>
      </w:r>
    </w:p>
    <w:p>
      <w:pPr>
        <w:spacing w:before="120"/>
      </w:pPr>
      <w:r>
        <w:rPr>
          <w:rFonts w:ascii="Times New Roman" w:hAnsi="Times New Roman" w:eastAsia="宋体"/>
          <w:b/>
          <w:sz w:val="21"/>
        </w:rPr>
        <w:t>English Abstract:</w:t>
      </w:r>
    </w:p>
    <w:p>
      <w:r>
        <w:rPr>
          <w:rFonts w:ascii="Times New Roman" w:hAnsi="Times New Roman" w:eastAsia="宋体"/>
          <w:sz w:val="21"/>
        </w:rPr>
        <w:t>ABSTRACT Near‐infrared mechanoluminescence (NIR ML) materials hold promise for in situ stress visualization and non‐destructive in vivo diagnostics, but most reported systems suffer from pre‐irradiation requirements, narrow emission bandwidth, or poor environmental stability. Herein, we report a family of Cr 3+ ‐activated double perovskite tantalates that overcome these limitations via compositional engineering. Through controlling the local crystal‐field, the NIR ML without pre‐irradiation can be continuously tuned across a broad wavelength range (782–844 nm), reaching a maximum full width at half maximum (FWHM) of 160 nm. Mechanistic studies reveal that the self‐recoverable ML arises from local piezoelectric‐field‐driven carrier transportation, rather than the trap‐controlled process. Remarkably, the broadband NIR ML exhibits exceptional resistance to water and organic solvents without noticeable performance degradation even after over 3000 h of direct immersion, outperforming the state‐of‐the‐art NIR‐ML material (i.e., CaZnOS:Nd 3+ ). Accordingly, the ML composite film enabled real‐time and high‐resolution biomechanical imaging through 5 mm of pork tissue. This work introduces a robust design strategy for high‐performance self‐recoverable NIR ML material systems, establishing a versatile platform for advanced applications such as stress sensing and non‐destructive in vivo diagnostics.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用于辅助红绿色视觉缺陷的人工视觉突触</w:t>
      </w:r>
    </w:p>
    <w:p>
      <w:r>
        <w:rPr>
          <w:rFonts w:ascii="Times New Roman" w:hAnsi="Times New Roman" w:eastAsia="宋体"/>
          <w:b/>
          <w:color w:val="003264"/>
          <w:sz w:val="24"/>
        </w:rPr>
        <w:t>Artificial Visual Synapses for Assisting Red‐Green Color Vision Deficiency</w:t>
      </w:r>
    </w:p>
    <w:p>
      <w:r>
        <w:rPr>
          <w:rFonts w:ascii="Times New Roman" w:hAnsi="Times New Roman" w:eastAsia="宋体"/>
          <w:sz w:val="21"/>
        </w:rPr>
        <w:t>作者: Haohong Jiang, Yuanhong Hu, Tongzhou Wei, Lixiang Chen, Qiaoming Zhang, Yanlian Lei</w:t>
        <w:br/>
      </w:r>
      <w:r>
        <w:rPr>
          <w:rFonts w:ascii="Times New Roman" w:hAnsi="Times New Roman" w:eastAsia="宋体"/>
          <w:sz w:val="21"/>
        </w:rPr>
        <w:t xml:space="preserve">时间: 2026-02-13 | </w:t>
      </w:r>
      <w:r>
        <w:t xml:space="preserve">链接: </w:t>
      </w:r>
      <w:hyperlink r:id="rId66">
        <w:r>
          <w:rPr>
            <w:rFonts w:ascii="Times New Roman" w:hAnsi="Times New Roman" w:eastAsia="宋体"/>
            <w:color w:val="0000FF"/>
            <w:sz w:val="21"/>
            <w:u w:val="single"/>
          </w:rPr>
          <w:t>https://doi.org/10.1002/lpor.202502220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色觉对于人类感知至关重要，但红绿色视觉缺陷 (CVD) 影响了数百万人，并对色觉辨别提出了重大挑战。现有的辅助技术通常是静态的，并且会扭曲真实的色彩感知。在这项研究中，我们介绍了一种新型光突触装置，旨在通过将光子信号转换为数字突触电流来增强红绿 CVD 患者的色觉辨别能力。与模拟红绿色盲的控制设备相比，我们的设备利用基于聚（3-己基噻吩）（P3HT）的有机异质结，红光和绿光之间的波长辨别力提高了十倍。当与人工神经网络集成时，该设备在识别复杂的色彩模式方面表现出高达 92% 的准确率。我们的研究结果进一步证明了该设备具有增强色弱个体颜色识别能力的潜力，从而能够更有效地区分复杂的图案。这项工作为增强色彩感知提供了强大的解决方案，并为专注于感官恢复的下一代生物电子系统奠定了基础。</w:t>
      </w:r>
    </w:p>
    <w:p>
      <w:pPr>
        <w:spacing w:before="120"/>
      </w:pPr>
      <w:r>
        <w:rPr>
          <w:rFonts w:ascii="Times New Roman" w:hAnsi="Times New Roman" w:eastAsia="宋体"/>
          <w:b/>
          <w:sz w:val="21"/>
        </w:rPr>
        <w:t>English Abstract:</w:t>
      </w:r>
    </w:p>
    <w:p>
      <w:r>
        <w:rPr>
          <w:rFonts w:ascii="Times New Roman" w:hAnsi="Times New Roman" w:eastAsia="宋体"/>
          <w:sz w:val="21"/>
        </w:rPr>
        <w:t>ABSTRACT Color vision is essential for human perception, yet red‐green color vision deficiency (CVD) affects millions and poses significant challenges for chromatic discrimination. Existing assistive technologies are often static and distort true color perception. In this study, we introduce a novel photo‐synaptic device designed to enhance chromatic discrimination for individuals with red‐green CVD by converting photonic signals into digital synaptic currents. Utilizing a poly(3‐hexylthiophene) (P3HT)‐based organic heterojunction, our device achieves a tenfold improvement in wavelength discrimination between red and green light compared to a control device that mimics red‐green color blindness. When integrated with artificial neural networks, the device demonstrates a remarkable 92% accuracy in recognizing complex chromatic patterns. Our findings further demonstrate the device's potential to enhance color recognition for individuals with color weakness, enabling more effective differentiation of intricate patterns. This work provides a robust solution for enhancing color perception and lays the groundwork for next‐generation bioelectronic systems focused on sensory restoration.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ACM Trans. Graphics (TOG)</w:t>
      </w:r>
    </w:p>
    <w:p>
      <w:pPr>
        <w:jc w:val="center"/>
      </w:pPr>
      <w:r>
        <w:t>--- 更新: 00:31 ---</w:t>
      </w:r>
    </w:p>
    <w:p>
      <w:pPr>
        <w:pStyle w:val="Heading2"/>
      </w:pPr>
      <w:r/>
      <w:r>
        <w:rPr>
          <w:rFonts w:ascii="Times New Roman" w:hAnsi="Times New Roman" w:eastAsia="宋体"/>
          <w:b/>
          <w:color w:val="000000"/>
          <w:sz w:val="24"/>
        </w:rPr>
        <w:t>准内侧距离场（Q-MDF）：一种近似和离散神经内侧轴的稳健方法</w:t>
      </w:r>
    </w:p>
    <w:p>
      <w:r>
        <w:rPr>
          <w:rFonts w:ascii="Times New Roman" w:hAnsi="Times New Roman" w:eastAsia="宋体"/>
          <w:b/>
          <w:color w:val="003264"/>
          <w:sz w:val="24"/>
        </w:rPr>
        <w:t>Quasi-Medial Distance Field (Q-MDF): A Robust Method for Approximating and Discretizing Neural Medial Axes</w:t>
      </w:r>
    </w:p>
    <w:p>
      <w:r>
        <w:rPr>
          <w:rFonts w:ascii="Times New Roman" w:hAnsi="Times New Roman" w:eastAsia="宋体"/>
          <w:sz w:val="21"/>
        </w:rPr>
        <w:t>作者: Jiayi Kong, Chen Zong, Jun Luo, Shiqing Xin, Fei Hou, Hanqing Jiang, Chen Qian, Ying He</w:t>
        <w:br/>
      </w:r>
      <w:r>
        <w:rPr>
          <w:rFonts w:ascii="Times New Roman" w:hAnsi="Times New Roman" w:eastAsia="宋体"/>
          <w:sz w:val="21"/>
        </w:rPr>
        <w:t xml:space="preserve">时间: 2026-02-13 | </w:t>
      </w:r>
      <w:r>
        <w:t xml:space="preserve">链接: </w:t>
      </w:r>
      <w:hyperlink r:id="rId67">
        <w:r>
          <w:rPr>
            <w:rFonts w:ascii="Times New Roman" w:hAnsi="Times New Roman" w:eastAsia="宋体"/>
            <w:color w:val="0000FF"/>
            <w:sz w:val="21"/>
            <w:u w:val="single"/>
          </w:rPr>
          <w:t>https://doi.org/10.1145/3795772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中轴是一种捕捉形状外部结构的低维描述符，在数字几何处理中发挥着重要作用。尽管它很重要，但根据不同的输入（尤其是有缺陷的点云）稳健地计算中轴变换仍然是一个具有挑战性的问题。在本文中，我们提出了一种不同于传统显式中轴计算的新隐式方法。我们的关键技术见解是，实体形状的有符号距离场 (SDF) 和中间场 (MF) 之间的差异与形状中轴的无符号距离场 (UDF) 相关。这一观察结果使我们能够将中轴提取表示为隐式重建问题。通过采用改进的双重覆盖策略，我们将中轴恢复为 UDF 的零水平集。大量的实验表明，我们的方法在从具有挑战性的网格和点云学习紧凑中轴变换方面实现了更高的准确性和鲁棒性，优于现有方法。</w:t>
      </w:r>
    </w:p>
    <w:p>
      <w:pPr>
        <w:spacing w:before="120"/>
      </w:pPr>
      <w:r>
        <w:rPr>
          <w:rFonts w:ascii="Times New Roman" w:hAnsi="Times New Roman" w:eastAsia="宋体"/>
          <w:b/>
          <w:sz w:val="21"/>
        </w:rPr>
        <w:t>English Abstract:</w:t>
      </w:r>
    </w:p>
    <w:p>
      <w:r>
        <w:rPr>
          <w:rFonts w:ascii="Times New Roman" w:hAnsi="Times New Roman" w:eastAsia="宋体"/>
          <w:sz w:val="21"/>
        </w:rPr>
        <w:t>The medial axis, a lower-dimensional descriptor that captures the extrinsic structure of a shape, plays an important role in digital geometry processing. Despite its importance, computing the medial axis transform robustly from diverse inputs, especially point clouds with defects, remains a challenging problem. In this paper, we propose a new implicit method that deviates from traditional explicit medial axis computation. Our key technical insight is that the difference between the signed distance field (SDF) and the medial field (MF) of a solid shape relates to the unsigned distance field (UDF) of the shape’s medial axis. This observation allows us to formulate medial axis extraction as an implicit reconstruction problem. By employing a modified double covering strategy, we recover the medial axis as the zero level-set of the UDF. Extensive experiments demonstrate that our method achieves higher accuracy and robustness in learning compact medial axis transforms from challenging meshes and point clouds, outperforming existing approaches.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Science Advances</w:t>
      </w:r>
    </w:p>
    <w:p>
      <w:pPr>
        <w:jc w:val="center"/>
      </w:pPr>
      <w:r>
        <w:t>--- 更新: 06:27 ---</w:t>
      </w:r>
    </w:p>
    <w:p>
      <w:pPr>
        <w:pStyle w:val="Heading2"/>
      </w:pPr>
      <w:r/>
      <w:r>
        <w:rPr>
          <w:rFonts w:ascii="Times New Roman" w:hAnsi="Times New Roman" w:eastAsia="宋体"/>
          <w:b/>
          <w:color w:val="000000"/>
          <w:sz w:val="24"/>
        </w:rPr>
        <w:t>通过掺杂剂控制的化学气相沉积打破整个可见光谱范围内非晶硅的光损耗障碍</w:t>
      </w:r>
    </w:p>
    <w:p>
      <w:r>
        <w:rPr>
          <w:rFonts w:ascii="Times New Roman" w:hAnsi="Times New Roman" w:eastAsia="宋体"/>
          <w:b/>
          <w:color w:val="003264"/>
          <w:sz w:val="24"/>
        </w:rPr>
        <w:t>Breaking the optical loss barrier in amorphous silicon across the full visible spectrum via dopant-controlled chemical vapor deposition</w:t>
      </w:r>
    </w:p>
    <w:p>
      <w:r>
        <w:rPr>
          <w:rFonts w:ascii="Times New Roman" w:hAnsi="Times New Roman" w:eastAsia="宋体"/>
          <w:sz w:val="21"/>
        </w:rPr>
        <w:t>作者: Younghwan Yang, Hyeonae Im, Eunji Lee, Hyunjung Kang, Junhwa Seong, Yujin Park, Dohyun Kang, Jeong Woo Han, Junsuk Rho</w:t>
        <w:br/>
      </w:r>
      <w:r>
        <w:rPr>
          <w:rFonts w:ascii="Times New Roman" w:hAnsi="Times New Roman" w:eastAsia="宋体"/>
          <w:sz w:val="21"/>
        </w:rPr>
        <w:t xml:space="preserve">时间: 2026-02-13 | </w:t>
      </w:r>
      <w:r>
        <w:t xml:space="preserve">链接: </w:t>
      </w:r>
      <w:hyperlink r:id="rId70">
        <w:r>
          <w:rPr>
            <w:rFonts w:ascii="Times New Roman" w:hAnsi="Times New Roman" w:eastAsia="宋体"/>
            <w:color w:val="0000FF"/>
            <w:sz w:val="21"/>
            <w:u w:val="single"/>
          </w:rPr>
          <w:t>https://doi.org/10.1126/sciadv.ady0344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在纳米光子结构中的传播受组成材料的折射率和光学色散的控制。然而，电介质的选择通常受到透明度窗口的限制。我们介绍了用于超表面的硅基介电材料工艺的对象驱动工程：具有3.48高折射率的可见透明氢化非晶硅（a-Si:H）和表现出强色散（阿贝数&lt;10）的氧掺杂a-Si:H（a-SiO x :H）。这两种薄膜都是通过化学气相沉积制造的，精确控制原子键合和掺杂剂，揭示了光学特性和非晶硅网络之间的联系。我们证明了 a-Si:H 在超透镜中的有效性，在 450、532 和 635 纳米处的转换效率分别为 66.3、92.0 和 97.0%。此外，波长解耦的a-SiO x :H分束器在450和635纳米之间实现了3.67倍的转向强度对比度。这些材料拓宽了介电设计空间并增强了纳米光子器件在可见光谱范围内的性能。</w:t>
      </w:r>
    </w:p>
    <w:p>
      <w:pPr>
        <w:spacing w:before="120"/>
      </w:pPr>
      <w:r>
        <w:rPr>
          <w:rFonts w:ascii="Times New Roman" w:hAnsi="Times New Roman" w:eastAsia="宋体"/>
          <w:b/>
          <w:sz w:val="21"/>
        </w:rPr>
        <w:t>English Abstract:</w:t>
      </w:r>
    </w:p>
    <w:p>
      <w:r>
        <w:rPr>
          <w:rFonts w:ascii="Times New Roman" w:hAnsi="Times New Roman" w:eastAsia="宋体"/>
          <w:sz w:val="21"/>
        </w:rPr>
        <w:t>The propagation of light in nanophotonic structures is governed by the refractive index and optical dispersion of constituent materials. However, the choice of dielectrics is often restricted within the transparency window. We introduce object-driven engineering of the process of silicon-based dielectric materials for metasurfaces: visibly transparent hydrogenated amorphous silicon (a-Si:H) with a high refractive index of 3.48 and oxygen-doped a-Si:H (a-SiO x :H) exhibiting strong dispersion (Abbe number &lt; 10). Both films are fabricated via chemical vapor deposition with precise control over atomic bonding and dopants, revealing the link between optical properties and the amorphous silicon network. We demonstrate the effectiveness of a-Si:H in metalenses with conversion efficiencies of 66.3, 92.0, and 97.0% at 450, 532, and 635 nanometers, respectively. In addition, a wavelength-decoupled a-SiO x :H beam-splitter achieves a 3.67-fold steering intensity contrast between 450 and 635 nanometers. These materials broaden the dielectric design space and enhance the performance of nanophotonic devices across the visible spectrum.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微管蛋白聚合动力学受到与自由基对机制一致的磁同位素效应的影响</w:t>
      </w:r>
    </w:p>
    <w:p>
      <w:r>
        <w:rPr>
          <w:rFonts w:ascii="Times New Roman" w:hAnsi="Times New Roman" w:eastAsia="宋体"/>
          <w:b/>
          <w:color w:val="003264"/>
          <w:sz w:val="24"/>
        </w:rPr>
        <w:t>Tubulin polymerization dynamics are influenced by magnetic isotope effects consistent with the radical pair mechanism</w:t>
      </w:r>
    </w:p>
    <w:p>
      <w:r>
        <w:rPr>
          <w:rFonts w:ascii="Times New Roman" w:hAnsi="Times New Roman" w:eastAsia="宋体"/>
          <w:sz w:val="21"/>
        </w:rPr>
        <w:t>作者: Hadi Zadeh-Haghighi, Caleb R. Siguenza, Robert P. Smith, Christoph Simon, Travis J. A. Craddock</w:t>
        <w:br/>
      </w:r>
      <w:r>
        <w:rPr>
          <w:rFonts w:ascii="Times New Roman" w:hAnsi="Times New Roman" w:eastAsia="宋体"/>
          <w:sz w:val="21"/>
        </w:rPr>
        <w:t xml:space="preserve">时间: 2026-02-13 | </w:t>
      </w:r>
      <w:r>
        <w:t xml:space="preserve">链接: </w:t>
      </w:r>
      <w:hyperlink r:id="rId71">
        <w:r>
          <w:rPr>
            <w:rFonts w:ascii="Times New Roman" w:hAnsi="Times New Roman" w:eastAsia="宋体"/>
            <w:color w:val="0000FF"/>
            <w:sz w:val="21"/>
            <w:u w:val="single"/>
          </w:rPr>
          <w:t>https://doi.org/10.1126/sciadv.ady8317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弱磁场已被证明会影响生物过程；然而，潜在的机制仍然未知，因为所涉及的能量远低于热能，这对经典解释提出了挑战。微管细胞骨架纤维由于其自组装能力、对磁场的敏感性及其在细胞过程中的核心作用，提供了测试弱磁场效应的理想系统。在这项研究中，我们结合实验和模拟，通过检查镁同位素取代和弱磁场之间的相互作用来探索核自旋动力学如何影响微管聚合。我们的实验揭示了由核自旋特性明确引起的同位素依赖性效应。这种核自旋驱动效应在施加的 3 毫特斯拉弱磁场下得到增强。我们的理论自由基对模型与我们的实验观察达到了定量一致。这些结果支持了量子自旋动力学和微管组装之间的联系，为弱磁场如何影响生物分子功能提供了进一步的见解。</w:t>
      </w:r>
    </w:p>
    <w:p>
      <w:pPr>
        <w:spacing w:before="120"/>
      </w:pPr>
      <w:r>
        <w:rPr>
          <w:rFonts w:ascii="Times New Roman" w:hAnsi="Times New Roman" w:eastAsia="宋体"/>
          <w:b/>
          <w:sz w:val="21"/>
        </w:rPr>
        <w:t>English Abstract:</w:t>
      </w:r>
    </w:p>
    <w:p>
      <w:r>
        <w:rPr>
          <w:rFonts w:ascii="Times New Roman" w:hAnsi="Times New Roman" w:eastAsia="宋体"/>
          <w:sz w:val="21"/>
        </w:rPr>
        <w:t>Weak magnetic fields have been shown to influence biological processes; however, the underlying mechanisms remain unknown as the energies involved are far below thermal energies challenging classical explanations. Microtubule cytoskeletal fibers offer an ideal system to test weak magnetic field effects due to their self-assembling capabilities, sensitivity to magnetic fields, and their central role in cellular processes. In this study, we use a combination of experiments and simulations to explore how nuclear spin dynamics affect microtubule polymerization by examining interactions between magnesium isotope substitution and weak magnetic fields. Our experiments reveal an isotope-dependent effect explicitly arising from nuclear spin properties. This nuclear spin-driven effect is enhanced under an applied weak 3-millitesla magnetic field. Our theoretical radical pair model achieves quantitative agreement with our experimental observations. These results support a connection between quantum spin dynamics and microtubule assembly, providing further insights into how weak magnetic fields may influence biomolecular functions.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非典型变构激动剂揭示异聚甘氨酸受体结构域偶联的结构基础</w:t>
      </w:r>
    </w:p>
    <w:p>
      <w:r>
        <w:rPr>
          <w:rFonts w:ascii="Times New Roman" w:hAnsi="Times New Roman" w:eastAsia="宋体"/>
          <w:b/>
          <w:color w:val="003264"/>
          <w:sz w:val="24"/>
        </w:rPr>
        <w:t>Structural basis for domain coupling in heteromeric glycine receptors revealed by an atypical allosteric agonist</w:t>
      </w:r>
    </w:p>
    <w:p>
      <w:r>
        <w:rPr>
          <w:rFonts w:ascii="Times New Roman" w:hAnsi="Times New Roman" w:eastAsia="宋体"/>
          <w:sz w:val="21"/>
        </w:rPr>
        <w:t>作者: Eric Gibbs, Bjarne Feddersen, Kayla J. Kindig, David Seiferth, Philip C. Biggin, Sudha Chakrapani</w:t>
        <w:br/>
      </w:r>
      <w:r>
        <w:rPr>
          <w:rFonts w:ascii="Times New Roman" w:hAnsi="Times New Roman" w:eastAsia="宋体"/>
          <w:sz w:val="21"/>
        </w:rPr>
        <w:t xml:space="preserve">时间: 2026-02-13 | </w:t>
      </w:r>
      <w:r>
        <w:t xml:space="preserve">链接: </w:t>
      </w:r>
      <w:hyperlink r:id="rId72">
        <w:r>
          <w:rPr>
            <w:rFonts w:ascii="Times New Roman" w:hAnsi="Times New Roman" w:eastAsia="宋体"/>
            <w:color w:val="0000FF"/>
            <w:sz w:val="21"/>
            <w:u w:val="single"/>
          </w:rPr>
          <w:t>https://doi.org/10.1126/sciadv.aeb2036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甘氨酸受体 (GlyR)、五聚体配体门控离子通道 (pLGIC) 介导感觉和运动功能。 GlyR 功能状态已得到很好的表征；然而，国家之间过渡的结构细节仍未确定。在这里，我们确定了不同浓度的伊维菌素（一种跨膜结构域（TMD）变构激动剂）和饱和浓度的士的宁（一种细胞外结构域（ECD）竞争性拮抗剂）下GlyRα1β（带有gephyrin E结构域）的冷冻电子显微镜结构。电生理学表明，即使存在士的宁，伊维菌素也会激活 GlyR。具有两种配体的结构揭示了以脱敏TMD和封闭构象与脱敏构象之间的ECD为特征的中间状态，提供了对域协同性和配体功效的见解。分子动力学模拟显示伊维菌素如何影响士的宁动力学。这些数据支持这样一个模型：伊维菌素通过一致且近对称的 TMD 机制激活 GlyR，而变构 ECD 运动是分级的且空间异质的。这些发现揭示了 GlyR 门控的意外特征，并建立了适用于 pLGIC 的变构调节原理。</w:t>
      </w:r>
    </w:p>
    <w:p>
      <w:pPr>
        <w:spacing w:before="120"/>
      </w:pPr>
      <w:r>
        <w:rPr>
          <w:rFonts w:ascii="Times New Roman" w:hAnsi="Times New Roman" w:eastAsia="宋体"/>
          <w:b/>
          <w:sz w:val="21"/>
        </w:rPr>
        <w:t>English Abstract:</w:t>
      </w:r>
    </w:p>
    <w:p>
      <w:r>
        <w:rPr>
          <w:rFonts w:ascii="Times New Roman" w:hAnsi="Times New Roman" w:eastAsia="宋体"/>
          <w:sz w:val="21"/>
        </w:rPr>
        <w:t>Glycine receptors (GlyRs), pentameric ligand-gated ion channels (pLGICs), mediate sensory and motor functions. GlyR functional states are well characterized; however, structural details of transitions between states remain undefined. Here, we determined cryo–electron microscopy structures of GlyRα1β (with gephyrin E-domain) at varying concentrations of ivermectin, a transmembrane domain (TMD) allosteric agonist, and at saturating concentrations of strychnine, a competitive antagonist at the extracellular domain (ECD). Electrophysiology shows that ivermectin activates GlyR even with strychnine present. Structures with both ligands reveal intermediate states featuring a desensitized TMD and an ECD between closed and desensitized conformations, providing insights into domain cooperativity and ligand efficacy. Molecular dynamics simulations show how ivermectin affects strychnine dynamics. These data support a model where ivermectin activates GlyRs through a concerted and near-symmetric TMD mechanism, whereas allosteric ECD motions are graded and spatially heterogeneous. These findings reveal unanticipated features of GlyR gating and establish principles of allosteric modulation applicable to pLGICs.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用于微型投影仪的气相沉积碘化铜簇基发光二极管</w:t>
      </w:r>
    </w:p>
    <w:p>
      <w:r>
        <w:rPr>
          <w:rFonts w:ascii="Times New Roman" w:hAnsi="Times New Roman" w:eastAsia="宋体"/>
          <w:b/>
          <w:color w:val="003264"/>
          <w:sz w:val="24"/>
        </w:rPr>
        <w:t>Vapor-deposited copper iodide cluster–based light-emitting diodes for pico-projector</w:t>
      </w:r>
    </w:p>
    <w:p>
      <w:r>
        <w:rPr>
          <w:rFonts w:ascii="Times New Roman" w:hAnsi="Times New Roman" w:eastAsia="宋体"/>
          <w:sz w:val="21"/>
        </w:rPr>
        <w:t>作者: Yiqi Luo, Longbo Yang, Xiang Zhang, Jianfeng Ou, Fang Wang, Jiang Tang, Jiajun Luo</w:t>
        <w:br/>
      </w:r>
      <w:r>
        <w:rPr>
          <w:rFonts w:ascii="Times New Roman" w:hAnsi="Times New Roman" w:eastAsia="宋体"/>
          <w:sz w:val="21"/>
        </w:rPr>
        <w:t xml:space="preserve">时间: 2026-02-13 | </w:t>
      </w:r>
      <w:r>
        <w:t xml:space="preserve">链接: </w:t>
      </w:r>
      <w:hyperlink r:id="rId73">
        <w:r>
          <w:rPr>
            <w:rFonts w:ascii="Times New Roman" w:hAnsi="Times New Roman" w:eastAsia="宋体"/>
            <w:color w:val="0000FF"/>
            <w:sz w:val="21"/>
            <w:u w:val="single"/>
          </w:rPr>
          <w:t>https://doi.org/10.1126/sciadv.adz9942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气相沉积金属卤化物团簇已在下一代照明和显示应用中展现出巨大的潜力。然而，通过干反应技术在基底上直接合成高发射材料受到化学反应不充分和前驱体聚集的限制，导致与溶液处理的同类材料相比，器件性能较差。在这里，我们报告了通过设计有机配体的立体位阻，一步真空合成沉积碘化铜（I）簇，其光致发光量子产率接近一致。当碘化铜(I)和3,5-二(9H-咔唑-9-基)吡啶(35DCzPPy)共沉积时，吡啶基团附近空间位阻最小，[35DCzPPy] 4 Cu 2 I 2 簇均匀组装，没有铜-铜聚集。因此，基于团簇的发光二极管 (LED) 的峰值外量子效率为 19.4%，最大亮度为每平方米 34,232 坎德拉，并且在每平方米 100 坎德拉下的工作 T 50 寿命创纪录为 4186 小时。此外，我们将 LED 集成到有源矩阵 (AM) 集群 LED (CLED) 显示面板的背板驱动器上，从而实现了高动态范围微型投影仪的原型。我们的结果证明了气相沉积卤化铜簇在下一代照明和显示器中的潜力。</w:t>
      </w:r>
    </w:p>
    <w:p>
      <w:pPr>
        <w:spacing w:before="120"/>
      </w:pPr>
      <w:r>
        <w:rPr>
          <w:rFonts w:ascii="Times New Roman" w:hAnsi="Times New Roman" w:eastAsia="宋体"/>
          <w:b/>
          <w:sz w:val="21"/>
        </w:rPr>
        <w:t>English Abstract:</w:t>
      </w:r>
    </w:p>
    <w:p>
      <w:r>
        <w:rPr>
          <w:rFonts w:ascii="Times New Roman" w:hAnsi="Times New Roman" w:eastAsia="宋体"/>
          <w:sz w:val="21"/>
        </w:rPr>
        <w:t>Vapor-deposited metal halide clusters have demonstrated great potential for next-generation lighting and display applications. However, the direct synthesis-on-substrate of highly emissive materials via dry reaction technique is restricted by insufficient chemical reaction and precursor aggregation, leading to inferior device performance compared to their solution-processed counterparts. Here, we report a one-step vacuum synthesis deposition of copper(I) iodide clusters with near-unity photoluminescence quantum yields by engineering the stereohindrance of the organic ligand. When codeposited copper(I) iodide and 3,5-di(9H-carbazol-9-yl)pyridine (35DCzPPy) with minimal steric hindrance near the pyridine group, [35DCzPPy] 4 Cu 2 I 2 clusters are uniformly assembled without copper-copper aggregation. Consequently, light-emitting diodes (LEDs) based on clusters show a peak external quantum efficiency of 19.4%, a maximum luminance of 34,232 candelas per square meter, and a record operating T 50 lifetime of 4186 hours at 100 candelas per square meter. Moreover, we integrated the LEDs onto backplane drivers for active-matrix (AM) cluster LED (CLED) display panels, which enables the prototype of a high–dynamic-range pico-projector. Our results demonstrate the potential of vapor-deposited copper halide clusters for next-generation lighting and displays.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正色散 x 切割铌酸锂微谐振器中的高效宽带克尔梳发生</w:t>
      </w:r>
    </w:p>
    <w:p>
      <w:r>
        <w:rPr>
          <w:rFonts w:ascii="Times New Roman" w:hAnsi="Times New Roman" w:eastAsia="宋体"/>
          <w:b/>
          <w:color w:val="003264"/>
          <w:sz w:val="24"/>
        </w:rPr>
        <w:t>High-efficiency and broadband Kerr comb generation in normal-dispersion x-cut lithium niobate microresonators</w:t>
      </w:r>
    </w:p>
    <w:p>
      <w:r>
        <w:rPr>
          <w:rFonts w:ascii="Times New Roman" w:hAnsi="Times New Roman" w:eastAsia="宋体"/>
          <w:sz w:val="21"/>
        </w:rPr>
        <w:t>作者: Yunxiang Song, Zongda Li, Xinrui Zhu, Norman Lippok, Miro Erkintalo, Marko Lončar</w:t>
        <w:br/>
      </w:r>
      <w:r>
        <w:rPr>
          <w:rFonts w:ascii="Times New Roman" w:hAnsi="Times New Roman" w:eastAsia="宋体"/>
          <w:sz w:val="21"/>
        </w:rPr>
        <w:t xml:space="preserve">时间: 2026-02-13 | </w:t>
      </w:r>
      <w:r>
        <w:t xml:space="preserve">链接: </w:t>
      </w:r>
      <w:hyperlink r:id="rId74">
        <w:r>
          <w:rPr>
            <w:rFonts w:ascii="Times New Roman" w:hAnsi="Times New Roman" w:eastAsia="宋体"/>
            <w:color w:val="0000FF"/>
            <w:sz w:val="21"/>
            <w:u w:val="single"/>
          </w:rPr>
          <w:t>https://doi.org/10.1126/sciadv.aeb5758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使用光子集成电路生成高效且相干的频率梳的能力为一系列应用提供了巨大的潜力。 X 切割薄膜铌酸锂 (TFLN) 有望用于开发下一代微梳驱动光子系统，通过组合 χ (3) 和电光效应提供多种功能。正色散克尔梳因其突出的优点而受到迫切需要，但这种色散机制在 x 切割 TFLN 上仍未得到探索。在这里，我们设计并演示了适合稳健生成正色散克尔梳的微谐振器。我们展示了克尔梳，其关键性能指标远远超过了 x 切 TFLN 上最先进的微梳，以及超宽频率梳，其存在受到法向色散克尔动力学和受激拉曼散射的支持。我们的工作将解锁高速、低能耗的光子电路，用于通过单片微梳技术实现通信和信号处理，同时也刺激对以前未知的非线性状态的研究，这些非线性状态可能会协同混合材料的非线性。</w:t>
      </w:r>
    </w:p>
    <w:p>
      <w:pPr>
        <w:spacing w:before="120"/>
      </w:pPr>
      <w:r>
        <w:rPr>
          <w:rFonts w:ascii="Times New Roman" w:hAnsi="Times New Roman" w:eastAsia="宋体"/>
          <w:b/>
          <w:sz w:val="21"/>
        </w:rPr>
        <w:t>English Abstract:</w:t>
      </w:r>
    </w:p>
    <w:p>
      <w:r>
        <w:rPr>
          <w:rFonts w:ascii="Times New Roman" w:hAnsi="Times New Roman" w:eastAsia="宋体"/>
          <w:sz w:val="21"/>
        </w:rPr>
        <w:t>The ability to generate efficient and coherent frequency combs using photonic integrated circuits offers tremendous potential for a range of applications. X-cut thin-film lithium niobate (TFLN) is promising for developing next-generation microcomb-driven photonic systems, providing a diversity of functionalities through combined χ ( 3 ) and electro-optic effects. Normal-dispersion Kerr combs are critically needed because of their standout advantages, yet this dispersion regime remains unexplored on x-cut TFLN. Here, we design and demonstrate microresonators suitable for the robust generation of normal-dispersion Kerr combs. We show Kerr combs that substantially surpass state-of-the-art microcombs on x-cut TFLN in key performance metrics and an ultrabroad frequency comb whose existence is underpinned by both normal-dispersion Kerr dynamics and stimulated Raman scattering. Our work will unlock high-speed and low-energy-consumption photonic circuits for communications and signal processing enabled by a monolithic microcomb technology while also stimulating investigations of previously unknown nonlinear states that may synergize hybrid material nonlinearities.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健康饮食模式、长寿基因和预期寿命：一项前瞻性队列研究</w:t>
      </w:r>
    </w:p>
    <w:p>
      <w:r>
        <w:rPr>
          <w:rFonts w:ascii="Times New Roman" w:hAnsi="Times New Roman" w:eastAsia="宋体"/>
          <w:b/>
          <w:color w:val="003264"/>
          <w:sz w:val="24"/>
        </w:rPr>
        <w:t>Healthy dietary patterns, longevity genes, and life expectancy: A prospective cohort study</w:t>
      </w:r>
    </w:p>
    <w:p>
      <w:r>
        <w:rPr>
          <w:rFonts w:ascii="Times New Roman" w:hAnsi="Times New Roman" w:eastAsia="宋体"/>
          <w:sz w:val="21"/>
        </w:rPr>
        <w:t>作者: Yanling Lv, Jing Song, Ding Ding, Mengyun Luo, Feng J. He, Changzheng Yuan, Graham A. MacGregor, Liegang Liu, Liangkai Chen</w:t>
        <w:br/>
      </w:r>
      <w:r>
        <w:rPr>
          <w:rFonts w:ascii="Times New Roman" w:hAnsi="Times New Roman" w:eastAsia="宋体"/>
          <w:sz w:val="21"/>
        </w:rPr>
        <w:t xml:space="preserve">时间: 2026-02-13 | </w:t>
      </w:r>
      <w:r>
        <w:t xml:space="preserve">链接: </w:t>
      </w:r>
      <w:hyperlink r:id="rId75">
        <w:r>
          <w:rPr>
            <w:rFonts w:ascii="Times New Roman" w:hAnsi="Times New Roman" w:eastAsia="宋体"/>
            <w:color w:val="0000FF"/>
            <w:sz w:val="21"/>
            <w:u w:val="single"/>
          </w:rPr>
          <w:t>https://doi.org/10.1126/sciadv.ads7559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健康饮食模式与预期寿命之间的关联仍不清楚。在这里，我们报告了 103,649 名英国生物银行参与者的五种饮食模式与死亡率和预期寿命的前瞻性关联。在 10.6 年的中位随访期内，记录了 4314 例死亡病例。替代健康饮食指数-2010、替代地中海饮食 (AMED)、健康植物性饮食指数 (hPDI)、控制高血压的饮食方法和降低糖尿病风险饮食 (DRRD) 与较低的全因死亡率和较长的预期寿命相关，其中 DRRD 的相关性略强于 hPDI。与排名最低的五分之一相比，达到最高五分之一的饮食分数与男性在 45 岁时的寿命延长 1.9 至 3.0 年有关，而女性则在 45 岁时寿命延长 1.5 至 2.3 年。男性 DRRD 和女性 AMED 获得的寿命最长。当考虑遗传易感性时，显着的关联仍然存在。我们的研究结果强调了健康饮食模式在延长预期寿命方面的优势，无论长寿基因如何。</w:t>
      </w:r>
    </w:p>
    <w:p>
      <w:pPr>
        <w:spacing w:before="120"/>
      </w:pPr>
      <w:r>
        <w:rPr>
          <w:rFonts w:ascii="Times New Roman" w:hAnsi="Times New Roman" w:eastAsia="宋体"/>
          <w:b/>
          <w:sz w:val="21"/>
        </w:rPr>
        <w:t>English Abstract:</w:t>
      </w:r>
    </w:p>
    <w:p>
      <w:r>
        <w:rPr>
          <w:rFonts w:ascii="Times New Roman" w:hAnsi="Times New Roman" w:eastAsia="宋体"/>
          <w:sz w:val="21"/>
        </w:rPr>
        <w:t>Associations between healthy dietary patterns and life expectancy remain unclear. Here, we reported the prospective associations of five dietary patterns with mortality and life expectancy in 103,649 UK Biobank participants. Over a median follow-up period of 10.6 years, 4314 total deaths were documented. Alternate Healthy Eating Index-2010, Alternate Mediterranean Diet (AMED), healthful Plant-based Diet Index (hPDI), Dietary Approaches to Stop Hypertension, and Diabetes Risk Reduction Diet (DRRD) were associated with lower all-cause mortality and longer life expectancy, with DRRD showing slightly stronger associations than hPDI. Compared with the bottom quintile, achieving the top quintile of dietary scores was associated with 1.9 to 3.0 years of life gained at 45 years in men and 1.5 to 2.3 years in women. The life gained was longest in DRRD for males and AMED for females. The significant associations remained when accounting for genetic susceptibility. Our findings underscore the advantages of healthy dietary patterns in prolonging life expectancy, regardless of longevity genes.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约瑟夫森连接链中的非平衡等离子体液体</w:t>
      </w:r>
    </w:p>
    <w:p>
      <w:r>
        <w:rPr>
          <w:rFonts w:ascii="Times New Roman" w:hAnsi="Times New Roman" w:eastAsia="宋体"/>
          <w:b/>
          <w:color w:val="003264"/>
          <w:sz w:val="24"/>
        </w:rPr>
        <w:t>Non-equilibrium plasmon liquid in a Josephson junction chain</w:t>
      </w:r>
    </w:p>
    <w:p>
      <w:r>
        <w:rPr>
          <w:rFonts w:ascii="Times New Roman" w:hAnsi="Times New Roman" w:eastAsia="宋体"/>
          <w:sz w:val="21"/>
        </w:rPr>
        <w:t>作者: Anton V. Bubis, Lucia Vigliotti, Maksym Serbyn, Andrew P. Higginbotham</w:t>
        <w:br/>
      </w:r>
      <w:r>
        <w:rPr>
          <w:rFonts w:ascii="Times New Roman" w:hAnsi="Times New Roman" w:eastAsia="宋体"/>
          <w:sz w:val="21"/>
        </w:rPr>
        <w:t xml:space="preserve">时间: 2026-02-13 | </w:t>
      </w:r>
      <w:r>
        <w:t xml:space="preserve">链接: </w:t>
      </w:r>
      <w:hyperlink r:id="rId76">
        <w:r>
          <w:rPr>
            <w:rFonts w:ascii="Times New Roman" w:hAnsi="Times New Roman" w:eastAsia="宋体"/>
            <w:color w:val="0000FF"/>
            <w:sz w:val="21"/>
            <w:u w:val="single"/>
          </w:rPr>
          <w:t>https://doi.org/10.1126/sciadv.ady7222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平衡量子系统通常用弱相互作用简正模气体来描述。然而，使此类系统远离平衡可以极大地增强模式与模式之间的相互作用。理解由此产生的液体是量子统计力学的一个基本问题，也是工程驱动的量子设备的一个实际问题。为了解决这个问题，我们探讨了约瑟夫森结长链中一维等离子体激元的非平衡动力学。我们引入多模光谱来可控地研究平衡偏离，见证了从弱驱动下等离子体模式之间的成对耦合到强驱动下戏剧性的高阶级联耦合的演变。扩展到多模式驱动器，我们刺激数百种模式之间的相互作用，从而产生近连续的内部动态。对由此产生的非平衡等离子体激元群进行成像，然后我们解决了响应弱扰动时的能量非局域重新分布问题——这是对强相互作用、非平衡等离子体激元液体出现的明确验证。</w:t>
      </w:r>
    </w:p>
    <w:p>
      <w:pPr>
        <w:spacing w:before="120"/>
      </w:pPr>
      <w:r>
        <w:rPr>
          <w:rFonts w:ascii="Times New Roman" w:hAnsi="Times New Roman" w:eastAsia="宋体"/>
          <w:b/>
          <w:sz w:val="21"/>
        </w:rPr>
        <w:t>English Abstract:</w:t>
      </w:r>
    </w:p>
    <w:p>
      <w:r>
        <w:rPr>
          <w:rFonts w:ascii="Times New Roman" w:hAnsi="Times New Roman" w:eastAsia="宋体"/>
          <w:sz w:val="21"/>
        </w:rPr>
        <w:t>Equilibrium quantum systems are often described by a gas of weakly interacting normal modes. Bringing such systems far from equilibrium, however, can drastically enhance mode-to-mode interactions. Understanding the resulting liquid is a fundamental question for quantum statistical mechanics and a practical question for engineering driven quantum devices. To tackle this question, we probe the non-equilibrium kinetics of one-dimensional plasmons in a long chain of Josephson junctions. We introduce multimode spectroscopy to controllably study the departure from equilibrium, witnessing the evolution from pairwise coupling between plasma modes at weak driving to dramatic, high-order, cascaded couplings at strong driving. Scaling to many-mode drives, we stimulate interactions between hundreds of modes, resulting in near-continuum internal dynamics. Imaging the resulting non-equilibrium plasmon populations, we then resolve the nonlocal redistribution of energy in the response to a weak perturbation—an explicit verification of the emergence of a strongly interacting, non-equilibrium liquid of plasmons.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0.6V超低工作电压的纳米门铁电晶体管</w:t>
      </w:r>
    </w:p>
    <w:p>
      <w:r>
        <w:rPr>
          <w:rFonts w:ascii="Times New Roman" w:hAnsi="Times New Roman" w:eastAsia="宋体"/>
          <w:b/>
          <w:color w:val="003264"/>
          <w:sz w:val="24"/>
        </w:rPr>
        <w:t>Nanogate ferroelectric transistors with ultralow operation voltage of 0.6 V</w:t>
      </w:r>
    </w:p>
    <w:p>
      <w:r>
        <w:rPr>
          <w:rFonts w:ascii="Times New Roman" w:hAnsi="Times New Roman" w:eastAsia="宋体"/>
          <w:sz w:val="21"/>
        </w:rPr>
        <w:t>作者: Dehuan Meng, Xuezhou Ma, Zizhuo Shen, Lin Xu, Lian-Mao Peng, Chenguang Qiu</w:t>
        <w:br/>
      </w:r>
      <w:r>
        <w:rPr>
          <w:rFonts w:ascii="Times New Roman" w:hAnsi="Times New Roman" w:eastAsia="宋体"/>
          <w:sz w:val="21"/>
        </w:rPr>
        <w:t xml:space="preserve">时间: 2026-02-13 | </w:t>
      </w:r>
      <w:r>
        <w:t xml:space="preserve">链接: </w:t>
      </w:r>
      <w:hyperlink r:id="rId77">
        <w:r>
          <w:rPr>
            <w:rFonts w:ascii="Times New Roman" w:hAnsi="Times New Roman" w:eastAsia="宋体"/>
            <w:color w:val="0000FF"/>
            <w:sz w:val="21"/>
            <w:u w:val="single"/>
          </w:rPr>
          <w:t>https://doi.org/10.1126/sciadv.aea5020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铁电场效应晶体管（FeFET）作为电场驱动的非易失性存储器，具有极低的功耗和高速度。尽管付出了努力，FeFET 尚未成功缩小到 5 纳米以下节点技术，其工作电压超过 1.5 V，使其无法与单片逻辑核心相匹配。我们的研究使用金属单壁碳纳米管作为栅电极，将二硫化钼FeFET的栅极长度缩小到1纳米。这种纳米门方法会导致电场集中并增强铁电体与金属氧化物半导体的电容耦合，从而将工作电压降低 0.6 V，低于传统的铁电体矫顽电压。纳米栅二硫化钼 FeFET 表现出卓越的存储性能，具有 2 × 10 6 的大电流开/关比和 1.6 纳秒的快速编程速度。这项研究证明了纳米门 FeFET 对短沟道效应的免疫力，突显了铁电电子器件在亚 1 纳米节点芯片中实现卓越缩放、性能和能源效率的巨大潜力。</w:t>
      </w:r>
    </w:p>
    <w:p>
      <w:pPr>
        <w:spacing w:before="120"/>
      </w:pPr>
      <w:r>
        <w:rPr>
          <w:rFonts w:ascii="Times New Roman" w:hAnsi="Times New Roman" w:eastAsia="宋体"/>
          <w:b/>
          <w:sz w:val="21"/>
        </w:rPr>
        <w:t>English Abstract:</w:t>
      </w:r>
    </w:p>
    <w:p>
      <w:r>
        <w:rPr>
          <w:rFonts w:ascii="Times New Roman" w:hAnsi="Times New Roman" w:eastAsia="宋体"/>
          <w:sz w:val="21"/>
        </w:rPr>
        <w:t>Ferroelectric field-effect transistors (FeFETs), as an electric field–driven nonvolatile memory, offer extremely low power consumption and high speed. Despite efforts, FeFETs have not been successfully scaled down to sub–5-nanometer-node technology, with their operational voltage exceeding 1.5 V, making them unable to match monolithic logic cores. Our study used metallic single-walled carbon nanotubes as gate electrodes to shrink the gate length of molybdenum disulfide FeFET to 1 nanometer. This nanogate approach leads to an electric field concentration and enhanced ferroelectric–to–metal-oxide semiconductor capacitance coupling, resulting in a reduced operating voltage of 0.6 V, below the conventional ferroelectric coercive voltage. The nanogate molybdenum disulfide FeFETs exhibit superior memory performance, with a substantial current on/off ratio of 2 × 10 6 and a rapid programming speed of 1.6 nanoseconds. This study demonstrates the immunity of nanogate FeFETs to short-channel effects, highlighting the notable potential of ferroelectric electronics for enabling superior scaling, performance, and energy efficiency in sub–1-nanometer-node chips.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辅助 microRNA 副产物通过微处理器介导的裂解激活扩大 RNA 干扰</w:t>
      </w:r>
    </w:p>
    <w:p>
      <w:r>
        <w:rPr>
          <w:rFonts w:ascii="Times New Roman" w:hAnsi="Times New Roman" w:eastAsia="宋体"/>
          <w:b/>
          <w:color w:val="003264"/>
          <w:sz w:val="24"/>
        </w:rPr>
        <w:t>Accessory microRNA byproducts expand RNA interference via microprocessor-mediated cleavage activation</w:t>
      </w:r>
    </w:p>
    <w:p>
      <w:r>
        <w:rPr>
          <w:rFonts w:ascii="Times New Roman" w:hAnsi="Times New Roman" w:eastAsia="宋体"/>
          <w:sz w:val="21"/>
        </w:rPr>
        <w:t>作者: Debora Mazzetti, Michal O. Nowicki, Himanshu Soni, Joshua D. Bernstock, Maya Groff, Luisa Esposito, Diego A. Hernandez, Lucia Altucci, Anna Krichevsky, Geoffrey Fell, E. Antonio Chiocca, Hiroshi Nakashima, Marco Mineo, Pierpaolo Peruzzi</w:t>
        <w:br/>
      </w:r>
      <w:r>
        <w:rPr>
          <w:rFonts w:ascii="Times New Roman" w:hAnsi="Times New Roman" w:eastAsia="宋体"/>
          <w:sz w:val="21"/>
        </w:rPr>
        <w:t xml:space="preserve">时间: 2026-02-13 | </w:t>
      </w:r>
      <w:r>
        <w:t xml:space="preserve">链接: </w:t>
      </w:r>
      <w:hyperlink r:id="rId78">
        <w:r>
          <w:rPr>
            <w:rFonts w:ascii="Times New Roman" w:hAnsi="Times New Roman" w:eastAsia="宋体"/>
            <w:color w:val="0000FF"/>
            <w:sz w:val="21"/>
            <w:u w:val="single"/>
          </w:rPr>
          <w:t>https://doi.org/10.1126/sciadv.adz8331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RNA医学是现代医疗保健中一个充满希望的扩展领域，但其在癌症等遗传复杂疾病中的应用一直具有挑战性，主要是因为它们依赖于多种异常途径。在这里，我们描述了一个基于 microRNA 的平台，该平台利用了以前未识别的 microRNA 处理功能。利用微处理器依赖性的切割激活策略，该设计使我们能够通过同时上调和下调所需的 microRNA 来扩大生物学影响，同时将它们用作其他短非编码 RNA（例如适体）的结构推动者。我们在胶质母细胞瘤模型中展示了它的生物学潜力，其中五种最放松管制的 microRNA 的同时双向调节导致对肿瘤的临界质量干扰。与此同时，平台内 microRNA 介导的抗 p50 适配体的陪伴使我们能够选择性地阻断核因子 κB 通路，这是一个难以用药的靶点。这项工作强调了嵌合 microRNA 簇作为癌症和其他类似多因素疾病的新兴治疗概念的潜力。</w:t>
      </w:r>
    </w:p>
    <w:p>
      <w:pPr>
        <w:spacing w:before="120"/>
      </w:pPr>
      <w:r>
        <w:rPr>
          <w:rFonts w:ascii="Times New Roman" w:hAnsi="Times New Roman" w:eastAsia="宋体"/>
          <w:b/>
          <w:sz w:val="21"/>
        </w:rPr>
        <w:t>English Abstract:</w:t>
      </w:r>
    </w:p>
    <w:p>
      <w:r>
        <w:rPr>
          <w:rFonts w:ascii="Times New Roman" w:hAnsi="Times New Roman" w:eastAsia="宋体"/>
          <w:sz w:val="21"/>
        </w:rPr>
        <w:t>RNA medicine is a promisingly expanding field in modern health care, but its use in genetically complex diseases, like cancer, has been challenging, mainly due to their reliance on multiple abnormal pathways. Here, we describe a microRNA-based platform that exploits previously unrecognized features of microRNA processing. Leveraging a microprocessor-dependent, cleave-activation strategy, this design allows us to expand biological impact by simultaneously up- and down-regulating desired microRNAs, while using them as structural enablers for other short, noncoding RNAs, such as aptamers. We demonstrate its biological potential in a glioblastoma model, where the simultaneous bidirectional modulation of five among the most deregulated microRNAs results in critical mass interference against the tumor. In parallel, microRNA-mediated chaperoning of an anti-p50 aptamer within the platform allows us to selectively block the nuclear factor κB pathway, a difficult-to-drug target. This work highlights the potential of chimeric microRNA clusters as an emerging therapeutic concept for cancer and other similarly multifactorial diseases.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跨性状基因组模型揭示了 MASLD 的多基因结构和系统影响</w:t>
      </w:r>
    </w:p>
    <w:p>
      <w:r>
        <w:rPr>
          <w:rFonts w:ascii="Times New Roman" w:hAnsi="Times New Roman" w:eastAsia="宋体"/>
          <w:b/>
          <w:color w:val="003264"/>
          <w:sz w:val="24"/>
        </w:rPr>
        <w:t>Cross-trait genomic modeling reveals the polygenic architecture and systemic impact of MASLD</w:t>
      </w:r>
    </w:p>
    <w:p>
      <w:r>
        <w:rPr>
          <w:rFonts w:ascii="Times New Roman" w:hAnsi="Times New Roman" w:eastAsia="宋体"/>
          <w:sz w:val="21"/>
        </w:rPr>
        <w:t>作者: Mingyi Du, Huangbo Yuan, Tianhao Wu, Yanfeng Jiang, Chen Suo, Li Jin, Tiejun Zhang, Zhenqiu Liu, Xingdong Chen</w:t>
        <w:br/>
      </w:r>
      <w:r>
        <w:rPr>
          <w:rFonts w:ascii="Times New Roman" w:hAnsi="Times New Roman" w:eastAsia="宋体"/>
          <w:sz w:val="21"/>
        </w:rPr>
        <w:t xml:space="preserve">时间: 2026-02-13 | </w:t>
      </w:r>
      <w:r>
        <w:t xml:space="preserve">链接: </w:t>
      </w:r>
      <w:hyperlink r:id="rId79">
        <w:r>
          <w:rPr>
            <w:rFonts w:ascii="Times New Roman" w:hAnsi="Times New Roman" w:eastAsia="宋体"/>
            <w:color w:val="0000FF"/>
            <w:sz w:val="21"/>
            <w:u w:val="single"/>
          </w:rPr>
          <w:t>https://doi.org/10.1126/sciadv.aeb5665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代谢功能障碍相关的脂肪肝病（MASLD）是一种全球流行的疾病，但其遗传结构仍未完全表征。我们整合了来自总计近 300 万欧洲血统的多个队列的全基因组关联研究数据，并应用肝脂肪和七种心脏代谢特征的跨特征基因组模型来构建 MASLD 特异性多基因架构。我们在 100 个位点中确定了 128 个风险变异，并优先考虑了 55 个效应基因，包括已确定的（例如 PNPLA3 和 TM6SF2 ）和之前未报告的候选基因（例如 NRXN3 和 FRMD5 ）。 MASLD 多基因风险评分的全表组扫描揭示了跨越肝脏、心脏代谢、肾脏、内分泌和神经精神系统的广泛关联。通过对超过 4900 种血浆蛋白进行两步全蛋白质组孟德尔随机化，我们确定了将 MASLD 与疾病联系起来的潜在介质。基于人群的队列验证确定了 7 种蛋白质（例如 FURIN、乙醛脱氢酶 2 和载脂蛋白 M）介导了高达 50.6% 的 MASLD 心脏代谢风险。我们的研究结果描绘了 MASLD 的多基因结构，强调了其多系统后果，并指定了用于精准预防的转化生物标志物。</w:t>
      </w:r>
    </w:p>
    <w:p>
      <w:pPr>
        <w:spacing w:before="120"/>
      </w:pPr>
      <w:r>
        <w:rPr>
          <w:rFonts w:ascii="Times New Roman" w:hAnsi="Times New Roman" w:eastAsia="宋体"/>
          <w:b/>
          <w:sz w:val="21"/>
        </w:rPr>
        <w:t>English Abstract:</w:t>
      </w:r>
    </w:p>
    <w:p>
      <w:r>
        <w:rPr>
          <w:rFonts w:ascii="Times New Roman" w:hAnsi="Times New Roman" w:eastAsia="宋体"/>
          <w:sz w:val="21"/>
        </w:rPr>
        <w:t>Metabolic dysfunction–associated steatotic liver disease (MASLD) is a globally prevalent disease, yet its genetic architecture remains incompletely characterized. We integrated genome-wide association study data from multiple cohorts totaling nearly 3 million individuals of European ancestry and applied cross-trait genomic modeling of hepatic fat and seven cardiometabolic traits to construct an MASLD-specific polygenic architecture. We identified 128 risk variants across 100 loci and prioritized 55 effector genes, including established (e.g., PNPLA3 and TM6SF2 ) and previously unreported candidates (e.g., NRXN3 and FRMD5 ). A phenome-wide scan of the MASLD polygenic risk score revealed broad associations spanning hepatic, cardiometabolic, renal, endocrine, and neuropsychiatric systems. Using a two-step, proteome-wide Mendelian randomization across &gt;4900 plasma proteins, we identified potential mediators linking MASLD to disease. Validation in population-based cohort pinpointed seven proteins (e.g., FURIN, aldehyde dehydrogenase 2, and apolipoprotein M) mediating up to 50.6% of the cardiometabolic risk attributable to MASLD. Our findings delineate the polygenic architecture of MASLD, highlight its multisystem consequences, and nominate translational biomarkers for precision prevention.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机械负荷通过雷帕霉素不敏感机制诱导肌纤维纵向生长</w:t>
      </w:r>
    </w:p>
    <w:p>
      <w:r>
        <w:rPr>
          <w:rFonts w:ascii="Times New Roman" w:hAnsi="Times New Roman" w:eastAsia="宋体"/>
          <w:b/>
          <w:color w:val="003264"/>
          <w:sz w:val="24"/>
        </w:rPr>
        <w:t>Mechanical loading induces the longitudinal growth of muscle fibers via a rapamycin-insensitive mechanism</w:t>
      </w:r>
    </w:p>
    <w:p>
      <w:r>
        <w:rPr>
          <w:rFonts w:ascii="Times New Roman" w:hAnsi="Times New Roman" w:eastAsia="宋体"/>
          <w:sz w:val="21"/>
        </w:rPr>
        <w:t>作者: Jamie E. Hibbert, Kent W. Jorgenson, Ramy K.A. Sayed, Hector G. Paez, Marius Meinhold, Corey G.K. Flynn, Anthony N. Lange, Garrison T. Lindley, Philip M. Flejsierowicz, Troy A. Hornberger</w:t>
        <w:br/>
      </w:r>
      <w:r>
        <w:rPr>
          <w:rFonts w:ascii="Times New Roman" w:hAnsi="Times New Roman" w:eastAsia="宋体"/>
          <w:sz w:val="21"/>
        </w:rPr>
        <w:t xml:space="preserve">时间: 2026-02-13 | </w:t>
      </w:r>
      <w:r>
        <w:t xml:space="preserve">链接: </w:t>
      </w:r>
      <w:hyperlink r:id="rId80">
        <w:r>
          <w:rPr>
            <w:rFonts w:ascii="Times New Roman" w:hAnsi="Times New Roman" w:eastAsia="宋体"/>
            <w:color w:val="0000FF"/>
            <w:sz w:val="21"/>
            <w:u w:val="single"/>
          </w:rPr>
          <w:t>https://doi.org/10.1126/sciadv.aec5134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机械负荷驱动骨骼肌生长，但调节这一过程的机制仍不清楚。在这里，我们表明机械负荷的增加通过两种不同的机制诱导肌纤维生长。径向生长（表现为纤维横截面积的增加）是通过雷帕霉素敏感的信号通路介导的，而纵向生长（以肌节的串联添加为标志）是通过雷帕霉素不敏感的信号通路介导的。为了进一步了解驱动纵向生长的事件，我们将基于 BONCAT 的合成蛋白标记与高分辨率成像相结合，并确定肌节的串联添加是由涉及预先存在的肌节的 Z 线横向分裂的过程介导的。总的来说，我们的发现不仅挑战了机械诱导生长统一由 mTORC1 控制的长期观点，而且还为修正对驱动这一过程的分子和结构事件的理解奠定了框架。</w:t>
      </w:r>
    </w:p>
    <w:p>
      <w:pPr>
        <w:spacing w:before="120"/>
      </w:pPr>
      <w:r>
        <w:rPr>
          <w:rFonts w:ascii="Times New Roman" w:hAnsi="Times New Roman" w:eastAsia="宋体"/>
          <w:b/>
          <w:sz w:val="21"/>
        </w:rPr>
        <w:t>English Abstract:</w:t>
      </w:r>
    </w:p>
    <w:p>
      <w:r>
        <w:rPr>
          <w:rFonts w:ascii="Times New Roman" w:hAnsi="Times New Roman" w:eastAsia="宋体"/>
          <w:sz w:val="21"/>
        </w:rPr>
        <w:t>Mechanical loading drives skeletal muscle growth, yet the mechanisms that regulate this process remain undefined. Here, we show that an increase in mechanical loading induces muscle fiber growth through two distinct mechanisms. Radial growth, reflected by an increase in fiber cross-sectional area, is mediated through a rapamycin-sensitive signaling pathway, whereas longitudinal growth, marked by the in-series addition of sarcomeres, is mediated through a rapamycin-insensitive signaling pathway. To gain further insight into the events that drive longitudinal growth, we combined BONCAT-based labeling of synthesized proteins with high-resolution imaging and determined that the in-series addition of sarcomeres is mediated by a process that involves transverse splitting at the Z-lines of preexisting sarcomeres. Collectively, our findings not only challenge the long-standing view that mechanically induced growth is uniformly governed by mTORC1 but also lay the framework for a revised understanding of the molecular and structural events that drive this process.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使用扫描进动电子衍射通过热振动表征进行纳米级温度测绘</w:t>
      </w:r>
    </w:p>
    <w:p>
      <w:r>
        <w:rPr>
          <w:rFonts w:ascii="Times New Roman" w:hAnsi="Times New Roman" w:eastAsia="宋体"/>
          <w:b/>
          <w:color w:val="003264"/>
          <w:sz w:val="24"/>
        </w:rPr>
        <w:t>Nanoscale temperature mapping through thermal vibration characterization using scanning precession electron diffraction</w:t>
      </w:r>
    </w:p>
    <w:p>
      <w:r>
        <w:rPr>
          <w:rFonts w:ascii="Times New Roman" w:hAnsi="Times New Roman" w:eastAsia="宋体"/>
          <w:sz w:val="21"/>
        </w:rPr>
        <w:t>作者: Kun Yang, Chao Zhang, Chengwei Wu, Qian Du, Bingzhi Li, Zhen Fang, Liang Li, Peng Wang, Wen Shang, Jianbo Wu, Tianru Wu, Hui Wang, Tao Deng, Wenpei Gao</w:t>
        <w:br/>
      </w:r>
      <w:r>
        <w:rPr>
          <w:rFonts w:ascii="Times New Roman" w:hAnsi="Times New Roman" w:eastAsia="宋体"/>
          <w:sz w:val="21"/>
        </w:rPr>
        <w:t xml:space="preserve">时间: 2026-02-13 | </w:t>
      </w:r>
      <w:r>
        <w:t xml:space="preserve">链接: </w:t>
      </w:r>
      <w:hyperlink r:id="rId81">
        <w:r>
          <w:rPr>
            <w:rFonts w:ascii="Times New Roman" w:hAnsi="Times New Roman" w:eastAsia="宋体"/>
            <w:color w:val="0000FF"/>
            <w:sz w:val="21"/>
            <w:u w:val="single"/>
          </w:rPr>
          <w:t>https://doi.org/10.1126/sciadv.aeb9234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高空间分辨率的精确温度测量对于理解集成纳米级器件尤其是异质界面的热行为至关重要。然而，现有技术常常受到空间分辨率不足的限制。在这里，我们展示了使用透射电子显微镜以纳米空间分辨率进行直接和非接触式温度测量。实验探针是扫描纳米束与进动电子衍射的结合，它提供了纳米尺度局部区域的运动衍射强度的收集。通过预先计算的、基于样品和几何特定结构因子的校正，衍射强度的线性拟合可以确定德拜-沃勒因子，从而以每°C 10 -4 平方埃的精度确定温度。这项工作以石墨烯为模型材料，揭示了样品倾斜、晶格热膨胀和样品厚度对德拜-沃勒因子的影响，并为提高测量精度和空间分辨率提供了途径。该方法为低维和异质材料的纳米级测温建立了广泛适用的策略。</w:t>
      </w:r>
    </w:p>
    <w:p>
      <w:pPr>
        <w:spacing w:before="120"/>
      </w:pPr>
      <w:r>
        <w:rPr>
          <w:rFonts w:ascii="Times New Roman" w:hAnsi="Times New Roman" w:eastAsia="宋体"/>
          <w:b/>
          <w:sz w:val="21"/>
        </w:rPr>
        <w:t>English Abstract:</w:t>
      </w:r>
    </w:p>
    <w:p>
      <w:r>
        <w:rPr>
          <w:rFonts w:ascii="Times New Roman" w:hAnsi="Times New Roman" w:eastAsia="宋体"/>
          <w:sz w:val="21"/>
        </w:rPr>
        <w:t>Accurate temperature measurement with a high spatial resolution is essential for understanding thermal behavior in integrated nanoscale devices and especially at heterogeneous interfaces. However, existing techniques are often limited by insufficient spatial resolution. Here, we showcase the direct and noncontact temperature measurement with a nanometer spatial resolution using transmission electron microscopy. The experimental probe is the combination of a scanning nanobeam with precession electron diffraction, which offers the collection of kinematic diffraction intensity from a local area at the nanometer scale. With a precalculated, sample- and geometry-specific structure factor–based correction, the linear fitting of diffraction intensities allows the determination of the Debye-Waller factor and, thus, temperature with a precision of 10 −4 square angstrom per °C. Using graphene as a model material, this work reveals the influence of sample tilt, lattice thermal expansion, and sample thickness on Debye-Waller factor and offers a route to improving the measurement precision along with spatial resolution. The approach establishes a broadly applicable strategy for nanoscale thermometry in low-dimensional and heterogeneous materials.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06:28 ---</w:t>
      </w:r>
    </w:p>
    <w:p>
      <w:pPr>
        <w:pStyle w:val="Heading2"/>
      </w:pPr>
      <w:r/>
      <w:r>
        <w:rPr>
          <w:rFonts w:ascii="Times New Roman" w:hAnsi="Times New Roman" w:eastAsia="宋体"/>
          <w:b/>
          <w:color w:val="000000"/>
          <w:sz w:val="24"/>
        </w:rPr>
        <w:t>使用自混合干涉仪和腔内倍频固体激光器进行微振动测量</w:t>
      </w:r>
    </w:p>
    <w:p>
      <w:r>
        <w:rPr>
          <w:rFonts w:ascii="Times New Roman" w:hAnsi="Times New Roman" w:eastAsia="宋体"/>
          <w:b/>
          <w:color w:val="003264"/>
          <w:sz w:val="24"/>
        </w:rPr>
        <w:t>Micro-vibration measurement using self-mixing interferometry with an intracavity frequency-doubling solid-state laser</w:t>
      </w:r>
    </w:p>
    <w:p>
      <w:r>
        <w:rPr>
          <w:rFonts w:ascii="Times New Roman" w:hAnsi="Times New Roman" w:eastAsia="宋体"/>
          <w:sz w:val="21"/>
        </w:rPr>
        <w:t>作者: Yicong Feng, Yuning Wang, Jian Zhou, Xiaoming Nie, Shuo Sun, Jin Li, Bin Zhang</w:t>
        <w:br/>
      </w:r>
      <w:r>
        <w:rPr>
          <w:rFonts w:ascii="Times New Roman" w:hAnsi="Times New Roman" w:eastAsia="宋体"/>
          <w:sz w:val="21"/>
        </w:rPr>
        <w:t xml:space="preserve">时间: 2026-06-01 | </w:t>
      </w:r>
      <w:r>
        <w:t xml:space="preserve">链接: </w:t>
      </w:r>
      <w:hyperlink r:id="rId88">
        <w:r>
          <w:rPr>
            <w:rFonts w:ascii="Times New Roman" w:hAnsi="Times New Roman" w:eastAsia="宋体"/>
            <w:color w:val="0000FF"/>
            <w:sz w:val="21"/>
            <w:u w:val="single"/>
          </w:rPr>
          <w:t>https://doi.org/10.1016/j.optlastec.2025.114644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基于垂直注入偏振独立光栅耦合器的偏振切换和注入锁定VCSEL</w:t>
      </w:r>
    </w:p>
    <w:p>
      <w:r>
        <w:rPr>
          <w:rFonts w:ascii="Times New Roman" w:hAnsi="Times New Roman" w:eastAsia="宋体"/>
          <w:b/>
          <w:color w:val="003264"/>
          <w:sz w:val="24"/>
        </w:rPr>
        <w:t>Polarization switching and injection locking VCSEL based on vertical injection polarization independent grating coupler</w:t>
      </w:r>
    </w:p>
    <w:p>
      <w:r>
        <w:rPr>
          <w:rFonts w:ascii="Times New Roman" w:hAnsi="Times New Roman" w:eastAsia="宋体"/>
          <w:sz w:val="21"/>
        </w:rPr>
        <w:t>作者: Ning Cui, Weiyang Zhang, Dan Cao, Baolu Guan</w:t>
        <w:br/>
      </w:r>
      <w:r>
        <w:rPr>
          <w:rFonts w:ascii="Times New Roman" w:hAnsi="Times New Roman" w:eastAsia="宋体"/>
          <w:sz w:val="21"/>
        </w:rPr>
        <w:t xml:space="preserve">时间: 2026-06-01 | </w:t>
      </w:r>
      <w:r>
        <w:t xml:space="preserve">链接: </w:t>
      </w:r>
      <w:hyperlink r:id="rId89">
        <w:r>
          <w:rPr>
            <w:rFonts w:ascii="Times New Roman" w:hAnsi="Times New Roman" w:eastAsia="宋体"/>
            <w:color w:val="0000FF"/>
            <w:sz w:val="21"/>
            <w:u w:val="single"/>
          </w:rPr>
          <w:t>https://doi.org/10.1016/j.optlastec.2026.114922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06:29 ---</w:t>
      </w:r>
    </w:p>
    <w:p>
      <w:pPr>
        <w:pStyle w:val="Heading2"/>
      </w:pPr>
      <w:r/>
      <w:r>
        <w:rPr>
          <w:rFonts w:ascii="Times New Roman" w:hAnsi="Times New Roman" w:eastAsia="宋体"/>
          <w:b/>
          <w:color w:val="000000"/>
          <w:sz w:val="24"/>
        </w:rPr>
        <w:t>可切换的多模式超透镜可实现多功能明场和边缘增强成像</w:t>
      </w:r>
    </w:p>
    <w:p>
      <w:r>
        <w:rPr>
          <w:rFonts w:ascii="Times New Roman" w:hAnsi="Times New Roman" w:eastAsia="宋体"/>
          <w:b/>
          <w:color w:val="003264"/>
          <w:sz w:val="24"/>
        </w:rPr>
        <w:t>Switchable multi-mode metalens for versatile bright-field and edge-enhanced imaging</w:t>
      </w:r>
    </w:p>
    <w:p>
      <w:r>
        <w:rPr>
          <w:rFonts w:ascii="Times New Roman" w:hAnsi="Times New Roman" w:eastAsia="宋体"/>
          <w:sz w:val="21"/>
        </w:rPr>
        <w:t>作者: Aqib Raza Shah, Eunji Lee, Isma Javed, Muhammad Ashar Naveed, Yeseul Kim, Hyunjung Kang, Joohoon Kim, Bin Ni, Bin Xu, Xuefeng Liu, Jichuan Xiong, Muhammad Qasim Mehmood, Junsuk Rho</w:t>
        <w:br/>
      </w:r>
      <w:r>
        <w:rPr>
          <w:rFonts w:ascii="Times New Roman" w:hAnsi="Times New Roman" w:eastAsia="宋体"/>
          <w:sz w:val="21"/>
        </w:rPr>
        <w:t xml:space="preserve">时间: 2026-01-28 | </w:t>
      </w:r>
      <w:r>
        <w:t xml:space="preserve">链接: </w:t>
      </w:r>
      <w:hyperlink r:id="rId91">
        <w:r>
          <w:rPr>
            <w:rFonts w:ascii="Times New Roman" w:hAnsi="Times New Roman" w:eastAsia="宋体"/>
            <w:color w:val="0000FF"/>
            <w:sz w:val="21"/>
            <w:u w:val="single"/>
          </w:rPr>
          <w:t>https://doi.org/10.1364/prj.575235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紧凑型双模式显微镜系统将明场和边缘增强成像集成到单个可调谐设置中。该系统采用完全基于几何相位设计的双模超透镜，确保简单和高效。通过将液晶（LC）单元作为可调双折射层粘合到超表面上，通过改变入射光的自旋状态来实现成像模式之间的实时切换。超透镜将用于明场成像的双曲相位分布与用于各向同性边缘增强的螺旋相位分布相结合，在可见光谱范围内有效运行。在 635 nm 波长处，其左旋圆偏振光效率为 49.66%，右旋圆偏振光效率为 49.23%，在其他波长下性能更高。这一进步为生物医学成像、表面缺陷检测和便携式光学设备带来了潜力。</w:t>
      </w:r>
    </w:p>
    <w:p>
      <w:pPr>
        <w:spacing w:before="120"/>
      </w:pPr>
      <w:r>
        <w:rPr>
          <w:rFonts w:ascii="Times New Roman" w:hAnsi="Times New Roman" w:eastAsia="宋体"/>
          <w:b/>
          <w:sz w:val="21"/>
        </w:rPr>
        <w:t>English Abstract:</w:t>
      </w:r>
    </w:p>
    <w:p>
      <w:r>
        <w:rPr>
          <w:rFonts w:ascii="Times New Roman" w:hAnsi="Times New Roman" w:eastAsia="宋体"/>
          <w:sz w:val="21"/>
        </w:rPr>
        <w:t>A compact dual-mode microscopy system integrates bright-field and edge-enhanced imaging into a single, tunable setup. The system employs a dual-mode metalens designed solely based on the geometric phase, ensuring simplicity and efficiency. By bonding a liquid-crystal (LC) cell onto the metasurface as a tunable birefringent layer, real-time switching between imaging modes is achieved by altering the spin state of the incident light. The metalens combines a hyperbolic phase profile for bright-field imaging with a spiral phase profile for isotropic edge enhancement, operating effectively across the visible spectrum. At 635 nm, it achieves efficiencies of 49.66% for left-handed circularly polarized and 49.23% for right-handed circularly polarized light, with higher performance at other wavelengths. This advancement holds potential for biomedical imaging, surface defect detection, and portable optical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SERF 磁力计中的逆弱测量</w:t>
      </w:r>
    </w:p>
    <w:p>
      <w:r>
        <w:rPr>
          <w:rFonts w:ascii="Times New Roman" w:hAnsi="Times New Roman" w:eastAsia="宋体"/>
          <w:b/>
          <w:color w:val="003264"/>
          <w:sz w:val="24"/>
        </w:rPr>
        <w:t>Inverse weak measurement in a SERF magnetometer</w:t>
      </w:r>
    </w:p>
    <w:p>
      <w:r>
        <w:rPr>
          <w:rFonts w:ascii="Times New Roman" w:hAnsi="Times New Roman" w:eastAsia="宋体"/>
          <w:sz w:val="21"/>
        </w:rPr>
        <w:t>作者: Qian Cao, Liang Xu, Ziqian Yue, Jianqi Yang, Yueyang Zhai</w:t>
        <w:br/>
      </w:r>
      <w:r>
        <w:rPr>
          <w:rFonts w:ascii="Times New Roman" w:hAnsi="Times New Roman" w:eastAsia="宋体"/>
          <w:sz w:val="21"/>
        </w:rPr>
        <w:t xml:space="preserve">时间: 2026-01-30 | </w:t>
      </w:r>
      <w:r>
        <w:t xml:space="preserve">链接: </w:t>
      </w:r>
      <w:hyperlink r:id="rId92">
        <w:r>
          <w:rPr>
            <w:rFonts w:ascii="Times New Roman" w:hAnsi="Times New Roman" w:eastAsia="宋体"/>
            <w:color w:val="0000FF"/>
            <w:sz w:val="21"/>
            <w:u w:val="single"/>
          </w:rPr>
          <w:t>https://doi.org/10.1364/prj.573309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弱测量技术由于放大效应而被广泛应用于量子精密测量领域来检测超小信号。在这项工作中，我们提出了一种基于逆弱测量（IWM）框架的自旋交换无松弛（SERF）磁力计的光学检测系统。通过使用探测激光的空间图案作为测量指针，我们成功地探测到了超弱磁场。在我们的模型中，探测激光器的空间模式与其偏振态弱耦合，而偏振态对外部磁场敏感。通过光学偏振的后选择，超小磁场被显着放大，放大系数与耦合强度成反比，这反映在最终空间图案的测量位移中。通过分析探针激光位移对磁场的响应曲线，我们确定了最大灵敏度点，实现了182.8 fT / Hz 1/2 的磁场灵敏度。此外，在 IWM 方案中，检测到的信号仅取决于探测激光器的内部自由度，使得系统对激光功率波动具有鲁棒性。为了证明这一优势，我们计算了传统检测方法和 IWM 检测方法的输出信号的艾伦标准差。结果表明，基于 IWM 的方法将检测稳定性提高了一到两个数量级。据我们所知，这项工作提出了一种集成弱测量技术的新颖检测方法，显着增强了 SERF 磁力计的性能。</w:t>
      </w:r>
    </w:p>
    <w:p>
      <w:pPr>
        <w:spacing w:before="120"/>
      </w:pPr>
      <w:r>
        <w:rPr>
          <w:rFonts w:ascii="Times New Roman" w:hAnsi="Times New Roman" w:eastAsia="宋体"/>
          <w:b/>
          <w:sz w:val="21"/>
        </w:rPr>
        <w:t>English Abstract:</w:t>
      </w:r>
    </w:p>
    <w:p>
      <w:r>
        <w:rPr>
          <w:rFonts w:ascii="Times New Roman" w:hAnsi="Times New Roman" w:eastAsia="宋体"/>
          <w:sz w:val="21"/>
        </w:rPr>
        <w:t>Weak measurement techniques have been extensively applied in the field of quantum precision measurement to detect ultra-small signals due to the amplification effect. In this work, we propose an optical detection system for a spin-exchange relaxation-free (SERF) magnetometer based on the inverse weak measurement (IWM) framework. By using the spatial pattern of a probe laser as the measurement pointer, we successfully detect ultra-weak magnetic fields. In our model, the spatial pattern of the probe laser is weakly coupled to its polarization, which is sensitive to external magnetic fields. Through post-selection on the optical polarization, the ultra-small magnetic field is significantly amplified with the amplification factor inversely proportional to the coupling strength, as reflected in the measured displacement of the final spatial pattern. By analyzing the response curve of the probe laser displacement to the magnetic field, we identify the point of maximum sensitivity, achieving a magnetic field sensitivity of 182.8 fT / Hz 1/2 . Furthermore, in the IWM scheme, the detected signals depend only on the internal degrees of freedom of the probe laser, making the system robust against the fluctuations in laser power. To demonstrate this advantage, we compute the Allan standard deviation of the output signals for both conventional and IWM detection methods. The results indicate that the IWM-based method improves stability of detection by one to two orders of magnitude. This work presents, to our knowledge, a novel detection approach that integrates weak measurement techniques, offering a significant enhancement in the performance of SERF magnetometers.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通过相对频率学习解锁高频散斑细节，通过散射介质实现稳健成像</w:t>
      </w:r>
    </w:p>
    <w:p>
      <w:r>
        <w:rPr>
          <w:rFonts w:ascii="Times New Roman" w:hAnsi="Times New Roman" w:eastAsia="宋体"/>
          <w:b/>
          <w:color w:val="003264"/>
          <w:sz w:val="24"/>
        </w:rPr>
        <w:t>Unlocking high-frequency speckle details via relative frequency learning for robust imaging through scattering media</w:t>
      </w:r>
    </w:p>
    <w:p>
      <w:r>
        <w:rPr>
          <w:rFonts w:ascii="Times New Roman" w:hAnsi="Times New Roman" w:eastAsia="宋体"/>
          <w:sz w:val="21"/>
        </w:rPr>
        <w:t>作者: Chuncheng Zhang, Zhaoxuan Hu, Tianting Zhong, Haofan Huang, Ji Liang, Yu Wang, Tingting Liu, Zheyi Yao, Qian Chen, Puxiang Lai, Xiubao Sui</w:t>
        <w:br/>
      </w:r>
      <w:r>
        <w:rPr>
          <w:rFonts w:ascii="Times New Roman" w:hAnsi="Times New Roman" w:eastAsia="宋体"/>
          <w:sz w:val="21"/>
        </w:rPr>
        <w:t xml:space="preserve">时间: 2026-01-30 | </w:t>
      </w:r>
      <w:r>
        <w:t xml:space="preserve">链接: </w:t>
      </w:r>
      <w:hyperlink r:id="rId93">
        <w:r>
          <w:rPr>
            <w:rFonts w:ascii="Times New Roman" w:hAnsi="Times New Roman" w:eastAsia="宋体"/>
            <w:color w:val="0000FF"/>
            <w:sz w:val="21"/>
            <w:u w:val="single"/>
          </w:rPr>
          <w:t>https://doi.org/10.1364/prj.575821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散射介质成像面临着严峻的挑战：基于深度学习的方法本质上抑制了高频散斑信息，限制了精细纹理和边缘的恢复。为了克服这种频谱偏差，我们引入了相对散斑频域（RSFD）的概念，它通过频域分解将高频特征重新定义为可学习的自适应分量。我们证明，独立处理广义高频散斑分量使神经网络能够捕获以前在传统方法中模糊的潜在目标细节。利用这一原理，我们设计了 FDUnet，这是一个双分支网络，包括用于全局结构重建的低频子网（Lnet）和致力于增强纹理和边缘的相对高频子网（RHnet）。实验证实了 FDUnet 的优越性：在不同数据集（MNIST、Fashion-MNIST、FERET）中，它在视觉保真度和定量指标方面均优于最先进的方法，SSIM 提高了 5.9% 至 8.7%，PSNR 提高了 5.4 至 7.9 dB。这些增强转化为纹理和边缘保留的显着改进，特别是对多模光纤扰动表现出卓越的鲁棒性。这项工作弥合了物理先验和神经网络学习之间的差距，释放了高保真应用的新潜力，例如动态散射环境中的生物医学内窥镜成像。</w:t>
      </w:r>
    </w:p>
    <w:p>
      <w:pPr>
        <w:spacing w:before="120"/>
      </w:pPr>
      <w:r>
        <w:rPr>
          <w:rFonts w:ascii="Times New Roman" w:hAnsi="Times New Roman" w:eastAsia="宋体"/>
          <w:b/>
          <w:sz w:val="21"/>
        </w:rPr>
        <w:t>English Abstract:</w:t>
      </w:r>
    </w:p>
    <w:p>
      <w:r>
        <w:rPr>
          <w:rFonts w:ascii="Times New Roman" w:hAnsi="Times New Roman" w:eastAsia="宋体"/>
          <w:sz w:val="21"/>
        </w:rPr>
        <w:t>Imaging through scattering media faces a critical challenge: deep-learning-based methods inherently suppress high-frequency speckle information, limiting the recovery of fine textures and edges. To overcome this spectral bias, we introduce the concept of the relative speckle frequency domain (RSFD), which redefines high-frequency features as learnable, adaptive components via frequency-domain decomposition. We demonstrate that independently processing generalized high-frequency speckle components enables neural networks to capture latent target details previously obscured in conventional approaches. Leveraging this principle, we design FDUnet, a dual-branch network comprising a low-frequency sub-network (Lnet) for global structure reconstruction and a relative high-frequency sub-network (RHnet) dedicated to enhancing textures and edges. Experiments confirm FDUnet’s superiority: it outperforms state-of-the-art methods in both visual fidelity and quantitative metrics by +5.9% to 8.7% in SSIM and +5.4 to 7.9 dB in PSNR across diverse datasets (MNIST, Fashion-MNIST, FERET). These enhancements translate into notable improvements in the preservation of textures and edges, especially exhibiting exceptional robustness to multimode fiber perturbations. This work bridges the gap between physical priors and neural network learning, unlocking new potentials for high-fidelity applications, such as biomedical endoscopic imaging, in dynamic scattering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等离激元超表面：简单线性腔激光器中的中红外调Q锁模操作</w:t>
      </w:r>
    </w:p>
    <w:p>
      <w:r>
        <w:rPr>
          <w:rFonts w:ascii="Times New Roman" w:hAnsi="Times New Roman" w:eastAsia="宋体"/>
          <w:b/>
          <w:color w:val="003264"/>
          <w:sz w:val="24"/>
        </w:rPr>
        <w:t>Plasmonic metasurfaces: toward the mid-infrared Q -switched mode-locking operation in a simple linear-cavity laser</w:t>
      </w:r>
    </w:p>
    <w:p>
      <w:r>
        <w:rPr>
          <w:rFonts w:ascii="Times New Roman" w:hAnsi="Times New Roman" w:eastAsia="宋体"/>
          <w:sz w:val="21"/>
        </w:rPr>
        <w:t>作者: Jun Liu, Yushuo Bao, Chunxiang Zhang, Muhammad Sohail, Zhenhong Wang, Thomas Allsop, Rui Ma, Shuqing Chen, Feng Zhang, Kang Zhao, Jia Guo, Dianyuan Fan</w:t>
        <w:br/>
      </w:r>
      <w:r>
        <w:rPr>
          <w:rFonts w:ascii="Times New Roman" w:hAnsi="Times New Roman" w:eastAsia="宋体"/>
          <w:sz w:val="21"/>
        </w:rPr>
        <w:t xml:space="preserve">时间: 2026-01-30 | </w:t>
      </w:r>
      <w:r>
        <w:t xml:space="preserve">链接: </w:t>
      </w:r>
      <w:hyperlink r:id="rId94">
        <w:r>
          <w:rPr>
            <w:rFonts w:ascii="Times New Roman" w:hAnsi="Times New Roman" w:eastAsia="宋体"/>
            <w:color w:val="0000FF"/>
            <w:sz w:val="21"/>
            <w:u w:val="single"/>
          </w:rPr>
          <w:t>https://doi.org/10.1364/prj.572730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等离激元超表面具有宽带非线性光学响应和出色的光场操纵能力，有助于激光谐振腔作为可饱和吸收器（SA）的无源调Q和锁模操作，从而能够生成短脉冲和超短脉冲。据我们所知，我们首次在氟化物基底上成功制造了由金纳米结构组成的透射型中红外等离子体超表面SA，利用局部共振增强。其非线性光学 (NLO) 特性以自制的~2.78 μm 脉冲 Z 扫描系统为特征，表现出高达 30% 的显着调制深度。通过将等离子体超表面SA集成到简单的线性腔Er:ZBLAN光纤激光器中，实现了稳定的调Q锁模（QML）操作，在2.78 μm处的最大平均输出功率为224 mW。输出呈现出 768 ns 的 Q 开关包络，其中包含持续时间为 51.42 ps 的锁模脉冲，基本重复率为 24.5 MHz。这项工作通过利用其增强的非线性光学响应和定制的光谱特性，进一步将等离子体超表面SA的应用扩展到中红外波长区域，使其成为下一代中红外超快激光器的核心组件。</w:t>
      </w:r>
    </w:p>
    <w:p>
      <w:pPr>
        <w:spacing w:before="120"/>
      </w:pPr>
      <w:r>
        <w:rPr>
          <w:rFonts w:ascii="Times New Roman" w:hAnsi="Times New Roman" w:eastAsia="宋体"/>
          <w:b/>
          <w:sz w:val="21"/>
        </w:rPr>
        <w:t>English Abstract:</w:t>
      </w:r>
    </w:p>
    <w:p>
      <w:r>
        <w:rPr>
          <w:rFonts w:ascii="Times New Roman" w:hAnsi="Times New Roman" w:eastAsia="宋体"/>
          <w:sz w:val="21"/>
        </w:rPr>
        <w:t>Plasmonic metasurfaces, featuring broadband nonlinear optical responses and exceptional light-field manipulation capabilities, facilitate the passive Q -switching and mode-locking operation of a laser resonator as a saturable absorber (SA) and thus enable the generation of short- and ultrashort pulses. Here, for the first time, to our knowledge, we successfully fabricate a transmission-type mid-infrared plasmonic metasurface SA composed of gold nanostructures on the fluoride substrate, leveraging localized resonance enhancement. Its nonlinear optical (NLO) properties are characterized by a home-made ∼2.78 μm pulsed Z-scan system, demonstrating a remarkable modulation depth of up to 30%. By integrating the plasmonic metasurface SA into a simple linear-cavity Er:ZBLAN fiber laser, stable Q -switched mode-locking (QML) operation is achieved with a maximum average output power of 224 mW at 2.78 μm. The output exhibits a Q -switched envelope of 768 ns containing mode-locking pulses with 51.42 ps duration at the fundamental repetition rate of 24.5 MHz. This work further expands the application of plasmonic metasurface SAs to the mid-IR wavelength region, by utilizing their enhanced NLO responses and tailored spectral characteristics, enabling them as a core component for next-generation mid-IR ultrafast lasers.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使用宽带、频率稳定的 WGM 标准具提高 astrocomb 参考性能</w:t>
      </w:r>
    </w:p>
    <w:p>
      <w:r>
        <w:rPr>
          <w:rFonts w:ascii="Times New Roman" w:hAnsi="Times New Roman" w:eastAsia="宋体"/>
          <w:b/>
          <w:color w:val="003264"/>
          <w:sz w:val="24"/>
        </w:rPr>
        <w:t>Boosting astrocomb reference performance with a wideband, frequency-stabilized WGM etalon</w:t>
      </w:r>
    </w:p>
    <w:p>
      <w:r>
        <w:rPr>
          <w:rFonts w:ascii="Times New Roman" w:hAnsi="Times New Roman" w:eastAsia="宋体"/>
          <w:sz w:val="21"/>
        </w:rPr>
        <w:t>作者: Yu-Hung Lai, Danny Eliyahu, Miguel Maldonado, Abdelkrim El Amili, Anatoliy Savchenkov, Kayla Kulish, Scott Singer, Wei Zhang, Mahmood Bagheri, Dmitry V. Strekalov, Charles A. Beichman, Stephanie Leifer, Andrey B. Matsko, Gautam Vasisht, Lute Maleki</w:t>
        <w:br/>
      </w:r>
      <w:r>
        <w:rPr>
          <w:rFonts w:ascii="Times New Roman" w:hAnsi="Times New Roman" w:eastAsia="宋体"/>
          <w:sz w:val="21"/>
        </w:rPr>
        <w:t xml:space="preserve">时间: 2026-01-30 | </w:t>
      </w:r>
      <w:r>
        <w:t xml:space="preserve">链接: </w:t>
      </w:r>
      <w:hyperlink r:id="rId95">
        <w:r>
          <w:rPr>
            <w:rFonts w:ascii="Times New Roman" w:hAnsi="Times New Roman" w:eastAsia="宋体"/>
            <w:color w:val="0000FF"/>
            <w:sz w:val="21"/>
            <w:u w:val="single"/>
          </w:rPr>
          <w:t>https://doi.org/10.1364/prj.577677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Astrocombs 是用于天文摄谱仪校准的高精度光学参考系统，能够在广泛的光谱范围内准确、一致地测量恒星吸收线频率。通过将恒星的光谱与星梳光谱进行比较，可以检测到表明系外行星存在的微小径向速度变化。最高精度和准确度的星体梳是由激光频率梳产生的。然而，在可见光波段，由于超连续谱生成介质的退化，频率梳校准器具有严格的使用寿命限制，因此通常用于校准法布里-珀罗标准具，然后用于与目标恒星的同步观测。这项工作展示了一种专门设计的晶体回音壁模式谐振器（WGMR），用作星梳标准具，具有两个倍频程的耦合波长跨度和准单模系列。除了宽范围波长耦合之外，系统的紧凑设计还融入了多项创新，以实现频率稳定性。除了真空封装之外，其中还包括双模式测温频率稳定，可有效最大限度地减少热和压力引起的频率漂移。通过外差 RF 拍音测量的长期频率稳定性超过 2×10 -12 ，预计长期模态频率稳定性为 ≲10 -10 （相当于多普勒速度 3 cm/s）。这种水平的稳定性消除了与激光参考进行频繁交叉校准的需要，而其他星梳标准具则需要这样做。总体而言，WGMR 标准具的架构提供了一种新的强大功能，超越了之前基于微谐振器的标准具所实现的功能，作为紧凑的超宽带光谱参考，用于检测附近恒星长周期轨道上的小行星。它还为适合航天的低尺寸、低重量和低功率 (SWaP) 光谱参考提供了一条前进之路。</w:t>
      </w:r>
    </w:p>
    <w:p>
      <w:pPr>
        <w:spacing w:before="120"/>
      </w:pPr>
      <w:r>
        <w:rPr>
          <w:rFonts w:ascii="Times New Roman" w:hAnsi="Times New Roman" w:eastAsia="宋体"/>
          <w:b/>
          <w:sz w:val="21"/>
        </w:rPr>
        <w:t>English Abstract:</w:t>
      </w:r>
    </w:p>
    <w:p>
      <w:r>
        <w:rPr>
          <w:rFonts w:ascii="Times New Roman" w:hAnsi="Times New Roman" w:eastAsia="宋体"/>
          <w:sz w:val="21"/>
        </w:rPr>
        <w:t>Astrocombs are highly precise optical reference systems used for astronomical spectrograph calibration, enabling accurate and consistent measurement of stellar absorption line frequencies across a broad spectral range. By comparing a star’s spectrum to the astrocomb spectrum, minute radial velocity shifts indicative of an exoplanet’s presence can be detected. The highest precision and accuracy astrocombs are generated by laser frequency combs. However, in the visible band, frequency comb calibrators have stringent operational lifetime limitations due to degradation of the supercontinuum-generating medium, and are thus typically used to calibrate Fabry–Pérot etalons, which are then used for simultaneous observations with target stars. This work demonstrates a specially designed crystalline whispering-gallery-mode resonator (WGMR) that serves as an astrocomb etalon, featuring a coupling wavelength span of two octaves and a quasi-single-mode family. Several innovations have been incorporated into the system’s compact design to achieve frequency stability, in addition to wide-range wavelength coupling. These include dual-mode thermometric frequency stabilization, in addition to vacuum packaging, effectively minimizing thermal and pressure-induced frequency drift. Long-term frequency stability, measured via a heterodyne RF beat note, exceeds 2×10 −12 , with a projected long-term modal frequency stability of ≲10 −10 (equivalently 3 cm/s in Doppler velocity). This level of stability obviates the need for frequent cross-calibration with a laser reference, as was required with other astrocomb etalons. Overall, the architecture of the WGMR etalon provides a new and powerful capability, beyond what has previously been achieved by microresonator-based etalons, as a compact, ultra-wideband spectral reference for detecting small planets in long-period orbits around nearby stars. It also offers a path forward for a low size, weight, and power (SWaP) spectral reference appropriate for spaceflight.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06:29 ---</w:t>
      </w:r>
    </w:p>
    <w:p>
      <w:pPr>
        <w:pStyle w:val="Heading2"/>
      </w:pPr>
      <w:r/>
      <w:r>
        <w:rPr>
          <w:rFonts w:ascii="Times New Roman" w:hAnsi="Times New Roman" w:eastAsia="宋体"/>
          <w:b/>
          <w:color w:val="000000"/>
          <w:sz w:val="24"/>
        </w:rPr>
        <w:t>分层数据可视化中的比例聚合</w:t>
      </w:r>
    </w:p>
    <w:p>
      <w:r>
        <w:rPr>
          <w:rFonts w:ascii="Times New Roman" w:hAnsi="Times New Roman" w:eastAsia="宋体"/>
          <w:b/>
          <w:color w:val="003264"/>
          <w:sz w:val="24"/>
        </w:rPr>
        <w:t>Proportional Aggregation in Hierarchical Data Visualization</w:t>
      </w:r>
    </w:p>
    <w:p>
      <w:r>
        <w:rPr>
          <w:rFonts w:ascii="Times New Roman" w:hAnsi="Times New Roman" w:eastAsia="宋体"/>
          <w:sz w:val="21"/>
        </w:rPr>
        <w:t>作者: Antonia Schlieder, Jan Rummel, Filip Sadlo</w:t>
        <w:br/>
      </w:r>
      <w:r>
        <w:rPr>
          <w:rFonts w:ascii="Times New Roman" w:hAnsi="Times New Roman" w:eastAsia="宋体"/>
          <w:sz w:val="21"/>
        </w:rPr>
        <w:t xml:space="preserve">时间: 2026 | </w:t>
      </w:r>
      <w:r>
        <w:t xml:space="preserve">链接: </w:t>
      </w:r>
      <w:hyperlink r:id="rId96">
        <w:r>
          <w:rPr>
            <w:rFonts w:ascii="Times New Roman" w:hAnsi="Times New Roman" w:eastAsia="宋体"/>
            <w:color w:val="0000FF"/>
            <w:sz w:val="21"/>
            <w:u w:val="single"/>
          </w:rPr>
          <w:t>https://doi.org/10.1109/tvcg.2026.3664464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层次数据的可视化分析中，一个主要挑战是比较层次结构不同级别内部和之间的数据属性。此类任务通常使用聚合数据来解决，其中父节点的属性是根据其子节点的属性计算的。我们对隐式编码层次结构的可视化方法（例如冰柱图、树状图）的现有文献的回顾表明，大多数方法依赖于加法聚合。比例聚合（即为父级分配其子级值的加权平均值）尽管在实践中相关，但仍未得到探索。我们引入钟乳石图，这是一种显示比例聚合并支持视觉值比较的可视化技术。我们的实证评估（N=148，N=50）表明，通过一些解释，钟乳石图与已建立的分层数据可视化技术一样容易理解。此外，对于大型数据集，参与者使用我们的方法更快、更准确。</w:t>
      </w:r>
    </w:p>
    <w:p>
      <w:pPr>
        <w:spacing w:before="120"/>
      </w:pPr>
      <w:r>
        <w:rPr>
          <w:rFonts w:ascii="Times New Roman" w:hAnsi="Times New Roman" w:eastAsia="宋体"/>
          <w:b/>
          <w:sz w:val="21"/>
        </w:rPr>
        <w:t>English Abstract:</w:t>
      </w:r>
    </w:p>
    <w:p>
      <w:r>
        <w:rPr>
          <w:rFonts w:ascii="Times New Roman" w:hAnsi="Times New Roman" w:eastAsia="宋体"/>
          <w:sz w:val="21"/>
        </w:rPr>
        <w:t>In the visual analysis of hierarchical data, a main challenge is comparing data attributes both within and between different levels of the hierarchy. Such tasks are typically addressed using aggregated data, where the attribute of a parent node is calculated from the attributes of its children. Our review of existing literature on visualization methods that encode the hierarchy implicitly (e.g., icicle plots, treemaps) shows that most approaches rely on additive aggregation. Proportional aggregation, where a parent is assigned a weighted average of the values of its children, remains unexplored although relevant in practice. We introduce stalactite plots, a visualization technique that displays proportional aggregation and supports visual value comparison. Our empirical evaluation (N=148, N=50) shows that, with some explanation, stalactite plots are as easily understood as established visualization techniques for hierarchical data. Furthermore, for large datasets, participants are faster and more accurate using our approach.</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06:29 ---</w:t>
      </w:r>
    </w:p>
    <w:p>
      <w:pPr>
        <w:pStyle w:val="Heading2"/>
      </w:pPr>
      <w:r/>
      <w:r>
        <w:rPr>
          <w:rFonts w:ascii="Times New Roman" w:hAnsi="Times New Roman" w:eastAsia="宋体"/>
          <w:b/>
          <w:color w:val="000000"/>
          <w:sz w:val="24"/>
        </w:rPr>
        <w:t>用于智能光学限制的 VO 2 薄膜中的热光协同相变动力学</w:t>
      </w:r>
    </w:p>
    <w:p>
      <w:r>
        <w:rPr>
          <w:rFonts w:ascii="Times New Roman" w:hAnsi="Times New Roman" w:eastAsia="宋体"/>
          <w:b/>
          <w:color w:val="003264"/>
          <w:sz w:val="24"/>
        </w:rPr>
        <w:t>Thermal-Optical Synergistic Phase Transition Dynamics in VO 2 Thin Film for Intelligent Optical Limiting</w:t>
      </w:r>
    </w:p>
    <w:p>
      <w:r>
        <w:rPr>
          <w:rFonts w:ascii="Times New Roman" w:hAnsi="Times New Roman" w:eastAsia="宋体"/>
          <w:sz w:val="21"/>
        </w:rPr>
        <w:t>作者: Jincheng Ji, Zhouyuan Yan, Sen Jin, Yan Wang, Weihao Yu, Ningning Dong, Jiajing He, Jun Wang</w:t>
        <w:br/>
      </w:r>
      <w:r>
        <w:rPr>
          <w:rFonts w:ascii="Times New Roman" w:hAnsi="Times New Roman" w:eastAsia="宋体"/>
          <w:sz w:val="21"/>
        </w:rPr>
        <w:t xml:space="preserve">时间: 2026-02-13 | </w:t>
      </w:r>
      <w:r>
        <w:t xml:space="preserve">链接: </w:t>
      </w:r>
      <w:hyperlink r:id="rId97">
        <w:r>
          <w:rPr>
            <w:rFonts w:ascii="Times New Roman" w:hAnsi="Times New Roman" w:eastAsia="宋体"/>
            <w:color w:val="0000FF"/>
            <w:sz w:val="21"/>
            <w:u w:val="single"/>
          </w:rPr>
          <w:t>https://doi.org/10.1021/acsphotonics.5c02863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与GaSb晶格匹配的Al x In 1– x As γ Sb 1- γ雪崩光电二极管中雪崩倍增和过量噪声的研究</w:t>
      </w:r>
    </w:p>
    <w:p>
      <w:r>
        <w:rPr>
          <w:rFonts w:ascii="Times New Roman" w:hAnsi="Times New Roman" w:eastAsia="宋体"/>
          <w:b/>
          <w:color w:val="003264"/>
          <w:sz w:val="24"/>
        </w:rPr>
        <w:t>A Study of the Avalanche Multiplication and Excess Noise in Al x In 1– x As γ Sb 1- γ Avalanche Photodiodes Lattice-Matched to GaSb</w:t>
      </w:r>
    </w:p>
    <w:p>
      <w:r>
        <w:rPr>
          <w:rFonts w:ascii="Times New Roman" w:hAnsi="Times New Roman" w:eastAsia="宋体"/>
          <w:sz w:val="21"/>
        </w:rPr>
        <w:t>作者: Xiao Jin, Wenguang Zhou, Yang Zhao, Qingyu Tian, Xin Yi, Xiaofeng Tao, Adam Craig, Mrudul Modak, Andrew Marshall, Yingqiang Xu, Guowei Wang, John P. R. David, Gerald S. Buller</w:t>
        <w:br/>
      </w:r>
      <w:r>
        <w:rPr>
          <w:rFonts w:ascii="Times New Roman" w:hAnsi="Times New Roman" w:eastAsia="宋体"/>
          <w:sz w:val="21"/>
        </w:rPr>
        <w:t xml:space="preserve">时间: 2026-02-13 | </w:t>
      </w:r>
      <w:r>
        <w:t xml:space="preserve">链接: </w:t>
      </w:r>
      <w:hyperlink r:id="rId98">
        <w:r>
          <w:rPr>
            <w:rFonts w:ascii="Times New Roman" w:hAnsi="Times New Roman" w:eastAsia="宋体"/>
            <w:color w:val="0000FF"/>
            <w:sz w:val="21"/>
            <w:u w:val="single"/>
          </w:rPr>
          <w:t>https://doi.org/10.1021/acsphotonics.5c02166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Comp. Imaging</w:t>
      </w:r>
    </w:p>
    <w:p>
      <w:pPr>
        <w:jc w:val="center"/>
      </w:pPr>
      <w:r>
        <w:t>--- 更新: 06:29 ---</w:t>
      </w:r>
    </w:p>
    <w:p>
      <w:pPr>
        <w:pStyle w:val="Heading2"/>
      </w:pPr>
      <w:r/>
      <w:r>
        <w:rPr>
          <w:rFonts w:ascii="Times New Roman" w:hAnsi="Times New Roman" w:eastAsia="宋体"/>
          <w:b/>
          <w:color w:val="000000"/>
          <w:sz w:val="24"/>
        </w:rPr>
        <w:t>具有混合先验的快速电阻抗断层扫描</w:t>
      </w:r>
    </w:p>
    <w:p>
      <w:r>
        <w:rPr>
          <w:rFonts w:ascii="Times New Roman" w:hAnsi="Times New Roman" w:eastAsia="宋体"/>
          <w:b/>
          <w:color w:val="003264"/>
          <w:sz w:val="24"/>
        </w:rPr>
        <w:t>Fast Electrical Impedance Tomography with Hybrid Priors</w:t>
      </w:r>
    </w:p>
    <w:p>
      <w:r>
        <w:rPr>
          <w:rFonts w:ascii="Times New Roman" w:hAnsi="Times New Roman" w:eastAsia="宋体"/>
          <w:sz w:val="21"/>
        </w:rPr>
        <w:t>作者: Shuaikai Shi, Ruiyuan Kang, Panos Liatsis</w:t>
        <w:br/>
      </w:r>
      <w:r>
        <w:rPr>
          <w:rFonts w:ascii="Times New Roman" w:hAnsi="Times New Roman" w:eastAsia="宋体"/>
          <w:sz w:val="21"/>
        </w:rPr>
        <w:t xml:space="preserve">时间: 2026 | </w:t>
      </w:r>
      <w:r>
        <w:t xml:space="preserve">链接: </w:t>
      </w:r>
      <w:hyperlink r:id="rId99">
        <w:r>
          <w:rPr>
            <w:rFonts w:ascii="Times New Roman" w:hAnsi="Times New Roman" w:eastAsia="宋体"/>
            <w:color w:val="0000FF"/>
            <w:sz w:val="21"/>
            <w:u w:val="single"/>
          </w:rPr>
          <w:t>https://doi.org/10.1109/tci.2026.3664753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电阻抗断层扫描 (EIT) 是一种非电离、非侵入性成像技术，可重建物体内的导电模式。由于其低成本、实时性和便携性，它在从医学成像到工业监控和地球科学的各种应用中很受欢迎。当注入电流时，EIT 通过边界电压测量揭示内部电导率分布。然而，由于稀疏边界电压测量和所需的高分辨率电导率图像之间存在显着差异，EIT 图像重建是一个不适定问题。传统和深度学习方法都是为了应对这一挑战而开发的，主要是通过空间正则化和图像回归技术。虽然采用正则化器的传统方法可以生成物理上合理的电导率分布，但它们的线性性质通常限制了重建精度。深度学习模型取得了优异的结果，但需要大量的训练数据集。在这项工作中，我们提出了一种新颖的 EIT 迭代电导率图像重建方法，称为 PnPEIT，它将手工制作和即插即用 (PnP) 先验集成到乘子交替方向法 (ADMM) 框架内。具体来说，PnPEIT 的目标函数包含电压重建误差和稀疏约束、图正则化以及电导率图像之前的 PnP。接下来，PnP 先验项由去噪算子优化，并通过块匹配和 3D 滤波 (BM3D) 或预训练的去噪网络来实现。通过交替迭代，算法快速收敛，得到所需的电导率图像。此外，我们提供了一个简单的证明，证明图拉普拉斯正则化不仅等效于非局部均值去噪算法，而且还加速了收敛。对合成数据集和真实数据集的实验强调了所提出的方法相对于传统和前沿 EIT 图像重建方法的优势。源代码可在 https://github.com/shuaikaishi/PnPEIT 获取。</w:t>
      </w:r>
    </w:p>
    <w:p>
      <w:pPr>
        <w:spacing w:before="120"/>
      </w:pPr>
      <w:r>
        <w:rPr>
          <w:rFonts w:ascii="Times New Roman" w:hAnsi="Times New Roman" w:eastAsia="宋体"/>
          <w:b/>
          <w:sz w:val="21"/>
        </w:rPr>
        <w:t>English Abstract:</w:t>
      </w:r>
    </w:p>
    <w:p>
      <w:r>
        <w:rPr>
          <w:rFonts w:ascii="Times New Roman" w:hAnsi="Times New Roman" w:eastAsia="宋体"/>
          <w:sz w:val="21"/>
        </w:rPr>
        <w:t>Electrical impedance tomography (EIT) is a non-ionizing and non-invasive imaging technique that reconstructs the electrical conductivity patterns within an object. Due to its low cost, real-time nature and portability, it is popular in a variety of applications ranging from medical imaging to industrial monitoring and geoscience. When electrical currents are injected, EIT reveals the internal conductivity distribution through boundary voltage measurements. However, EIT image reconstruction is an ill-posed problem due to the significant disparity between sparse boundary voltage measurements and the desired high-resolution conductivity images. Both conventional and deep learning approaches have been developed to address this challenge, primarily through spatial regularization and image regression techniques. While conventional methods employing regularizers can generate physically plausible conductivity distributions, their linear nature often limits reconstruction accuracy. Deep learning models achieve superior results but require substantial training datasets. In this work, we propose a novel iterative conductivity image reconstruction method for EIT, termed PnPEIT, which integrates both handcrafted and plug-and-play (PnP) priors within the alternating direction method of multipliers (ADMM) framework. Specifically, the objective function of PnPEIT contains the voltage reconstruction error and a sparse constraint, a graph regularization, and a PnP prior to the conductivity images. Next, the PnP prior term is optimized by a denoising operator and implemented by block-matching and 3D filtering (BM3D) or pre-trained denoising networks. Through alternating iterations, the algorithm converges rapidly and the desired conductivity image is obtained. Moreover, we provide a simple proof that the graph Laplacian regularization is not only equivalent to the non-local means denoising algorithm, but also accelerates convergence. Experiments on both synthetic and real-world datasets emphasize the advantage of the proposed method over traditional and cutting-edge EIT image reconstruction approaches. The source code is available at https://github.com/shuaikaishi/PnPEIT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通过互补先验进行快照压缩高光谱图像重建</w:t>
      </w:r>
    </w:p>
    <w:p>
      <w:r>
        <w:rPr>
          <w:rFonts w:ascii="Times New Roman" w:hAnsi="Times New Roman" w:eastAsia="宋体"/>
          <w:b/>
          <w:color w:val="003264"/>
          <w:sz w:val="24"/>
        </w:rPr>
        <w:t>Snapshot Compressive Hyperspectral Image Reconstruction via Complementary Priors</w:t>
      </w:r>
    </w:p>
    <w:p>
      <w:r>
        <w:rPr>
          <w:rFonts w:ascii="Times New Roman" w:hAnsi="Times New Roman" w:eastAsia="宋体"/>
          <w:sz w:val="21"/>
        </w:rPr>
        <w:t>作者: Yaning Zang, Min Huang, Lianru Gao, Lina Zhuang</w:t>
        <w:br/>
      </w:r>
      <w:r>
        <w:rPr>
          <w:rFonts w:ascii="Times New Roman" w:hAnsi="Times New Roman" w:eastAsia="宋体"/>
          <w:sz w:val="21"/>
        </w:rPr>
        <w:t xml:space="preserve">时间: 2026 | </w:t>
      </w:r>
      <w:r>
        <w:t xml:space="preserve">链接: </w:t>
      </w:r>
      <w:hyperlink r:id="rId100">
        <w:r>
          <w:rPr>
            <w:rFonts w:ascii="Times New Roman" w:hAnsi="Times New Roman" w:eastAsia="宋体"/>
            <w:color w:val="0000FF"/>
            <w:sz w:val="21"/>
            <w:u w:val="single"/>
          </w:rPr>
          <w:t>https://doi.org/10.1109/tci.2026.3664689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编码孔径快照光谱成像 (CASSI) 系统将 3D 高光谱数据压缩投影到 2D 测量上，提供高成像速度和数据效率。然而，由于高光谱压缩感知重建的不适定性质，现有的 CASSI 重建算法仍然存在重建质量不理想的问题，这需要有效的先验建模。本文提出了一种新颖的重建框架，集成了多个互补先验，联合建模光谱低秩、空间非局部自相似性和深度图像先验，以全面捕获跨光谱和空间域的高光谱图像的内在结构。通过结合基于模型和数据驱动先验的优点，所提出的方法实现了强大的泛化能力和表达能力。为了解决多个正则化项和参数带来的优化挑战，开发了一种高效的基于 ADMM 的求解器，它将问题分解为具有封闭形式解决方案的子问题或可通过即插即用降噪器解决的子问题。此外，引入自适应噪声估计机制来自动调整正则化参数，无需手动调整参数。大量的实验表明，所提出的方法在跨多个数据集的重建精度和鲁棒性方面始终优于最先进的方法。我们的代码可在 https://github.com/ETHAN-YA/PnP-Hybrid.git 获取。</w:t>
      </w:r>
    </w:p>
    <w:p>
      <w:pPr>
        <w:spacing w:before="120"/>
      </w:pPr>
      <w:r>
        <w:rPr>
          <w:rFonts w:ascii="Times New Roman" w:hAnsi="Times New Roman" w:eastAsia="宋体"/>
          <w:b/>
          <w:sz w:val="21"/>
        </w:rPr>
        <w:t>English Abstract:</w:t>
      </w:r>
    </w:p>
    <w:p>
      <w:r>
        <w:rPr>
          <w:rFonts w:ascii="Times New Roman" w:hAnsi="Times New Roman" w:eastAsia="宋体"/>
          <w:sz w:val="21"/>
        </w:rPr>
        <w:t>Coded aperture snapshot spectral imaging (CASSI) systems compressively project 3D hyperspectral data onto 2D measurements, offering high imaging speed and data efficiency. However, existing CASSI reconstruction algorithms still suffer from suboptimal reconstruction quality due to the ill-posed nature of hyperspectral compressive sensing reconstruction, which demands effective prior modeling. This paper proposes a novel reconstruction framework that integrates multiple complementary priors, jointly modeling spectral low-rankness, spatial nonlocal self-similarity, and deep image priors to comprehensively capture the intrinsic structure of hyperspectral images across spectral and spatial domains. By combining the strengths of model-based and data-driven priors, the proposed method achieves both strong generalization and expressive capacity. To tackle the optimization challenges posed by multiple regularization terms and parameters, an efficient ADMM-based solver is developed, which decomposes the problem into subproblems with closed-form solutions or those solvable via plug-and-play denoisers. In addition, an adaptive noise estimation mechanism is introduced to automatically tune the regularization parameters, eliminating the need for manual parameter adjustment. Extensive experiments demonstrate that the proposed method consistently outperforms state-of-the-art approaches in terms of reconstruction accuracy and robustness across multiple datasets. Our code is available at https://github.com/ETHAN-YA/PnP-Hybrid.git .</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06:29 ---</w:t>
      </w:r>
    </w:p>
    <w:p>
      <w:pPr>
        <w:pStyle w:val="Heading2"/>
      </w:pPr>
      <w:r/>
      <w:r>
        <w:rPr>
          <w:rFonts w:ascii="Times New Roman" w:hAnsi="Times New Roman" w:eastAsia="宋体"/>
          <w:b/>
          <w:color w:val="000000"/>
          <w:sz w:val="24"/>
        </w:rPr>
        <w:t>C-WOE：利用狂野异常值暴露进行分布外检测学习的聚类</w:t>
      </w:r>
    </w:p>
    <w:p>
      <w:r>
        <w:rPr>
          <w:rFonts w:ascii="Times New Roman" w:hAnsi="Times New Roman" w:eastAsia="宋体"/>
          <w:b/>
          <w:color w:val="003264"/>
          <w:sz w:val="24"/>
        </w:rPr>
        <w:t>C-WOE: Clustering for Out-of-Distribution Detection Learning with Wild Outlier Exposure</w:t>
      </w:r>
    </w:p>
    <w:p>
      <w:r>
        <w:rPr>
          <w:rFonts w:ascii="Times New Roman" w:hAnsi="Times New Roman" w:eastAsia="宋体"/>
          <w:sz w:val="21"/>
        </w:rPr>
        <w:t>作者: Long Lan, Zhaohui Hu, He Li, Tongliang Liu, Xinwang Liu</w:t>
        <w:br/>
      </w:r>
      <w:r>
        <w:rPr>
          <w:rFonts w:ascii="Times New Roman" w:hAnsi="Times New Roman" w:eastAsia="宋体"/>
          <w:sz w:val="21"/>
        </w:rPr>
        <w:t xml:space="preserve">时间: 2026 | </w:t>
      </w:r>
      <w:r>
        <w:t xml:space="preserve">链接: </w:t>
      </w:r>
      <w:hyperlink r:id="rId101">
        <w:r>
          <w:rPr>
            <w:rFonts w:ascii="Times New Roman" w:hAnsi="Times New Roman" w:eastAsia="宋体"/>
            <w:color w:val="0000FF"/>
            <w:sz w:val="21"/>
            <w:u w:val="single"/>
          </w:rPr>
          <w:t>https://doi.org/10.1109/tip.2026.3662593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分布外 (OOD) 检测作为计算机视觉系统中处理异常的机制发挥着至关重要的作用。在现有方法中，异常值暴露 (OE) 使用额外的辅助 OOD 数据集来训练模型，已表现出强大的有效性。然而，获取干净且精心策划的辅助 OOD 数据通常是不可行的，特别是在大型复杂系统中。另外，野生异常值（即直接在部署环境中收集的未标记样本）丰富且易于获取，最近的研究表明它们可以极大地有益于 OOD 检测学习。然而，异常值通常包含分布内 (ID) 和 OOD 样本的混合。直接使用它们作为辅助 OOD 数据不可避免地将模型暴露于由所包含的 ID 样本产生的不利监督信号中。然而，现有方法仍然缺乏一种有效的策略，可以充分利用野生异常值，同时抑制 ID 子集带来的负面影响。为此，我们提出了一种简单而有效的方法，名为“狂野异常值暴露聚类”(C-WOE)，该方法通过重新加权来减轻狂野异常值中包含的 ID 样本的不利影响。具体来说，C-WOE 为真实的 OOD 样本分配较高的权重，为 ID 样本分配较低的权重，并在训练期间动态更新这些权重。从理论上讲，我们为所提出的方法建立了坚实的保证。根据经验，对各种现实世界基准和模拟数据集进行的大量实验表明，与最先进的方法相比，C-WOE 显着实现了卓越的性能，验证了其在图像处理应用中的可靠性。</w:t>
      </w:r>
    </w:p>
    <w:p>
      <w:pPr>
        <w:spacing w:before="120"/>
      </w:pPr>
      <w:r>
        <w:rPr>
          <w:rFonts w:ascii="Times New Roman" w:hAnsi="Times New Roman" w:eastAsia="宋体"/>
          <w:b/>
          <w:sz w:val="21"/>
        </w:rPr>
        <w:t>English Abstract:</w:t>
      </w:r>
    </w:p>
    <w:p>
      <w:r>
        <w:rPr>
          <w:rFonts w:ascii="Times New Roman" w:hAnsi="Times New Roman" w:eastAsia="宋体"/>
          <w:sz w:val="21"/>
        </w:rPr>
        <w:t>Out-of-distribution (OOD) detection plays a crucial role as a mechanism for handling anomalies in computer vision systems. Among existing approaches, outlier exposure (OE), which trains the model with an additional auxiliary OOD dataset, has demonstrated strong effectiveness. However, acquiring clean and well-curated auxiliary OOD data is often infeasible, particularly within large and complex systems. Alternatively, wild outliers , i.e., unlabeled samples collected directly in deployment environments, are abundant and easy to obtain, and recent studies have shown that they can substantially benefit OOD detection learning. Nevertheless, wild outliers typically contain a mixture of in-distribution (ID) and OOD samples. Directly using them as auxiliary OOD data unavoidably exposes the model to adverse supervision signals arising from the contained ID samples. Yet existing methods still lack an effective strategy that can fully leverage wild outliers while suppressing the negative influence introduced by their ID subset. To this end, we propose a simple yet effective method named Clustering for Wild Outlier Exposure (C-WOE), which alleviates the adverse effect of the ID samples contained within wild outliers by reweighting them. Specifically, C-WOE assigns higher weights to real OOD samples and lower weights to ID samples and dynamically updates these weights during training. Theoretically, we establish solid guarantees for the proposed method. Empirically, extensive experiments conducted on various real-world benchmarks and simulated datasets demonstrate that C-WOE notably achieves superior performance compared with state-of-the-art methods, validating its reliability in image processing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DeepGSR：用于解决图像逆问题的基于深度组的稀疏表示网络</w:t>
      </w:r>
    </w:p>
    <w:p>
      <w:r>
        <w:rPr>
          <w:rFonts w:ascii="Times New Roman" w:hAnsi="Times New Roman" w:eastAsia="宋体"/>
          <w:b/>
          <w:color w:val="003264"/>
          <w:sz w:val="24"/>
        </w:rPr>
        <w:t>DeepGSR: Deep group-based sparse representation network for solving image inverse problems</w:t>
      </w:r>
    </w:p>
    <w:p>
      <w:r>
        <w:rPr>
          <w:rFonts w:ascii="Times New Roman" w:hAnsi="Times New Roman" w:eastAsia="宋体"/>
          <w:sz w:val="21"/>
        </w:rPr>
        <w:t>作者: Ke Jiang, Xinya Ji, Baoshun Shi</w:t>
        <w:br/>
      </w:r>
      <w:r>
        <w:rPr>
          <w:rFonts w:ascii="Times New Roman" w:hAnsi="Times New Roman" w:eastAsia="宋体"/>
          <w:sz w:val="21"/>
        </w:rPr>
        <w:t xml:space="preserve">时间: 2026 | </w:t>
      </w:r>
      <w:r>
        <w:t xml:space="preserve">链接: </w:t>
      </w:r>
      <w:hyperlink r:id="rId102">
        <w:r>
          <w:rPr>
            <w:rFonts w:ascii="Times New Roman" w:hAnsi="Times New Roman" w:eastAsia="宋体"/>
            <w:color w:val="0000FF"/>
            <w:sz w:val="21"/>
            <w:u w:val="single"/>
          </w:rPr>
          <w:t>https://doi.org/10.1109/tip.2026.3662583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过去的几年中，基于组的稀疏表示（GSR）通过将模型驱动的可解释性与非局部自相似先验相结合，已成为图像逆问题的强大范例。然而，其实际用途受到计算成本昂贵的迭代过程的阻碍。深度学习（DL）方法可以避免这种缺陷，但它们通常缺乏模型可解释性。为了弥补这一差距，我们提出了一种新颖的基于深度组的稀疏表示框架，称为 DeepGSR，它将 GSR 方法和 DL 方法结合在一起。 DeepGSR 不仅规避了传统 GSR 的迭代瓶颈，还通过可学习的参数化保留了其模型的可解释性。具体来说，该网络建立在利用非局部自相似性的 GSR 模型之上，并集成了自适应补丁匹配和聚合机制来对潜在空间中复杂的组内关系进行建模。为了降低与传统的基于 SVD 的秩收缩相关的计算复杂性，我们引入了一种可学习的低秩收缩模块，该模块结合了低秩约束，同时增强了模型的可解释性和适应性。为了更好地利用特定频率的结构，该网络采用了移位小波域补丁划分策略，该策略分别对高频和低频分量进行建模，以进一步增强网络的表示能力。大量实验表明，当 DeepGSR 作为直接替换模块应用于各种图像反演问题（例如图像去噪、单图像去雨、金属伪影减少、稀疏视图计算机断层扫描重建、相位检索和一体化图像恢复）时，始终能够提供有效的性能，验证了所提出框架的有效性。源代码和数据集已在 https://github.com/shibaoshun/DeepGSR 上公开。</w:t>
      </w:r>
    </w:p>
    <w:p>
      <w:pPr>
        <w:spacing w:before="120"/>
      </w:pPr>
      <w:r>
        <w:rPr>
          <w:rFonts w:ascii="Times New Roman" w:hAnsi="Times New Roman" w:eastAsia="宋体"/>
          <w:b/>
          <w:sz w:val="21"/>
        </w:rPr>
        <w:t>English Abstract:</w:t>
      </w:r>
    </w:p>
    <w:p>
      <w:r>
        <w:rPr>
          <w:rFonts w:ascii="Times New Roman" w:hAnsi="Times New Roman" w:eastAsia="宋体"/>
          <w:sz w:val="21"/>
        </w:rPr>
        <w:t>In the past few years, group-based sparse representation (GSR) has emerged as a powerful paradigm for image inverse problems by synergizing model-driven interpretability with nonlocal self-similarity priors. Nevertheless, its practical utility is hindered by computationally expensive iterative processes. Deep learning (DL) methods can avoid this deficiency, but they often lack of model interpretability. To bridge this gap, we propose a novel deep group-based sparse representation framework, termed DeepGSR, which brings the GSR method and the DL approach together. DeepGSR not only circumvents the iterative bottlenecks of conventional GSR but also preserves its model interpretability through a learnable parameterization. Specifically, the network is built upon a GSR model that leverages nonlocal self-similarity, and it integrates adaptive patch matching and aggregation mechanisms to model complex intra-group relationships in the latent space. To reduce the computational complexity associated with traditional SVD-based rank shrinkage, we introduce a learnable low-rank shrinkage module that incorporates low-rank constraints while enhancing the interpretability and adaptability of the model. To better exploit frequency-specific structures, the network incorporates a shifting wavelet-domain patch partitioning strategy, which separately models high- and low-frequency components to further enhance the representation ability of the network. Extensive experiments demonstrate that DeepGSR, when applied as a drop-in replacement module to various image inverse problems such as image denoising, single-image deraining, metal artifact reduction, sparse-view computed tomography reconstruction, phase retrieval, and all-in-one image restoration consistently delivers effective performance, validating the effectiveness of the proposed framework. The source code and datasets have been made publicly available at https://github.com/shibaoshun/DeepGSR.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通过可学习的参数化深度降级投影实现光场中稳健的 2.5D 特征匹配</w:t>
      </w:r>
    </w:p>
    <w:p>
      <w:r>
        <w:rPr>
          <w:rFonts w:ascii="Times New Roman" w:hAnsi="Times New Roman" w:eastAsia="宋体"/>
          <w:b/>
          <w:color w:val="003264"/>
          <w:sz w:val="24"/>
        </w:rPr>
        <w:t>Robust 2.5D Feature Matching in Light Fields via A Learnable Parameterized Depth-Degraded Projection</w:t>
      </w:r>
    </w:p>
    <w:p>
      <w:r>
        <w:rPr>
          <w:rFonts w:ascii="Times New Roman" w:hAnsi="Times New Roman" w:eastAsia="宋体"/>
          <w:sz w:val="21"/>
        </w:rPr>
        <w:t>作者: Meng Zhang, Haiyan Jin, Zhaolin Xiao, Jinglei Shi, Xiaoran Jiang</w:t>
        <w:br/>
      </w:r>
      <w:r>
        <w:rPr>
          <w:rFonts w:ascii="Times New Roman" w:hAnsi="Times New Roman" w:eastAsia="宋体"/>
          <w:sz w:val="21"/>
        </w:rPr>
        <w:t xml:space="preserve">时间: 2026 | </w:t>
      </w:r>
      <w:r>
        <w:t xml:space="preserve">链接: </w:t>
      </w:r>
      <w:hyperlink r:id="rId103">
        <w:r>
          <w:rPr>
            <w:rFonts w:ascii="Times New Roman" w:hAnsi="Times New Roman" w:eastAsia="宋体"/>
            <w:color w:val="0000FF"/>
            <w:sz w:val="21"/>
            <w:u w:val="single"/>
          </w:rPr>
          <w:t>https://doi.org/10.1109/tip.2026.3662579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 3D 信息丢失，准确且稳健的 2D 图像特征匹配对于许多计算机视觉应用来说仍然具有挑战性。本文介绍了一种 2.5D 特征，该特征使用光场傅立叶视差层 (FDL) 的视差值作为场景深度的粗略代理。在没有显式深度估计的情况下，提出了参数化深度降级投影来构造两个光场之间配对特征的几何变换。然后，我们提出了一种参数化学习解决方案来计算深度降级投影。该解决方案使用非常简单的网络来估计全局常数基本矩阵、可变视差引导平移向量和深度补偿项。虽然FDL提供的0.5D相对视差并不能代表精确的深度，但它也可以显着减少特征匹配中的深度模糊性。因此，所提出的解决方案通过最小化所有匹配候选者的重投影误差之和来实现准确的特征匹配结果。在公共光场特征匹配数据集上，所提出的解决方案在匹配精度和鲁棒性方面优于现有的2D图像特征匹配解决方案和光场特征匹配算法。该代码可在线获取 1 。</w:t>
      </w:r>
    </w:p>
    <w:p>
      <w:pPr>
        <w:spacing w:before="120"/>
      </w:pPr>
      <w:r>
        <w:rPr>
          <w:rFonts w:ascii="Times New Roman" w:hAnsi="Times New Roman" w:eastAsia="宋体"/>
          <w:b/>
          <w:sz w:val="21"/>
        </w:rPr>
        <w:t>English Abstract:</w:t>
      </w:r>
    </w:p>
    <w:p>
      <w:r>
        <w:rPr>
          <w:rFonts w:ascii="Times New Roman" w:hAnsi="Times New Roman" w:eastAsia="宋体"/>
          <w:sz w:val="21"/>
        </w:rPr>
        <w:t>Due to the loss of 3D information, accurate and robust 2D image feature matching remains challenging for many computer vision applications. This paper introduces a 2.5D feature that uses the disparity value from the light field Fourier disparity layer (FDL) as a rough proxy of scene depth. Without explicit depth estimation, a parameterized depth-degraded projection is proposed to construct the geometric transformation of paired features between two light fields. Then, we propose a parameterized learning solution to calculate the depth-degraded projection. This solution estimates a global constant fundamental matrix, a variable disparity-guided translation vector, and a depth compensation term using a very simple network. Although the 0.5D relative disparity provided by the FDL does not represent precise depth, it can also significantly reduce the depth ambiguity in feature matching. Therefore, the proposed solution achieves accurate feature-matching results by minimizing the sum of reprojection errors across all matching candidates. On the public light field feature-matching dataset, the proposed solution outperforms existing 2D image feature-matching solutions and light field feature-matching algorithms in terms of matching accuracy and robustness. The code is available online 1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IMPRESS：通过运动恢复和结构语义融合进行不完整的人体运动预测</w:t>
      </w:r>
    </w:p>
    <w:p>
      <w:r>
        <w:rPr>
          <w:rFonts w:ascii="Times New Roman" w:hAnsi="Times New Roman" w:eastAsia="宋体"/>
          <w:b/>
          <w:color w:val="003264"/>
          <w:sz w:val="24"/>
        </w:rPr>
        <w:t>IMPRESS: Incomplete Human Motion Prediction via Motion Recovery and Structural-Semantic Fusion</w:t>
      </w:r>
    </w:p>
    <w:p>
      <w:r>
        <w:rPr>
          <w:rFonts w:ascii="Times New Roman" w:hAnsi="Times New Roman" w:eastAsia="宋体"/>
          <w:sz w:val="21"/>
        </w:rPr>
        <w:t>作者: Hao Deng, Jinkai Li, Jinxing Li, Jie Wen, Yong Xu</w:t>
        <w:br/>
      </w:r>
      <w:r>
        <w:rPr>
          <w:rFonts w:ascii="Times New Roman" w:hAnsi="Times New Roman" w:eastAsia="宋体"/>
          <w:sz w:val="21"/>
        </w:rPr>
        <w:t xml:space="preserve">时间: 2026 | </w:t>
      </w:r>
      <w:r>
        <w:t xml:space="preserve">链接: </w:t>
      </w:r>
      <w:hyperlink r:id="rId104">
        <w:r>
          <w:rPr>
            <w:rFonts w:ascii="Times New Roman" w:hAnsi="Times New Roman" w:eastAsia="宋体"/>
            <w:color w:val="0000FF"/>
            <w:sz w:val="21"/>
            <w:u w:val="single"/>
          </w:rPr>
          <w:t>https://doi.org/10.1109/tip.2026.3662597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人体运动预测是计算机视觉和人机交互中的一项关键任务，近年来备受关注。然而，现有的方法存在两个问题：（1）它们通常仅依赖于完整的数据，而忽视了现实世界的挑战，例如缺失的观察结果。 （2）最近的工作未能捕捉到不同动作类别中身体部位之间的不同关系，这限制了它们的预测性能。为了解决上述问题，我们提出了一种通过运动恢复和结构语义融合（IMPRESS）的新型不完整人体运动预测方法。具体来说，对于运动恢复，我们引入了基于小波的自注意力模块。它从高频特征中捕获运动细节，并从低频成分中提取全局趋势。为了增强不同身体部位之间的关系，我们设计了一种结构-语义融合图卷积网络。此外，我们采用双通道滑动窗口注意机制来捕获运动周期性，从而实现更平滑的预测。对两个基准数据集（Human3.6M、CMU-MoCap）的大量实验表明，IMPRESS 在完整和不完整观察下均实现了最先进的平均预测性能。</w:t>
      </w:r>
    </w:p>
    <w:p>
      <w:pPr>
        <w:spacing w:before="120"/>
      </w:pPr>
      <w:r>
        <w:rPr>
          <w:rFonts w:ascii="Times New Roman" w:hAnsi="Times New Roman" w:eastAsia="宋体"/>
          <w:b/>
          <w:sz w:val="21"/>
        </w:rPr>
        <w:t>English Abstract:</w:t>
      </w:r>
    </w:p>
    <w:p>
      <w:r>
        <w:rPr>
          <w:rFonts w:ascii="Times New Roman" w:hAnsi="Times New Roman" w:eastAsia="宋体"/>
          <w:sz w:val="21"/>
        </w:rPr>
        <w:t>Human motion prediction is a key task in computer vision and human-robot interaction, which has received much attention in recent years. However, existing approaches suffer from two issues: (1) They typically rely only on complete data and overlook real-world challenges such as missing observations. (2) Recent works fail to capture the diverse relations among body parts in different action categories, which limits their prediction performance. To address the above problems, we propose a novel Incomplete human Motion Prediction method through motion REcovery and Structure-Semantic fusion (IMPRESS). Specifically, for motion recovery, we introduce a wavelet-based self-attention module. It captures motion details from high-frequency features and extracts global trends from low-frequency components. To enhance the relations among different body parts, we design a structure-semantic fusion graph convolutional network. Moreover, we employ a dual-channel sliding window attention mechanism to capture motion periodicity, enabling smoother predictions. Extensive experiments on two benchmark datasets (Human3.6M, CMU-MoCap) demonstrate that IMPRESS achieves state-of-the-art average prediction performance under both complete and incomplete observations.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ASDTracker：采用注意力引导细化的自适应稀疏检测，可实现高效的多目标跟踪</w:t>
      </w:r>
    </w:p>
    <w:p>
      <w:r>
        <w:rPr>
          <w:rFonts w:ascii="Times New Roman" w:hAnsi="Times New Roman" w:eastAsia="宋体"/>
          <w:b/>
          <w:color w:val="003264"/>
          <w:sz w:val="24"/>
        </w:rPr>
        <w:t>ASDTracker: Adaptively Sparse Detection with Attention-Guided Refinement for Efficient Multi-Object Tracking</w:t>
      </w:r>
    </w:p>
    <w:p>
      <w:r>
        <w:rPr>
          <w:rFonts w:ascii="Times New Roman" w:hAnsi="Times New Roman" w:eastAsia="宋体"/>
          <w:sz w:val="21"/>
        </w:rPr>
        <w:t>作者: Yueying Wang, Chenyang Yan, Cairong Zhao, Weidong Zhang, Dan Zeng</w:t>
        <w:br/>
      </w:r>
      <w:r>
        <w:rPr>
          <w:rFonts w:ascii="Times New Roman" w:hAnsi="Times New Roman" w:eastAsia="宋体"/>
          <w:sz w:val="21"/>
        </w:rPr>
        <w:t xml:space="preserve">时间: 2026 | </w:t>
      </w:r>
      <w:r>
        <w:t xml:space="preserve">链接: </w:t>
      </w:r>
      <w:hyperlink r:id="rId105">
        <w:r>
          <w:rPr>
            <w:rFonts w:ascii="Times New Roman" w:hAnsi="Times New Roman" w:eastAsia="宋体"/>
            <w:color w:val="0000FF"/>
            <w:sz w:val="21"/>
            <w:u w:val="single"/>
          </w:rPr>
          <w:t>https://doi.org/10.1109/tip.2026.3662594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检测跟踪范例在通用多目标跟踪（MOT）中表现出色，但其紧凑的结构阻碍了实时应用。在这项工作中，我们将大量的计算负担归因于两个昂贵的组件，即检测和重新识别。基于自适应维持可接受的推理效率的原则，我们提出了具有注意力引导细化的自适应稀疏检测（ASDTracker）以实现高效跟踪。具体来说，我们的 ASDTracker 可以快速评估短期和长期遮挡，动态确定昂贵检测器的使用。对于非关键帧，我们从卡尔曼滤波器预测中有效地细化小尺寸作物，并引入噪声阴影标签来稳健地训练该细化网络。此外，我们用轻量级外观表示替代了重度 ReID 网络，从而在粗略量化的颜色空间中有效地提取足够的外观线索。对四个基准的大量实验表明，ASDTracker 在良好的推理速度下在泛化性和鲁棒性方面实现了具有竞争力的性能。此外，高效的跟踪部署进一步实现在现实场景中高精度、低延迟的无人地面车辆上。</w:t>
      </w:r>
    </w:p>
    <w:p>
      <w:pPr>
        <w:spacing w:before="120"/>
      </w:pPr>
      <w:r>
        <w:rPr>
          <w:rFonts w:ascii="Times New Roman" w:hAnsi="Times New Roman" w:eastAsia="宋体"/>
          <w:b/>
          <w:sz w:val="21"/>
        </w:rPr>
        <w:t>English Abstract:</w:t>
      </w:r>
    </w:p>
    <w:p>
      <w:r>
        <w:rPr>
          <w:rFonts w:ascii="Times New Roman" w:hAnsi="Times New Roman" w:eastAsia="宋体"/>
          <w:sz w:val="21"/>
        </w:rPr>
        <w:t>Tracking-by-Detection paradigms shine in generic multi-object tracking (MOT), while their compact construction hinders the real-time applications. In this work, we attribute the substantial computational burden to two expensive components, i.e. detection and re-identification. Building upon the principle of adaptively maintaining acceptable inference efficiency, we present Adaptively Sparse Detection with attention-guided refinement (ASDTracker) for efficient tracking. In specific, our ASDTracker rapidly assess the short-term and long-term occlusion, dynamically determining the usage of the expensive detector. For non-key frames, we efficiently refine small-size crops out of Kalman Filter predictions and introduce the noisy shadow labels to robustly train this refinement network. Additionally, we substitute the lightweight appearance representation for the heavy ReID network, which efficiently extracts sufficient appearance cues in the coarsely quantized color spaces. Extensive experiments on four benchmarks demonstrate that ASDTracker achieves competitive performance in generalization and robustness under favorable inference speed. Moreover, the efficient tracking deployment is further implemented to an unmanned surface vehicle with high accuracy and low latency in real-world scenarios.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06:29 ---</w:t>
      </w:r>
    </w:p>
    <w:p>
      <w:pPr>
        <w:pStyle w:val="Heading2"/>
      </w:pPr>
      <w:r/>
      <w:r>
        <w:rPr>
          <w:rFonts w:ascii="Times New Roman" w:hAnsi="Times New Roman" w:eastAsia="宋体"/>
          <w:b/>
          <w:color w:val="000000"/>
          <w:sz w:val="24"/>
        </w:rPr>
        <w:t>人工智能生成的图像检测中的小聪明和大笨</w:t>
      </w:r>
    </w:p>
    <w:p>
      <w:r>
        <w:rPr>
          <w:rFonts w:ascii="Times New Roman" w:hAnsi="Times New Roman" w:eastAsia="宋体"/>
          <w:b/>
          <w:color w:val="003264"/>
          <w:sz w:val="24"/>
        </w:rPr>
        <w:t>Penny-Wise and Pound-Foolish in AI-Generated Image Detection</w:t>
      </w:r>
    </w:p>
    <w:p>
      <w:r>
        <w:rPr>
          <w:rFonts w:ascii="Times New Roman" w:hAnsi="Times New Roman" w:eastAsia="宋体"/>
          <w:sz w:val="21"/>
        </w:rPr>
        <w:t>作者: Yabin Wang, Zhiwu Huang, Zhou Su, Adam Prugel-Bennett, Xiaopeng Hong</w:t>
        <w:br/>
      </w:r>
      <w:r>
        <w:rPr>
          <w:rFonts w:ascii="Times New Roman" w:hAnsi="Times New Roman" w:eastAsia="宋体"/>
          <w:sz w:val="21"/>
        </w:rPr>
        <w:t xml:space="preserve">时间: 2026 | </w:t>
      </w:r>
      <w:r>
        <w:t xml:space="preserve">链接: </w:t>
      </w:r>
      <w:hyperlink r:id="rId106">
        <w:r>
          <w:rPr>
            <w:rFonts w:ascii="Times New Roman" w:hAnsi="Times New Roman" w:eastAsia="宋体"/>
            <w:color w:val="0000FF"/>
            <w:sz w:val="21"/>
            <w:u w:val="single"/>
          </w:rPr>
          <w:t>https://doi.org/10.1109/tpami.2026.3664388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智能生成图像的兴起引发了人们对其在各个领域可能被滥用的严重担忧，从而迫切需要强大的检测方法。尽管取得了进步，但当前的许多方法都优先考虑短期收益，而牺牲了长期有效性。本文批评了为了在单个人工智能图像数据集上获得短期收益而对预训练模型进行微调的过于专业化的方法，同时忽视了实现泛化和知识保留的长期必要性。为了解决这个权衡问题，我们提出了一种新颖的学习框架（PoundNet），用于在预训练的视觉语言模型上泛化人工智能生成的图像检测。 PoundNet 结合了可学习的提示设计和平衡的目标，以保留上游任务（对象分类）的广泛知识，同时增强下游任务（人工智能生成的图像检测）的泛化。我们遵循文献中的常见做法，在单个标准 AI 图像数据集上训练 PoundNet。然后，我们使用 5 个主要评估指标在 10 个大型公共人工智能生成图像检测数据集上评估其性能，形成据我们所知用于评估人工智能生成图像检测模型泛化能力的最大基准测试集。综合基准​​评估表明，PoundNet 成功地平衡了泛化与知识保留，与最先进的方法相比，AI 生成的图像检测性能相对提高了 19%，同时在对象分类任务上保持了 63% 的强劲性能。源代码和数据可在 https://github.com/iamwangyabin/PoundNet 获取。</w:t>
      </w:r>
    </w:p>
    <w:p>
      <w:pPr>
        <w:spacing w:before="120"/>
      </w:pPr>
      <w:r>
        <w:rPr>
          <w:rFonts w:ascii="Times New Roman" w:hAnsi="Times New Roman" w:eastAsia="宋体"/>
          <w:b/>
          <w:sz w:val="21"/>
        </w:rPr>
        <w:t>English Abstract:</w:t>
      </w:r>
    </w:p>
    <w:p>
      <w:r>
        <w:rPr>
          <w:rFonts w:ascii="Times New Roman" w:hAnsi="Times New Roman" w:eastAsia="宋体"/>
          <w:sz w:val="21"/>
        </w:rPr>
        <w:t>The rise of AI-generated images has sparked serious concerns about their potential misuse across various domains, prompting the urgent need for robust detection methods. Despite advancements, many current approaches prioritize short-term gains at the expense of long-term effectiveness. This paper critiques the overly specialized approach of fine-tuning pre-trained models for short-term gains on a single AI image dataset, while disregarding the long-term imperative of achieving generalization and knowledge retention. To address this trade-off issue, we propose a novel learning framework (PoundNet) for the generalization of AI-generated image detection on a pre-trained vision-language model. PoundNet incorporates a learnable prompt design and a balanced objective to preserve broad knowledge from upstream tasks (object classification) while enhancing generalization for downstream tasks (AI-generated image detection). We train PoundNet on a single standard AI image dataset, following common practice in the literature. We then evaluate its performance across 10 large-scale public AI-generated image detection datasets with 5 main evaluation metrics, forming the largest benchmark test set for assessing the generalization ability of AI-generated image detection models, to our knowledge. The comprehensive benchmark evaluation demonstrates that PoundNet successfully balances generalization with knowledge retention, achieving a remarkable relative improvement of 19% in AI-generated image detection performance compared to state-of-the-art methods, while maintaining a strong performance of 63% on object classification tasks. The source code and data are available at https://github.com/iamwangyabin/PoundNet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图像文本检索的分布到点匹配</w:t>
      </w:r>
    </w:p>
    <w:p>
      <w:r>
        <w:rPr>
          <w:rFonts w:ascii="Times New Roman" w:hAnsi="Times New Roman" w:eastAsia="宋体"/>
          <w:b/>
          <w:color w:val="003264"/>
          <w:sz w:val="24"/>
        </w:rPr>
        <w:t>Distribution-to-Points Matching for Image Text Retrieval</w:t>
      </w:r>
    </w:p>
    <w:p>
      <w:r>
        <w:rPr>
          <w:rFonts w:ascii="Times New Roman" w:hAnsi="Times New Roman" w:eastAsia="宋体"/>
          <w:sz w:val="21"/>
        </w:rPr>
        <w:t>作者: Zheng Wang, Xing Xu, Lei Zhu, Jingkuan Song, Yang Yang, Heng Tao Shen</w:t>
        <w:br/>
      </w:r>
      <w:r>
        <w:rPr>
          <w:rFonts w:ascii="Times New Roman" w:hAnsi="Times New Roman" w:eastAsia="宋体"/>
          <w:sz w:val="21"/>
        </w:rPr>
        <w:t xml:space="preserve">时间: 2026 | </w:t>
      </w:r>
      <w:r>
        <w:t xml:space="preserve">链接: </w:t>
      </w:r>
      <w:hyperlink r:id="rId107">
        <w:r>
          <w:rPr>
            <w:rFonts w:ascii="Times New Roman" w:hAnsi="Times New Roman" w:eastAsia="宋体"/>
            <w:color w:val="0000FF"/>
            <w:sz w:val="21"/>
            <w:u w:val="single"/>
          </w:rPr>
          <w:t>https://doi.org/10.1109/tpami.2026.3664613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消除不同模态之间的语义差异是图像文本检索的最终目标。然而，大多数现有方法只关注真实实例的检索，而忽略了那些语义相似但未标记为正例的实例，这导致了一对多对应的现象。该研究的主流解决方案主要基于不确定性学习，一对多对应的探索虽然取得了显着进展，但仍然不足。因此，这项工作开发了一种新颖的分布到点（称为 D2P）匹配机制，用于图像文本检索，以通过超图建模捕获多个样本与给定查询之间的一对多对应关系。具体来说，给定的查询首先被映射为概率嵌入，以基于马氏距离学习其真实的语义分布。然后，小批量中的每个候选实例被视为具有平均语义的超图节点，而高斯查询被建模为超边，以捕获候选点和查询之间的对之外的语义相关性。此外，开发了基于能量的语义建模框架，以将所有相似的候选者（不仅是基本事实）拉近其查询，同时将那些不相似的候选者推远。最后，基于马哈拉诺比斯距离的相似性测量来学习分布到点的匹配，它考虑了语义方差以很好地执行多对一对应。在几个广泛使用的数据集和各种评估指标下的实验结果证实了我们在提高基线检索能力（包括图像文本检索的地面实况匹配和语义多重性）方面的优越性和有效性。</w:t>
      </w:r>
    </w:p>
    <w:p>
      <w:pPr>
        <w:spacing w:before="120"/>
      </w:pPr>
      <w:r>
        <w:rPr>
          <w:rFonts w:ascii="Times New Roman" w:hAnsi="Times New Roman" w:eastAsia="宋体"/>
          <w:b/>
          <w:sz w:val="21"/>
        </w:rPr>
        <w:t>English Abstract:</w:t>
      </w:r>
    </w:p>
    <w:p>
      <w:r>
        <w:rPr>
          <w:rFonts w:ascii="Times New Roman" w:hAnsi="Times New Roman" w:eastAsia="宋体"/>
          <w:sz w:val="21"/>
        </w:rPr>
        <w:t>Eliminating semantic discrepancy between different modalities is the ultimate goal of image text retrieval. However, most of the existing methods only focus on retrieval of the ground-truth instance while ignoring those semantically similar instances yet unlabeled as positives, which causes the phenomenon of one-to-many correspondence. The mainstream solutions of this research are mainly based on uncertainty learning and the exploration of one-to-many correspondence is still insufficient albeit their significant progress. Therefore, this work develops a novel D istribution-to- P oints (termed D2P ) matching mechanism for image-text retrieval to capture the one-to-many correspondence between multiple samples and a given query via hypergraph modeling. Specifically, a given query is first mapped as a probabilistic embedding to learn its true semantic distribution based on Mahalanobis distance. Then each candidate instance in a mini-batch is regarded as a hypergraph node with its mean semantics while a Gaussian query is modeled as a hyperedge to capture the semantic correlations beyond the pair between candidate points and the query. Moreover, an energy-based semantic modeling framework is developed to pull all similar candidates (not only the ground truth) close to their query while pushing those dissimilar ones far away. In the end, distribution-to-points matching is learned based on the similarity measurement over the Mahalanobis distance, which considers semantic variance to perform many-to-one correspondence well. Experimental results on several widely used datasets and under various evaluation metrics confirm our superiority and effectiveness in improving the retrieval ability of the baseline including ground-truth matching and semantic multiplicity for image text retrieval.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通过具有成本效益的景观扁平化增强对抗性可转移性</w:t>
      </w:r>
    </w:p>
    <w:p>
      <w:r>
        <w:rPr>
          <w:rFonts w:ascii="Times New Roman" w:hAnsi="Times New Roman" w:eastAsia="宋体"/>
          <w:b/>
          <w:color w:val="003264"/>
          <w:sz w:val="24"/>
        </w:rPr>
        <w:t>Enhancing Adversarial Transferability with Cost-efficient Landscape Flattening</w:t>
      </w:r>
    </w:p>
    <w:p>
      <w:r>
        <w:rPr>
          <w:rFonts w:ascii="Times New Roman" w:hAnsi="Times New Roman" w:eastAsia="宋体"/>
          <w:sz w:val="21"/>
        </w:rPr>
        <w:t>作者: Zhipeng Wei, Jingjing Chen, Feng Han, Yue Yu, Yu-Gang Jiang</w:t>
        <w:br/>
      </w:r>
      <w:r>
        <w:rPr>
          <w:rFonts w:ascii="Times New Roman" w:hAnsi="Times New Roman" w:eastAsia="宋体"/>
          <w:sz w:val="21"/>
        </w:rPr>
        <w:t xml:space="preserve">时间: 2026 | </w:t>
      </w:r>
      <w:r>
        <w:t xml:space="preserve">链接: </w:t>
      </w:r>
      <w:hyperlink r:id="rId108">
        <w:r>
          <w:rPr>
            <w:rFonts w:ascii="Times New Roman" w:hAnsi="Times New Roman" w:eastAsia="宋体"/>
            <w:color w:val="0000FF"/>
            <w:sz w:val="21"/>
            <w:u w:val="single"/>
          </w:rPr>
          <w:t>https://doi.org/10.1109/tpami.2026.3664421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抗样本跨不同模型的可迁移性最近引起了相当大的关注，特别是在有针对性的可迁移性方面。先前的研究经验表明，优化具有最高损失值的相邻点的对抗性扰动可以提高可转移性。虽然有效，但这种方法需要多次迭代才能达到局部最大值，并且忽略输入损失情况的局部最小值。在本文中，我们从理论上证明，可以通过平坦化输入损失景观来增强对抗性可转移性。这是通过局部最大值和最小值处的扰动优化来实现的。此外，我们提出了成本高效的 L andscap E F lattening (CLEF) 攻击，以成本有效的方式考虑当前输入周围的局部最大值和最小值，以平坦化损失景观并提高对抗性可转移性。具体来说，我们重用先前攻击步骤的梯度来帮助当前输入达到局部最大值，并采用概率建模来学习扰动的分布表示，以帮助当前输入达到局部最小值。这种概率建模可以在来自其他领域的数十张图像上进行预训练，使我们能够在攻击时直接从预训练的分布中采样这种类型的扰动。实验结果表明，将局部最大值和最小值集成到有针对性的可转移攻击中可以显着平坦化精心设计的对抗性示例的损失情况，从而提高对抗性可转移性。</w:t>
      </w:r>
    </w:p>
    <w:p>
      <w:pPr>
        <w:spacing w:before="120"/>
      </w:pPr>
      <w:r>
        <w:rPr>
          <w:rFonts w:ascii="Times New Roman" w:hAnsi="Times New Roman" w:eastAsia="宋体"/>
          <w:b/>
          <w:sz w:val="21"/>
        </w:rPr>
        <w:t>English Abstract:</w:t>
      </w:r>
    </w:p>
    <w:p>
      <w:r>
        <w:rPr>
          <w:rFonts w:ascii="Times New Roman" w:hAnsi="Times New Roman" w:eastAsia="宋体"/>
          <w:sz w:val="21"/>
        </w:rPr>
        <w:t>The transferability of adversarial examples across different models has drawn considerable attention recently, particularly in targeted transferability. Prior research has empirically shown that optimizing adversarial perturbations at neighboring points with the highest loss value improves transferability. While effective, such a method requires multiple iterations to reach the local maxima and disregards the local minima of the input loss landscape. In this paper, we theoretically show that enhancing adversarial transferability is attainable by flattening the input loss landscape. This is accomplished through the perturbation optimization at both local maxima and minima. Moreover, we propose the C ost-efficient L andscap E F lattening (CLEF) attack to consider local maxima and minima around current inputs in a cost-efficient way to flatten the loss landscape and improve adversarial transferability. Specifically, we reuse the gradients of the previous attack step to assist current inputs in reaching local maxima, and employ probabilistic modeling to learn the distributional representations of perturbations that assist current inputs in reaching local minima. This probabilistic modeling can be pre-trained on dozens of images from other domains, enabling us to directly sample this type of perturbation from the pre-trained distribution when attacking. Experimental results demonstrate that integrating local maxima and minima into targeted transferable attacks can significantly flatten the loss landscape of the crafted adversarial examples, resulting in improved adversarial transferability.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大规模数据集蒸馏的软标签剪枝和量化</w:t>
      </w:r>
    </w:p>
    <w:p>
      <w:r>
        <w:rPr>
          <w:rFonts w:ascii="Times New Roman" w:hAnsi="Times New Roman" w:eastAsia="宋体"/>
          <w:b/>
          <w:color w:val="003264"/>
          <w:sz w:val="24"/>
        </w:rPr>
        <w:t>Soft Label Pruning and Quantization for Large-Scale Dataset Distillation</w:t>
      </w:r>
    </w:p>
    <w:p>
      <w:r>
        <w:rPr>
          <w:rFonts w:ascii="Times New Roman" w:hAnsi="Times New Roman" w:eastAsia="宋体"/>
          <w:sz w:val="21"/>
        </w:rPr>
        <w:t>作者: Lingao Xiao, Yang He</w:t>
        <w:br/>
      </w:r>
      <w:r>
        <w:rPr>
          <w:rFonts w:ascii="Times New Roman" w:hAnsi="Times New Roman" w:eastAsia="宋体"/>
          <w:sz w:val="21"/>
        </w:rPr>
        <w:t xml:space="preserve">时间: 2026 | </w:t>
      </w:r>
      <w:r>
        <w:t xml:space="preserve">链接: </w:t>
      </w:r>
      <w:hyperlink r:id="rId109">
        <w:r>
          <w:rPr>
            <w:rFonts w:ascii="Times New Roman" w:hAnsi="Times New Roman" w:eastAsia="宋体"/>
            <w:color w:val="0000FF"/>
            <w:sz w:val="21"/>
            <w:u w:val="single"/>
          </w:rPr>
          <w:t>https://doi.org/10.1109/tpami.2026.3664488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大规模数据集蒸馏需要存储比压缩图像大 30-40 倍（ImageNet-1K）或 200 倍（ImageNet-21K）的辅助软标签，从而破坏了数据集压缩的目标。我们发现需要如此广泛的标签的两个基本问题：（1）图像多样性不足，合成图像中的类内相似性高，需要广泛的增强；（2）监督多样性不足，训练期间监督信号的多样性有限，导致高压缩率下的性能下降。为了应对这些挑战，我们提出了大规模蒸馏的标签修剪和量化（LPQLD）。我们在合成过程中通过类批处理和 BN 监督来增强图像多样性。对于监督多样性，我们引入了带有动态知识重用的标签修剪来增强每个增强标签的多样性，以及带有校准学生-教师对齐的标签量化来增强每个图像的增强多样性。我们的方法在 ImageNet-1K 上将软标签存储减少了 78 倍，在 ImageNet-21K 上减少了 500 倍，同时将准确率分别提高了 7.2% 和 2.8%。大量实验验证了 LPQLD 在不同网络架构和其他数据集蒸馏方法中的优越性。</w:t>
      </w:r>
    </w:p>
    <w:p>
      <w:pPr>
        <w:spacing w:before="120"/>
      </w:pPr>
      <w:r>
        <w:rPr>
          <w:rFonts w:ascii="Times New Roman" w:hAnsi="Times New Roman" w:eastAsia="宋体"/>
          <w:b/>
          <w:sz w:val="21"/>
        </w:rPr>
        <w:t>English Abstract:</w:t>
      </w:r>
    </w:p>
    <w:p>
      <w:r>
        <w:rPr>
          <w:rFonts w:ascii="Times New Roman" w:hAnsi="Times New Roman" w:eastAsia="宋体"/>
          <w:sz w:val="21"/>
        </w:rPr>
        <w:t>Large-scale dataset distillation requires storing auxiliary soft labels that can be 30-40× (ImageNet-1K) or 200× (ImageNet-21K) larger than the condensed images, undermining the goal of dataset compression. We identify two fundamental issues necessitating such extensive labels: (1) insufficient image diversity , where high within-class similarity in synthetic images requires extensive augmentation, and (2) insufficient supervision diversity , where limited variety in supervisory signals during training leads to performance degradation at high compression rates. To address these challenges, we propose Label Pruning and Quantization for Large-scale Distillation (LPQLD). We enhance image diversity via class-wise batching and BN supervision during synthesis. For supervision diversity , we introduce Label Pruning with Dynamic Knowledge Reuse to enhance label-per-augmentation diversity , and Label Quantization with Calibrated Student-Teacher Alignment to enhance augmentation-per-image diversity . Our approach reduces soft label storage by 78× on ImageNet-1K and 500× on ImageNet-21K while improving accuracy by up to 7.2% and 2.8%, respectively. Extensive experiments validate the superiority of LPQLD across different network architectures and other dataset distillation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自动人脸识别 50 年</w:t>
      </w:r>
    </w:p>
    <w:p>
      <w:r>
        <w:rPr>
          <w:rFonts w:ascii="Times New Roman" w:hAnsi="Times New Roman" w:eastAsia="宋体"/>
          <w:b/>
          <w:color w:val="003264"/>
          <w:sz w:val="24"/>
        </w:rPr>
        <w:t>50 Years of Automated Face Recognition</w:t>
      </w:r>
    </w:p>
    <w:p>
      <w:r>
        <w:rPr>
          <w:rFonts w:ascii="Times New Roman" w:hAnsi="Times New Roman" w:eastAsia="宋体"/>
          <w:sz w:val="21"/>
        </w:rPr>
        <w:t>作者: Minchul Kim, Anil Jain, Xiaoming Liu</w:t>
        <w:br/>
      </w:r>
      <w:r>
        <w:rPr>
          <w:rFonts w:ascii="Times New Roman" w:hAnsi="Times New Roman" w:eastAsia="宋体"/>
          <w:sz w:val="21"/>
        </w:rPr>
        <w:t xml:space="preserve">时间: 2026 | </w:t>
      </w:r>
      <w:r>
        <w:t xml:space="preserve">链接: </w:t>
      </w:r>
      <w:hyperlink r:id="rId110">
        <w:r>
          <w:rPr>
            <w:rFonts w:ascii="Times New Roman" w:hAnsi="Times New Roman" w:eastAsia="宋体"/>
            <w:color w:val="0000FF"/>
            <w:sz w:val="21"/>
            <w:u w:val="single"/>
          </w:rPr>
          <w:t>https://doi.org/10.1109/tpami.2026.3664269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在过去的五年里，自动人脸识别 (FR) 已经从手工制作的几何和统计方法发展到先进的深度学习架构，现在已经接近甚至在许多情况下超过了人类的表现。本文追溯了 FR 的历史和技术演变，涵盖早期的算法范式，一直到在广泛的真实和综合生成的数据集上训练的当代神经系统。我们研究了推动这一进步的关键创新，包括数据集构建、损失函数公式、网络架构设计和特征融合策略方面的进步。此外，我们分析了数据规模、多样性和模型泛化之间的关系，强调数据集扩展与基准性能增益之间的关系。最近的系统已经实现了近乎完美的大规模识别精度，最新的 NIST FRTE 1:N 基准中的领先算法报告，在超过 1000 万个身份的图库中，误报识别率 (FNIR) 为 0.15%，误报识别率 (FPIR) 为 0.001。较大的库会增加误报率，并且更大规模的部署会出现更高的错误率。我们描述了关键的开放问题和新兴方向，包括可扩展的训练、多模态融合、合成数据和可解释的识别框架。</w:t>
      </w:r>
    </w:p>
    <w:p>
      <w:pPr>
        <w:spacing w:before="120"/>
      </w:pPr>
      <w:r>
        <w:rPr>
          <w:rFonts w:ascii="Times New Roman" w:hAnsi="Times New Roman" w:eastAsia="宋体"/>
          <w:b/>
          <w:sz w:val="21"/>
        </w:rPr>
        <w:t>English Abstract:</w:t>
      </w:r>
    </w:p>
    <w:p>
      <w:r>
        <w:rPr>
          <w:rFonts w:ascii="Times New Roman" w:hAnsi="Times New Roman" w:eastAsia="宋体"/>
          <w:sz w:val="21"/>
        </w:rPr>
        <w:t>Over the past five decades, automated face recognition (FR) has progressed from handcrafted geometric and statistical approaches to advanced deep learning architectures that now approach, and in many cases exceed, human performance. This paper traces the historical and technological evolution of FR, encompassing early algorithmic paradigms through to contemporary neural systems trained on extensive real and synthetically generated datasets. We examine pivotal innovations that have driven this progression, including advances in dataset construction, loss function formulation, network architecture design, and feature fusion strategies. Furthermore, we analyze the relationship between data scale, diversity, and model generalization, highlighting how dataset expansion correlates with benchmark performance gains. Recent systems have achieved near-perfect large-scale identification accuracy, with the leading algorithm in the latest NIST FRTE 1:N benchmark reporting a False Negative Identification Rate (FNIR) of 0.15 percent at False Positive Identification Rate (FPIR) of 0.001 on a gallery of over 10 million identities . Larger galleries increase false positive rates and deployments at greater scales will see higher error rates. We delineate key open problems and emerging directions, including scalable training, multi-modal fusion, synthetic data, and interpretable recognition frameworks.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564-0" TargetMode="External"/><Relationship Id="rId11" Type="http://schemas.openxmlformats.org/officeDocument/2006/relationships/hyperlink" Target="https://doi.org/10.1038/s41467-025-68236-9" TargetMode="External"/><Relationship Id="rId12" Type="http://schemas.openxmlformats.org/officeDocument/2006/relationships/hyperlink" Target="https://doi.org/10.1038/s41598-026-36044-w" TargetMode="External"/><Relationship Id="rId13" Type="http://schemas.openxmlformats.org/officeDocument/2006/relationships/hyperlink" Target="https://doi.org/10.1038/s41598-026-39438-y" TargetMode="External"/><Relationship Id="rId14" Type="http://schemas.openxmlformats.org/officeDocument/2006/relationships/hyperlink" Target="https://doi.org/10.1038/s41598-026-38108-3" TargetMode="External"/><Relationship Id="rId15" Type="http://schemas.openxmlformats.org/officeDocument/2006/relationships/hyperlink" Target="https://doi.org/10.1038/s41598-026-38866-0" TargetMode="External"/><Relationship Id="rId16" Type="http://schemas.openxmlformats.org/officeDocument/2006/relationships/hyperlink" Target="https://doi.org/10.1038/s41598-026-39816-6" TargetMode="External"/><Relationship Id="rId17" Type="http://schemas.openxmlformats.org/officeDocument/2006/relationships/hyperlink" Target="https://doi.org/10.1038/s41598-026-39496-2" TargetMode="External"/><Relationship Id="rId18" Type="http://schemas.openxmlformats.org/officeDocument/2006/relationships/hyperlink" Target="https://doi.org/10.1038/s41598-026-39372-z" TargetMode="External"/><Relationship Id="rId19" Type="http://schemas.openxmlformats.org/officeDocument/2006/relationships/hyperlink" Target="https://doi.org/10.1038/s41598-026-36024-0" TargetMode="External"/><Relationship Id="rId20" Type="http://schemas.openxmlformats.org/officeDocument/2006/relationships/hyperlink" Target="https://doi.org/10.1038/s41598-026-39268-y" TargetMode="External"/><Relationship Id="rId21" Type="http://schemas.openxmlformats.org/officeDocument/2006/relationships/hyperlink" Target="https://doi.org/10.1038/s41598-026-38808-w" TargetMode="External"/><Relationship Id="rId22" Type="http://schemas.openxmlformats.org/officeDocument/2006/relationships/hyperlink" Target="https://doi.org/10.1038/s41598-026-39630-0" TargetMode="External"/><Relationship Id="rId23" Type="http://schemas.openxmlformats.org/officeDocument/2006/relationships/hyperlink" Target="https://doi.org/10.1038/s41598-026-38872-2" TargetMode="External"/><Relationship Id="rId24" Type="http://schemas.openxmlformats.org/officeDocument/2006/relationships/hyperlink" Target="https://doi.org/10.1038/s41598-026-39010-8" TargetMode="External"/><Relationship Id="rId25" Type="http://schemas.openxmlformats.org/officeDocument/2006/relationships/hyperlink" Target="https://doi.org/10.1038/s41598-026-37584-x" TargetMode="External"/><Relationship Id="rId26" Type="http://schemas.openxmlformats.org/officeDocument/2006/relationships/hyperlink" Target="https://doi.org/10.1038/s41598-026-39457-9" TargetMode="External"/><Relationship Id="rId27" Type="http://schemas.openxmlformats.org/officeDocument/2006/relationships/hyperlink" Target="https://doi.org/10.1038/s41598-025-33423-7" TargetMode="External"/><Relationship Id="rId28" Type="http://schemas.openxmlformats.org/officeDocument/2006/relationships/hyperlink" Target="https://doi.org/10.1038/s41598-026-37811-5" TargetMode="External"/><Relationship Id="rId29" Type="http://schemas.openxmlformats.org/officeDocument/2006/relationships/hyperlink" Target="https://doi.org/10.1038/s41598-026-40041-4" TargetMode="External"/><Relationship Id="rId30" Type="http://schemas.openxmlformats.org/officeDocument/2006/relationships/hyperlink" Target="https://doi.org/10.1038/s41598-026-39885-7" TargetMode="External"/><Relationship Id="rId31" Type="http://schemas.openxmlformats.org/officeDocument/2006/relationships/hyperlink" Target="https://doi.org/10.1038/s41598-026-39443-1" TargetMode="External"/><Relationship Id="rId32" Type="http://schemas.openxmlformats.org/officeDocument/2006/relationships/hyperlink" Target="https://doi.org/10.1038/s41598-026-40261-8" TargetMode="External"/><Relationship Id="rId33" Type="http://schemas.openxmlformats.org/officeDocument/2006/relationships/hyperlink" Target="https://doi.org/10.1103/qbz5-df6g" TargetMode="External"/><Relationship Id="rId34" Type="http://schemas.openxmlformats.org/officeDocument/2006/relationships/hyperlink" Target="https://doi.org/10.1103/qysd-d6rn" TargetMode="External"/><Relationship Id="rId35" Type="http://schemas.openxmlformats.org/officeDocument/2006/relationships/hyperlink" Target="https://doi.org/10.1016/j.optlaseng.2026.109643" TargetMode="External"/><Relationship Id="rId36" Type="http://schemas.openxmlformats.org/officeDocument/2006/relationships/hyperlink" Target="https://doi.org/10.1016/j.optcom.2026.133008" TargetMode="External"/><Relationship Id="rId37" Type="http://schemas.openxmlformats.org/officeDocument/2006/relationships/hyperlink" Target="https://doi.org/10.1364/ao.584819" TargetMode="External"/><Relationship Id="rId38" Type="http://schemas.openxmlformats.org/officeDocument/2006/relationships/hyperlink" Target="https://doi.org/10.1364/ao.583195" TargetMode="External"/><Relationship Id="rId39" Type="http://schemas.openxmlformats.org/officeDocument/2006/relationships/hyperlink" Target="https://doi.org/10.1364/ao.583692" TargetMode="External"/><Relationship Id="rId40" Type="http://schemas.openxmlformats.org/officeDocument/2006/relationships/hyperlink" Target="https://doi.org/10.1364/oe.583721" TargetMode="External"/><Relationship Id="rId41" Type="http://schemas.openxmlformats.org/officeDocument/2006/relationships/hyperlink" Target="https://doi.org/10.1364/oe.587562" TargetMode="External"/><Relationship Id="rId42" Type="http://schemas.openxmlformats.org/officeDocument/2006/relationships/hyperlink" Target="https://doi.org/10.1364/oe.584341" TargetMode="External"/><Relationship Id="rId43" Type="http://schemas.openxmlformats.org/officeDocument/2006/relationships/hyperlink" Target="https://doi.org/10.1364/oe.583193" TargetMode="External"/><Relationship Id="rId44" Type="http://schemas.openxmlformats.org/officeDocument/2006/relationships/hyperlink" Target="https://doi.org/10.1364/oe.584671" TargetMode="External"/><Relationship Id="rId45" Type="http://schemas.openxmlformats.org/officeDocument/2006/relationships/hyperlink" Target="https://doi.org/10.1364/oe.582711" TargetMode="External"/><Relationship Id="rId46" Type="http://schemas.openxmlformats.org/officeDocument/2006/relationships/hyperlink" Target="https://doi.org/10.1364/oe.588469" TargetMode="External"/><Relationship Id="rId47" Type="http://schemas.openxmlformats.org/officeDocument/2006/relationships/hyperlink" Target="https://doi.org/10.1364/ol.587889" TargetMode="External"/><Relationship Id="rId48" Type="http://schemas.openxmlformats.org/officeDocument/2006/relationships/hyperlink" Target="https://doi.org/10.1364/ol.586535" TargetMode="External"/><Relationship Id="rId49" Type="http://schemas.openxmlformats.org/officeDocument/2006/relationships/hyperlink" Target="https://doi.org/10.1364/ol.584139" TargetMode="External"/><Relationship Id="rId50" Type="http://schemas.openxmlformats.org/officeDocument/2006/relationships/hyperlink" Target="https://doi.org/10.1364/ol.588506" TargetMode="External"/><Relationship Id="rId51" Type="http://schemas.openxmlformats.org/officeDocument/2006/relationships/hyperlink" Target="https://doi.org/10.1364/ol.586783" TargetMode="External"/><Relationship Id="rId52" Type="http://schemas.openxmlformats.org/officeDocument/2006/relationships/hyperlink" Target="https://doi.org/10.1364/ol.585468" TargetMode="External"/><Relationship Id="rId53" Type="http://schemas.openxmlformats.org/officeDocument/2006/relationships/hyperlink" Target="https://doi.org/10.1364/ol.583187" TargetMode="External"/><Relationship Id="rId54" Type="http://schemas.openxmlformats.org/officeDocument/2006/relationships/hyperlink" Target="https://doi.org/10.1364/ol.584678" TargetMode="External"/><Relationship Id="rId55" Type="http://schemas.openxmlformats.org/officeDocument/2006/relationships/hyperlink" Target="https://doi.org/10.1364/ol.581219" TargetMode="External"/><Relationship Id="rId56" Type="http://schemas.openxmlformats.org/officeDocument/2006/relationships/hyperlink" Target="https://doi.org/10.1364/ol.573926" TargetMode="External"/><Relationship Id="rId57" Type="http://schemas.openxmlformats.org/officeDocument/2006/relationships/hyperlink" Target="https://doi.org/10.1364/ol.582850" TargetMode="External"/><Relationship Id="rId58" Type="http://schemas.openxmlformats.org/officeDocument/2006/relationships/hyperlink" Target="https://doi.org/10.1364/ol.585272" TargetMode="External"/><Relationship Id="rId59" Type="http://schemas.openxmlformats.org/officeDocument/2006/relationships/hyperlink" Target="https://doi.org/10.1364/ol.584800" TargetMode="External"/><Relationship Id="rId60" Type="http://schemas.openxmlformats.org/officeDocument/2006/relationships/hyperlink" Target="https://doi.org/10.1364/optica.578136" TargetMode="External"/><Relationship Id="rId61" Type="http://schemas.openxmlformats.org/officeDocument/2006/relationships/hyperlink" Target="https://doi.org/10.1364/josaa.586510" TargetMode="External"/><Relationship Id="rId62" Type="http://schemas.openxmlformats.org/officeDocument/2006/relationships/hyperlink" Target="https://doi.org/10.1364/josaa.586965" TargetMode="External"/><Relationship Id="rId63" Type="http://schemas.openxmlformats.org/officeDocument/2006/relationships/hyperlink" Target="https://doi.org/10.1117/1.apn.5.2.026007" TargetMode="External"/><Relationship Id="rId64" Type="http://schemas.openxmlformats.org/officeDocument/2006/relationships/hyperlink" Target="https://doi.org/10.1002/lpor.202503148" TargetMode="External"/><Relationship Id="rId65" Type="http://schemas.openxmlformats.org/officeDocument/2006/relationships/hyperlink" Target="https://doi.org/10.1002/lpor.202502922" TargetMode="External"/><Relationship Id="rId66" Type="http://schemas.openxmlformats.org/officeDocument/2006/relationships/hyperlink" Target="https://doi.org/10.1002/lpor.202502220" TargetMode="External"/><Relationship Id="rId67" Type="http://schemas.openxmlformats.org/officeDocument/2006/relationships/hyperlink" Target="https://doi.org/10.1145/3795772" TargetMode="External"/><Relationship Id="rId68" Type="http://schemas.openxmlformats.org/officeDocument/2006/relationships/hyperlink" Target="https://doi.org/10.1038/s41467-026-69364-6" TargetMode="External"/><Relationship Id="rId69" Type="http://schemas.openxmlformats.org/officeDocument/2006/relationships/hyperlink" Target="https://doi.org/10.1038/s41467-026-69121-9" TargetMode="External"/><Relationship Id="rId70" Type="http://schemas.openxmlformats.org/officeDocument/2006/relationships/hyperlink" Target="https://doi.org/10.1126/sciadv.ady0344" TargetMode="External"/><Relationship Id="rId71" Type="http://schemas.openxmlformats.org/officeDocument/2006/relationships/hyperlink" Target="https://doi.org/10.1126/sciadv.ady8317" TargetMode="External"/><Relationship Id="rId72" Type="http://schemas.openxmlformats.org/officeDocument/2006/relationships/hyperlink" Target="https://doi.org/10.1126/sciadv.aeb2036" TargetMode="External"/><Relationship Id="rId73" Type="http://schemas.openxmlformats.org/officeDocument/2006/relationships/hyperlink" Target="https://doi.org/10.1126/sciadv.adz9942" TargetMode="External"/><Relationship Id="rId74" Type="http://schemas.openxmlformats.org/officeDocument/2006/relationships/hyperlink" Target="https://doi.org/10.1126/sciadv.aeb5758" TargetMode="External"/><Relationship Id="rId75" Type="http://schemas.openxmlformats.org/officeDocument/2006/relationships/hyperlink" Target="https://doi.org/10.1126/sciadv.ads7559" TargetMode="External"/><Relationship Id="rId76" Type="http://schemas.openxmlformats.org/officeDocument/2006/relationships/hyperlink" Target="https://doi.org/10.1126/sciadv.ady7222" TargetMode="External"/><Relationship Id="rId77" Type="http://schemas.openxmlformats.org/officeDocument/2006/relationships/hyperlink" Target="https://doi.org/10.1126/sciadv.aea5020" TargetMode="External"/><Relationship Id="rId78" Type="http://schemas.openxmlformats.org/officeDocument/2006/relationships/hyperlink" Target="https://doi.org/10.1126/sciadv.adz8331" TargetMode="External"/><Relationship Id="rId79" Type="http://schemas.openxmlformats.org/officeDocument/2006/relationships/hyperlink" Target="https://doi.org/10.1126/sciadv.aeb5665" TargetMode="External"/><Relationship Id="rId80" Type="http://schemas.openxmlformats.org/officeDocument/2006/relationships/hyperlink" Target="https://doi.org/10.1126/sciadv.aec5134" TargetMode="External"/><Relationship Id="rId81" Type="http://schemas.openxmlformats.org/officeDocument/2006/relationships/hyperlink" Target="https://doi.org/10.1126/sciadv.aeb9234" TargetMode="External"/><Relationship Id="rId82" Type="http://schemas.openxmlformats.org/officeDocument/2006/relationships/hyperlink" Target="https://doi.org/10.1038/s41598-026-37755-w" TargetMode="External"/><Relationship Id="rId83" Type="http://schemas.openxmlformats.org/officeDocument/2006/relationships/hyperlink" Target="https://doi.org/10.1038/s41598-026-39444-0" TargetMode="External"/><Relationship Id="rId84" Type="http://schemas.openxmlformats.org/officeDocument/2006/relationships/hyperlink" Target="https://doi.org/10.1038/s41598-026-39125-y" TargetMode="External"/><Relationship Id="rId85" Type="http://schemas.openxmlformats.org/officeDocument/2006/relationships/hyperlink" Target="https://doi.org/10.1038/s41598-026-39848-y" TargetMode="External"/><Relationship Id="rId86" Type="http://schemas.openxmlformats.org/officeDocument/2006/relationships/hyperlink" Target="https://doi.org/10.1038/s41598-026-40160-y" TargetMode="External"/><Relationship Id="rId87" Type="http://schemas.openxmlformats.org/officeDocument/2006/relationships/hyperlink" Target="https://doi.org/10.1103/h3zm-rnnx" TargetMode="External"/><Relationship Id="rId88" Type="http://schemas.openxmlformats.org/officeDocument/2006/relationships/hyperlink" Target="https://doi.org/10.1016/j.optlastec.2025.114644" TargetMode="External"/><Relationship Id="rId89" Type="http://schemas.openxmlformats.org/officeDocument/2006/relationships/hyperlink" Target="https://doi.org/10.1016/j.optlastec.2026.114922" TargetMode="External"/><Relationship Id="rId90" Type="http://schemas.openxmlformats.org/officeDocument/2006/relationships/hyperlink" Target="https://doi.org/10.1016/j.optcom.2026.133012" TargetMode="External"/><Relationship Id="rId91" Type="http://schemas.openxmlformats.org/officeDocument/2006/relationships/hyperlink" Target="https://doi.org/10.1364/prj.575235" TargetMode="External"/><Relationship Id="rId92" Type="http://schemas.openxmlformats.org/officeDocument/2006/relationships/hyperlink" Target="https://doi.org/10.1364/prj.573309" TargetMode="External"/><Relationship Id="rId93" Type="http://schemas.openxmlformats.org/officeDocument/2006/relationships/hyperlink" Target="https://doi.org/10.1364/prj.575821" TargetMode="External"/><Relationship Id="rId94" Type="http://schemas.openxmlformats.org/officeDocument/2006/relationships/hyperlink" Target="https://doi.org/10.1364/prj.572730" TargetMode="External"/><Relationship Id="rId95" Type="http://schemas.openxmlformats.org/officeDocument/2006/relationships/hyperlink" Target="https://doi.org/10.1364/prj.577677" TargetMode="External"/><Relationship Id="rId96" Type="http://schemas.openxmlformats.org/officeDocument/2006/relationships/hyperlink" Target="https://doi.org/10.1109/tvcg.2026.3664464" TargetMode="External"/><Relationship Id="rId97" Type="http://schemas.openxmlformats.org/officeDocument/2006/relationships/hyperlink" Target="https://doi.org/10.1021/acsphotonics.5c02863" TargetMode="External"/><Relationship Id="rId98" Type="http://schemas.openxmlformats.org/officeDocument/2006/relationships/hyperlink" Target="https://doi.org/10.1021/acsphotonics.5c02166" TargetMode="External"/><Relationship Id="rId99" Type="http://schemas.openxmlformats.org/officeDocument/2006/relationships/hyperlink" Target="https://doi.org/10.1109/tci.2026.3664753" TargetMode="External"/><Relationship Id="rId100" Type="http://schemas.openxmlformats.org/officeDocument/2006/relationships/hyperlink" Target="https://doi.org/10.1109/tci.2026.3664689" TargetMode="External"/><Relationship Id="rId101" Type="http://schemas.openxmlformats.org/officeDocument/2006/relationships/hyperlink" Target="https://doi.org/10.1109/tip.2026.3662593" TargetMode="External"/><Relationship Id="rId102" Type="http://schemas.openxmlformats.org/officeDocument/2006/relationships/hyperlink" Target="https://doi.org/10.1109/tip.2026.3662583" TargetMode="External"/><Relationship Id="rId103" Type="http://schemas.openxmlformats.org/officeDocument/2006/relationships/hyperlink" Target="https://doi.org/10.1109/tip.2026.3662579" TargetMode="External"/><Relationship Id="rId104" Type="http://schemas.openxmlformats.org/officeDocument/2006/relationships/hyperlink" Target="https://doi.org/10.1109/tip.2026.3662597" TargetMode="External"/><Relationship Id="rId105" Type="http://schemas.openxmlformats.org/officeDocument/2006/relationships/hyperlink" Target="https://doi.org/10.1109/tip.2026.3662594" TargetMode="External"/><Relationship Id="rId106" Type="http://schemas.openxmlformats.org/officeDocument/2006/relationships/hyperlink" Target="https://doi.org/10.1109/tpami.2026.3664388" TargetMode="External"/><Relationship Id="rId107" Type="http://schemas.openxmlformats.org/officeDocument/2006/relationships/hyperlink" Target="https://doi.org/10.1109/tpami.2026.3664613" TargetMode="External"/><Relationship Id="rId108" Type="http://schemas.openxmlformats.org/officeDocument/2006/relationships/hyperlink" Target="https://doi.org/10.1109/tpami.2026.3664421" TargetMode="External"/><Relationship Id="rId109" Type="http://schemas.openxmlformats.org/officeDocument/2006/relationships/hyperlink" Target="https://doi.org/10.1109/tpami.2026.3664488" TargetMode="External"/><Relationship Id="rId110" Type="http://schemas.openxmlformats.org/officeDocument/2006/relationships/hyperlink" Target="https://doi.org/10.1109/tpami.2026.3664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