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Displays</w:t>
      </w:r>
    </w:p>
    <w:p>
      <w:pPr>
        <w:jc w:val="center"/>
      </w:pPr>
      <w:r>
        <w:t>--- 更新: 00:27 ---</w:t>
      </w:r>
    </w:p>
    <w:p>
      <w:pPr>
        <w:pStyle w:val="Heading2"/>
      </w:pPr>
      <w:r/>
      <w:r>
        <w:rPr>
          <w:rFonts w:ascii="Times New Roman" w:hAnsi="Times New Roman" w:eastAsia="宋体"/>
          <w:b/>
          <w:color w:val="000000"/>
          <w:sz w:val="24"/>
        </w:rPr>
        <w:t>通过跨层度量和 ℓ 2 , 0-范数稀疏重建进行结构化剪枝</w:t>
      </w:r>
    </w:p>
    <w:p>
      <w:r>
        <w:rPr>
          <w:rFonts w:ascii="Times New Roman" w:hAnsi="Times New Roman" w:eastAsia="宋体"/>
          <w:b/>
          <w:color w:val="003264"/>
          <w:sz w:val="24"/>
        </w:rPr>
        <w:t>Structured pruning via cross-layer metric and ℓ 2 , 0 -norm sparse reconstruction</w:t>
      </w:r>
    </w:p>
    <w:p>
      <w:r>
        <w:rPr>
          <w:rFonts w:ascii="Times New Roman" w:hAnsi="Times New Roman" w:eastAsia="宋体"/>
          <w:sz w:val="21"/>
        </w:rPr>
        <w:t>作者: Huoxiang Yang, Shuangyan Yi, Fanyang Meng, Wei Liu, Yongsheng Liang</w:t>
        <w:br/>
      </w:r>
      <w:r>
        <w:rPr>
          <w:rFonts w:ascii="Times New Roman" w:hAnsi="Times New Roman" w:eastAsia="宋体"/>
          <w:sz w:val="21"/>
        </w:rPr>
        <w:t xml:space="preserve">时间: 2026-01-01 | </w:t>
      </w:r>
      <w:r>
        <w:t xml:space="preserve">链接: </w:t>
      </w:r>
      <w:hyperlink r:id="rId10">
        <w:r>
          <w:rPr>
            <w:rFonts w:ascii="Times New Roman" w:hAnsi="Times New Roman" w:eastAsia="宋体"/>
            <w:color w:val="0000FF"/>
            <w:sz w:val="21"/>
            <w:u w:val="single"/>
          </w:rPr>
          <w:t>https://doi.org/10.1016/j.displa.2026.103362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00:27 ---</w:t>
      </w:r>
    </w:p>
    <w:p>
      <w:pPr>
        <w:pStyle w:val="Heading2"/>
      </w:pPr>
      <w:r/>
      <w:r>
        <w:rPr>
          <w:rFonts w:ascii="Times New Roman" w:hAnsi="Times New Roman" w:eastAsia="宋体"/>
          <w:b/>
          <w:color w:val="000000"/>
          <w:sz w:val="24"/>
        </w:rPr>
        <w:t>通过颜色通道恢复和双通道先验以及对比度约束进行去雾的水下图像恢复</w:t>
      </w:r>
    </w:p>
    <w:p>
      <w:r>
        <w:rPr>
          <w:rFonts w:ascii="Times New Roman" w:hAnsi="Times New Roman" w:eastAsia="宋体"/>
          <w:b/>
          <w:color w:val="003264"/>
          <w:sz w:val="24"/>
        </w:rPr>
        <w:t>Underwater Image Restoration via Color Channel Recovery and Dual-Channel Priors with Contrast Constraints for Dehazing</w:t>
      </w:r>
    </w:p>
    <w:p>
      <w:r>
        <w:rPr>
          <w:rFonts w:ascii="Times New Roman" w:hAnsi="Times New Roman" w:eastAsia="宋体"/>
          <w:sz w:val="21"/>
        </w:rPr>
        <w:t>作者: Huipu Xu, Xiuting Feng</w:t>
        <w:br/>
      </w:r>
      <w:r>
        <w:rPr>
          <w:rFonts w:ascii="Times New Roman" w:hAnsi="Times New Roman" w:eastAsia="宋体"/>
          <w:sz w:val="21"/>
        </w:rPr>
        <w:t xml:space="preserve">时间: 2026-01-01 | </w:t>
      </w:r>
      <w:r>
        <w:t xml:space="preserve">链接: </w:t>
      </w:r>
      <w:hyperlink r:id="rId11">
        <w:r>
          <w:rPr>
            <w:rFonts w:ascii="Times New Roman" w:hAnsi="Times New Roman" w:eastAsia="宋体"/>
            <w:color w:val="0000FF"/>
            <w:sz w:val="21"/>
            <w:u w:val="single"/>
          </w:rPr>
          <w:t>https://doi.org/10.1016/j.optcom.2026.132977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混合纳米棒-裂环谐振器系统中法诺共振的等离激元相移时间延长。</w:t>
      </w:r>
    </w:p>
    <w:p>
      <w:r>
        <w:rPr>
          <w:rFonts w:ascii="Times New Roman" w:hAnsi="Times New Roman" w:eastAsia="宋体"/>
          <w:b/>
          <w:color w:val="003264"/>
          <w:sz w:val="24"/>
        </w:rPr>
        <w:t>Extended plasmon dephasing time of Fano resonance in hybrid nanorod- split ring resonator system.</w:t>
      </w:r>
    </w:p>
    <w:p>
      <w:r>
        <w:rPr>
          <w:rFonts w:ascii="Times New Roman" w:hAnsi="Times New Roman" w:eastAsia="宋体"/>
          <w:sz w:val="21"/>
        </w:rPr>
        <w:t>作者: Merneh Mandado Mana, Boyu Ji, Zhenlong Zhao, Bereket Dalga Dana, Alemayehu Nana Koya, Jingquan Lin</w:t>
        <w:br/>
      </w:r>
      <w:r>
        <w:rPr>
          <w:rFonts w:ascii="Times New Roman" w:hAnsi="Times New Roman" w:eastAsia="宋体"/>
          <w:sz w:val="21"/>
        </w:rPr>
        <w:t xml:space="preserve">时间: 2026-01-01 | </w:t>
      </w:r>
      <w:r>
        <w:t xml:space="preserve">链接: </w:t>
      </w:r>
      <w:hyperlink r:id="rId12">
        <w:r>
          <w:rPr>
            <w:rFonts w:ascii="Times New Roman" w:hAnsi="Times New Roman" w:eastAsia="宋体"/>
            <w:color w:val="0000FF"/>
            <w:sz w:val="21"/>
            <w:u w:val="single"/>
          </w:rPr>
          <w:t>https://doi.org/10.1016/j.optcom.2026.132974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具有可控接枝拓扑电荷的太赫兹接枝完美涡旋光束</w:t>
      </w:r>
    </w:p>
    <w:p>
      <w:r>
        <w:rPr>
          <w:rFonts w:ascii="Times New Roman" w:hAnsi="Times New Roman" w:eastAsia="宋体"/>
          <w:b/>
          <w:color w:val="003264"/>
          <w:sz w:val="24"/>
        </w:rPr>
        <w:t>Terahertz grafted perfect vortex beams with controllable grafted topological charges</w:t>
      </w:r>
    </w:p>
    <w:p>
      <w:r>
        <w:rPr>
          <w:rFonts w:ascii="Times New Roman" w:hAnsi="Times New Roman" w:eastAsia="宋体"/>
          <w:sz w:val="21"/>
        </w:rPr>
        <w:t>作者: Yongqiang Yang, Menghao Li, Baolin Wei, Wenbing Zhang, Chengyao Peng, Tianyi Wang, Zongqiang Sheng, Hongwei Wu</w:t>
        <w:br/>
      </w:r>
      <w:r>
        <w:rPr>
          <w:rFonts w:ascii="Times New Roman" w:hAnsi="Times New Roman" w:eastAsia="宋体"/>
          <w:sz w:val="21"/>
        </w:rPr>
        <w:t xml:space="preserve">时间: 2026-01-16 | </w:t>
      </w:r>
      <w:r>
        <w:t xml:space="preserve">链接: </w:t>
      </w:r>
      <w:hyperlink r:id="rId13">
        <w:r>
          <w:rPr>
            <w:rFonts w:ascii="Times New Roman" w:hAnsi="Times New Roman" w:eastAsia="宋体"/>
            <w:color w:val="0000FF"/>
            <w:sz w:val="21"/>
            <w:u w:val="single"/>
          </w:rPr>
          <w:t>https://doi.org/10.1364/oe.585439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我们展示了一种新型太赫兹（THz）接枝完美涡旋光束（PVB），其中接枝的拓扑电荷（TC）可以任意组合为整数或分数，并且TC的接枝比例也可以独立控制。使用改进的双约束 Gerchberg-Saxton 算法生成太赫兹嫁接 PVB 的纯相位全息图。相位全息图板是通过 3D 打印制造的，用于实验验证。模拟和实验结果表明，太赫兹接枝PVB的环半径、接枝TC、接枝比例和间隙位置可以通过调整设计参数来控制。这些结果增加了PVB中轨道角动量分布的多样性，从而为多维光场工程提供了额外的自由度。</w:t>
      </w:r>
    </w:p>
    <w:p>
      <w:pPr>
        <w:spacing w:before="120"/>
      </w:pPr>
      <w:r>
        <w:rPr>
          <w:rFonts w:ascii="Times New Roman" w:hAnsi="Times New Roman" w:eastAsia="宋体"/>
          <w:b/>
          <w:sz w:val="21"/>
        </w:rPr>
        <w:t>English Abstract:</w:t>
      </w:r>
    </w:p>
    <w:p>
      <w:r>
        <w:rPr>
          <w:rFonts w:ascii="Times New Roman" w:hAnsi="Times New Roman" w:eastAsia="宋体"/>
          <w:sz w:val="21"/>
        </w:rPr>
        <w:t>We demonstrate what we believe to be a novel terahertz (THz) grafted perfect vortex beam (PVB), in which the grafted topological charges (TCs) can be arbitrarily combined as integers or fractions, and the grafted proportion of TCs can also be independently controlled. Pure-phase holograms of the THz grafted PVBs are generated using a modified dual-constraint Gerchberg-Saxton algorithm. The phase hologram plates are fabricated via 3D-printing for experimental validation. Simulated and experimental results show that the ring radius, grafted TCs, grafted proportion, and gap position of the THz grafted PVBs can be controlled by adjusting design parameters. These results increase the diversity of orbital angular momentum distributions in PVBs, thereby offering additional degrees of freedom for multidimensional light-field engineering.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偏振旋转估计辅助的双偏振 QAM 信号的无载波相位恢复</w:t>
      </w:r>
    </w:p>
    <w:p>
      <w:r>
        <w:rPr>
          <w:rFonts w:ascii="Times New Roman" w:hAnsi="Times New Roman" w:eastAsia="宋体"/>
          <w:b/>
          <w:color w:val="003264"/>
          <w:sz w:val="24"/>
        </w:rPr>
        <w:t>Carrier-free phase retrieval of dual-polarization QAM signals aided by polarization rotation estimation</w:t>
      </w:r>
    </w:p>
    <w:p>
      <w:r>
        <w:rPr>
          <w:rFonts w:ascii="Times New Roman" w:hAnsi="Times New Roman" w:eastAsia="宋体"/>
          <w:sz w:val="21"/>
        </w:rPr>
        <w:t>作者: Xiaoxue Gan, Meng Xiang, Jie Xu, Gai Zhou, Songnian Fu, Yuwen Qin</w:t>
        <w:br/>
      </w:r>
      <w:r>
        <w:rPr>
          <w:rFonts w:ascii="Times New Roman" w:hAnsi="Times New Roman" w:eastAsia="宋体"/>
          <w:sz w:val="21"/>
        </w:rPr>
        <w:t xml:space="preserve">时间: 2026-01-22 | </w:t>
      </w:r>
      <w:r>
        <w:t xml:space="preserve">链接: </w:t>
      </w:r>
      <w:hyperlink r:id="rId37">
        <w:r>
          <w:rPr>
            <w:rFonts w:ascii="Times New Roman" w:hAnsi="Times New Roman" w:eastAsia="宋体"/>
            <w:color w:val="0000FF"/>
            <w:sz w:val="21"/>
            <w:u w:val="single"/>
          </w:rPr>
          <w:t>https://doi.org/10.1364/oe.583629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通过无载波相位恢复 (CF-PR) 恢复偏振复用 QAM 信号仍然是一项重大挑战，因为它需要基于唯一的强度测量来准确估计标准单模光纤 (SSMF) 的 2 × 2 传输矩阵。在本文中，我们提出并通过实验演示了一种双偏振 CF-PR (DP-CF-PR) 接收器，该接收器仅基于强度检测来重建 DP-QAM 信号。通过将迭代场重建与训练序列辅助偏振旋转矩阵估计相结合，该方案有效地减轻了交叉偏振耦合，并实现了 DP-QAM 信号的全场恢复。数值模拟显示，在可变光信噪比 (OSNR) 值和各种调制格式下，偏振旋转角和相位差估计误差低于 0.18 rad。基于超过 80 km SSMF 的 32GBaud DP-QPSK/16QAM 信号传输的实验验证保持了出色的相位重建精度和 BER 性能，在 OSNR 值分别为 17.4 dB 和 27.5 dB 时实现了 20% 软判决 FEC (20% SD-FEC) 阈值。因此，所提出的DP-CF-PR架构为基于直接检测的双偏振光场恢复提供了一种实用且经济高效的解决方案，显示出短距离和节能光互连的强大潜力。</w:t>
      </w:r>
    </w:p>
    <w:p>
      <w:pPr>
        <w:spacing w:before="120"/>
      </w:pPr>
      <w:r>
        <w:rPr>
          <w:rFonts w:ascii="Times New Roman" w:hAnsi="Times New Roman" w:eastAsia="宋体"/>
          <w:b/>
          <w:sz w:val="21"/>
        </w:rPr>
        <w:t>English Abstract:</w:t>
      </w:r>
    </w:p>
    <w:p>
      <w:r>
        <w:rPr>
          <w:rFonts w:ascii="Times New Roman" w:hAnsi="Times New Roman" w:eastAsia="宋体"/>
          <w:sz w:val="21"/>
        </w:rPr>
        <w:t>Recovering polarization-multiplexed QAM signals through carrier-free phase retrieval (CF-PR) remains a significant challenge, as it requires accurate estimation of the 2 × 2 transfer matrix of standard single mode fiber (SSMF) based on the only intensity measurements. In this paper, we propose and experimentally demonstrate a dual-polarization CF-PR (DP-CF-PR) receiver that reconstructs DP-QAM signals based solely on intensity detection. By integrating iterative field reconstruction with training-sequence assisted polarization rotation matrix estimation, the proposed scheme effectively mitigates cross-polarization coupling and enables the full-field recovery of DP-QAM signals. Numerical simulations show the polarization rotation angle and phase difference estimation errors below 0.18 rad under the variable optical signal-to-noise (OSNR) values and various modulation formats. Experimental validation based on 32GBaud DP-QPSK/16QAM signals transmission over 80 km SSMF holds excellent accuracy of phase reconstruction and BER performance, achieving the 20% soft-decision FEC (20% SD-FEC) threshold at OSNR values of 17.4 dB and 27.5 dB, respectively. The proposed DP-CF-PR architecture therefore, offers a practical and cost-efficient solution for dual-polarization optical field recovery based on direct detection, showing strong potential for short-reach and energy-efficient optical interconnects.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氧化石墨烯功能化侧面抛光采样光纤光栅生物传感器，用于高灵敏检测 SARS-CoV-2 刺突蛋白</w:t>
      </w:r>
    </w:p>
    <w:p>
      <w:r>
        <w:rPr>
          <w:rFonts w:ascii="Times New Roman" w:hAnsi="Times New Roman" w:eastAsia="宋体"/>
          <w:b/>
          <w:color w:val="003264"/>
          <w:sz w:val="24"/>
        </w:rPr>
        <w:t>Graphene oxide functionalized side-polished sampled fiber grating biosensor for highly sensitive detection of SARS-CoV-2 spike protein</w:t>
      </w:r>
    </w:p>
    <w:p>
      <w:r>
        <w:rPr>
          <w:rFonts w:ascii="Times New Roman" w:hAnsi="Times New Roman" w:eastAsia="宋体"/>
          <w:sz w:val="21"/>
        </w:rPr>
        <w:t>作者: Bo Wang, Jinshuo Li, Shanren Liu, Mengmeng Gao, Qianhua Li, Qi Guo, Yongsen Yu</w:t>
        <w:br/>
      </w:r>
      <w:r>
        <w:rPr>
          <w:rFonts w:ascii="Times New Roman" w:hAnsi="Times New Roman" w:eastAsia="宋体"/>
          <w:sz w:val="21"/>
        </w:rPr>
        <w:t xml:space="preserve">时间: 2026-01-16 | </w:t>
      </w:r>
      <w:r>
        <w:t xml:space="preserve">链接: </w:t>
      </w:r>
      <w:hyperlink r:id="rId38">
        <w:r>
          <w:rPr>
            <w:rFonts w:ascii="Times New Roman" w:hAnsi="Times New Roman" w:eastAsia="宋体"/>
            <w:color w:val="0000FF"/>
            <w:sz w:val="21"/>
            <w:u w:val="single"/>
          </w:rPr>
          <w:t>https://doi.org/10.1364/oe.584834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氧化石墨烯功能化侧面抛光采样光纤光栅（GO-SPSFG）生物传感器，用于高灵敏度检测严重急性呼吸综合征冠状病毒2（SARS-CoV-2）。该传感结构是通过飞秒激光逐行扫描技术和精密机械侧面抛光相结合获得的。所制作的采样光栅表现出布拉格光栅和长周期光栅的特性，可有效解耦传感测量中的温度。通过对光栅区域周围的包层进行不对称抛光并形成具有优化的残余包层厚度的D形光纤结构，可以进一步增强所产生的倏逝场。侧面抛光的纤维表面进一步用氧化石墨烯进行修饰，由于其丰富的含氧官能团以及较大的比表面积，可为生物分子固定化提供有效的结合位点。这种方法不仅显着提高了灵敏度，而且成功消除了生物分子检测的温度干扰。事实证明，当侧面抛光光纤的剩余厚度为 70 μm 时，传感器对 SARS-CoV-2 刺突蛋白的检测限可低至 0.055 nM。该生物传感器在医疗诊断、环境病毒监测、生物医学研究、食品安全筛查和生物安全预警系统等方面具有广泛的应用潜力。</w:t>
      </w:r>
    </w:p>
    <w:p>
      <w:pPr>
        <w:spacing w:before="120"/>
      </w:pPr>
      <w:r>
        <w:rPr>
          <w:rFonts w:ascii="Times New Roman" w:hAnsi="Times New Roman" w:eastAsia="宋体"/>
          <w:b/>
          <w:sz w:val="21"/>
        </w:rPr>
        <w:t>English Abstract:</w:t>
      </w:r>
    </w:p>
    <w:p>
      <w:r>
        <w:rPr>
          <w:rFonts w:ascii="Times New Roman" w:hAnsi="Times New Roman" w:eastAsia="宋体"/>
          <w:sz w:val="21"/>
        </w:rPr>
        <w:t>A graphene oxide functionalized side-polished sampled fiber grating (GO-SPSFG) biosensor is proposed for highly sensitive detection of the severe acute respiratory syndrome coronavirus 2 (SARS-CoV-2). The sensing structure is obtained by combining femtosecond laser line-by-line scanning technology and precise mechanical side-polishing. The fabricated sampled grating exhibits characteristics of both Bragg gratings and long-period gratings for effectively decoupling temperature in the sensing measurement. The generated evanescent field can be further enhanced by asymmetrically polishing the cladding surrounding the grating region and forming a D-shaped fiber structure with optimized residual cladding thickness. The side-polished fiber surface is further modified with graphene oxide, which can provide effective binding sites for biomolecule immobilization due to its abundant oxygen-containing functional groups as well as a large specific surface area. This approach not only significantly improves the sensitivity but also successfully eliminates temperature interference for biomolecule detection. It has been demonstrated that when the residual thickness of the side polished fiber is 70 μm, the sensor achieves a detection limit as low as 0.055 nM for the SARS-CoV-2 spike protein. This biosensor holds broad application potential in medical diagnostics, environmental virus monitoring, biomedical research, food safety screening, and biosecurity warning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PaCMAP 算法对矢量涡旋光束进行偏振状态分类</w:t>
      </w:r>
    </w:p>
    <w:p>
      <w:r>
        <w:rPr>
          <w:rFonts w:ascii="Times New Roman" w:hAnsi="Times New Roman" w:eastAsia="宋体"/>
          <w:b/>
          <w:color w:val="003264"/>
          <w:sz w:val="24"/>
        </w:rPr>
        <w:t>Polarization state classification of vector vortex beams using the PaCMAP algorithm</w:t>
      </w:r>
    </w:p>
    <w:p>
      <w:r>
        <w:rPr>
          <w:rFonts w:ascii="Times New Roman" w:hAnsi="Times New Roman" w:eastAsia="宋体"/>
          <w:sz w:val="21"/>
        </w:rPr>
        <w:t>作者: Feng Zhang, Zhi Liu, Qiaochu Yang, Peng Lin, Wanzhuo Ma, Liben He, Huanyu Qian, Keyan Dong, Shiming Gao</w:t>
        <w:br/>
      </w:r>
      <w:r>
        <w:rPr>
          <w:rFonts w:ascii="Times New Roman" w:hAnsi="Times New Roman" w:eastAsia="宋体"/>
          <w:sz w:val="21"/>
        </w:rPr>
        <w:t xml:space="preserve">时间: 2026-01-29 | </w:t>
      </w:r>
      <w:r>
        <w:t xml:space="preserve">链接: </w:t>
      </w:r>
      <w:hyperlink r:id="rId39">
        <w:r>
          <w:rPr>
            <w:rFonts w:ascii="Times New Roman" w:hAnsi="Times New Roman" w:eastAsia="宋体"/>
            <w:color w:val="0000FF"/>
            <w:sz w:val="21"/>
            <w:u w:val="single"/>
          </w:rPr>
          <w:t>https://doi.org/10.1364/oe.582330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矢量涡旋光束 (VVB) 以其各向异性波前和偏振分布为特征，提供多种光场自由度。这些特性赋予VVB在光通信、量子技术、高分辨率成像、光镊等领域的巨大应用潜力。准确识别 VVB 的模式和偏振分布对其成功应用至关重要。然而，现有的用于对 VVB 状态进行分类的主成分分析 (PCA) 方法的性能在受干扰的环境中显着恶化。为了应对这一挑战，本文提出了一种基于成对控制流形逼近投影（PaCMAP）的联合算法，用于在复杂噪声环境中对 VVB 进行分类和识别。实验验证了该算法对VVB状态的分类性能。结果表明，基于PaCMAP的联合算法显着增强了VVB偏振态的分类，从而为矢量涡旋光的开发和应用提供了可靠的方法。</w:t>
      </w:r>
    </w:p>
    <w:p>
      <w:pPr>
        <w:spacing w:before="120"/>
      </w:pPr>
      <w:r>
        <w:rPr>
          <w:rFonts w:ascii="Times New Roman" w:hAnsi="Times New Roman" w:eastAsia="宋体"/>
          <w:b/>
          <w:sz w:val="21"/>
        </w:rPr>
        <w:t>English Abstract:</w:t>
      </w:r>
    </w:p>
    <w:p>
      <w:r>
        <w:rPr>
          <w:rFonts w:ascii="Times New Roman" w:hAnsi="Times New Roman" w:eastAsia="宋体"/>
          <w:sz w:val="21"/>
        </w:rPr>
        <w:t>Vector vortex beams (VVBs), characterized by their anisotropic wavefront and polarization distributions, offer a multitude of optical field degrees of freedom. These properties endow VVBs with significant potential for applications in optical communication, quantum technology, high-resolution imaging, optical tweezers, and other fields. Accurate identification of the modes and polarization distributions of VVBs is crucial for their successful application. However, the performance of existing principal component analysis (PCA) methods for classifying the states of VVBs deteriorates markedly in disturbed environments. To address this challenge, this paper proposes a joint algorithm based on pairwise controlled manifold approximation projection (PaCMAP) for classifying and recognizing VVBs in complex noise environments. The classification performance of this algorithm on the states of VVBs is experimentally verified. Results indicate that the PaCMAP-based joint algorithm significantly enhances the classification of VVBs’ polarization states, thereby providing a reliable method for the development and application of vector vortex 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掺杂对全无机CsGeBr 3-x I x电子和光学性能的影响</w:t>
      </w:r>
    </w:p>
    <w:p>
      <w:r>
        <w:rPr>
          <w:rFonts w:ascii="Times New Roman" w:hAnsi="Times New Roman" w:eastAsia="宋体"/>
          <w:b/>
          <w:color w:val="003264"/>
          <w:sz w:val="24"/>
        </w:rPr>
        <w:t>Doping effect on the electronic and optical properties of all-inorganic CsGeBr 3-x I x</w:t>
      </w:r>
    </w:p>
    <w:p>
      <w:r>
        <w:rPr>
          <w:rFonts w:ascii="Times New Roman" w:hAnsi="Times New Roman" w:eastAsia="宋体"/>
          <w:sz w:val="21"/>
        </w:rPr>
        <w:t>作者: Youming Huang, Xinyu Wang, Xu Li, Zhihao Liu, Fengfei Wang, Wenjing Yu, Yuemei Sun, Liangjun Zhai</w:t>
        <w:br/>
      </w:r>
      <w:r>
        <w:rPr>
          <w:rFonts w:ascii="Times New Roman" w:hAnsi="Times New Roman" w:eastAsia="宋体"/>
          <w:sz w:val="21"/>
        </w:rPr>
        <w:t xml:space="preserve">时间: 2026-01-21 | </w:t>
      </w:r>
      <w:r>
        <w:t xml:space="preserve">链接: </w:t>
      </w:r>
      <w:hyperlink r:id="rId40">
        <w:r>
          <w:rPr>
            <w:rFonts w:ascii="Times New Roman" w:hAnsi="Times New Roman" w:eastAsia="宋体"/>
            <w:color w:val="0000FF"/>
            <w:sz w:val="21"/>
            <w:u w:val="single"/>
          </w:rPr>
          <w:t>https://doi.org/10.1364/oe.582440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金属卤化物钙钛矿的激子效应作为其光电和光伏特性的重要指标已被广泛研究。在这里，我们通过第一原理方法研究了掺杂对 CsGeBr 3- x I x ( x = 0,1, 2, 3) 电子和光学性质的影响。观察到计算出的带隙和带边电子有效质量随着掺杂比例的增加而减小，这表明高效太阳能电池的电荷传输特性得到增强。考虑到卤化物钙钛矿的激子效应，我们进一步研究了 CsGeBr 3- x I x 的吸收光谱，包括电子-空穴相互作用。我们的结果表明混合卤化物钙钛矿具有明显的激子共振和低激子结合能。这项研究将掺杂铁电卤化物钙钛矿确立为一类新型功能材料，其特点是理想的带隙、低激子结合能和强光吸收，为先进的光电和光伏应用提供了平台。</w:t>
      </w:r>
    </w:p>
    <w:p>
      <w:pPr>
        <w:spacing w:before="120"/>
      </w:pPr>
      <w:r>
        <w:rPr>
          <w:rFonts w:ascii="Times New Roman" w:hAnsi="Times New Roman" w:eastAsia="宋体"/>
          <w:b/>
          <w:sz w:val="21"/>
        </w:rPr>
        <w:t>English Abstract:</w:t>
      </w:r>
    </w:p>
    <w:p>
      <w:r>
        <w:rPr>
          <w:rFonts w:ascii="Times New Roman" w:hAnsi="Times New Roman" w:eastAsia="宋体"/>
          <w:sz w:val="21"/>
        </w:rPr>
        <w:t>The excitonic effect of metal halide perovskites as an important indicator on their optoelectronic and photovoltaic characteristics has been widely studied. Here, we investigate doping effects on the electronic and optical properties of CsGeBr 3- x I x ( x = 0,1, 2, 3) by first-principles methods. The calculated band gap and electron effective mass at the band-edge are observed to decrease with increasing doping proportion, suggesting enhanced charge transport properties for efficient solar cells. Considering the excitonic effect in halide perovskites, we further investigate the absorption spectra of CsGeBr 3- x I x , including the electron–hole interactions. Our results show the pronounced excitonic resonances and low exciton binding energies in mixed halide perovskites. This study establishes doped ferroelectric halide perovskites as a novel class of functional materials, characterized by an ideal band gap, low exciton binding energy, and strong optical absorption, providing a platform for advanced optoelectronic and photovoltaic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基于偏振表示和稀疏自注意力的偏振形状</w:t>
      </w:r>
    </w:p>
    <w:p>
      <w:r>
        <w:rPr>
          <w:rFonts w:ascii="Times New Roman" w:hAnsi="Times New Roman" w:eastAsia="宋体"/>
          <w:b/>
          <w:color w:val="003264"/>
          <w:sz w:val="24"/>
        </w:rPr>
        <w:t>Shape from polarization based on a polarization representation and sparse self-attention</w:t>
      </w:r>
    </w:p>
    <w:p>
      <w:r>
        <w:rPr>
          <w:rFonts w:ascii="Times New Roman" w:hAnsi="Times New Roman" w:eastAsia="宋体"/>
          <w:sz w:val="21"/>
        </w:rPr>
        <w:t>作者: Zhenhua Wan, Jiayue Wu, Kaiang Li, Zhichao Yu, Kaichun Zhao</w:t>
        <w:br/>
      </w:r>
      <w:r>
        <w:rPr>
          <w:rFonts w:ascii="Times New Roman" w:hAnsi="Times New Roman" w:eastAsia="宋体"/>
          <w:sz w:val="21"/>
        </w:rPr>
        <w:t xml:space="preserve">时间: 2026-01-22 | </w:t>
      </w:r>
      <w:r>
        <w:t xml:space="preserve">链接: </w:t>
      </w:r>
      <w:hyperlink r:id="rId41">
        <w:r>
          <w:rPr>
            <w:rFonts w:ascii="Times New Roman" w:hAnsi="Times New Roman" w:eastAsia="宋体"/>
            <w:color w:val="0000FF"/>
            <w:sz w:val="21"/>
            <w:u w:val="single"/>
          </w:rPr>
          <w:t>https://doi.org/10.1364/oe.584588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表面法线的准确估计在 3D 重建任务中起着至关重要的作用。基于物理的偏振形状 (SfP) 方法面临许多限制，例如难以处理混合反射和局部模糊性。相比之下，基于深度学习的 SfP 方法在准确性和适用性方面都优于基于物理的方法。然而，基于学习的 SfP 方法在利用全局上下文信息和物理先验知识方面仍然存在缺陷。为了进一步提高形状恢复的准确性，我们提出了一种新颖的基于学习的极化方法形状，该方法将物理先验与稀疏自注意力相结合。首先，我们引入基于斯托克斯向量的偏振信息表示，以增强物理先验的有效利用。随后，我们将稀疏自注意力机制与双层路由结合起来，以改善我们的网络对全局上下文信息的感知，并更好地解决局部极化模糊性。进一步采用空间和通道注意机制来优化特征融合，增强捕获高频细节的能力。最后，在公共 DeepSfP 数据集和自建数据集上进行的实验表明，我们的方法在所有评估指标上都优于最先进的 SfP 方法，并在 DeepSfP 数据集上实现了 12.06 ∘ 的平均角度误差。通过引入一种假设的新颖的偏振表示、稀疏自注意力和特征融合技术，我们的方法显着提高了正常估计的准确性，为 SfP 任务提供了有前景的技术支持。</w:t>
      </w:r>
    </w:p>
    <w:p>
      <w:pPr>
        <w:spacing w:before="120"/>
      </w:pPr>
      <w:r>
        <w:rPr>
          <w:rFonts w:ascii="Times New Roman" w:hAnsi="Times New Roman" w:eastAsia="宋体"/>
          <w:b/>
          <w:sz w:val="21"/>
        </w:rPr>
        <w:t>English Abstract:</w:t>
      </w:r>
    </w:p>
    <w:p>
      <w:r>
        <w:rPr>
          <w:rFonts w:ascii="Times New Roman" w:hAnsi="Times New Roman" w:eastAsia="宋体"/>
          <w:sz w:val="21"/>
        </w:rPr>
        <w:t>Accurate estimation of surface normals plays a crucial role in 3D reconstruction tasks. Physics-based shape from polarization (SfP) methods face numerous limitations, such as difficulty in handling mixed reflections and local ambiguities. In contrast, deep learning-based SfP methods surpass physics-based approaches in both accuracy and applicability. However, learning-based SfP methods still exhibit deficiencies in leveraging global context information and physical prior knowledge. To further enhance the accuracy of shape recovery, we propose what is believed to be a novel learning-based shape from polarization method that combines physical priors with sparse self-attention. First, we introduce the representation of polarization information based on Stokes vectors to enhance the efficient utilization of physical priors. Subsequently, we incorporate a sparse self-attention mechanism with bi-level routing to improve our network’s perception of global contextual information and better resolve local polarization ambiguities. Spatial and channel attention mechanisms are further employed to optimize feature fusion, enhancing the ability to capture high-frequency details. Finally, experiments conducted on the public DeepSfP dataset and the self-built dataset demonstrate that our method outperforms state-of-the-art SfP methods on all evaluation metrics and achieves a mean angular error of 12.06 ∘ on the DeepSfP dataset. By introducing a supposed novel polarization representation, sparse self-attention, and feature fusion techniques, our method significantly enhances the accuracy of normal estimation, providing promising technical support for the SfP task.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KXe 准分子中间态光学泵浦的近红外（769–770 nm）K 原子激光</w:t>
      </w:r>
    </w:p>
    <w:p>
      <w:r>
        <w:rPr>
          <w:rFonts w:ascii="Times New Roman" w:hAnsi="Times New Roman" w:eastAsia="宋体"/>
          <w:b/>
          <w:color w:val="003264"/>
          <w:sz w:val="24"/>
        </w:rPr>
        <w:t>Near-infrared (769–770 nm) K atomic laser optically pumped through KXe excimer intermediate states</w:t>
      </w:r>
    </w:p>
    <w:p>
      <w:r>
        <w:rPr>
          <w:rFonts w:ascii="Times New Roman" w:hAnsi="Times New Roman" w:eastAsia="宋体"/>
          <w:sz w:val="21"/>
        </w:rPr>
        <w:t>作者: Kavita Desai Kabelitz, Andrey E. Mironov, J. Gary Eden</w:t>
        <w:br/>
      </w:r>
      <w:r>
        <w:rPr>
          <w:rFonts w:ascii="Times New Roman" w:hAnsi="Times New Roman" w:eastAsia="宋体"/>
          <w:sz w:val="21"/>
        </w:rPr>
        <w:t xml:space="preserve">时间: 2026-01-23 | </w:t>
      </w:r>
      <w:r>
        <w:t xml:space="preserve">链接: </w:t>
      </w:r>
      <w:hyperlink r:id="rId42">
        <w:r>
          <w:rPr>
            <w:rFonts w:ascii="Times New Roman" w:hAnsi="Times New Roman" w:eastAsia="宋体"/>
            <w:color w:val="0000FF"/>
            <w:sz w:val="21"/>
            <w:u w:val="single"/>
          </w:rPr>
          <w:t>https://doi.org/10.1364/oe.583458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通过填充 KXe 准分子的离解 B 2 Σ 1/2 + 或弱结合 A 2 Π 3/2 态，在宽度 &gt;1.2 THz (&gt;40 cm -1 ) 的连续光谱区域内对 K/Xe 蒸气混合物进行光泵浦，可在原子钾的 D 1 线上 (4 p 2 P 1/2 → 4 s 2 S 1/2 ) 产生激光。随后受激分子的解离填充了 K 原子的 4 p 2 P 3/2 和 4 p 2 P 1/2 能级，后者是 769.9 nm 共振线激光器的上能级。已经实现了自旋轨道分裂 4 p 2 P 3/2 − 4 p 2 P 1/2 态之间 57.7 cm -1 间隙的~60%的激光发射，并且当在谐振器的单程泵浦配置中在 D 2 线（766.5 nm）附近泵浦 K/Xe 混合物时，获得了高达~35 µJ 的单脉冲能量。 KXe 准分子提供的量子效率 (&gt;99%) 和宽泵浦接受带宽使这种混合原子/分子光解离激光器能够通过自由运行的半导体激光器阵列进行泵浦。</w:t>
      </w:r>
    </w:p>
    <w:p>
      <w:pPr>
        <w:spacing w:before="120"/>
      </w:pPr>
      <w:r>
        <w:rPr>
          <w:rFonts w:ascii="Times New Roman" w:hAnsi="Times New Roman" w:eastAsia="宋体"/>
          <w:b/>
          <w:sz w:val="21"/>
        </w:rPr>
        <w:t>English Abstract:</w:t>
      </w:r>
    </w:p>
    <w:p>
      <w:r>
        <w:rPr>
          <w:rFonts w:ascii="Times New Roman" w:hAnsi="Times New Roman" w:eastAsia="宋体"/>
          <w:sz w:val="21"/>
        </w:rPr>
        <w:t>Photopumping of K/Xe vapor mixtures over a continuous spectral region &gt;1.2 THz (&gt;40 cm −1 ) in breadth yields lasing on the D 1 line of atomic potassium (4 p 2 P 1/2 → 4 s 2 S 1/2 ) by populating the dissociative B 2 Σ 1/2 + or weakly bound A 2 Π 3/2 states of the KXe excimer molecule. Subsequent dissociation of the excited molecule populates the 4 p 2 P 3/2 and 4 p 2 P 1/2 levels of the K atom, the latter of which is the upper level for the 769.9 nm resonance line laser. Lasing over ∼60% of the 57.7 cm −1 gap lying between the spin-orbit split 4 p 2 P 3/2 − 4 p 2 P 1/2 states has been achieved, and single-pulse energies up to ∼35 µJ have been obtained when pumping the K/Xe mixture in the vicinity of the D 2 line (766.5 nm) in a single-pass pumping configuration of the resonator. The quantum efficiency (&gt;99%) and broad pump-acceptance bandwidth afforded by the KXe excimer lend this hybrid atomic/molecular photodissociation laser to pumping with free-running semiconductor laser arrays.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基于超表面的斜入射波耦合表面波</w:t>
      </w:r>
    </w:p>
    <w:p>
      <w:r>
        <w:rPr>
          <w:rFonts w:ascii="Times New Roman" w:hAnsi="Times New Roman" w:eastAsia="宋体"/>
          <w:b/>
          <w:color w:val="003264"/>
          <w:sz w:val="24"/>
        </w:rPr>
        <w:t>Coupling surface waves from an oblique incident wave based on a metasurface</w:t>
      </w:r>
    </w:p>
    <w:p>
      <w:r>
        <w:rPr>
          <w:rFonts w:ascii="Times New Roman" w:hAnsi="Times New Roman" w:eastAsia="宋体"/>
          <w:sz w:val="21"/>
        </w:rPr>
        <w:t>作者: Guoxiang Dong, Bo Xiao, Hongyang Qu, Anxue Zhang, Xiaoming Chen</w:t>
        <w:br/>
      </w:r>
      <w:r>
        <w:rPr>
          <w:rFonts w:ascii="Times New Roman" w:hAnsi="Times New Roman" w:eastAsia="宋体"/>
          <w:sz w:val="21"/>
        </w:rPr>
        <w:t xml:space="preserve">时间: 2026-01-29 | </w:t>
      </w:r>
      <w:r>
        <w:t xml:space="preserve">链接: </w:t>
      </w:r>
      <w:hyperlink r:id="rId43">
        <w:r>
          <w:rPr>
            <w:rFonts w:ascii="Times New Roman" w:hAnsi="Times New Roman" w:eastAsia="宋体"/>
            <w:color w:val="0000FF"/>
            <w:sz w:val="21"/>
            <w:u w:val="single"/>
          </w:rPr>
          <w:t>https://doi.org/10.1364/oe.583376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我们实现了一种将入射斜波完全转换为表面波的方法。通过控制耦合表面波的幅度，可以灵活设计表面波在超表面上的方向和功率分布。首先，以+40°和–40°入射的TE偏振高斯波作为设计实例，展示了对耦合表面波的方向和功率的精确控制，从而验证了所提出的斜入射下表面波耦合超表面的设计方法。其次，通过使用以 0°、+20° 和 +50° 入射的 TE 偏振高斯波，我们进一步证明了超表面在广泛的入射角范围内耦合表面波的能力。最后，利用亚波长晶胞实现了超表面的阻抗分布，并制作了表面波耦合超表面的物理原型。数值模拟和实验测量都证实了该设计方法在同时控制斜入射下耦合表面波的方向和功率方面的有效性。</w:t>
      </w:r>
    </w:p>
    <w:p>
      <w:pPr>
        <w:spacing w:before="120"/>
      </w:pPr>
      <w:r>
        <w:rPr>
          <w:rFonts w:ascii="Times New Roman" w:hAnsi="Times New Roman" w:eastAsia="宋体"/>
          <w:b/>
          <w:sz w:val="21"/>
        </w:rPr>
        <w:t>English Abstract:</w:t>
      </w:r>
    </w:p>
    <w:p>
      <w:r>
        <w:rPr>
          <w:rFonts w:ascii="Times New Roman" w:hAnsi="Times New Roman" w:eastAsia="宋体"/>
          <w:sz w:val="21"/>
        </w:rPr>
        <w:t>In this work, we achieve a method for the complete conversion of incident oblique waves into surface waves. By controlling the amplitudes of the coupled surface waves, both the direction and power distribution of the surface waves on the metasurface can be flexibly designed. First, using TE-polarized Gaussian waves incident at +40° and –40° as design examples, we demonstrate precise control over the direction and power of the coupled surface waves, thereby validating the proposed method for designing surface wave coupling metasurfaces under oblique incidence. Second, by using TE-polarized Gaussian waves incident at 0°, +20°, and +50°, we further demonstrate the capability of the metasurface to couple surface waves across a broad range of incidence angles. Finally, the impedance profile of the metasurface is implemented using subwavelength unit cells, and a physical prototype of the surface wave coupling metasurface is fabricated. Both numerical simulations and experimental measurements confirm the effectiveness of the design approach in simultaneously controlling the direction and power of coupled surface waves under oblique incidence.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SBS 抑制 2.82 kW、10.34 GHz 光纤放大器，通过并行 LFSR 结构使用实时 p 可调相位调制</w:t>
      </w:r>
    </w:p>
    <w:p>
      <w:r>
        <w:rPr>
          <w:rFonts w:ascii="Times New Roman" w:hAnsi="Times New Roman" w:eastAsia="宋体"/>
          <w:b/>
          <w:color w:val="003264"/>
          <w:sz w:val="24"/>
        </w:rPr>
        <w:t>SBS suppressed 2.82 kW, 10.34 GHz fiber amplifier using real-time p-tunable phase modulation via parallel LFSR structures</w:t>
      </w:r>
    </w:p>
    <w:p>
      <w:r>
        <w:rPr>
          <w:rFonts w:ascii="Times New Roman" w:hAnsi="Times New Roman" w:eastAsia="宋体"/>
          <w:sz w:val="21"/>
        </w:rPr>
        <w:t>作者: Qianhe Shao, Yifeng Yang, He Wang, Qingyu Liang, Jun Zhou, Junqing Meng</w:t>
        <w:br/>
      </w:r>
      <w:r>
        <w:rPr>
          <w:rFonts w:ascii="Times New Roman" w:hAnsi="Times New Roman" w:eastAsia="宋体"/>
          <w:sz w:val="21"/>
        </w:rPr>
        <w:t xml:space="preserve">时间: 2026-01-23 | </w:t>
      </w:r>
      <w:r>
        <w:t xml:space="preserve">链接: </w:t>
      </w:r>
      <w:hyperlink r:id="rId44">
        <w:r>
          <w:rPr>
            <w:rFonts w:ascii="Times New Roman" w:hAnsi="Times New Roman" w:eastAsia="宋体"/>
            <w:color w:val="0000FF"/>
            <w:sz w:val="21"/>
            <w:u w:val="single"/>
          </w:rPr>
          <w:t>https://doi.org/10.1364/oe.582832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高功率窄线宽连续波光纤激光器的功率缩放受到受激布里渊散射（SBS）的限制。虽然反演概率可调（p 可调）序列调制提供动态频谱控制以增强 SBS 抑制，但其实际实现却因依赖于复杂、昂贵的任意波形发生器 (AWG) 或基于传统现场可编程门阵列 (FPGA) 的传统实现的显着硬件复杂性（特别是苛刻的逻辑资源要求）而受到阻碍。这项工作介绍了我们认为是一种新颖的、硬件高效的方法来克服这些限制。我们提出了一种具有比较器概率调整功能的硬件高效并行线性反馈移位寄存器 (LFSR) 架构，可在 10 GHz 时钟速率下实现实时、精确的 p 值控制，从而显着降低成本和复杂性。同时，我们建立了基于时变三波耦合方程的定量声光子动力学模型，求解p可调调制下信号激光光子、声子和斯托克斯波之间的非线性相互作用。该模型可实现系统优化，从理论上预测并通过实验确认 p = 0.58 时的最大 SBS 阈值增强。利用这一优化参数，我们的系统实现了 2.82 kW 输出功率和 10.34 GHz FWHM 线宽。与使用伪随机二进制序列 (PRBS) 调制的系统（在 ∼10 GHz FWHM 线宽下实现 2.46 kW）相比，输出功率增加了 13%。这种集成的硬件理论解决方案为高功率窄线宽光纤激光器中的SBS抑制提供了一种实用且有效的方法，从而实现更高的功率缩放和稳定的运行。</w:t>
      </w:r>
    </w:p>
    <w:p>
      <w:pPr>
        <w:spacing w:before="120"/>
      </w:pPr>
      <w:r>
        <w:rPr>
          <w:rFonts w:ascii="Times New Roman" w:hAnsi="Times New Roman" w:eastAsia="宋体"/>
          <w:b/>
          <w:sz w:val="21"/>
        </w:rPr>
        <w:t>English Abstract:</w:t>
      </w:r>
    </w:p>
    <w:p>
      <w:r>
        <w:rPr>
          <w:rFonts w:ascii="Times New Roman" w:hAnsi="Times New Roman" w:eastAsia="宋体"/>
          <w:sz w:val="21"/>
        </w:rPr>
        <w:t>Power scaling of high-power narrow-linewidth continuous-wave fiber lasers is limited by stimulated Brillouin scattering (SBS). While inversion probability-tunable (p-tunable) sequence modulation offers dynamic spectral control for enhanced SBS suppression, its practical implementation has been hindered by reliance on complex, expensive arbitrary waveform generators (AWG) or significant hardware complexity (particularly demanding logic resource requirements) of conventional field-programmable gate array (FPGA)-based implementations. This work introduces what we believe to be a novel, hardware-efficient approach to overcome these limitations. We present a hardware-efficient parallel linear feedback shift register (LFSR) architecture with comparator probability adjustment, enabling real-time, precise p-value control at 10 GHz clock rates, significantly reducing cost and complexity. Concurrently, we establish a quantitative acoustic-photonic dynamics model based on a time-dependent three-wave coupled equation, solving the nonlinear interactions among signal laser photons, phonons, and Stokes waves under p-tunable modulation. This model enables systematic optimization, theoretically predicting and experimentally confirming maximal SBS threshold enhancement at p = 0.58. Leveraging this optimized parameter, our system achieves 2.82 kW output power with a 10.34 GHz FWHM linewidth. Compared to systems using pseudo-random binary sequence (PRBS) modulation (achieving 2.46 kW at ∼10 GHz FWHM linewidth), this represents a 13% increase in output power. This integrated hardware-theory solution provides a practical and effective approach for SBS suppression in high-power narrow-linewidth fiber lasers, enabling higher power scaling and stable operation.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探索无隔离器光子集成电路的量子点激光器的反馈限制</w:t>
      </w:r>
    </w:p>
    <w:p>
      <w:r>
        <w:rPr>
          <w:rFonts w:ascii="Times New Roman" w:hAnsi="Times New Roman" w:eastAsia="宋体"/>
          <w:b/>
          <w:color w:val="003264"/>
          <w:sz w:val="24"/>
        </w:rPr>
        <w:t>Exploring the feedback limits of quantum dot lasers for isolator-free photonic integrated circuits</w:t>
      </w:r>
    </w:p>
    <w:p>
      <w:r>
        <w:rPr>
          <w:rFonts w:ascii="Times New Roman" w:hAnsi="Times New Roman" w:eastAsia="宋体"/>
          <w:sz w:val="21"/>
        </w:rPr>
        <w:t>作者: Ying Shi, Bozhang Dong, Xiangpeng Ou, Artem Prokoshin, Chen Shang, John E. Bowers, Yating Wan</w:t>
        <w:br/>
      </w:r>
      <w:r>
        <w:rPr>
          <w:rFonts w:ascii="Times New Roman" w:hAnsi="Times New Roman" w:eastAsia="宋体"/>
          <w:sz w:val="21"/>
        </w:rPr>
        <w:t xml:space="preserve">时间: 2026-01-30 | </w:t>
      </w:r>
      <w:r>
        <w:t xml:space="preserve">链接: </w:t>
      </w:r>
      <w:hyperlink r:id="rId14">
        <w:r>
          <w:rPr>
            <w:rFonts w:ascii="Times New Roman" w:hAnsi="Times New Roman" w:eastAsia="宋体"/>
            <w:color w:val="0000FF"/>
            <w:sz w:val="21"/>
            <w:u w:val="single"/>
          </w:rPr>
          <w:t>https://doi.org/10.1038/s41377-026-02185-w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片上元件的反射对光子集成电路 (PIC) 中激光器的稳定运行提出了重大挑战。量子点 (QD) 激光器具有低线宽增强因子和高阻尼率，有望实现无隔离器集成，但早期的反馈研究仅限于 -10 dB 反馈，从未达到相干崩溃 (CC)。因此，人们只能得出这样的结论：QD 激光器可以承受高达 –10 dB 的反馈，但它们在实际 PIC 中是否仍然可靠尚待确定，因为较低的耦合损耗允许更强的反馈。在这里，我们通过先进的外延生长和制造优化了 QD 激光器，并开发了一种可提供高达 0 dB 反馈的装置。在这些条件下，我们观察到 CC 为 -6.7 dB（21.4% 反馈），将反馈容差超出量子阱 (QW) 激光器数十分贝。我们进一步展示了无损失的 10 Gbps 运行、在 15–45 °C 范围内具有 ±0.5 dB 漂移的强大热稳定性、&gt;100 小时的连续测试以及跨器件 ~±0.3 dB 的再现性。建模表明在实际 PIC 腔中具有更强的耐受性，基准测试表明我们的器件可与混合 DFB 谐振器平台相媲美，同时优于其他 QW、QD 和 VCSEL 激光器。总之，这项工作提供了迄今为止最全面的 QD 激光反馈容差评估，并为无隔离器 PIC 建立了实用的设计规则。</w:t>
      </w:r>
    </w:p>
    <w:p>
      <w:pPr>
        <w:spacing w:before="120"/>
      </w:pPr>
      <w:r>
        <w:rPr>
          <w:rFonts w:ascii="Times New Roman" w:hAnsi="Times New Roman" w:eastAsia="宋体"/>
          <w:b/>
          <w:sz w:val="21"/>
        </w:rPr>
        <w:t>English Abstract:</w:t>
      </w:r>
    </w:p>
    <w:p>
      <w:r>
        <w:rPr>
          <w:rFonts w:ascii="Times New Roman" w:hAnsi="Times New Roman" w:eastAsia="宋体"/>
          <w:sz w:val="21"/>
        </w:rPr>
        <w:t>Abstract Reflections from on-chip components pose significant challenges to stable laser operation in photonic integrated circuits (PICs). Quantum dot (QD) lasers, with low linewidth enhancement factors and high damping rates, are promising for isolator-free integration, yet earlier feedback studies were capped near −10 dB feedback and never reached coherence collapse (CC). As a result, one could only conclude that QD lasers tolerate feedback up to –10 dB, leaving open whether they remain reliable in practical PICs where lower coupling losses allow much stronger feedback. Here, we optimized QD lasers through advanced epitaxial growth and fabrication and developed a setup that delivers feedback up to 0 dB. Under these conditions, we observed CC at −6.7 dB (21.4% feedback), extending the feedback tolerance by tens of decibels beyond quantum-well (QW) lasers. We further demonstrated penalty-free 10 Gbps operation, robust thermal stability with ±0.5 dB drift across 15–45 °C, &gt;100 h continuous testing, and ~±0.3 dB reproducibility across devices. Modeling indicates even stronger tolerance in realistic PIC cavities, and benchmarking shows our device rivals hybrid DFB–resonator platforms while outperforming other QW, QD, and VCSEL lasers. Together, this work provides the most comprehensive assessment of QD laser feedback tolerance to date and establishes practical design rules for isolator-free PICs.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太赫兹光子晶体光纤中拓扑狄拉克涡旋模式的实验观察</w:t>
      </w:r>
    </w:p>
    <w:p>
      <w:r>
        <w:rPr>
          <w:rFonts w:ascii="Times New Roman" w:hAnsi="Times New Roman" w:eastAsia="宋体"/>
          <w:b/>
          <w:color w:val="003264"/>
          <w:sz w:val="24"/>
        </w:rPr>
        <w:t>Experimental observation of topological Dirac vortex mode in terahertz photonic crystal fibers</w:t>
      </w:r>
    </w:p>
    <w:p>
      <w:r>
        <w:rPr>
          <w:rFonts w:ascii="Times New Roman" w:hAnsi="Times New Roman" w:eastAsia="宋体"/>
          <w:sz w:val="21"/>
        </w:rPr>
        <w:t>作者: Hongyang Xing, Zhanqiang Xue, Perry Ping Shum, Longqing Cong</w:t>
        <w:br/>
      </w:r>
      <w:r>
        <w:rPr>
          <w:rFonts w:ascii="Times New Roman" w:hAnsi="Times New Roman" w:eastAsia="宋体"/>
          <w:sz w:val="21"/>
        </w:rPr>
        <w:t xml:space="preserve">时间: 2026-01-30 | </w:t>
      </w:r>
      <w:r>
        <w:t xml:space="preserve">链接: </w:t>
      </w:r>
      <w:hyperlink r:id="rId53">
        <w:r>
          <w:rPr>
            <w:rFonts w:ascii="Times New Roman" w:hAnsi="Times New Roman" w:eastAsia="宋体"/>
            <w:color w:val="0000FF"/>
            <w:sz w:val="21"/>
            <w:u w:val="single"/>
          </w:rPr>
          <w:t>https://doi.org/10.1038/s41377-026-02197-6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光子晶体光纤具有显着先进的光电学特性，可实现从通信到传感和成像的广泛应用。这些领域长期面临的挑战是实现纯单偏振单模（SPSM）波导以实现高质量信息传输。然而，传统方法不可避免地引入偏振色散并且在窄带宽内运行。尽管实验演示仍然很少，但拓扑相的最新进展为获得以前无法实现的模式属性提供了一个有希望的机会。在这项工作中，我们首次对拓扑保护的光子狄拉克涡旋模式进行了实验观察，该模式支持太赫兹光纤中的纯 SPSM 传播。利用太赫兹扫描近场显微光谱，我们绘制了拓扑模式的时间、光谱和空间特征，从而深入了解其模式轮廓、色散、有效面积和数值孔径。我们展示了具有单一涡旋偏振和宽 85.7% 分数带宽的单一线性分散狄拉克涡旋模式。这一突破填补了 SPSM 光纤发展的关键空白，并引入了探索模式特性的综合方法，为太赫兹光电子学、拓扑光子学和特种光纤的进步铺平了道路。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Photonic crystal fibers have significantly advanced optoelectronics, enabling a wide range of applications from communications to sensing and imaging. A long-standing challenge in these areas has been achieving pure single-polarization single-mode (SPSM) waveguiding for high-quality information transmission. Traditional approaches, however, inevitably introduce polarization dispersion and operate within a narrow bandwidth. Recent advancements in topological phases offer a promising opportunity to access previously unattainable mode properties, though experimental demonstrations remain scarce. In this work, we present the first experimental observation of a topologically protected photonic Dirac vortex mode that supports pure SPSM propagation in terahertz fibers. Utilizing terahertz scanning near-field microscopic spectroscopy, we map the temporal, spectral, and spatial characteristics of the topological mode, providing insights into its mode profile, dispersion, effective area, and numerical aperture. We demonstrate a single linearly dispersed Dirac vortex mode with a single vortex polarization and a broad 85.7% fractional bandwidth. This breakthrough fills a crucial gap in the development of SPSM fibers and introduces a comprehensive methodology for exploring mode properties, paving the way for advancements in terahertz optoelectronics, topological photonics, and specialty optical fibers.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使用选择性横向异质外延的 SOI 上的单片 III-V 膜光子晶体激光器</w:t>
      </w:r>
    </w:p>
    <w:p>
      <w:r>
        <w:rPr>
          <w:rFonts w:ascii="Times New Roman" w:hAnsi="Times New Roman" w:eastAsia="宋体"/>
          <w:b/>
          <w:color w:val="003264"/>
          <w:sz w:val="24"/>
        </w:rPr>
        <w:t>Monolithic III–V membrane photonic crystal lasers on SOI using selective lateral heteroepitaxy</w:t>
      </w:r>
    </w:p>
    <w:p>
      <w:r>
        <w:rPr>
          <w:rFonts w:ascii="Times New Roman" w:hAnsi="Times New Roman" w:eastAsia="宋体"/>
          <w:sz w:val="21"/>
        </w:rPr>
        <w:t>作者: Cong Zeng, Zhaojie Ren, Zili Lei, Donghui Fu, Yingzhi Zhao, Ying Yu, Yu Han, Siyuan Yu</w:t>
        <w:br/>
      </w:r>
      <w:r>
        <w:rPr>
          <w:rFonts w:ascii="Times New Roman" w:hAnsi="Times New Roman" w:eastAsia="宋体"/>
          <w:sz w:val="21"/>
        </w:rPr>
        <w:t xml:space="preserve">时间: 2026-01-30 | </w:t>
      </w:r>
      <w:r>
        <w:t xml:space="preserve">链接: </w:t>
      </w:r>
      <w:hyperlink r:id="rId54">
        <w:r>
          <w:rPr>
            <w:rFonts w:ascii="Times New Roman" w:hAnsi="Times New Roman" w:eastAsia="宋体"/>
            <w:color w:val="0000FF"/>
            <w:sz w:val="21"/>
            <w:u w:val="single"/>
          </w:rPr>
          <w:t>https://doi.org/10.1038/s41377-025-02074-8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具有小尺寸和低功耗的 III-V 光子晶体 (PhC) 激光器是未来片上光学互连潜在的超紧凑和高能效光源。通过垂直外延制造的传统 PhC 激光器需要悬浮空气桥结构和通过增益介质蚀刻的气孔，严重影响了对外部冲击的机械抵抗力和泵浦效率。虽然键合和再生长可以缓解这些问题，但它们的制造复杂性大大增加了工艺成本并阻碍了大规模生产。在这里，我们使用选择性横向异质外延来解决这些问题，并展示了 (001) 绝缘体上硅 (SOI) 上的单片集成 III-V 膜 PhC 激光器。通过利用选择性横向异质外延和金属有机化学气相沉积 (MOCVD)，我们在硅光子铸造厂图案化的 SOI 晶圆上实现了无位错 InP 膜的生长。独特的 III-V 绝缘体避免了空气悬浮结构的形成，并显着增强了器件的机械稳定性。我们还将横向生长的 InGaAs/InP 量子阱 (QW) 精确定位在 InP 膜的中心，以避免通过增益介质蚀刻气孔，从而消除表面复合并大幅提高泵浦效率。我们使用横向生长的 III-V 膜制造了近红外和电信 PhC 激光器，并在 910 nm 和 1430 nm 处实现了室温激光发射，阈值分别为 17.5 μJ/cm2 和 5.7 μJ/cm2。我们的研究结果建立了一种制造 PhC 激光器的新颖方法，并为下一代光学互连中的单片集成 PhC 激光器提供了优雅的解决方案。</w:t>
      </w:r>
    </w:p>
    <w:p>
      <w:pPr>
        <w:spacing w:before="120"/>
      </w:pPr>
      <w:r>
        <w:rPr>
          <w:rFonts w:ascii="Times New Roman" w:hAnsi="Times New Roman" w:eastAsia="宋体"/>
          <w:b/>
          <w:sz w:val="21"/>
        </w:rPr>
        <w:t>English Abstract:</w:t>
      </w:r>
    </w:p>
    <w:p>
      <w:r>
        <w:rPr>
          <w:rFonts w:ascii="Times New Roman" w:hAnsi="Times New Roman" w:eastAsia="宋体"/>
          <w:sz w:val="21"/>
        </w:rPr>
        <w:t>Abstract III–V photonic crystal (PhC) lasers with small footprints and low power consumption are potential ultra-compact and power-efficient light sources for future on-chip optical interconnects. Conventional PhC lasers fabricated by vertical epitaxy require suspended air-bridge structures and air holes etched through the gain medium, severely compromising mechanical resistance to external impacts and pumping efficiency. While bonding and regrowth can mitigate these issues, their fabrication complexity substantially increases process costs and hinders mass production. Here, we address these issues using selective lateral heteroepitaxy and demonstrate monolithically integrated III–V membrane PhC lasers on (001) silicon-on-insulator (SOI). By leveraging selective lateral heteroepitaxy and metal organic chemical vapor deposition (MOCVD), we achieved the growth of dislocation-free InP membranes on SOI wafers patterned in Si-photonics foundries. The unique III-V-on-insulator avoids the formation of air-suspended structures and significantly enhances the mechanical stability of the devices. We also precisely positioned the laterally grown InGaAs/InP quantum wells (QWs) at the center of the InP membrane to avoid etching air holes through the gain medium, thus eliminating surface recombination and drastically improving pumping efficiency. We fabricated near-infrared and telecom PhC lasers using laterally grown III–V membranes, and achieved room-temperature lasing at 910 nm and 1430 nm with low thresholds of 17.5 μJ/cm² and 5.7 μJ/cm², respectively. Our results establish a novel approach for fabricating PhC lasers and provide an elegant solution for monolithically integrated PhC lasers in next-generation optical interconnects.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00:28 ---</w:t>
      </w:r>
    </w:p>
    <w:p>
      <w:pPr>
        <w:pStyle w:val="Heading2"/>
      </w:pPr>
      <w:r/>
      <w:r>
        <w:rPr>
          <w:rFonts w:ascii="Times New Roman" w:hAnsi="Times New Roman" w:eastAsia="宋体"/>
          <w:b/>
          <w:color w:val="000000"/>
          <w:sz w:val="24"/>
        </w:rPr>
        <w:t>沉浸式虚拟现实中的人工面部模仿</w:t>
      </w:r>
    </w:p>
    <w:p>
      <w:r>
        <w:rPr>
          <w:rFonts w:ascii="Times New Roman" w:hAnsi="Times New Roman" w:eastAsia="宋体"/>
          <w:b/>
          <w:color w:val="003264"/>
          <w:sz w:val="24"/>
        </w:rPr>
        <w:t>Artificial Facial Mimicry in Immersive Virtual Reality</w:t>
      </w:r>
    </w:p>
    <w:p>
      <w:r>
        <w:rPr>
          <w:rFonts w:ascii="Times New Roman" w:hAnsi="Times New Roman" w:eastAsia="宋体"/>
          <w:sz w:val="21"/>
        </w:rPr>
        <w:t>作者: Elena Piscopo</w:t>
        <w:br/>
      </w:r>
      <w:r>
        <w:rPr>
          <w:rFonts w:ascii="Times New Roman" w:hAnsi="Times New Roman" w:eastAsia="宋体"/>
          <w:sz w:val="21"/>
        </w:rPr>
        <w:t xml:space="preserve">时间: 2026 | </w:t>
      </w:r>
      <w:r>
        <w:t xml:space="preserve">链接: </w:t>
      </w:r>
      <w:hyperlink r:id="rId15">
        <w:r>
          <w:rPr>
            <w:rFonts w:ascii="Times New Roman" w:hAnsi="Times New Roman" w:eastAsia="宋体"/>
            <w:color w:val="0000FF"/>
            <w:sz w:val="21"/>
            <w:u w:val="single"/>
          </w:rPr>
          <w:t>https://doi.org/10.1109/tvcg.2026.3656848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人工面部模仿（AFM）越来越多地用于增强沉浸式虚拟现实中与虚拟代理的社交互动。然而，其心理和伦理影响仍未得到充分探讨。本文将 AFM 概念化为一种有效且具体的干预措施，研究了情感一致性、个体差异和临床脆弱性在塑造用户反应中的作用。我们进一步概述了涉及生理测量和体现协调的方法论方向。通过在情感计算和具身认知中构建 AFM，这项工作有助于情感自适应虚拟代理的负责任设计。</w:t>
      </w:r>
    </w:p>
    <w:p>
      <w:pPr>
        <w:spacing w:before="120"/>
      </w:pPr>
      <w:r>
        <w:rPr>
          <w:rFonts w:ascii="Times New Roman" w:hAnsi="Times New Roman" w:eastAsia="宋体"/>
          <w:b/>
          <w:sz w:val="21"/>
        </w:rPr>
        <w:t>English Abstract:</w:t>
      </w:r>
    </w:p>
    <w:p>
      <w:r>
        <w:rPr>
          <w:rFonts w:ascii="Times New Roman" w:hAnsi="Times New Roman" w:eastAsia="宋体"/>
          <w:sz w:val="21"/>
        </w:rPr>
        <w:t>Artificial facial mimicry (AFM) is increasingly used to enhance social interaction with virtual agents in immersive virtual reality. However, its psychological and ethical implications remain insufficiently explored. This article conceptualizes AFM as an effective and embodied intervention, examining the role of emotional congruence, individual differences, and clinical vulnerability in shaping user responses. We further outline methodological directions involving physiological measures and embodied coordination. By framing AFM within affective computing and embodied cognition, this work contributes to the responsible design of emotionally adaptive virtual agents.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Comp. Imaging</w:t>
      </w:r>
    </w:p>
    <w:p>
      <w:pPr>
        <w:jc w:val="center"/>
      </w:pPr>
      <w:r>
        <w:t>--- 更新: 00:28 ---</w:t>
      </w:r>
    </w:p>
    <w:p>
      <w:pPr>
        <w:pStyle w:val="Heading2"/>
      </w:pPr>
      <w:r/>
      <w:r>
        <w:rPr>
          <w:rFonts w:ascii="Times New Roman" w:hAnsi="Times New Roman" w:eastAsia="宋体"/>
          <w:b/>
          <w:color w:val="000000"/>
          <w:sz w:val="24"/>
        </w:rPr>
        <w:t>前视声纳图像的无参考增强：通过可变形小波散射变换和多帧融合弥合跨模态退化差距</w:t>
      </w:r>
    </w:p>
    <w:p>
      <w:r>
        <w:rPr>
          <w:rFonts w:ascii="Times New Roman" w:hAnsi="Times New Roman" w:eastAsia="宋体"/>
          <w:b/>
          <w:color w:val="003264"/>
          <w:sz w:val="24"/>
        </w:rPr>
        <w:t>Reference-Free Enhancement of Forward-Looking Sonar Images: Bridging Cross-Modal Degradation Gaps Through Deformable Wavelet Scattering Transform and Multi-Frame Fusion</w:t>
      </w:r>
    </w:p>
    <w:p>
      <w:r>
        <w:rPr>
          <w:rFonts w:ascii="Times New Roman" w:hAnsi="Times New Roman" w:eastAsia="宋体"/>
          <w:sz w:val="21"/>
        </w:rPr>
        <w:t>作者: Zhisheng Zhang, Peng Zhang, Fengxiang Wang, Liangli Ma, Fuchun Sun</w:t>
        <w:br/>
      </w:r>
      <w:r>
        <w:rPr>
          <w:rFonts w:ascii="Times New Roman" w:hAnsi="Times New Roman" w:eastAsia="宋体"/>
          <w:sz w:val="21"/>
        </w:rPr>
        <w:t xml:space="preserve">时间: 2026 | </w:t>
      </w:r>
      <w:r>
        <w:t xml:space="preserve">链接: </w:t>
      </w:r>
      <w:hyperlink r:id="rId16">
        <w:r>
          <w:rPr>
            <w:rFonts w:ascii="Times New Roman" w:hAnsi="Times New Roman" w:eastAsia="宋体"/>
            <w:color w:val="0000FF"/>
            <w:sz w:val="21"/>
            <w:u w:val="single"/>
          </w:rPr>
          <w:t>https://doi.org/10.1109/tci.2026.3658954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增强前视声纳 (FLS) 图像对于水下目标检测至关重要。现有的深度学习方法通​​常依赖于模拟数据的监督训练，但它们的泛化受到现实世界配对数据集稀缺的限制。最近的无参考方法可以对单个帧进行去噪，但它们对局部统计数据的依赖使得它们在低信噪比（SNR）下很脆弱，并且容易失去全局结构一致性。多光谱/高光谱遥感 (RS) 和 FLS 图像共享散斑状纹理和范围相关对比度，因此大规模监督 RS 先验是传输的自然候选者；然而，跨模态退化差距仍然会导致幼稚的特征转移到过度平滑的目标并压缩亮度。为了安全地利用这些先验，我们遵循基于可变形小波散射变换（DWST）特征桥的跨模式使用前对齐策略。该桥学习小的、规则化的尺度方向偏移，并将声纳图像映射到与受监督的高分辨率/低分辨率 RS 模型对齐的稳定、平移不变的特征空间中。在此空间之上，HighRes-Net 式多帧融合主干以完全无参考的方式对噪声声纳序列进行端到端微调，利用帧间互补性实现散斑抑制和对比度/分辨率增益，同时保留关键的声纳成像特性。在内部C900-II池数据集、公共DEBRIS前瞻声纳基准和UATD水声目标检测数据集上的实验表明，所提出的DWST增强融合框架在噪声抑制、边缘保留和亮度增强方面大大优于现有的无参考方法，并且持续改进了下游目标检测，强调了其在水下应用中的实际有效性。</w:t>
      </w:r>
    </w:p>
    <w:p>
      <w:pPr>
        <w:spacing w:before="120"/>
      </w:pPr>
      <w:r>
        <w:rPr>
          <w:rFonts w:ascii="Times New Roman" w:hAnsi="Times New Roman" w:eastAsia="宋体"/>
          <w:b/>
          <w:sz w:val="21"/>
        </w:rPr>
        <w:t>English Abstract:</w:t>
      </w:r>
    </w:p>
    <w:p>
      <w:r>
        <w:rPr>
          <w:rFonts w:ascii="Times New Roman" w:hAnsi="Times New Roman" w:eastAsia="宋体"/>
          <w:sz w:val="21"/>
        </w:rPr>
        <w:t>Enhancing forward-looking sonar (FLS) imagery is crucial for underwater target detection. Existing deep learning approaches typically rely on supervised training with simulated data, but their generalization is constrained by the scarcity of real-world paired datasets. Recent reference-free methods can denoise single frames, yet their reliance on local statistics makes them fragile at low signal-to-noise ratios (SNRs) and prone to losing global structural consistency. Multispectral/hyperspectral remote-sensing (RS) and FLS imagery share speckle-like textures and range-dependent contrast, so large-scale supervised RS priors are a natural candidate for transfer; however, the cross-modal degradation gap still causes naïve feature transfer to over-smooth targets and compress brightness. To exploit these priors safely, we follow a cross-modal align-before-use strategy based on a Deformable Wavelet Scattering Transform (DWST) Feature Bridge. The bridge learns small, regularized scale-orientation offsets and maps sonar images into a stable, translation-invariant feature space aligned with supervised high-/low-resolution RS models. On top of this space, a HighRes-Net-style multi-frame fusion backbone is fine-tuned end-to-end in a fully reference-free manner on noisy sonar sequences, leveraging inter-frame complementarity for speckle suppression and contrast/resolution gains while preserving key sonar imaging characteristics. Experiments on an in-house C900-II pool dataset, the public DEBRIS forward-looking sonar benchmark, and the UATD underwater acoustic target detection dataset show that the proposed DWST-augmented fusion framework substantially outperforms existing reference-free methods in noise suppression, edge preservation, and brightness enhancement, and consistently improves downstream object detection, underscoring its practical effectiveness for underwater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00:28 ---</w:t>
      </w:r>
    </w:p>
    <w:p>
      <w:pPr>
        <w:pStyle w:val="Heading2"/>
      </w:pPr>
      <w:r/>
      <w:r>
        <w:rPr>
          <w:rFonts w:ascii="Times New Roman" w:hAnsi="Times New Roman" w:eastAsia="宋体"/>
          <w:b/>
          <w:color w:val="000000"/>
          <w:sz w:val="24"/>
        </w:rPr>
        <w:t>主成分最大化：一种无需系统参数的原始数据SAR图像恢复新方法</w:t>
      </w:r>
    </w:p>
    <w:p>
      <w:r>
        <w:rPr>
          <w:rFonts w:ascii="Times New Roman" w:hAnsi="Times New Roman" w:eastAsia="宋体"/>
          <w:b/>
          <w:color w:val="003264"/>
          <w:sz w:val="24"/>
        </w:rPr>
        <w:t>Principal Component Maximization: A Novel Method for SAR Image Recovery from Raw Data without System Parameters</w:t>
      </w:r>
    </w:p>
    <w:p>
      <w:r>
        <w:rPr>
          <w:rFonts w:ascii="Times New Roman" w:hAnsi="Times New Roman" w:eastAsia="宋体"/>
          <w:sz w:val="21"/>
        </w:rPr>
        <w:t>作者: Huizhang Yang, Liyuan Chen, Shao-Shan Zuo, Zhong Liu, Jian Yang</w:t>
        <w:br/>
      </w:r>
      <w:r>
        <w:rPr>
          <w:rFonts w:ascii="Times New Roman" w:hAnsi="Times New Roman" w:eastAsia="宋体"/>
          <w:sz w:val="21"/>
        </w:rPr>
        <w:t xml:space="preserve">时间: 2026 | </w:t>
      </w:r>
      <w:r>
        <w:t xml:space="preserve">链接: </w:t>
      </w:r>
      <w:hyperlink r:id="rId17">
        <w:r>
          <w:rPr>
            <w:rFonts w:ascii="Times New Roman" w:hAnsi="Times New Roman" w:eastAsia="宋体"/>
            <w:color w:val="0000FF"/>
            <w:sz w:val="21"/>
            <w:u w:val="single"/>
          </w:rPr>
          <w:t>https://doi.org/10.1109/tip.2026.3657165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合成孔径雷达 (SAR) 成像依赖于使用聚焦算法将原始测量数据转换为雷达图像。这些算法需要了解 SAR 系统参数，例如波长、中心倾斜范围、快速时间采样率、脉冲重复间隔、波形和平台速度。然而，在非合作场景或元数据损坏时，这些参数不可用，导致传统算法失效。为了应对这一挑战，本文提出了一种新颖的无参数方法，用于从原始数据中恢复 SAR 图像，而不需要任何 SAR 系统参数。首先，我们引入了一种近似匹配滤波模型，该模型利用 SAR 回波的平移不变性特性，通过将原始数据与未知参考回波进行卷积来形成图像。其次，我们开发了一种主成分最大化（PCM）方法，利用 SAR 信号的低维结构来估计参考回波。 PCM 方法采用三阶段过程：1）将原始数据分割成块，2）标准化每个块的能量，3）最大化所有块的主成分能量，从而能够在非平稳杂波下稳健地估计参考回波。在各种SAR数据集上的实验结果表明，我们的方法可以在没有任何系统参数的情况下有效地从原始数据中恢复SAR图像。为了促进重现性，matlab 程序可从 https://github.com/huizhangyang/pcm 获取。</w:t>
      </w:r>
    </w:p>
    <w:p>
      <w:pPr>
        <w:spacing w:before="120"/>
      </w:pPr>
      <w:r>
        <w:rPr>
          <w:rFonts w:ascii="Times New Roman" w:hAnsi="Times New Roman" w:eastAsia="宋体"/>
          <w:b/>
          <w:sz w:val="21"/>
        </w:rPr>
        <w:t>English Abstract:</w:t>
      </w:r>
    </w:p>
    <w:p>
      <w:r>
        <w:rPr>
          <w:rFonts w:ascii="Times New Roman" w:hAnsi="Times New Roman" w:eastAsia="宋体"/>
          <w:sz w:val="21"/>
        </w:rPr>
        <w:t>Synthetic Aperture Radar (SAR) imaging relies on using focusing algorithms to transform raw measurement data into radar images. These algorithms require knowledge of SAR system parameters, such as wavelength, center slant range, fast time sampling rate, pulse repetition interval, waveform, and platform speed. However, in non-cooperative scenarios or when metadata is corrupted, these parameters are unavailable, rendering traditional algorithms ineffective. To address this challenge, this paper presents a novel parameter-free method for recovering SAR images from raw data without the requirement of any SAR system parameters. Firstly, we introduce an approximated matched filtering model that leverages the shift-invariance properties of SAR echoes, enabling image formation via convolving the raw data with an unknown reference echo. Secondly, we develop a Principal Component Maximization (PCM) method that exploits the low-dimensional structure of SAR signals to estimate the reference echo. The PCM method employs a three-stage procedure: 1) segment raw data into blocks, 2) normalize the energy of each block, and 3) maximize the principal component’s energy across all blocks, enabling robust estimation of the reference echo under non-stationary clutter. Experimental results on various SAR datasets demonstrate that our method can effectively recover SAR images from raw data without any system parameters. To facilitate reproducibility, the matlab program is available at https://github.com/huizhangyang/pcm.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IHDCP：使用倒置雾度密度校正先验进行单图像去雾</w:t>
      </w:r>
    </w:p>
    <w:p>
      <w:r>
        <w:rPr>
          <w:rFonts w:ascii="Times New Roman" w:hAnsi="Times New Roman" w:eastAsia="宋体"/>
          <w:b/>
          <w:color w:val="003264"/>
          <w:sz w:val="24"/>
        </w:rPr>
        <w:t>IHDCP: Single Image Dehazing Using Inverted Haze Density Correction Prior</w:t>
      </w:r>
    </w:p>
    <w:p>
      <w:r>
        <w:rPr>
          <w:rFonts w:ascii="Times New Roman" w:hAnsi="Times New Roman" w:eastAsia="宋体"/>
          <w:sz w:val="21"/>
        </w:rPr>
        <w:t>作者: Yun Liu, Tao Li, Chunping Tan, Wenqi Ren, Cosmin Ancuti, Weisi Lin</w:t>
        <w:br/>
      </w:r>
      <w:r>
        <w:rPr>
          <w:rFonts w:ascii="Times New Roman" w:hAnsi="Times New Roman" w:eastAsia="宋体"/>
          <w:sz w:val="21"/>
        </w:rPr>
        <w:t xml:space="preserve">时间: 2026 | </w:t>
      </w:r>
      <w:r>
        <w:t xml:space="preserve">链接: </w:t>
      </w:r>
      <w:hyperlink r:id="rId18">
        <w:r>
          <w:rPr>
            <w:rFonts w:ascii="Times New Roman" w:hAnsi="Times New Roman" w:eastAsia="宋体"/>
            <w:color w:val="0000FF"/>
            <w:sz w:val="21"/>
            <w:u w:val="single"/>
          </w:rPr>
          <w:t>https://doi.org/10.1109/tip.2026.3657636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图像去雾是低级视觉中的一项关键任务，支持许多实际应用，例如自动驾驶、遥感和监控。本文提出了 IHDCP，一种新颖的倒置雾度密度校正先验，用于高效的单图像去雾。据观察，可以使用具有各种伽玛系数的校正函数从倒转的雾度密度图有效地对介质透射率进行建模。基于这一观察，引入了逐像素伽马校正系数来将透射率公式化为反转雾度密度图的函数。为了估计传输率，IHDCP 首先被纳入经典的大气散射模型 (ASM)，从而产生超越方程，随后使用泰勒展开将其简化为具有单个未知参数的二次形式。然后，设计边界约束来估计该模型参数，并通过Vieta定理导出伽玛校正系数图。最后通过ASM反演恢复无雾结果。在各种合成和真实数据集上的实验结果验证了我们的算法不仅提供了视觉上吸引人的去雾性能和高计算效率，而且在主观和客观评估方面都优于几种最先进的去雾方法。此外，我们的 IHDCP 可以很好地推广到各种类型的退化场景。我们的代码可在 https://github.com/TaoLi-TL/IHDCP 获取。</w:t>
      </w:r>
    </w:p>
    <w:p>
      <w:pPr>
        <w:spacing w:before="120"/>
      </w:pPr>
      <w:r>
        <w:rPr>
          <w:rFonts w:ascii="Times New Roman" w:hAnsi="Times New Roman" w:eastAsia="宋体"/>
          <w:b/>
          <w:sz w:val="21"/>
        </w:rPr>
        <w:t>English Abstract:</w:t>
      </w:r>
    </w:p>
    <w:p>
      <w:r>
        <w:rPr>
          <w:rFonts w:ascii="Times New Roman" w:hAnsi="Times New Roman" w:eastAsia="宋体"/>
          <w:sz w:val="21"/>
        </w:rPr>
        <w:t>Image dehazing, a crucial task in low-level vision, supports numerous practical applications, such as autonomous driving, remote sensing, and surveillance. This paper proposes IHDCP, a novel Inverted Haze Density Correction Prior for efficient single image dehazing. It is observed that the medium transmission can be effectively modeled from the inverted haze density map using correction functions with various gamma coefficients. Based on this observation, a pixel-wise gamma correction coefficient is introduced to formulate the transmission as a function of the inverted haze density map. To estimate the transmission, IHDCP is first incorporated into the classic atmospheric scattering model (ASM), leading to a transcendental equation that is subsequently simplified to a quadratic form with a single unknown parameter using the Taylor expansion. Then, boundary constraints are designed to estimate this model parameter, and the gamma correction coefficient map is derived via the Vieta theorem. Finally, the haze-free result is recovered through ASM inversion. Experimental results on diverse synthetic and real-world datasets verify that our algorithm not only provides visually appealing dehazing performance with high computational efficiency, but also outperforms several state-of-the-art dehazing approaches in both subjective and objective evaluations. Moreover, our IHDCP generalizes well to various types of degraded scenes. Our code is available at https://github.com/TaoLi-TL/IHDCP.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SACMark：光场图像版权保护的空间角度一致性水印网络</w:t>
      </w:r>
    </w:p>
    <w:p>
      <w:r>
        <w:rPr>
          <w:rFonts w:ascii="Times New Roman" w:hAnsi="Times New Roman" w:eastAsia="宋体"/>
          <w:b/>
          <w:color w:val="003264"/>
          <w:sz w:val="24"/>
        </w:rPr>
        <w:t>SACMark: Spatial-Angle Consistency Watermarking Network for Light Field Image Copyright Protection</w:t>
      </w:r>
    </w:p>
    <w:p>
      <w:r>
        <w:rPr>
          <w:rFonts w:ascii="Times New Roman" w:hAnsi="Times New Roman" w:eastAsia="宋体"/>
          <w:sz w:val="21"/>
        </w:rPr>
        <w:t>作者: Junfeng Guo, Hui Wang, Shouxin Liu, Yushu Zhang, Zhongyun Hua, Seok-Tae Kim, Xiaowei Li</w:t>
        <w:br/>
      </w:r>
      <w:r>
        <w:rPr>
          <w:rFonts w:ascii="Times New Roman" w:hAnsi="Times New Roman" w:eastAsia="宋体"/>
          <w:sz w:val="21"/>
        </w:rPr>
        <w:t xml:space="preserve">时间: 2026 | </w:t>
      </w:r>
      <w:r>
        <w:t xml:space="preserve">链接: </w:t>
      </w:r>
      <w:hyperlink r:id="rId19">
        <w:r>
          <w:rPr>
            <w:rFonts w:ascii="Times New Roman" w:hAnsi="Times New Roman" w:eastAsia="宋体"/>
            <w:color w:val="0000FF"/>
            <w:sz w:val="21"/>
            <w:u w:val="single"/>
          </w:rPr>
          <w:t>https://doi.org/10.1109/tip.2026.3657635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基于深度学习的大规模彩色点云联合几何和属性上采样</w:t>
      </w:r>
    </w:p>
    <w:p>
      <w:r>
        <w:rPr>
          <w:rFonts w:ascii="Times New Roman" w:hAnsi="Times New Roman" w:eastAsia="宋体"/>
          <w:b/>
          <w:color w:val="003264"/>
          <w:sz w:val="24"/>
        </w:rPr>
        <w:t>Deep Learning based Joint Geometry and Attribute Up-sampling for Large-Scale Colored Point Clouds</w:t>
      </w:r>
    </w:p>
    <w:p>
      <w:r>
        <w:rPr>
          <w:rFonts w:ascii="Times New Roman" w:hAnsi="Times New Roman" w:eastAsia="宋体"/>
          <w:sz w:val="21"/>
        </w:rPr>
        <w:t>作者: Yun Zhang, Feifan Chen, Na Li, Zhiwei Guo, Xu Wang, Fen Miao, Sam Kwong</w:t>
        <w:br/>
      </w:r>
      <w:r>
        <w:rPr>
          <w:rFonts w:ascii="Times New Roman" w:hAnsi="Times New Roman" w:eastAsia="宋体"/>
          <w:sz w:val="21"/>
        </w:rPr>
        <w:t xml:space="preserve">时间: 2026 | </w:t>
      </w:r>
      <w:r>
        <w:t xml:space="preserve">链接: </w:t>
      </w:r>
      <w:hyperlink r:id="rId20">
        <w:r>
          <w:rPr>
            <w:rFonts w:ascii="Times New Roman" w:hAnsi="Times New Roman" w:eastAsia="宋体"/>
            <w:color w:val="0000FF"/>
            <w:sz w:val="21"/>
            <w:u w:val="single"/>
          </w:rPr>
          <w:t>https://doi.org/10.1109/tip.2026.3657214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由几何和属性组件组成的彩色点云是实现逼真和沉浸式 3D 应用的主流表示形式之一。为了生成大规模且更密集的彩色点云，我们提出了一种基于深度学习的联合几何和属性上采样（JGAU）方法，该方法学习对几何和属性模式进行建模并利用空间属性相关性。首先，我们建立并发布了一个用于彩色点云上采样的大型数据集，名为SYSU-PCUD，该数据集具有六大类和四种采样率的121个具有不同几何形状和属性复杂性的大型彩色点云。其次，为了提高上采样点云的质量，我们提出了一种基于深度学习的 JGAU 框架来联合对几何和属性进行上采样。它由几何上采样网络和属性上采样网络组成，其中属性上采样网络利用上采样的辅助几何来对属性的邻域相关性进行建模。第三，我们提出了两种粗略属性上采样方法，几何距离加权属性插值（GDWAI）和基于深度学习的属性插值（DLAI），为每个点生成粗略上采样属性。然后，我们提出了一个属性增强模块，通过进一步利用内在属性和几何模式来细化上采样属性并生成高质量点云。大量实验表明，当上采样率为 4×、8×、12×和 16×时，所提出的 JGAU 实现的峰值信噪比（PSNR）分别为 33.90 dB、32.10 dB、31.10 dB 和 30.39 dB。与最先进的方案相比，JGAU 在四种上采样率下分别实现了平均 2.32 dB、2.47 dB、2.28 dB 和 2.11 dB PSNR 增益，这是显着的。</w:t>
      </w:r>
    </w:p>
    <w:p>
      <w:pPr>
        <w:spacing w:before="120"/>
      </w:pPr>
      <w:r>
        <w:rPr>
          <w:rFonts w:ascii="Times New Roman" w:hAnsi="Times New Roman" w:eastAsia="宋体"/>
          <w:b/>
          <w:sz w:val="21"/>
        </w:rPr>
        <w:t>English Abstract:</w:t>
      </w:r>
    </w:p>
    <w:p>
      <w:r>
        <w:rPr>
          <w:rFonts w:ascii="Times New Roman" w:hAnsi="Times New Roman" w:eastAsia="宋体"/>
          <w:sz w:val="21"/>
        </w:rPr>
        <w:t>Colored point cloud comprising geometry and attribute components is one of the mainstream representations enabling realistic and immersive 3D applications. To generate large-scale and denser colored point clouds, we propose a deep learning-based Joint Geometry and Attribute Up-sampling (JGAU) method, which learns to model both geometry and attribute patterns and leverages the spatial attribute correlation. Firstly, we establish and release a large-scale dataset for colored point cloud up-sampling, named SYSU-PCUD, which has 121 large-scale colored point clouds with diverse geometry and attribute complexities in six categories and four sampling rates. Secondly, to improve the quality of up-sampled point clouds, we propose a deep learning-based JGAU framework to up-sample the geometry and attribute jointly. It consists of a geometry upsampling network and an attribute up-sampling network, where the latter leverages the up-sampled auxiliary geometry to model neighborhood correlations of the attributes. Thirdly, we propose two coarse attribute up-sampling methods, Geometric Distance Weighted Attribute Interpolation (GDWAI) and Deep Learning-based Attribute Interpolation (DLAI), to generate coarsely upsampled attributes for each point. Then, we propose an attribute enhancement module to refine the up-sampled attributes and generate high quality point clouds by further exploiting intrinsic attribute and geometry patterns. Extensive experiments show that Peak Signal-to-Noise Ratio (PSNR) achieved by the proposed JGAU are 33.90 dB, 32.10 dB, 31.10 dB, and 30.39 dB when upsampling rates are 4×, 8×, 12×, and 16×, respectively. Compared to the state-of-the-art schemes, the JGAU achieves an average of 2.32 dB, 2.47 dB, 2.28 dB and 2.11 dB PSNR gains at four upsampling rates, respectively, which are significant.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广播门控注意力与身份自适应集成，实现高效图像超分辨率</w:t>
      </w:r>
    </w:p>
    <w:p>
      <w:r>
        <w:rPr>
          <w:rFonts w:ascii="Times New Roman" w:hAnsi="Times New Roman" w:eastAsia="宋体"/>
          <w:b/>
          <w:color w:val="003264"/>
          <w:sz w:val="24"/>
        </w:rPr>
        <w:t>Broadcast-Gated Attention with Identity Adaptive Integration for Efficient Image Super-Resolution</w:t>
      </w:r>
    </w:p>
    <w:p>
      <w:r>
        <w:rPr>
          <w:rFonts w:ascii="Times New Roman" w:hAnsi="Times New Roman" w:eastAsia="宋体"/>
          <w:sz w:val="21"/>
        </w:rPr>
        <w:t>作者: Qian Wang, Yanyu Mao, Ruilong Guo, Mengyang Wang, Jing Wei, Han Pan</w:t>
        <w:br/>
      </w:r>
      <w:r>
        <w:rPr>
          <w:rFonts w:ascii="Times New Roman" w:hAnsi="Times New Roman" w:eastAsia="宋体"/>
          <w:sz w:val="21"/>
        </w:rPr>
        <w:t xml:space="preserve">时间: 2026 | </w:t>
      </w:r>
      <w:r>
        <w:t xml:space="preserve">链接: </w:t>
      </w:r>
      <w:hyperlink r:id="rId21">
        <w:r>
          <w:rPr>
            <w:rFonts w:ascii="Times New Roman" w:hAnsi="Times New Roman" w:eastAsia="宋体"/>
            <w:color w:val="0000FF"/>
            <w:sz w:val="21"/>
            <w:u w:val="single"/>
          </w:rPr>
          <w:t>https://doi.org/10.1109/tip.2026.3657640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效的图像超分辨率（SR）模型对于在降低计算复杂性的情况下实现高质量图像重建至关重要，特别是在资源有限的环境中。在本文中，我们介绍了一种新颖的自注意力机制，带有身份自适应集成的广播门控注意力（BGAI）。然后，基于这种机制，我们设计了一个轻量级的超分辨率网络，以最小的计算成本实现了最先进的性能。通过观察自注意力的稀疏性和收敛特性，BGAI 通过跨注意力头和网络层有效广播有意义的特征来优化计算资源利用率。 BGAI 的一项关键创新是广播门控多头自注意力（BGMSA）机制，该机制采用专用头来捕获和集成远程依赖性，并将更广泛的上下文信息广播到本地注意力头。这种设计增强了远程交互建模，同时最大限度地减少了冗余计算。此外，身份注意力自适应集成（IAAI）机制通过利用跨层依赖关系的连续性来促进高效的特征传播，重点关注动态变化以提高表示效率并加速收敛。标准基准的综合实验表明，BGAI 实现了高保真超分辨率，同时与现有轻量级方法相比，参数数量和 FLOP 减少高达 35%。这些结果使 BGAI 成为一种强大且可扩展的资源高效型 SR 解决方案，在现实世界的高分辨率图像处理应用中具有巨大的部署潜力。代码和经过训练的模型可在 https://github.com/bbbolt/BGAI 上公开获取。</w:t>
      </w:r>
    </w:p>
    <w:p>
      <w:pPr>
        <w:spacing w:before="120"/>
      </w:pPr>
      <w:r>
        <w:rPr>
          <w:rFonts w:ascii="Times New Roman" w:hAnsi="Times New Roman" w:eastAsia="宋体"/>
          <w:b/>
          <w:sz w:val="21"/>
        </w:rPr>
        <w:t>English Abstract:</w:t>
      </w:r>
    </w:p>
    <w:p>
      <w:r>
        <w:rPr>
          <w:rFonts w:ascii="Times New Roman" w:hAnsi="Times New Roman" w:eastAsia="宋体"/>
          <w:sz w:val="21"/>
        </w:rPr>
        <w:t>Efficient image super-resolution (SR) models are essential for achieving high-quality image reconstruction with reduced computational complexity, particularly in resource-constrained environments. In this paper, we introduce a novel self-attention mechanism, Broadcast-Gated Attention with Identity Adaptive Integration (BGAI). Then, based on this mechanism, we design a lightweight super-resolution network that achieves state-of-the-art performance with minimal computational cost. By observing the sparsity and convergence properties of self-attention, BGAI optimizes computational resource utilization through the effective broadcasting of meaningful features across attention heads and network layers. A key innovation in BGAI is the Broadcast-Gated Multi-head Self-Attention (BGMSA) mechanism, which employs a dedicated head to capture and integrate long-range dependencies, broadcasting this broader contextual information to local attention heads. This design enhances long-range interaction modeling while minimizing redundant computations. Additionally, the Identity Attention Adaptive Integration (IAAI) mechanism facilitates efficient feature propagation by leveraging the continuity in dependencies across layers, with a focus on dynamic variations to improve representational efficiency and accelerate convergence. Comprehensive experiments on standard benchmarks demonstrate that BGAI achieves high-fidelity super-resolution while reducing the number of parameters and FLOPs by up to 35% compared with existing lightweight methods. These results establish BGAI as a robust and scalable solution for resource-efficient SR, with significant potential for deployment in real-world, high-resolution image processing applications. The code and trained models are publicly available at https://github.com/bbbolt/BGAI.</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00:28 ---</w:t>
      </w:r>
    </w:p>
    <w:p>
      <w:pPr>
        <w:pStyle w:val="Heading2"/>
      </w:pPr>
      <w:r/>
      <w:r>
        <w:rPr>
          <w:rFonts w:ascii="Times New Roman" w:hAnsi="Times New Roman" w:eastAsia="宋体"/>
          <w:b/>
          <w:color w:val="000000"/>
          <w:sz w:val="24"/>
        </w:rPr>
        <w:t>SEGA：针对无参考图像质量评估模型的可转移签名集成高斯黑盒攻击</w:t>
      </w:r>
    </w:p>
    <w:p>
      <w:r>
        <w:rPr>
          <w:rFonts w:ascii="Times New Roman" w:hAnsi="Times New Roman" w:eastAsia="宋体"/>
          <w:b/>
          <w:color w:val="003264"/>
          <w:sz w:val="24"/>
        </w:rPr>
        <w:t>SEGA: A Transferable S igned E nsemble G aussian Black-Box A ttack Against No-Reference Image Quality Assessment Models</w:t>
      </w:r>
    </w:p>
    <w:p>
      <w:r>
        <w:rPr>
          <w:rFonts w:ascii="Times New Roman" w:hAnsi="Times New Roman" w:eastAsia="宋体"/>
          <w:sz w:val="21"/>
        </w:rPr>
        <w:t>作者: Yujia Liu, Dingquan Li, Zhixuan Li, Tiejun Huang</w:t>
        <w:br/>
      </w:r>
      <w:r>
        <w:rPr>
          <w:rFonts w:ascii="Times New Roman" w:hAnsi="Times New Roman" w:eastAsia="宋体"/>
          <w:sz w:val="21"/>
        </w:rPr>
        <w:t xml:space="preserve">时间: 2026 | </w:t>
      </w:r>
      <w:r>
        <w:t xml:space="preserve">链接: </w:t>
      </w:r>
      <w:hyperlink r:id="rId22">
        <w:r>
          <w:rPr>
            <w:rFonts w:ascii="Times New Roman" w:hAnsi="Times New Roman" w:eastAsia="宋体"/>
            <w:color w:val="0000FF"/>
            <w:sz w:val="21"/>
            <w:u w:val="single"/>
          </w:rPr>
          <w:t>https://doi.org/10.1109/tpami.2026.3659164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无参考图像质量评估 (NR-IQA) 模型在各种实际应用中发挥着重要作用。最近，针对 NR-IQA 模型的对抗性攻击引起了越来越多的关注，因为它们为揭示模型漏洞和指导稳健的系统设计提供了宝贵的见解。在白盒设置中，针对 NR-IQA 模型提出了一些有效的攻击，其中攻击者可以完全访问目标模型。然而，在更现实的黑盒场景中，这些攻击通常难以转移到未知目标模型，而目标模型是不可访问的。这项工作首次尝试通过提出可转移的签名集成高斯黑盒攻击（SEGA）来解决攻击 NR-IQA 模型时可转移性低的挑战。主要思想是通过对源模型应用高斯平滑并集成其平滑梯度来近似目标模型的梯度。为了确保对抗性扰动的不可察觉性，SEGA 使用专门设计的扰动过滤器掩模进一步消除了不适当的扰动。实验结果证明了 SEGA 卓越的可转移性，验证了其在成功针对 NR-IQA 模型进行基于转移的黑盒攻击方面的有效性。本文的代码可在 https://github.com/YogaLYJ/SEGA_IQA 获取。</w:t>
      </w:r>
    </w:p>
    <w:p>
      <w:pPr>
        <w:spacing w:before="120"/>
      </w:pPr>
      <w:r>
        <w:rPr>
          <w:rFonts w:ascii="Times New Roman" w:hAnsi="Times New Roman" w:eastAsia="宋体"/>
          <w:b/>
          <w:sz w:val="21"/>
        </w:rPr>
        <w:t>English Abstract:</w:t>
      </w:r>
    </w:p>
    <w:p>
      <w:r>
        <w:rPr>
          <w:rFonts w:ascii="Times New Roman" w:hAnsi="Times New Roman" w:eastAsia="宋体"/>
          <w:sz w:val="21"/>
        </w:rPr>
        <w:t>No-Reference Image Quality Assessment (NR-IQA) models play an important role in various real-world applications. Recently, adversarial attacks against NR-IQA models have attracted increasing attention, as they provide valuable insights for revealing model vulnerabilities and guiding robust system design. Some effective attacks have been proposed against NR-IQA models in white-box settings, where the attacker has full access to the target model. However, these attacks often suffer from poor transferability to unknown target models in more realistic black-box scenarios, where the target model is inaccessible. This work makes the first attempt to address the challenge of low transferability in attacking NR-IQA models by proposing a transferable Signed Ensemble Gaussian black-box Attack (SEGA). The main idea is to approximate the gradient of the target model by applying Gaussian smoothing to source models and ensembling their smoothed gradients. To ensure the imperceptibility of adversarial perturbations, SEGA further removes inappropriate perturbations using a specially designed perturbation filter mask. Experimental results demonstrate the superior transferability of SEGA, validating its effectiveness in enabling successful transfer-based black-box attacks against NR-IQA models. Code for this paper is available at https://github.com/YogaLYJ/SEGA_IQA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扩散模型和表征学习：一项调查</w:t>
      </w:r>
    </w:p>
    <w:p>
      <w:r>
        <w:rPr>
          <w:rFonts w:ascii="Times New Roman" w:hAnsi="Times New Roman" w:eastAsia="宋体"/>
          <w:b/>
          <w:color w:val="003264"/>
          <w:sz w:val="24"/>
        </w:rPr>
        <w:t>Diffusion Models and Representation Learning: A Survey</w:t>
      </w:r>
    </w:p>
    <w:p>
      <w:r>
        <w:rPr>
          <w:rFonts w:ascii="Times New Roman" w:hAnsi="Times New Roman" w:eastAsia="宋体"/>
          <w:sz w:val="21"/>
        </w:rPr>
        <w:t>作者: Michael Fuest, Pingchuan Ma, Ming Gui, Johannes Schusterbauer, Vincent Tao Hu, Björn Ommer</w:t>
        <w:br/>
      </w:r>
      <w:r>
        <w:rPr>
          <w:rFonts w:ascii="Times New Roman" w:hAnsi="Times New Roman" w:eastAsia="宋体"/>
          <w:sz w:val="21"/>
        </w:rPr>
        <w:t xml:space="preserve">时间: 2026 | </w:t>
      </w:r>
      <w:r>
        <w:t xml:space="preserve">链接: </w:t>
      </w:r>
      <w:hyperlink r:id="rId23">
        <w:r>
          <w:rPr>
            <w:rFonts w:ascii="Times New Roman" w:hAnsi="Times New Roman" w:eastAsia="宋体"/>
            <w:color w:val="0000FF"/>
            <w:sz w:val="21"/>
            <w:u w:val="single"/>
          </w:rPr>
          <w:t>https://doi.org/10.1109/tpami.2026.3658965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模型是各种视觉任务中流行的生成建模方法，引起了广泛的关注。由于它们独立于标签注释，因此可以被认为是自监督学习方法的独特实例。这项调查探讨了扩散模型和表征学习之间的相互作用。它概述了扩散模型的基本方面，包括数学基础、流行的去噪网络架构和指导方法。详细介绍了与扩散模型和表示学习相关的各种方法。其中包括利用从预先训练的扩散模型中学习的表示来执行后续识别任务的框架，以及利用表示和自我监督学习的进步来增强扩散模型的方法。这项调查旨在全面概述扩散模型和表征学习之间的分类，确定现有关注和潜在探索的关键领域。 Github链接：https://github.com/dongzhuoyao/Diffusion-Representation-Learning-Survey-Taxonomy。</w:t>
      </w:r>
    </w:p>
    <w:p>
      <w:pPr>
        <w:spacing w:before="120"/>
      </w:pPr>
      <w:r>
        <w:rPr>
          <w:rFonts w:ascii="Times New Roman" w:hAnsi="Times New Roman" w:eastAsia="宋体"/>
          <w:b/>
          <w:sz w:val="21"/>
        </w:rPr>
        <w:t>English Abstract:</w:t>
      </w:r>
    </w:p>
    <w:p>
      <w:r>
        <w:rPr>
          <w:rFonts w:ascii="Times New Roman" w:hAnsi="Times New Roman" w:eastAsia="宋体"/>
          <w:sz w:val="21"/>
        </w:rPr>
        <w:t>Diffusion Models are popular generative modeling methods in various vision tasks, attracting significant attention. They can be considered a unique instance of self-supervised learning methods due to their independence from label annotation. This survey explores the interplay between diffusion models and representation learning. It provides an overview of diffusion models' essential aspects, including mathematical foundations, popular denoising network architectures, and guidance methods. Various approaches related to diffusion models and representation learning are detailed. These include frameworks that leverage representations learned from pre-trained diffusion models for subsequent recognition tasks and methods that utilize advancements in representation and self-supervised learning to enhance diffusion models. This survey aims to offer a comprehensive overview of the taxonomy between diffusion models and representation learning, identifying key areas of existing concerns and potential exploration. Github link: https://github.com/dongzhuoyao/Diffusion-Representation-Learning-Survey-Taxonomy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通过凸优化进行确定性采样的鲁棒矩阵补全</w:t>
      </w:r>
    </w:p>
    <w:p>
      <w:r>
        <w:rPr>
          <w:rFonts w:ascii="Times New Roman" w:hAnsi="Times New Roman" w:eastAsia="宋体"/>
          <w:b/>
          <w:color w:val="003264"/>
          <w:sz w:val="24"/>
        </w:rPr>
        <w:t>Robust Matrix Completion With Deterministic Sampling Via Convex Optimization</w:t>
      </w:r>
    </w:p>
    <w:p>
      <w:r>
        <w:rPr>
          <w:rFonts w:ascii="Times New Roman" w:hAnsi="Times New Roman" w:eastAsia="宋体"/>
          <w:sz w:val="21"/>
        </w:rPr>
        <w:t>作者: Yinjian Wang, Wei Li, James E. Fowler, Gemine Vivone</w:t>
        <w:br/>
      </w:r>
      <w:r>
        <w:rPr>
          <w:rFonts w:ascii="Times New Roman" w:hAnsi="Times New Roman" w:eastAsia="宋体"/>
          <w:sz w:val="21"/>
        </w:rPr>
        <w:t xml:space="preserve">时间: 2026 | </w:t>
      </w:r>
      <w:r>
        <w:t xml:space="preserve">链接: </w:t>
      </w:r>
      <w:hyperlink r:id="rId24">
        <w:r>
          <w:rPr>
            <w:rFonts w:ascii="Times New Roman" w:hAnsi="Times New Roman" w:eastAsia="宋体"/>
            <w:color w:val="0000FF"/>
            <w:sz w:val="21"/>
            <w:u w:val="single"/>
          </w:rPr>
          <w:t>https://doi.org/10.1109/tpami.2026.3659200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鲁棒矩阵补全的问题——从低秩矩阵和稀疏矩阵的叠加采样中恢复——已经在先前的文献中得到了广泛的解决。然而，这项工作的大部分内容都专门关注随机进行矩阵采样的情况，因为这种情况适合理论分析。相比之下，使用任意确定性模式进行采样通常更适合硬件实现；因此，考虑了确定性采样下的鲁棒矩阵补全问题。为此，提出并使用受限的近似等距性质，以及改进的高尔夫方案和稍微增强的不相干条件，以证明潜在的低秩稀疏矩阵可以通过凸优化以渐近高概率唯一地恢复，为任意确定性采样的鲁棒矩阵补全提供了第一个精确恢复理论。开发了由传统核范数驱动的相应凸优化算法，然后通过替换卷积核范数进行推广，以覆盖更广泛的应用场景。合成数据的实证实验验证了所提出的理论，而现实世界图像的一系列结果证明了稳健矩阵恢复的广义算法的实际功效。</w:t>
      </w:r>
    </w:p>
    <w:p>
      <w:pPr>
        <w:spacing w:before="120"/>
      </w:pPr>
      <w:r>
        <w:rPr>
          <w:rFonts w:ascii="Times New Roman" w:hAnsi="Times New Roman" w:eastAsia="宋体"/>
          <w:b/>
          <w:sz w:val="21"/>
        </w:rPr>
        <w:t>English Abstract:</w:t>
      </w:r>
    </w:p>
    <w:p>
      <w:r>
        <w:rPr>
          <w:rFonts w:ascii="Times New Roman" w:hAnsi="Times New Roman" w:eastAsia="宋体"/>
          <w:sz w:val="21"/>
        </w:rPr>
        <w:t>The problem of robust matrix completion—the recovery of a low-rank matrix and a sparse matrix from a sampling of their superposition—has been addressed extensively in prior literature. Yet, much of this work has focused exclusively on the case in which the matrix sampling is done at random, as this scenario is amenable to theoretical analysis. In contrast, sampling with an arbitrary deterministic pattern is often more accommodating to hardware implementation; consequently, the problem of robust matrix completion under deterministic sampling is considered. To this end, a restricted approximate isometry property is proposed and used, along with a modified golfing scheme and a slightly strengthened incoherence condition, to prove that the latent low-rank and sparse matrices are uniquely recoverable via convex optimization with asymptotically high probability, providing the first exact-recovery theory for robust matrix completion with arbitrary deterministic sampling. A corresponding convex-optimization algorithm, driven by a traditional nuclear norm, is developed and then subsequently generalized by substituting a convolutional nuclear norm in order to cover a broader range of application scenarios. Empirical experiments on synthetic data verify the proposed theory while a battery of results on real-world images demonstrate the practical efficacy of the generalized algorithm for robust matrix recovery.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视觉和语言导航中的细粒度对齐监督很重要</w:t>
      </w:r>
    </w:p>
    <w:p>
      <w:r>
        <w:rPr>
          <w:rFonts w:ascii="Times New Roman" w:hAnsi="Times New Roman" w:eastAsia="宋体"/>
          <w:b/>
          <w:color w:val="003264"/>
          <w:sz w:val="24"/>
        </w:rPr>
        <w:t>Fine-Grained Alignment Supervision Matters in Vision-and-Language Navigation</w:t>
      </w:r>
    </w:p>
    <w:p>
      <w:r>
        <w:rPr>
          <w:rFonts w:ascii="Times New Roman" w:hAnsi="Times New Roman" w:eastAsia="宋体"/>
          <w:sz w:val="21"/>
        </w:rPr>
        <w:t>作者: Keji He, Yan Huang, Ya Jing, Qi Wu, Liang Wang</w:t>
        <w:br/>
      </w:r>
      <w:r>
        <w:rPr>
          <w:rFonts w:ascii="Times New Roman" w:hAnsi="Times New Roman" w:eastAsia="宋体"/>
          <w:sz w:val="21"/>
        </w:rPr>
        <w:t xml:space="preserve">时间: 2026 | </w:t>
      </w:r>
      <w:r>
        <w:t xml:space="preserve">链接: </w:t>
      </w:r>
      <w:hyperlink r:id="rId25">
        <w:r>
          <w:rPr>
            <w:rFonts w:ascii="Times New Roman" w:hAnsi="Times New Roman" w:eastAsia="宋体"/>
            <w:color w:val="0000FF"/>
            <w:sz w:val="21"/>
            <w:u w:val="single"/>
          </w:rPr>
          <w:t>https://doi.org/10.1109/tpami.2026.3658949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视觉和语言导航 (VLN) 任务涉及代理根据提供的指令在 3D 室内环境中进行导航。实现跨模式对齐是 VLN 中最关键的挑战之一，因为预测的轨迹需要与给定的指令精确对齐。本文重点从细粒度的角度解决 VLN 中的跨模式对齐问题。首先，为了解决粗粒度数据产生的跨模态对齐监督弱的问题，我们引入了一个人工注释的细粒度 VLN 数据集，称为 Landmark-RxR。该数据集旨在为 VLN 提供精确、细粒度的监督。其次，为了全面展示Landmark-RxR细粒度数据的潜力和优势，我们探索了依赖于训练数据特征的训练过程的核心组成部分。这些组件包括数据增强、训练范式、奖励塑造和导航损失设计。利用我们的细粒度数据，我们精心设计了处理它们的方法，并引入了一种新颖的评估机制。实验结果表明，细粒度数据可以有效提高智能体的跨模态对准能力。可以从 https://github.com/hekj/Landmark-RxR 获取对 Landmark-RxR 数据集的访问。</w:t>
      </w:r>
    </w:p>
    <w:p>
      <w:pPr>
        <w:spacing w:before="120"/>
      </w:pPr>
      <w:r>
        <w:rPr>
          <w:rFonts w:ascii="Times New Roman" w:hAnsi="Times New Roman" w:eastAsia="宋体"/>
          <w:b/>
          <w:sz w:val="21"/>
        </w:rPr>
        <w:t>English Abstract:</w:t>
      </w:r>
    </w:p>
    <w:p>
      <w:r>
        <w:rPr>
          <w:rFonts w:ascii="Times New Roman" w:hAnsi="Times New Roman" w:eastAsia="宋体"/>
          <w:sz w:val="21"/>
        </w:rPr>
        <w:t>The Vision-and-Language Navigation (VLN) task involves an agent navigating within 3D indoor environments based on provided instructions. Achieving cross-modal alignment presents one of the most critical challenges in VLN, as the predicted trajectory needs to precisely align with the given instruction. This paper focuses on addressing cross-modal alignment in VLN from a fine-grained perspective. Firstly, to address the issue of weak cross-modal alignment supervision arising from coarse-grained data, we introduce a human-annotated fine-grained VLN dataset called Landmark-RxR. This dataset aims to offer precise, fine-grained supervision for VLN. Secondly, in order to comprehensively demonstrate the potential and advantage of the fine-grained data from Landmark-RxR, we explore the core components of the training process that depend on the characteristics of the training data. These components include data augmentation, training paradigm, reward shaping, and navigation loss design. Leveraging our fine-grained data, we carefully design methods for handling them and introduce a novel evaluation mechanism. The experimental results demonstrate that the fine-grained data can effectively improve the agent's cross-modal alignment ability. Access to the Landmark-RxR dataset can be obtained from https://github.com/hekj/Landmark-RxR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具有差异隐私合成蒸馏的隐私保护模型转录</w:t>
      </w:r>
    </w:p>
    <w:p>
      <w:r>
        <w:rPr>
          <w:rFonts w:ascii="Times New Roman" w:hAnsi="Times New Roman" w:eastAsia="宋体"/>
          <w:b/>
          <w:color w:val="003264"/>
          <w:sz w:val="24"/>
        </w:rPr>
        <w:t>Privacy-Preserving Model Transcription With Differentially Private Synthetic Distillation</w:t>
      </w:r>
    </w:p>
    <w:p>
      <w:r>
        <w:rPr>
          <w:rFonts w:ascii="Times New Roman" w:hAnsi="Times New Roman" w:eastAsia="宋体"/>
          <w:sz w:val="21"/>
        </w:rPr>
        <w:t>作者: Bochao Liu, Shiming Ge, Pengju Wang, Shikun Li, Tongliang Liu</w:t>
        <w:br/>
      </w:r>
      <w:r>
        <w:rPr>
          <w:rFonts w:ascii="Times New Roman" w:hAnsi="Times New Roman" w:eastAsia="宋体"/>
          <w:sz w:val="21"/>
        </w:rPr>
        <w:t xml:space="preserve">时间: 2026 | </w:t>
      </w:r>
      <w:r>
        <w:t xml:space="preserve">链接: </w:t>
      </w:r>
      <w:hyperlink r:id="rId26">
        <w:r>
          <w:rPr>
            <w:rFonts w:ascii="Times New Roman" w:hAnsi="Times New Roman" w:eastAsia="宋体"/>
            <w:color w:val="0000FF"/>
            <w:sz w:val="21"/>
            <w:u w:val="single"/>
          </w:rPr>
          <w:t>https://doi.org/10.1109/tpami.2026.3659110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许多在私有数据集上训练的深度学习模型已部署在各种实际任务中，但它们可能会带来隐私泄露风险，因为攻击者可以从模型中恢复信息数据或标记知识。在这项工作中，我们提出了隐私保护模型转录，这是一种无数据的模型到模型转换解决方案，可在隐私保证的情况下促进模型部署。为此，我们提出了一种称为差分隐私合成蒸馏的合作竞争学习方法，该方法学习通过可训练生成器将预训练模型（教师）转换为其隐私保护模型（学生），而无需访问私有数据。该学习在统一框架中与三个参与者协作并执行交替优化：i）生成器被学习生成合成数据，ii）教师和学生接受合成数据并通过灵活数据或标签噪声扰动计算差异私人标签，以及iii）用噪声标签更新学生，并通过将学生作为对抗训练的判别器来更新生成器。我们从理论上证明我们的方法可以保证差异隐私和收敛。转录的学生具有良好的性能和隐私保护，而生成的生成器可以为下游任务生成私有合成数据。大量实验清楚地表明我们的方法优于 26 种最先进的方法。</w:t>
      </w:r>
    </w:p>
    <w:p>
      <w:pPr>
        <w:spacing w:before="120"/>
      </w:pPr>
      <w:r>
        <w:rPr>
          <w:rFonts w:ascii="Times New Roman" w:hAnsi="Times New Roman" w:eastAsia="宋体"/>
          <w:b/>
          <w:sz w:val="21"/>
        </w:rPr>
        <w:t>English Abstract:</w:t>
      </w:r>
    </w:p>
    <w:p>
      <w:r>
        <w:rPr>
          <w:rFonts w:ascii="Times New Roman" w:hAnsi="Times New Roman" w:eastAsia="宋体"/>
          <w:sz w:val="21"/>
        </w:rPr>
        <w:t>While many deep learning models trained on private datasets have been deployed in various practical tasks, they may pose a privacy leakage risk as attackers could recover informative data or label knowledge from models. In this work, we present privacy-preserving model transcription , a data-free model-to-model conversion solution to facilitate model deployment with a privacy guarantee. To this end, we propose a cooperative-competitive learning approach termed differentially private synthetic distillation that learns to convert a pretrained model (teacher) into its privacy-preserving counterpart (student) via a trainable generator without access to private data. The learning collaborates with three players in a unified framework and performs alternate optimization: i) the generator is learned to generate synthetic data, ii) the teacher and student accept the synthetic data and compute differential private labels by flexible data or label noisy perturbation, and iii) the student is updated with noisy labels and the generator is updated by taking the student as a discriminator for adversarial training. We theoretically prove that our approach can guarantee differential privacy and convergence. The transcribed student has good performance and privacy protection, while the resulting generator can generate private synthetic data for downstream tasks. Extensive experiments clearly demonstrate that our approach outperforms 26 state-of-the-arts.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用于大规模低秩数据恢复的深度学习的鲁棒矩阵补全</w:t>
      </w:r>
    </w:p>
    <w:p>
      <w:r>
        <w:rPr>
          <w:rFonts w:ascii="Times New Roman" w:hAnsi="Times New Roman" w:eastAsia="宋体"/>
          <w:b/>
          <w:color w:val="003264"/>
          <w:sz w:val="24"/>
        </w:rPr>
        <w:t>Deeply Learned Robust Matrix Completion for Large-scale Low-rank Data Recovery</w:t>
      </w:r>
    </w:p>
    <w:p>
      <w:r>
        <w:rPr>
          <w:rFonts w:ascii="Times New Roman" w:hAnsi="Times New Roman" w:eastAsia="宋体"/>
          <w:sz w:val="21"/>
        </w:rPr>
        <w:t>作者: HanQin Cai, Chandra Kundu, Jialin Liu, Wotao Yin</w:t>
        <w:br/>
      </w:r>
      <w:r>
        <w:rPr>
          <w:rFonts w:ascii="Times New Roman" w:hAnsi="Times New Roman" w:eastAsia="宋体"/>
          <w:sz w:val="21"/>
        </w:rPr>
        <w:t xml:space="preserve">时间: 2026 | </w:t>
      </w:r>
      <w:r>
        <w:t xml:space="preserve">链接: </w:t>
      </w:r>
      <w:hyperlink r:id="rId27">
        <w:r>
          <w:rPr>
            <w:rFonts w:ascii="Times New Roman" w:hAnsi="Times New Roman" w:eastAsia="宋体"/>
            <w:color w:val="0000FF"/>
            <w:sz w:val="21"/>
            <w:u w:val="single"/>
          </w:rPr>
          <w:t>https://doi.org/10.1109/tpami.2026.3659041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鲁棒矩阵补全（RMC）是一种广泛使用的机器学习工具，它同时解决低秩数据分析中的两个关键问题：缺失数据条目和极端异常值。本文针对大规模 RMC 问题提出了一种新颖的可扩展且可学习的非凸方法，称为学习鲁棒矩阵补全（LRMC）。 LRMC 具有低计算复杂度和线性收敛性。在所提出的定理的推动下，可以通过深度展开有效地学习 LRMC 的自由参数，以实现最佳性能。此外，本文提出了一种灵活的前馈循环混合神经网络框架，将深度展开从固定次数迭代扩展到无限迭代。 LRMC 的卓越经验性能通过针对最先进的合成数据集和实际应用的大量实验得到验证，包括视频背景扣除、超声成像、面部建模和卫星图像云去除。</w:t>
      </w:r>
    </w:p>
    <w:p>
      <w:pPr>
        <w:spacing w:before="120"/>
      </w:pPr>
      <w:r>
        <w:rPr>
          <w:rFonts w:ascii="Times New Roman" w:hAnsi="Times New Roman" w:eastAsia="宋体"/>
          <w:b/>
          <w:sz w:val="21"/>
        </w:rPr>
        <w:t>English Abstract:</w:t>
      </w:r>
    </w:p>
    <w:p>
      <w:r>
        <w:rPr>
          <w:rFonts w:ascii="Times New Roman" w:hAnsi="Times New Roman" w:eastAsia="宋体"/>
          <w:sz w:val="21"/>
        </w:rPr>
        <w:t>Robust matrix completion (RMC) is a widely used machine learning tool that simultaneously tackles two critical issues in low-rank data analysis: missing data entries and extreme outliers. This paper proposes a novel scalable and learnable non-convex approach, coined Learned Robust Matrix Completion (LRMC), for large-scale RMC problems. LRMC enjoys low computational complexity with linear convergence. Motivated by the proposed theorem, the free parameters of LRMC can be effectively learned via deep unfolding to achieve optimum performance. Furthermore, this paper proposes a flexible feedforward-recurrent-mixed neural network framework that extends deep unfolding from fix-number iterations to infinite iterations. The superior empirical performance of LRMC is verified with extensive experiments against state-of-the-art on synthetic datasets and real applications, including video background subtraction, ultrasound imaging, face modeling, and cloud removal from satellite imagery.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用适定可逆网络解决可逆图像转换的不适定问题</w:t>
      </w:r>
    </w:p>
    <w:p>
      <w:r>
        <w:rPr>
          <w:rFonts w:ascii="Times New Roman" w:hAnsi="Times New Roman" w:eastAsia="宋体"/>
          <w:b/>
          <w:color w:val="003264"/>
          <w:sz w:val="24"/>
        </w:rPr>
        <w:t>Tackling Ill-Posedness of Reversible Image Conversion With Well-Posed Invertible Network</w:t>
      </w:r>
    </w:p>
    <w:p>
      <w:r>
        <w:rPr>
          <w:rFonts w:ascii="Times New Roman" w:hAnsi="Times New Roman" w:eastAsia="宋体"/>
          <w:sz w:val="21"/>
        </w:rPr>
        <w:t>作者: Yuanfei Huang, Hua Huang</w:t>
        <w:br/>
      </w:r>
      <w:r>
        <w:rPr>
          <w:rFonts w:ascii="Times New Roman" w:hAnsi="Times New Roman" w:eastAsia="宋体"/>
          <w:sz w:val="21"/>
        </w:rPr>
        <w:t xml:space="preserve">时间: 2026 | </w:t>
      </w:r>
      <w:r>
        <w:t xml:space="preserve">链接: </w:t>
      </w:r>
      <w:hyperlink r:id="rId28">
        <w:r>
          <w:rPr>
            <w:rFonts w:ascii="Times New Roman" w:hAnsi="Times New Roman" w:eastAsia="宋体"/>
            <w:color w:val="0000FF"/>
            <w:sz w:val="21"/>
            <w:u w:val="single"/>
          </w:rPr>
          <w:t>https://doi.org/10.1109/tpami.2026.3659125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可逆图像转换（RIC）由于其前向转换过程被认为是一个欠定系统而遭受不适定性问题。尽管采用可逆神经网络 (INN)，但现有的 RIC 方法本质上仍然不适定，因为通过合并随机采样变量不可避免地引入不确定性。为了解决不适定困境，我们专注于通过构造具有非零 Gram 行列式的超定系统，为欠定系统开发可靠的近似左逆，从而确保适定解。基于这一原理，我们提出了一种适定可逆$1\times 1$卷积（WIC），它消除了对随机变量采样的依赖，并使得适定可逆网络的开发成为可能。此外，我们设计了两个创新网络，WIN-Naïve 和 WIN，后者结合了先进的跳跃连接来增强长期记忆。我们的方法在不同的 RIC 任务中进行评估，包括可逆图像隐藏、图像重新缩放和图像去色，始终实现最先进的性能。大量的实验验证了我们方法的有效性，证明了其克服现有 RIC 解决方案瓶颈的能力，并在该领域树立了新的基准。代码可在 https://github.com/BNU-ERC-ITEA/WIN 中找到。</w:t>
      </w:r>
    </w:p>
    <w:p>
      <w:pPr>
        <w:spacing w:before="120"/>
      </w:pPr>
      <w:r>
        <w:rPr>
          <w:rFonts w:ascii="Times New Roman" w:hAnsi="Times New Roman" w:eastAsia="宋体"/>
          <w:b/>
          <w:sz w:val="21"/>
        </w:rPr>
        <w:t>English Abstract:</w:t>
      </w:r>
    </w:p>
    <w:p>
      <w:r>
        <w:rPr>
          <w:rFonts w:ascii="Times New Roman" w:hAnsi="Times New Roman" w:eastAsia="宋体"/>
          <w:sz w:val="21"/>
        </w:rPr>
        <w:t>Reversible image conversion (RIC) suffers from ill-posedness issues due to its forward conversion process being considered an underdetermined system. Despite employing invertible neural networks (INN), existing RIC methods intrinsically remain ill-posed as inevitably introducing uncertainty by incorporating randomly sampled variables. To tackle the ill-posedness dilemma, we focus on developing a reliable approximate left inverse for the underdetermined system by constructing an overdetermined system with a non-zero Gram determinant, thus ensuring a well-posed solution. Based on this principle, we propose a well-posed invertible $1\times 1$ convolution (WIC), which eliminates the reliance on random variable sampling and enables the development of well-posed invertible networks. Furthermore, we design two innovative networks, WIN-Naïve and WIN, with the latter incorporating advanced skip-connections to enhance long-term memory. Our methods are evaluated across diverse RIC tasks, including reversible image hiding, image rescaling, and image decolorization, consistently achieving state-of-the-art performance. Extensive experiments validate the effectiveness of our approach, demonstrating its ability to overcome the bottlenecks of existing RIC solutions and setting a new benchmark in the field. Codes are available in https://github.com/BNU-ERC-ITEA/WIN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CUR 分解的大规模超图匹配混合顺序框架</w:t>
      </w:r>
    </w:p>
    <w:p>
      <w:r>
        <w:rPr>
          <w:rFonts w:ascii="Times New Roman" w:hAnsi="Times New Roman" w:eastAsia="宋体"/>
          <w:b/>
          <w:color w:val="003264"/>
          <w:sz w:val="24"/>
        </w:rPr>
        <w:t>A CUR Decomposition-Based Mix-Order Framework for Large-Scale Hypergraph Matching</w:t>
      </w:r>
    </w:p>
    <w:p>
      <w:r>
        <w:rPr>
          <w:rFonts w:ascii="Times New Roman" w:hAnsi="Times New Roman" w:eastAsia="宋体"/>
          <w:sz w:val="21"/>
        </w:rPr>
        <w:t>作者: Qixuan Zheng, Ming Zhang, Hong Yan</w:t>
        <w:br/>
      </w:r>
      <w:r>
        <w:rPr>
          <w:rFonts w:ascii="Times New Roman" w:hAnsi="Times New Roman" w:eastAsia="宋体"/>
          <w:sz w:val="21"/>
        </w:rPr>
        <w:t xml:space="preserve">时间: 2026 | </w:t>
      </w:r>
      <w:r>
        <w:t xml:space="preserve">链接: </w:t>
      </w:r>
      <w:hyperlink r:id="rId29">
        <w:r>
          <w:rPr>
            <w:rFonts w:ascii="Times New Roman" w:hAnsi="Times New Roman" w:eastAsia="宋体"/>
            <w:color w:val="0000FF"/>
            <w:sz w:val="21"/>
            <w:u w:val="single"/>
          </w:rPr>
          <w:t>https://doi.org/10.1109/tpami.2026.3659463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两个超图的超边之间的兼容性可以表示为稀疏张量，以避免超图匹配中的计算成本呈指数级增加。基于Kd树的近似最近邻（ANN）方法已被广泛采用来获得稀疏兼容性张量，并且通常需要相对较高的密度来保证更高的精度，而无需先验了解一对特征点集之间的对应关系。对于大规模问题，它们需要详尽的计算。这项工作引入了一种新颖的级联二阶和三阶框架，用于高效的超图匹配。其核心是一种基于CUR分解的稀疏相容张量生成方法。首先通过基于 CUR 的成对匹配过程计算粗略的节点分配，该过程在二阶中具有较低的计算成本。使用该中间分配作为先验知识，可以计算具有更高稀疏性的兼容性张量，并且通过基于概率松弛标签（PRL）的新型超图匹配算法显着减少内存占用。 “可靠性”一词用于描述张量如何影响匹配性能，并提出了一种新的测量方法——可靠性率来量化稀疏兼容性张量的可靠性。大规模合成数据集和广泛采用的基准的实验结果表明，所提出的框架优于现有方法，创建了稀疏十倍以上但更可靠的兼容性张量。这种基于 CUR 的张量生成方法可以集成到现有的超图匹配算法中，并将以较低的计算成本显着提高其性能。</w:t>
      </w:r>
    </w:p>
    <w:p>
      <w:pPr>
        <w:spacing w:before="120"/>
      </w:pPr>
      <w:r>
        <w:rPr>
          <w:rFonts w:ascii="Times New Roman" w:hAnsi="Times New Roman" w:eastAsia="宋体"/>
          <w:b/>
          <w:sz w:val="21"/>
        </w:rPr>
        <w:t>English Abstract:</w:t>
      </w:r>
    </w:p>
    <w:p>
      <w:r>
        <w:rPr>
          <w:rFonts w:ascii="Times New Roman" w:hAnsi="Times New Roman" w:eastAsia="宋体"/>
          <w:sz w:val="21"/>
        </w:rPr>
        <w:t>Compatibilities between the hyperedges of two hy-pergraphs can be represented as a sparse tensor to avoid expo-nentially increasing computational costs in hypergraph matching. Kd-tree-based approximate nearest neighbor (ANN) methods have been widely adopted to obtain the sparse compatibility tensor and usually need a relatively high density to guarantee greater accuracy without prior knowledge of the correspondences between a pair of feature point sets. For large scale problems, they require exhaustive computations. This work introduces a novel cascaded second and third-order framework for efficient hypergraph matching. Its core is a CUR decomposition-based sparse compatibility tensor generation method. A rough node assignment is calculated first by a CUR-based pairwise matching process that has a lower computational cost in the second order. Using that intermediate assignment as prior knowledge, a compatibility tensor with higher sparsity can be calculated, with a significantly decreased memory footprint by a novel probability relaxation labeling (PRL)-based hypergraph matching algorithm. The term “reliability” was used to describe how the tensor affects the matching performance and a new measurement, the reliability rate, was proposed to quantify the reliability of a sparse compatibility tensor. Experiment results on large-scale synthetic datasets, and widely adopted benchmarks, demonstrated that the proposed framework outperformed existing methods, creating a more than ten times sparser, but more reliable, compatibility tensor. This proposed CUR-based tensor generation method can be integrated into existing hypergraph matching algorithms and will significantly increase their performance with lower computational costs.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GCL-MIH：一种基于生成的无覆盖多图像隐藏方法</w:t>
      </w:r>
    </w:p>
    <w:p>
      <w:r>
        <w:rPr>
          <w:rFonts w:ascii="Times New Roman" w:hAnsi="Times New Roman" w:eastAsia="宋体"/>
          <w:b/>
          <w:color w:val="003264"/>
          <w:sz w:val="24"/>
        </w:rPr>
        <w:t>GCL-MIH: A Generative-Based Coverless Multi-Image Hiding Method</w:t>
      </w:r>
    </w:p>
    <w:p>
      <w:r>
        <w:rPr>
          <w:rFonts w:ascii="Times New Roman" w:hAnsi="Times New Roman" w:eastAsia="宋体"/>
          <w:sz w:val="21"/>
        </w:rPr>
        <w:t>作者: Liang Chen, Xianquan Zhang, Chunqiang Yu, Xinpeng Zhang, Ching-Nung Yang, Zhenjun Tang</w:t>
        <w:br/>
      </w:r>
      <w:r>
        <w:rPr>
          <w:rFonts w:ascii="Times New Roman" w:hAnsi="Times New Roman" w:eastAsia="宋体"/>
          <w:sz w:val="21"/>
        </w:rPr>
        <w:t xml:space="preserve">时间: 2026 | </w:t>
      </w:r>
      <w:r>
        <w:t xml:space="preserve">链接: </w:t>
      </w:r>
      <w:hyperlink r:id="rId30">
        <w:r>
          <w:rPr>
            <w:rFonts w:ascii="Times New Roman" w:hAnsi="Times New Roman" w:eastAsia="宋体"/>
            <w:color w:val="0000FF"/>
            <w:sz w:val="21"/>
            <w:u w:val="single"/>
          </w:rPr>
          <w:t>https://doi.org/10.1109/tpami.2026.3658731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安全、大容量的秘密信息传输是图像隐藏研究的重要任务。现有的图像隐藏方法面临一些关键问题：基于覆盖的方法提供高容量，但会引入图像失真和安全风险，而安全的无覆盖方法容量较低。为了解决这些问题，本文提出了一种新型的基于生成的无覆盖多图像隐藏方法，称为 GCL-MIH，该方法可以实现高容量和高安全性。 GCL-MIH首先利用特征反转模块将多个秘密图像压缩为多个特征向量，然后将其归一化生成符合标准正态分布的向量，最后将该向量输入到可逆生成网络（Flow-GAN）中生成人脸图像，从而无需预定义封面图像即可实现无覆盖多图像隐藏。实验结果表明，GCL-MIH 在单个生成的人脸图像中成功隐藏了多达四张图像，实现了 32 bpp 的最大嵌入率。这一容量远远超过了现有的无盖方法。在COCO测试集上，GCL-MIH生成的隐写图像高度真实（FID分数：11.98），恢复的秘密图像表现出令人满意的保真度（四张恢复的秘密图像的平均PSNR和SSIM分别为33.18 dB和0.9412）</w:t>
      </w:r>
    </w:p>
    <w:p>
      <w:pPr>
        <w:spacing w:before="120"/>
      </w:pPr>
      <w:r>
        <w:rPr>
          <w:rFonts w:ascii="Times New Roman" w:hAnsi="Times New Roman" w:eastAsia="宋体"/>
          <w:b/>
          <w:sz w:val="21"/>
        </w:rPr>
        <w:t>English Abstract:</w:t>
      </w:r>
    </w:p>
    <w:p>
      <w:r>
        <w:rPr>
          <w:rFonts w:ascii="Times New Roman" w:hAnsi="Times New Roman" w:eastAsia="宋体"/>
          <w:sz w:val="21"/>
        </w:rPr>
        <w:t>Secure and high-capacity secret information transmission is an important task of the image hiding research. The existing image hiding methods face some critical issues: cover-based methods offer high capacity but introduce image distortion and security risks, whereas secure coverless methods have low capacity. To address these issues, this paper proposes a novel generative-based coverless multi-image hiding method called GCL-MIH, which can achieve high capacity and high security. The GCL-MIH first utilizes a feature reverse module to compress multiple secret images into multiple feature vectors and then normalizes them to generate a vector that conforms to a standard normal distribution, and finally inputs this vector into an invertible generative network (Flow-GAN) to generate a face image, enabling coverless multiple-image hiding without a predefined cover image. Experimental results demonstrate that the GCL-MIH successfully hides up to four images within a single generated face image, achieving a maximum embedding rate of 32 bpp. This capacity far exceeds those of the existing coverless methods. On the COCO test set, the generated stego images of the GCL-MIH are highly realistic (FID score: 11.98), and the recovered secret images exhibit satisfactory fidelity (the average PSNR and SSIM of four recovered secret images are 33.18 dB and 0.9412)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特定任务的方向：参数高效微调的定义、探索和利用</w:t>
      </w:r>
    </w:p>
    <w:p>
      <w:r>
        <w:rPr>
          <w:rFonts w:ascii="Times New Roman" w:hAnsi="Times New Roman" w:eastAsia="宋体"/>
          <w:b/>
          <w:color w:val="003264"/>
          <w:sz w:val="24"/>
        </w:rPr>
        <w:t>Task-Specific Directions: Definition, Exploration, and Utilization in Parameter Efficient Fine-Tuning</w:t>
      </w:r>
    </w:p>
    <w:p>
      <w:r>
        <w:rPr>
          <w:rFonts w:ascii="Times New Roman" w:hAnsi="Times New Roman" w:eastAsia="宋体"/>
          <w:sz w:val="21"/>
        </w:rPr>
        <w:t>作者: Chongjie Si, Zhiyi Shi, Shifan Zhang, Xiaokang Yang, Hanspeter Pfister, Wei Shen</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https://doi.org/10.1109/tpami.2026.3659168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大型语言模型在下游任务上表现出令人印象深刻的性能，但在完全微调所有参数时需要大量资源消耗。为了缓解这一问题，人们开发了 LoRA 等参数高效微调 (PEFT) 策略。在本文中，我们深入研究了任务特定方向 (TSD) 的概念，这对于将大型模型从预训练状态过渡到 PEFT 中的任务特定增强至关重要。我们提出了一个框架来明确定义这些方向并探索它们的属性以及实际应用的挑战。然后，我们引入了一种新颖的方法 LoRA-Dash，其目的是在微调过程中最大限度地发挥 TSD 的影响，从而提高模型在目标任务上的性能。此外，基于我们对 TSD 的探索，我们关注 PEFT 中的一个重要问题：LoRA 的初始化。虽然一些工作指出了初始化对于 LoRA 性能的重要性并提出了各种策略，但这些方法通常是经验性的，而不是特定于任务的。为了解决这个问题，我们提出了LoRA-Init。从TSD开始，我们找出下游任务微调时最需要调整的方向。通过使用这些方向初始化 LoRA 中的矩阵，LoRA-Init 显着增强了 LoRA 的性能。此外，我们可以结合 LoRA-Dash 和 LoRA-Init 来创建基于 TSD 的 LoRA 最终版本，我们将其称为 LoRA-TSD。大量的实验最终证明了这些方法的有效性，深入的分析进一步揭示了这些方法的潜在机制。代码可在 https://github.com/Chongjie-Si/Subspace-Tuning 获取。</w:t>
      </w:r>
    </w:p>
    <w:p>
      <w:pPr>
        <w:spacing w:before="120"/>
      </w:pPr>
      <w:r>
        <w:rPr>
          <w:rFonts w:ascii="Times New Roman" w:hAnsi="Times New Roman" w:eastAsia="宋体"/>
          <w:b/>
          <w:sz w:val="21"/>
        </w:rPr>
        <w:t>English Abstract:</w:t>
      </w:r>
    </w:p>
    <w:p>
      <w:r>
        <w:rPr>
          <w:rFonts w:ascii="Times New Roman" w:hAnsi="Times New Roman" w:eastAsia="宋体"/>
          <w:sz w:val="21"/>
        </w:rPr>
        <w:t>Large language models demonstrate impressive performance on downstream tasks, yet requiring extensive resource consumption when fully fine-tuning all parameters. To mitigate this, Parameter Efficient Fine-Tuning (PEFT) strategies, such as LoRA, have been developed. In this paper, we delve into the concept of task-specific directions (TSDs)—critical for transitioning large models from pretrained states to task-specific enhancements in PEFT. We propose a framework to clearly define these directions and explore their properties, and practical utilization challenges. We then introduce a novel approach, LoRA-Dash, which aims to maximize the impact of TSDs during the fine-tuning process, thereby enhancing model performance on targeted tasks. Additionally, based on our exploration of TSD, we focus on an important issue in PEFT: the initialization of LoRA. While some works have pointed out the significance of initialization for LoRA's performance and proposed various strategies, these methods are often empirical and not task-specific. To address this issue, we propose LoRA-Init. Starting from TSD, we identify the directions that require the most adjustment during fine-tuning for downstream tasks. By initializing the matrices in LoRA with these directions, LoRA-Init significantly enhances LoRA's performance. Moreover, we can combine LoRA-Dash and LoRA-Init to create the final version of LoRA based on TSDs, which we refer to as LoRA-TSD. Extensive experiments have conclusively demonstrated the effectiveness of these methods, and in-depth analyses further reveal the underlying mechanisms of these methods. The codes are available at https://github.com/Chongjie-Si/Subspace-Tuning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ZUMA：免训练零样本统一多模态异常检测</w:t>
      </w:r>
    </w:p>
    <w:p>
      <w:r>
        <w:rPr>
          <w:rFonts w:ascii="Times New Roman" w:hAnsi="Times New Roman" w:eastAsia="宋体"/>
          <w:b/>
          <w:color w:val="003264"/>
          <w:sz w:val="24"/>
        </w:rPr>
        <w:t>ZUMA: Training-free Zero-shot Unified Multimodal Anomaly Detection</w:t>
      </w:r>
    </w:p>
    <w:p>
      <w:r>
        <w:rPr>
          <w:rFonts w:ascii="Times New Roman" w:hAnsi="Times New Roman" w:eastAsia="宋体"/>
          <w:sz w:val="21"/>
        </w:rPr>
        <w:t>作者: Yunfeng Ma, Min Liu, Shuai Jiang, Jingyu Zhou, Yuan Bian, Xueping Wang, Yaonan Wang</w:t>
        <w:br/>
      </w:r>
      <w:r>
        <w:rPr>
          <w:rFonts w:ascii="Times New Roman" w:hAnsi="Times New Roman" w:eastAsia="宋体"/>
          <w:sz w:val="21"/>
        </w:rPr>
        <w:t xml:space="preserve">时间: 2026 | </w:t>
      </w:r>
      <w:r>
        <w:t xml:space="preserve">链接: </w:t>
      </w:r>
      <w:hyperlink r:id="rId32">
        <w:r>
          <w:rPr>
            <w:rFonts w:ascii="Times New Roman" w:hAnsi="Times New Roman" w:eastAsia="宋体"/>
            <w:color w:val="0000FF"/>
            <w:sz w:val="21"/>
            <w:u w:val="single"/>
          </w:rPr>
          <w:t>https://doi.org/10.1109/tpami.2026.3658856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多模态异常检测（MAD）旨在利用纹理和空间属性来识别复杂场景中与正常模式的偏差。然而，由于隐私问题或保密性限制而产生的零样本（ZS）设置对现有的 MAD 方法提出了重大挑战。为了解决这个问题，我们引入了 ZUMA，这是一种免训练、零样本统一多模态异常检测框架，可释放 CLIP 的跨模态潜力来执行 ZS MAD。为了缩小 CLIP 预训练空间和点云之间的域差距，我们提出了跨域校准（CDC），它通过源域语义转移有效地弥合流形错位，并建立混合语义空间，从而实现 2D 和 3D 表示的联合嵌入。随后，ZUMA​​ 执行动态语义交互（DSI），以实现 CDC 构建的高维嵌入空间中异常区域的结构解耦，其中自然语言作为语义锚，帮助 DSI 在混合模态表示中建立判别超平面。在此框架内，ZUMA​​ 能够即插即用地检测 2D、3D 或多模态异常，即使对于跨数据集或不完整模态场景也无需训练或微调。此外，为了进一步研究免训练 ZUMA 在基于训练的范式中的潜力，我们开发了 ZUMA-FT，这是一种经过微调的变体，可以通过最小的参数权衡实现显着的改进。在两个 MAD 基准测试 MVTec 3D-AD 和 Eyecandies 上进行了大量实验。值得注意的是，免训练 ZUMA 在两个数据集上都实现了最先进的 (SOTA) 性能，优于现有的 ZS MAD 方法，包括基于训练的方法。此外，ZUMA​​-FT 进一步扩展了 ZUMA 的性能边界，仅 6.75 M 可学习参数。代码位于：https://github.com/yif-ma/ZUMA</w:t>
      </w:r>
    </w:p>
    <w:p>
      <w:pPr>
        <w:spacing w:before="120"/>
      </w:pPr>
      <w:r>
        <w:rPr>
          <w:rFonts w:ascii="Times New Roman" w:hAnsi="Times New Roman" w:eastAsia="宋体"/>
          <w:b/>
          <w:sz w:val="21"/>
        </w:rPr>
        <w:t>English Abstract:</w:t>
      </w:r>
    </w:p>
    <w:p>
      <w:r>
        <w:rPr>
          <w:rFonts w:ascii="Times New Roman" w:hAnsi="Times New Roman" w:eastAsia="宋体"/>
          <w:sz w:val="21"/>
        </w:rPr>
        <w:t>Multimodal anomaly detection (MAD) aims to exploit both texture and spatial attributes to identify deviations from normal patterns in complex scenarios. However, zero-shot (ZS) settings arising from privacy concerns or confidentiality constraints present significant challenges to existing MAD methods. To address this issue, we introduce ZUMA, a training-free, Zero-shot Unified Multimodal Anomaly detection framework that unleashes CLIP's cross-modal potential to perform ZS MAD. To mitigate the domain gap between CLIP's pretraining space and point clouds, we propose cross-domain calibration (CDC), which efficiently bridges the manifold misalignment through source-domain semantic transfer and establishes a hybrid semantic space, enabling a joint embedding of 2D and 3D representations. Subsequently, ZUMA performs dynamic semantic interaction (DSI) to enable structural decoupling of anomaly regions in the high-dimensional embedding space constructed by CDC, where natural languages serve as semantic anchors to help DSI establish discriminative hyperplanes within hybrid modality representations. Within this framework, ZUMA enables plug-and-play detection of 2D, 3D or multimodal anomalies, without training or fine-tuning even for cross-dataset or incomplete-modality scenarios. Additionally, to further investigate the potential of the training-free ZUMA within the training-based paradigm, we develop ZUMA-FT, a fine-tuned variant that achieves notable improvements with minimal parameter trade-off. Extensive experiments are conducted on two MAD benchmarks, MVTec 3D-AD and Eyecandies. Notably, the training-free ZUMA achieves state-of-the-art (SOTA) performance on both datasets, outperforming existing ZS MAD methods, including training-based approaches. Moreover, ZUMA-FT further extends the performance boundary of ZUMA with only 6.75 M learnable parameters. Code is available at: https://github.com/yif-ma/ZUMA</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06:27 ---</w:t>
      </w:r>
    </w:p>
    <w:p>
      <w:pPr>
        <w:pStyle w:val="Heading2"/>
      </w:pPr>
      <w:r/>
      <w:r>
        <w:rPr>
          <w:rFonts w:ascii="Times New Roman" w:hAnsi="Times New Roman" w:eastAsia="宋体"/>
          <w:b/>
          <w:color w:val="000000"/>
          <w:sz w:val="24"/>
        </w:rPr>
        <w:t>通过毛细管自组装实现量子点发光二极管的超高分辨率纳米压印图案</w:t>
      </w:r>
    </w:p>
    <w:p>
      <w:r>
        <w:rPr>
          <w:rFonts w:ascii="Times New Roman" w:hAnsi="Times New Roman" w:eastAsia="宋体"/>
          <w:b/>
          <w:color w:val="003264"/>
          <w:sz w:val="24"/>
        </w:rPr>
        <w:t>Ultrahigh-resolution nanoimprint patterning of quantum-dot light-emitting diodes via capillary self-assembly</w:t>
      </w:r>
    </w:p>
    <w:p>
      <w:r>
        <w:rPr>
          <w:rFonts w:ascii="Times New Roman" w:hAnsi="Times New Roman" w:eastAsia="宋体"/>
          <w:sz w:val="21"/>
        </w:rPr>
        <w:t>作者: Wei Cao, Sen Tian, Chao Zhong, Li Qiu, Pan Zeng, Zhiming Chen, Xiancheng Zhang, Haitao Liu, Kaitao Liu, Jian Li, Tao Sun, Pingfan Ning, Delin Zhang, Wenhong Wang, Yong Jiang, An Cao, Liang Li, Dilong Liu, Zhihong Nie, Fan Yang, Fushan Li, Yue Li</w:t>
        <w:br/>
      </w:r>
      <w:r>
        <w:rPr>
          <w:rFonts w:ascii="Times New Roman" w:hAnsi="Times New Roman" w:eastAsia="宋体"/>
          <w:sz w:val="21"/>
        </w:rPr>
        <w:t xml:space="preserve">时间: 2026-01-30 | </w:t>
      </w:r>
      <w:r>
        <w:t xml:space="preserve">链接: </w:t>
      </w:r>
      <w:hyperlink r:id="rId33">
        <w:r>
          <w:rPr>
            <w:rFonts w:ascii="Times New Roman" w:hAnsi="Times New Roman" w:eastAsia="宋体"/>
            <w:color w:val="0000FF"/>
            <w:sz w:val="21"/>
            <w:u w:val="single"/>
          </w:rPr>
          <w:t>https://doi.org/10.1038/s41566-025-01836-5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利用纳米孔阵列中的毛细管力的纳米压印技术能够以每英寸近 170,000 像素的分辨率对基于 CdSe 的量子点 LED 进行图案化，同时保持红色、绿色和蓝色发射像素分别为 17.0%、10.5% 和 5.7% 的高平均外部量子效率。</w:t>
      </w:r>
    </w:p>
    <w:p>
      <w:pPr>
        <w:spacing w:before="120"/>
      </w:pPr>
      <w:r>
        <w:rPr>
          <w:rFonts w:ascii="Times New Roman" w:hAnsi="Times New Roman" w:eastAsia="宋体"/>
          <w:b/>
          <w:sz w:val="21"/>
        </w:rPr>
        <w:t>English Abstract:</w:t>
      </w:r>
    </w:p>
    <w:p>
      <w:r>
        <w:rPr>
          <w:rFonts w:ascii="Times New Roman" w:hAnsi="Times New Roman" w:eastAsia="宋体"/>
          <w:sz w:val="21"/>
        </w:rPr>
        <w:t>A nanoimprint technique exploiting capillary forces in nanohole arrays enables patterning CdSe-based quantum-dot LEDs with a resolution of nearly 170,000 pixels per inch while maintaining high average external quantum efficiencies of 17.0%, 10.5% and 5.7% for red-, green- and blue-emitting pixels, respectively.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06:27 ---</w:t>
      </w:r>
    </w:p>
    <w:p>
      <w:pPr>
        <w:pStyle w:val="Heading2"/>
      </w:pPr>
      <w:r/>
      <w:r>
        <w:rPr>
          <w:rFonts w:ascii="Times New Roman" w:hAnsi="Times New Roman" w:eastAsia="宋体"/>
          <w:b/>
          <w:color w:val="000000"/>
          <w:sz w:val="24"/>
        </w:rPr>
        <w:t>连续体中准束缚态赋能的非线性硅超表面的高效红外上转换成像</w:t>
      </w:r>
    </w:p>
    <w:p>
      <w:r>
        <w:rPr>
          <w:rFonts w:ascii="Times New Roman" w:hAnsi="Times New Roman" w:eastAsia="宋体"/>
          <w:b/>
          <w:color w:val="003264"/>
          <w:sz w:val="24"/>
        </w:rPr>
        <w:t>High-efficiency infrared upconversion imaging with nonlinear silicon metasurfaces empowered by quasi-bound states in the continuum</w:t>
      </w:r>
    </w:p>
    <w:p>
      <w:r>
        <w:rPr>
          <w:rFonts w:ascii="Times New Roman" w:hAnsi="Times New Roman" w:eastAsia="宋体"/>
          <w:sz w:val="21"/>
        </w:rPr>
        <w:t>作者: Tingting Liu, Jumin Qiu, Meibao Qin, Xu Tu, Huifu Qiu, Feng Wu, Tianbao Yu, Qiegen Liu, Shuyuan Xiao</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https://doi.org/10.29026/oea.2026.250257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红外成像因其穿透遮蔽物和可视化热特征的能力而不可或缺，但其实际应用却受到传统探测器固有局限性的阻碍。非线性上转换可将红外光转换为可见光波段，为解决这些挑战提供了一条有前途的途径。在这里，我们展示了使用非线性硅超表面的高效红外上转换成像。通过策略性地打破面内对称性，超表面在连续共振中支持高Q准束缚态，从而导致三次谐波产生（THG）的强烈增强，在泵浦强度为10 GW/cm 2 时转换效率为3×10 -5 。通过这种 THG 过程，超表面能够将任意红外图像高保真上转换到可见光范围，并使用分辨率目标和各种定制图案进行验证，实现约 6 μm 的空间分辨率。这项工作为高效非线性转换和成像建立了一个强大的平台，凸显了 CMOS 兼容硅超表面在高性能红外传感应用中的潜力，同时降低了系统复杂性。</w:t>
      </w:r>
    </w:p>
    <w:p>
      <w:pPr>
        <w:spacing w:before="120"/>
      </w:pPr>
      <w:r>
        <w:rPr>
          <w:rFonts w:ascii="Times New Roman" w:hAnsi="Times New Roman" w:eastAsia="宋体"/>
          <w:b/>
          <w:sz w:val="21"/>
        </w:rPr>
        <w:t>English Abstract:</w:t>
      </w:r>
    </w:p>
    <w:p>
      <w:r>
        <w:rPr>
          <w:rFonts w:ascii="Times New Roman" w:hAnsi="Times New Roman" w:eastAsia="宋体"/>
          <w:sz w:val="21"/>
        </w:rPr>
        <w:t>Infrared imaging is indispensable for its ability to penetrate obscurants and visualize thermal signatures, yet its practical use is hindered by the intrinsic limitations of conventional detectors. Nonlinear upconversion, which converts infrared light into the visible band, offers a promising pathway to address these challenges. Here, we demonstrate high-efficiency infrared upconversion imaging using nonlinear silicon metasurfaces. By strategically breaking in-plane symmetry, the metasurface supports a high- Q quasi-bound states in the continuum resonance, leading to strongly enhanced third-harmonic generation (THG) with a conversion efficiency of 3×10 −5 at a pump intensity of 10 GW/cm 2 . Through this THG process, the metasurface enables high-fidelity upconversion of arbitrary infrared images into the visible range, achieving a spatial resolution of ~6 μm as verified using a resolution target and various customized patterns. This work establishes a robust platform for efficient nonlinear conversion and imaging, highlighting the potential of CMOS-compatible silicon metasurfaces for high-performance infrared sensing applications with reduced system complexity.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06:27 ---</w:t>
      </w:r>
    </w:p>
    <w:p>
      <w:pPr>
        <w:pStyle w:val="Heading2"/>
      </w:pPr>
      <w:r/>
      <w:r>
        <w:rPr>
          <w:rFonts w:ascii="Times New Roman" w:hAnsi="Times New Roman" w:eastAsia="宋体"/>
          <w:b/>
          <w:color w:val="000000"/>
          <w:sz w:val="24"/>
        </w:rPr>
        <w:t>干涉式光纤振动传感的无硬件低频漂移补偿方法</w:t>
      </w:r>
    </w:p>
    <w:p>
      <w:r>
        <w:rPr>
          <w:rFonts w:ascii="Times New Roman" w:hAnsi="Times New Roman" w:eastAsia="宋体"/>
          <w:b/>
          <w:color w:val="003264"/>
          <w:sz w:val="24"/>
        </w:rPr>
        <w:t>Hardware-free low-frequency drift compensation method for interferometric fiber-optic vibration sensing</w:t>
      </w:r>
    </w:p>
    <w:p>
      <w:r>
        <w:rPr>
          <w:rFonts w:ascii="Times New Roman" w:hAnsi="Times New Roman" w:eastAsia="宋体"/>
          <w:sz w:val="21"/>
        </w:rPr>
        <w:t>作者: Ke Ai, Cunzheng Fan, Shuolong Zhu, Bin Lu, Wenqi Ren, Junfeng Chen, Zhan Chen, Hao Li, Zhijun Yan, Qizhen Sun</w:t>
        <w:br/>
      </w:r>
      <w:r>
        <w:rPr>
          <w:rFonts w:ascii="Times New Roman" w:hAnsi="Times New Roman" w:eastAsia="宋体"/>
          <w:sz w:val="21"/>
        </w:rPr>
        <w:t xml:space="preserve">时间: 2026-05-01 | </w:t>
      </w:r>
      <w:r>
        <w:t xml:space="preserve">链接: </w:t>
      </w:r>
      <w:hyperlink r:id="rId35">
        <w:r>
          <w:rPr>
            <w:rFonts w:ascii="Times New Roman" w:hAnsi="Times New Roman" w:eastAsia="宋体"/>
            <w:color w:val="0000FF"/>
            <w:sz w:val="21"/>
            <w:u w:val="single"/>
          </w:rPr>
          <w:t>https://doi.org/10.1016/j.optlastec.2026.114830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PMN-PT单晶超快激光微加工数值模拟与实验研究</w:t>
      </w:r>
    </w:p>
    <w:p>
      <w:r>
        <w:rPr>
          <w:rFonts w:ascii="Times New Roman" w:hAnsi="Times New Roman" w:eastAsia="宋体"/>
          <w:b/>
          <w:color w:val="003264"/>
          <w:sz w:val="24"/>
        </w:rPr>
        <w:t>Numerical simulation and experimental study of ultrafast laser micromachining of PMN-PT single crystals</w:t>
      </w:r>
    </w:p>
    <w:p>
      <w:r>
        <w:rPr>
          <w:rFonts w:ascii="Times New Roman" w:hAnsi="Times New Roman" w:eastAsia="宋体"/>
          <w:sz w:val="21"/>
        </w:rPr>
        <w:t>作者: Chao Wang, Zhongwen Cheng, Yan Chen, Haocong He, Zhongliang Zou, Xuanrong Ji</w:t>
        <w:br/>
      </w:r>
      <w:r>
        <w:rPr>
          <w:rFonts w:ascii="Times New Roman" w:hAnsi="Times New Roman" w:eastAsia="宋体"/>
          <w:sz w:val="21"/>
        </w:rPr>
        <w:t xml:space="preserve">时间: 2026-05-01 | </w:t>
      </w:r>
      <w:r>
        <w:t xml:space="preserve">链接: </w:t>
      </w:r>
      <w:hyperlink r:id="rId36">
        <w:r>
          <w:rPr>
            <w:rFonts w:ascii="Times New Roman" w:hAnsi="Times New Roman" w:eastAsia="宋体"/>
            <w:color w:val="0000FF"/>
            <w:sz w:val="21"/>
            <w:u w:val="single"/>
          </w:rPr>
          <w:t>https://doi.org/10.1016/j.optlastec.2026.114814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四芯光纤螺旋长周期光栅色散转折点附近灵敏度增强</w:t>
      </w:r>
    </w:p>
    <w:p>
      <w:r>
        <w:rPr>
          <w:rFonts w:ascii="Times New Roman" w:hAnsi="Times New Roman" w:eastAsia="宋体"/>
          <w:b/>
          <w:color w:val="003264"/>
          <w:sz w:val="24"/>
        </w:rPr>
        <w:t>Sensitivity enhancement of four-core fiber helical long-period gratings near dispersion turning point</w:t>
      </w:r>
    </w:p>
    <w:p>
      <w:r>
        <w:rPr>
          <w:rFonts w:ascii="Times New Roman" w:hAnsi="Times New Roman" w:eastAsia="宋体"/>
          <w:sz w:val="21"/>
        </w:rPr>
        <w:t>作者: Yunhe Zhao, Yan Jiang, Xin Wang, Siyu Chen, Chengbo Mou, Yunqi Liu, Lin Ma, Zuyuan He</w:t>
        <w:br/>
      </w:r>
      <w:r>
        <w:rPr>
          <w:rFonts w:ascii="Times New Roman" w:hAnsi="Times New Roman" w:eastAsia="宋体"/>
          <w:sz w:val="21"/>
        </w:rPr>
        <w:t xml:space="preserve">时间: 2026-05-01 | </w:t>
      </w:r>
      <w:r>
        <w:t xml:space="preserve">链接: </w:t>
      </w:r>
      <w:hyperlink r:id="rId58">
        <w:r>
          <w:rPr>
            <w:rFonts w:ascii="Times New Roman" w:hAnsi="Times New Roman" w:eastAsia="宋体"/>
            <w:color w:val="0000FF"/>
            <w:sz w:val="21"/>
            <w:u w:val="single"/>
          </w:rPr>
          <w:t>https://doi.org/10.1016/j.optlastec.2026.114828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基于镧系元素掺杂微粒的氮化硅片上C带自发发射发电</w:t>
      </w:r>
    </w:p>
    <w:p>
      <w:r>
        <w:rPr>
          <w:rFonts w:ascii="Times New Roman" w:hAnsi="Times New Roman" w:eastAsia="宋体"/>
          <w:b/>
          <w:color w:val="003264"/>
          <w:sz w:val="24"/>
        </w:rPr>
        <w:t>Silicon nitride on-chip C-band spontaneous emission generation based on lanthanide doped microparticles</w:t>
      </w:r>
    </w:p>
    <w:p>
      <w:r>
        <w:rPr>
          <w:rFonts w:ascii="Times New Roman" w:hAnsi="Times New Roman" w:eastAsia="宋体"/>
          <w:sz w:val="21"/>
        </w:rPr>
        <w:t>作者: Dmitry V. Obydennov, Ilya M. Asharchuk, Alexander M. Mumlyakov, Maxim V. Shibalov, Nikolay A. Vovk, Ivan A. Filippov, Lidiya S. Volkova, Michael A. Tarkhov</w:t>
        <w:br/>
      </w:r>
      <w:r>
        <w:rPr>
          <w:rFonts w:ascii="Times New Roman" w:hAnsi="Times New Roman" w:eastAsia="宋体"/>
          <w:sz w:val="21"/>
        </w:rPr>
        <w:t xml:space="preserve">时间: 2026-05-01 | </w:t>
      </w:r>
      <w:r>
        <w:t xml:space="preserve">链接: </w:t>
      </w:r>
      <w:hyperlink r:id="rId61">
        <w:r>
          <w:rPr>
            <w:rFonts w:ascii="Times New Roman" w:hAnsi="Times New Roman" w:eastAsia="宋体"/>
            <w:color w:val="0000FF"/>
            <w:sz w:val="21"/>
            <w:u w:val="single"/>
          </w:rPr>
          <w:t>https://doi.org/10.1016/j.optlastec.2026.114834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06:28 ---</w:t>
      </w:r>
    </w:p>
    <w:p>
      <w:pPr>
        <w:pStyle w:val="Heading2"/>
      </w:pPr>
      <w:r/>
      <w:r>
        <w:rPr>
          <w:rFonts w:ascii="Times New Roman" w:hAnsi="Times New Roman" w:eastAsia="宋体"/>
          <w:b/>
          <w:color w:val="000000"/>
          <w:sz w:val="24"/>
        </w:rPr>
        <w:t>一步原位合成具有水下颜色可调、双模式长余辉发射的碳点基纳米球</w:t>
      </w:r>
    </w:p>
    <w:p>
      <w:r>
        <w:rPr>
          <w:rFonts w:ascii="Times New Roman" w:hAnsi="Times New Roman" w:eastAsia="宋体"/>
          <w:b/>
          <w:color w:val="003264"/>
          <w:sz w:val="24"/>
        </w:rPr>
        <w:t>One‐Step In Situ Synthesis of Carbon Dot‐Based Nanospheres With Underwater Color‐Tunable, Dual‐Mode Long‐Afterglow Emission</w:t>
      </w:r>
    </w:p>
    <w:p>
      <w:r>
        <w:rPr>
          <w:rFonts w:ascii="Times New Roman" w:hAnsi="Times New Roman" w:eastAsia="宋体"/>
          <w:sz w:val="21"/>
        </w:rPr>
        <w:t>作者: Tengyang Cao, Lei Chen, Helang Li, Zinan Jiang, Jiawen Li, Jijun Huang, Caiqi Wang</w:t>
        <w:br/>
      </w:r>
      <w:r>
        <w:rPr>
          <w:rFonts w:ascii="Times New Roman" w:hAnsi="Times New Roman" w:eastAsia="宋体"/>
          <w:sz w:val="21"/>
        </w:rPr>
        <w:t xml:space="preserve">时间: 2026-01-29 | </w:t>
      </w:r>
      <w:r>
        <w:t xml:space="preserve">链接: </w:t>
      </w:r>
      <w:hyperlink r:id="rId45">
        <w:r>
          <w:rPr>
            <w:rFonts w:ascii="Times New Roman" w:hAnsi="Times New Roman" w:eastAsia="宋体"/>
            <w:color w:val="0000FF"/>
            <w:sz w:val="21"/>
            <w:u w:val="single"/>
          </w:rPr>
          <w:t>https://doi.org/10.1002/lpor.202502697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基于碳点（CD）的余辉材料最近在各个领域激增，但颜色可调的基于碳点的水下余辉纳米材料在很大程度上仍未得到探索。此外，现有的合成方法普遍较为复杂，明显缺乏高效的一步制备技术。我们提出了一种简单的一步水热方法来合成基于 CD 的纳米材料，该材料表现出稳定的双模水下发射，包括室温磷光（RTP）和热激活延迟荧光（TADF）。使用 3-氨基丙基三乙氧基硅烷，形成致密交联的 SiO 2 基质，嵌入原位生成的 CD。这种受限结构稳定了三线态激子，实现了 1218 ms 的超长水下余辉寿命和 46.7% 的量子产率。通过掺杂卤化物离子，余辉波长从402 nm调谐到560 nm，实现多色发射。该纳米复合材料在强酸、强碱、氧化剂和极性溶剂等恶劣条件下仍能保持稳定的余辉性能。由于其卓越的稳定性和多色余辉，该材料被用来构建复杂的三重防伪系统，展示了先进信息加密的巨大潜力。</w:t>
      </w:r>
    </w:p>
    <w:p>
      <w:pPr>
        <w:spacing w:before="120"/>
      </w:pPr>
      <w:r>
        <w:rPr>
          <w:rFonts w:ascii="Times New Roman" w:hAnsi="Times New Roman" w:eastAsia="宋体"/>
          <w:b/>
          <w:sz w:val="21"/>
        </w:rPr>
        <w:t>English Abstract:</w:t>
      </w:r>
    </w:p>
    <w:p>
      <w:r>
        <w:rPr>
          <w:rFonts w:ascii="Times New Roman" w:hAnsi="Times New Roman" w:eastAsia="宋体"/>
          <w:sz w:val="21"/>
        </w:rPr>
        <w:t>ABSTRACT Carbon dot (CD)‐based afterglow materials have recently proliferated in various areas, but color‐tunable, carbon dot‐based underwater afterglow nanomaterials remain largely unexplored. Moreover, the existing synthesis methods are generally complex, and there has been a notable lack of efficient, one‐step preparation techniques. We present a simple one‐step hydrothermal method to synthesize CD‐based nanomaterials that exhibit stable dual‐mode underwater emission comprising room‐temperature phosphorescence (RTP) and thermally activated delayed fluorescence (TADF). Using 3‐aminopropyltriethoxysilane, a densely cross‐linked SiO 2 matrix forms, embedding in situ generated CDs. This confined structure stabilizes triplet excitons, enabling an ultra‐long underwater afterglow lifetime of 1218 ms and a quantum yield of 46.7%. By doping with halide ions, the afterglow wavelength was tuned from 402 to 560 nm, achieving multicolor emission. The nanocomposites maintain stable afterglow performance in harsh conditions, including strong acids, alkalis, oxidants, and polar solvents. Given its exceptional stability and multicolor afterglow, the material was used to construct a sophisticated triple anti‐counterfeiting system, demonstrating great potential for advanced information encryption.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信息超表面动态可重构雷达电磁体模</w:t>
      </w:r>
    </w:p>
    <w:p>
      <w:r>
        <w:rPr>
          <w:rFonts w:ascii="Times New Roman" w:hAnsi="Times New Roman" w:eastAsia="宋体"/>
          <w:b/>
          <w:color w:val="003264"/>
          <w:sz w:val="24"/>
        </w:rPr>
        <w:t>Information Metasurface‐Enabled Dynamically Reconfigurable Radar Electromagnetic Phantoms</w:t>
      </w:r>
    </w:p>
    <w:p>
      <w:r>
        <w:rPr>
          <w:rFonts w:ascii="Times New Roman" w:hAnsi="Times New Roman" w:eastAsia="宋体"/>
          <w:sz w:val="21"/>
        </w:rPr>
        <w:t>作者: Shijian Yu, Jinxing Guo, Dongfang Guan, Zhen Liu, Yongxiang Liu</w:t>
        <w:br/>
      </w:r>
      <w:r>
        <w:rPr>
          <w:rFonts w:ascii="Times New Roman" w:hAnsi="Times New Roman" w:eastAsia="宋体"/>
          <w:sz w:val="21"/>
        </w:rPr>
        <w:t xml:space="preserve">时间: 2026-01-29 | </w:t>
      </w:r>
      <w:r>
        <w:t xml:space="preserve">链接: </w:t>
      </w:r>
      <w:hyperlink r:id="rId46">
        <w:r>
          <w:rPr>
            <w:rFonts w:ascii="Times New Roman" w:hAnsi="Times New Roman" w:eastAsia="宋体"/>
            <w:color w:val="0000FF"/>
            <w:sz w:val="21"/>
            <w:u w:val="single"/>
          </w:rPr>
          <w:t>https://doi.org/10.1002/lpor.202502619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雷达电磁幻影旨在通过将虚拟目标（物理上不存在的实体）引入雷达图像中来欺骗雷达系统，从而引起错误识别。信息超表面作为数字可重构电磁反射器，在多维雷达目标特征控制方面提供了前所未有的功能。然而，现有的基于空间编码的技术受到静态模型图像模板的限制，限制了它们生成动态可重构雷达模型的能力。在非合作场景下，时间调制策略容易受到同步错误的影响。为了应对这些挑战，本文提出了一种通过信息超表面生成图像级、动态稳定和可重构雷达电磁体模的新方法。该方法利用衍射几何理论（GTD）来提取目标的特征参数。这些参数随后指导在超表面上实现的异步调频序列的设计。开发了 1 位信息超表面原型并进行了实验验证。结果证明其能够实时生成高分辨率距离剖面（HRRP）中的各种可重构雷达模型。此外，人类雷达图像解释和基于人工神经网络（ANN）的分类在将调制图像识别为真实目标方面表现出很高的置信度，从而证实了欺骗的有效性。所开发的超表面及其相关的调制策略对于电子战场景中的关键目标保护具有重大前景。</w:t>
      </w:r>
    </w:p>
    <w:p>
      <w:pPr>
        <w:spacing w:before="120"/>
      </w:pPr>
      <w:r>
        <w:rPr>
          <w:rFonts w:ascii="Times New Roman" w:hAnsi="Times New Roman" w:eastAsia="宋体"/>
          <w:b/>
          <w:sz w:val="21"/>
        </w:rPr>
        <w:t>English Abstract:</w:t>
      </w:r>
    </w:p>
    <w:p>
      <w:r>
        <w:rPr>
          <w:rFonts w:ascii="Times New Roman" w:hAnsi="Times New Roman" w:eastAsia="宋体"/>
          <w:sz w:val="21"/>
        </w:rPr>
        <w:t>ABSTRACT Radar electromagnetic phantoms aim to deceive radar systems by introducing virtual targets—entities that do not physically exist—into radar imagery, thereby inducing erroneous recognition. Information metasurfaces, functioning as digitally reconfigurable electromagnetic reflectors, offer unprecedented capabilities in multidimensional radar target signatures control. Nevertheless, existing space‐coding‐based techniques are constrained by static phantom image templates, limiting their ability to generate dynamically reconfigurable radar phantoms. Temporal modulation strategies are susceptible to synchronization errors under non‐cooperative scenarios. To address these challenges, this paper proposes a novel method for generating image‐level, dynamically stable, and reconfigurable radar electromagnetic phantoms via information metasurfaces. The proposed approach leverages the geometric theory of diffraction (GTD) to extract characteristic parameters oftargets. These parameters subsequently guide the design of asynchronous frequency‐modulated sequences implemented on the metasurface. A 1‐bit information metasurface prototype was developed and experimentally validated. The results demonstrate its capability to generate a variety of reconfigurable radar phantoms in high‐resolution range profiles (HRRPs) in real time. Furthermore, both human radar image interpretation and artificial neural network (ANN)‐based classification exhibit high confidence in identifying the modulated imagery as authentic targets, thereby confirming the effectiveness of deception. The developed metasurface and its associated modulation strategy hold significant promise for critical target protection in electronic warfare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宽带完美传输镜像对称无序系统的逆设计</w:t>
      </w:r>
    </w:p>
    <w:p>
      <w:r>
        <w:rPr>
          <w:rFonts w:ascii="Times New Roman" w:hAnsi="Times New Roman" w:eastAsia="宋体"/>
          <w:b/>
          <w:color w:val="003264"/>
          <w:sz w:val="24"/>
        </w:rPr>
        <w:t>Inverse Design of Mirror‐Symmetric Disordered Systems for Broadband Perfect Transmission</w:t>
      </w:r>
    </w:p>
    <w:p>
      <w:r>
        <w:rPr>
          <w:rFonts w:ascii="Times New Roman" w:hAnsi="Times New Roman" w:eastAsia="宋体"/>
          <w:sz w:val="21"/>
        </w:rPr>
        <w:t>作者: Zhazira Zhumabay, Clément Ferise, Vincent Pagneux, Stefan Rotter, Matthieu Davy</w:t>
        <w:br/>
      </w:r>
      <w:r>
        <w:rPr>
          <w:rFonts w:ascii="Times New Roman" w:hAnsi="Times New Roman" w:eastAsia="宋体"/>
          <w:sz w:val="21"/>
        </w:rPr>
        <w:t xml:space="preserve">时间: 2026-01-29 | </w:t>
      </w:r>
      <w:r>
        <w:t xml:space="preserve">链接: </w:t>
      </w:r>
      <w:hyperlink r:id="rId47">
        <w:r>
          <w:rPr>
            <w:rFonts w:ascii="Times New Roman" w:hAnsi="Times New Roman" w:eastAsia="宋体"/>
            <w:color w:val="0000FF"/>
            <w:sz w:val="21"/>
            <w:u w:val="single"/>
          </w:rPr>
          <w:t>https://doi.org/10.1002/lpor.202501055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我们提出了一个框架，通过逆向设计优化对称无序介质，在复杂系统中实现宽带完美波传输。我们表明，利用复杂介质的对称性可以降低优化的复杂性，从而能够在参数空间中加入额外的约束。从在特定频率下具有预定义输入和输出波前的单一完美传输状态开始，我们逐步拓宽带宽——从具有扁平线形的无反射特殊点到窄带滤波器，最终到表现出彩虹效应的宽带准完美传输。基于耦合偶极近似的数值模拟在具有介电和金属散射体的多通道微波波导中进行了实验验证。最后，我们展示了通过障碍物的宽带增强波传输，突出了先进波控制应用的潜力。</w:t>
      </w:r>
    </w:p>
    <w:p>
      <w:pPr>
        <w:spacing w:before="120"/>
      </w:pPr>
      <w:r>
        <w:rPr>
          <w:rFonts w:ascii="Times New Roman" w:hAnsi="Times New Roman" w:eastAsia="宋体"/>
          <w:b/>
          <w:sz w:val="21"/>
        </w:rPr>
        <w:t>English Abstract:</w:t>
      </w:r>
    </w:p>
    <w:p>
      <w:r>
        <w:rPr>
          <w:rFonts w:ascii="Times New Roman" w:hAnsi="Times New Roman" w:eastAsia="宋体"/>
          <w:sz w:val="21"/>
        </w:rPr>
        <w:t>ABSTRACT We present a framework for achieving broadband perfect wave transmission in complex systems by optimizing symmetric disordered media via inverse design. We show that leveraging symmetry of complex media reduces the optimization's complexity enabling the incorporation of additional constraints in the parameter space. Starting from a single perfectly transmitting state with predefined input and output wavefronts at a specific frequency, we progressively broaden the bandwidth — from a reflectionless exceptional point with a flattened lineshape to narrowband filters and ultimately to broadband quasi‐perfect transmission exhibiting a rainbow effect. Numerical simulations based on the coupled dipole approximation are validated experimentally in a multichannel microwave waveguide with dielectric and metallic scatterers. Finally, we demonstrate broadband enhanced wave transmission through barriers highlighting the potential for advanced wave control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通过卤化铜闪烁体的即时离子交换实现动态和水下 X 射线成像</w:t>
      </w:r>
    </w:p>
    <w:p>
      <w:r>
        <w:rPr>
          <w:rFonts w:ascii="Times New Roman" w:hAnsi="Times New Roman" w:eastAsia="宋体"/>
          <w:b/>
          <w:color w:val="003264"/>
          <w:sz w:val="24"/>
        </w:rPr>
        <w:t>Dynamic and Underwater X‐ray Imaging Enabled by Instant Ion Exchange of Copper Halide Scintillators</w:t>
      </w:r>
    </w:p>
    <w:p>
      <w:r>
        <w:rPr>
          <w:rFonts w:ascii="Times New Roman" w:hAnsi="Times New Roman" w:eastAsia="宋体"/>
          <w:sz w:val="21"/>
        </w:rPr>
        <w:t>作者: Xinjiang Zhan, Jie Cao, Le Dong, Ye Xun, Ya Chen, Yulong Wang, Bing Chen, Shujuan Liu, Xiuwen Xu, Qiang Zhao</w:t>
        <w:br/>
      </w:r>
      <w:r>
        <w:rPr>
          <w:rFonts w:ascii="Times New Roman" w:hAnsi="Times New Roman" w:eastAsia="宋体"/>
          <w:sz w:val="21"/>
        </w:rPr>
        <w:t xml:space="preserve">时间: 2026-01-29 | </w:t>
      </w:r>
      <w:r>
        <w:t xml:space="preserve">链接: </w:t>
      </w:r>
      <w:hyperlink r:id="rId48">
        <w:r>
          <w:rPr>
            <w:rFonts w:ascii="Times New Roman" w:hAnsi="Times New Roman" w:eastAsia="宋体"/>
            <w:color w:val="0000FF"/>
            <w:sz w:val="21"/>
            <w:u w:val="single"/>
          </w:rPr>
          <w:t>https://doi.org/10.1002/lpor.202503085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有机-无机杂化卤化铜具有高度可调谐晶体结构中编码的卓越光电特性，正在成为下一代闪烁体的有希望的候选者。然而，在卤化铜中同时实现高光产率和快速发光衰减仍然是一个重大挑战，限制了它们在实时 X 射线成像中的应用。在这里，开发了一种简单而有效的离子交换方法，能够将 (MeEn) 2 Cu 4 Br 6 （MeEn = 3-甲基丁-2-烯基（三苯基）鏻）快速转化为 (MeEn) 2 Cu 4 I 6 ，从而产生接近一致的光致发光量子产率（PLQY），光产额增加 1.7 倍（39700 光子 MeV -1 ），并且光致发光量子产率增加 15 倍。减少发光衰减时间（2.4 µs）。机理研究表明，闪烁性能的增强源于晶格畸变的减少、电子声子耦合的适当减弱以及重碘原子引起的强自旋轨道耦合。除了 (MeEn) 2 Cu 4 X 6 之外，该方法还适用于各种卤化铜，从而实现光物理性能的持续改进。最后，通过将(MeEn) 2 Cu 4 I 6 嵌入聚合物基质，所得闪烁膜进一步具有所需的柔韧性和耐水性，展示了其静态、动态、弯曲和水下X射线成像的能力。</w:t>
      </w:r>
    </w:p>
    <w:p>
      <w:pPr>
        <w:spacing w:before="120"/>
      </w:pPr>
      <w:r>
        <w:rPr>
          <w:rFonts w:ascii="Times New Roman" w:hAnsi="Times New Roman" w:eastAsia="宋体"/>
          <w:b/>
          <w:sz w:val="21"/>
        </w:rPr>
        <w:t>English Abstract:</w:t>
      </w:r>
    </w:p>
    <w:p>
      <w:r>
        <w:rPr>
          <w:rFonts w:ascii="Times New Roman" w:hAnsi="Times New Roman" w:eastAsia="宋体"/>
          <w:sz w:val="21"/>
        </w:rPr>
        <w:t>ABSTRACT Organic–inorganic hybrid copper halides, with exceptional optoelectronic properties encoded in their highly tunable crystal structure, are emerging as promising candidates for next‐generation scintillators. However, achieving both high light yield and fast luminescence decay in copper halides remains a significant challenge, limiting their application in real‐time X‐ray imaging. Here, a simple yet effective ion exchange approach is developed to enable rapid conversion of (MeEn) 2 Cu 4 Br 6 (MeEn = 3‐methylbut‐2‐enyl(triphenyl)phosphanium) to (MeEn) 2 Cu 4 I 6 , resulting in a near‐unity photoluminescence quantum yield (PLQY), a 1.7‐fold increase in light yield (39700 photons MeV −1 ), and a 15‐fold reduction in luminescence decay time (2.4 µs). Mechanistic investigations reveal that the enhanced scintillation properties arise from reduced lattice distortion, appropriately weakened electron‐phonon coupling, and strong spin–orbit coupling induced by the heavy iodine atom. Beyond (MeEn) 2 Cu 4 X 6 , this approach is applicable to a variety of copper halides, leading to consistent improvements in photophysical performance. Finally, by embedding (MeEn) 2 Cu 4 I 6 with a polymer matrix, the resulting scintillation film is further entailed with desired flexibility and water resistance, demonstrating its capability in static, dynamic, curved, and underwater X‐ray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三角晶格拓扑光子晶体波导的手性量子光学</w:t>
      </w:r>
    </w:p>
    <w:p>
      <w:r>
        <w:rPr>
          <w:rFonts w:ascii="Times New Roman" w:hAnsi="Times New Roman" w:eastAsia="宋体"/>
          <w:b/>
          <w:color w:val="003264"/>
          <w:sz w:val="24"/>
        </w:rPr>
        <w:t>Chiral Quantum Optics With Topological Photonic Crystal Waveguide of Triangular Lattice</w:t>
      </w:r>
    </w:p>
    <w:p>
      <w:r>
        <w:rPr>
          <w:rFonts w:ascii="Times New Roman" w:hAnsi="Times New Roman" w:eastAsia="宋体"/>
          <w:sz w:val="21"/>
        </w:rPr>
        <w:t>作者: Hancong Li, Sai Yan, Zhikai Ma, Rui Zhu, Hanqing Liu, Xiqing Chen, Yu Yuan, Longlong Yang, Haiqiao Ni, Zhichuan Niu, Qihuang Gong, Xiulai Xu</w:t>
        <w:br/>
      </w:r>
      <w:r>
        <w:rPr>
          <w:rFonts w:ascii="Times New Roman" w:hAnsi="Times New Roman" w:eastAsia="宋体"/>
          <w:sz w:val="21"/>
        </w:rPr>
        <w:t xml:space="preserve">时间: 2026-01-29 | </w:t>
      </w:r>
      <w:r>
        <w:t xml:space="preserve">链接: </w:t>
      </w:r>
      <w:hyperlink r:id="rId49">
        <w:r>
          <w:rPr>
            <w:rFonts w:ascii="Times New Roman" w:hAnsi="Times New Roman" w:eastAsia="宋体"/>
            <w:color w:val="0000FF"/>
            <w:sz w:val="21"/>
            <w:u w:val="single"/>
          </w:rPr>
          <w:t>https://doi.org/10.1002/lpor.202501893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摘要：我们提出了一个基于三角晶格光子晶体（Tri-PhC）的高弯曲透射率波导（HBT WG）模式的多功能介电平台，用于研究手性光与物质相互作用和腔量子电动力学。手性耦合的演示是通过采用两个 Tri-PhC 之字形界面波导来实现的，这首先提供了简化的几何形状。与之前的蜂窝晶格系统相比，Tri-PhC 之字形波导为量子点 (QD) 相互作用提供至少两倍的有效手性面积，并支持对光与物质相互作用至关重要的慢光模式。集成自组装量子点，我们通过实验证明了 Z 形 Tri-PhC HBT WG 中的手性光子路由，证实了稳健的定向光子传输。此外，我们采用回音壁模式腔波导结构来实现 Purcell 增强的片上单光子发射，Purcell 因子为 4，自旋相关的方向对比度为 82%。我们的结果表明，基于 Tri-PhC 的拓扑波导作为低损耗、高手性量子光子器件的有前途的、可扩展的平台具有潜力。</w:t>
      </w:r>
    </w:p>
    <w:p>
      <w:pPr>
        <w:spacing w:before="120"/>
      </w:pPr>
      <w:r>
        <w:rPr>
          <w:rFonts w:ascii="Times New Roman" w:hAnsi="Times New Roman" w:eastAsia="宋体"/>
          <w:b/>
          <w:sz w:val="21"/>
        </w:rPr>
        <w:t>English Abstract:</w:t>
      </w:r>
    </w:p>
    <w:p>
      <w:r>
        <w:rPr>
          <w:rFonts w:ascii="Times New Roman" w:hAnsi="Times New Roman" w:eastAsia="宋体"/>
          <w:sz w:val="21"/>
        </w:rPr>
        <w:t>ABSTRACT We present a versatile dielectric platform for studying chiral light–matter interaction and cavity quantum electrodynamics, based on high bend transmittance waveguide (HBT WG) modes of triangular‐lattice photonic crystals (Tri‐PhCs). The demonstration of chiral coupling is realized by employing two Tri‐PhC zigzag interface waveguides which offer a simplified geometry in the first place. Compared to previous honeycomb‐lattice systems, Tri‐PhC zigzag waveguides provide at least twice the effective chiral area for quantum dot (QD) interaction and support accessible slow‐light modes that are crucial for light–matter interaction. Integrating self‐assembled QDs, we experimentally demonstrate chiral photon routing in Z‐shaped Tri‐PhC HBT WGs, confirming robust directional photon transport. Additionally, we incorporate a whispering‐gallery‐mode cavity‐waveguide structure to achieve Purcell‐enhanced on‐chip single‐photon emission, with a Purcell factor of 4 and spin‐dependent directional contrast of 82%. Our results show the potential of Tri‐PhC‐based topological waveguides as a promising, scalable platform for low‐loss, high‐chirality quantum 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超景深快照光场显微镜</w:t>
      </w:r>
    </w:p>
    <w:p>
      <w:r>
        <w:rPr>
          <w:rFonts w:ascii="Times New Roman" w:hAnsi="Times New Roman" w:eastAsia="宋体"/>
          <w:b/>
          <w:color w:val="003264"/>
          <w:sz w:val="24"/>
        </w:rPr>
        <w:t>Super Depth‐of‐Field Snapshot Light‐Field Microscopy</w:t>
      </w:r>
    </w:p>
    <w:p>
      <w:r>
        <w:rPr>
          <w:rFonts w:ascii="Times New Roman" w:hAnsi="Times New Roman" w:eastAsia="宋体"/>
          <w:sz w:val="21"/>
        </w:rPr>
        <w:t>作者: Zhi‐Yong Hu, Chang Qiao, Jian‐Yu Dou, Ming‐Ze Zhao, Zhen‐Nan Tian, Yue‐Ying Zhang, Yan‐Hao Yu, Chong Pan, Yong‐Lai Zhang, Qi‐Dai Chen, Din Ping Tsai, Hong‐Bo Sun</w:t>
        <w:br/>
      </w:r>
      <w:r>
        <w:rPr>
          <w:rFonts w:ascii="Times New Roman" w:hAnsi="Times New Roman" w:eastAsia="宋体"/>
          <w:sz w:val="21"/>
        </w:rPr>
        <w:t xml:space="preserve">时间: 2026-01-29 | </w:t>
      </w:r>
      <w:r>
        <w:t xml:space="preserve">链接: </w:t>
      </w:r>
      <w:hyperlink r:id="rId50">
        <w:r>
          <w:rPr>
            <w:rFonts w:ascii="Times New Roman" w:hAnsi="Times New Roman" w:eastAsia="宋体"/>
            <w:color w:val="0000FF"/>
            <w:sz w:val="21"/>
            <w:u w:val="single"/>
          </w:rPr>
          <w:t>https://doi.org/10.1002/lpor.202502750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快照光场显微镜 (SLFM) 能够对动态微目标进行高速 3D 观察（4D 成像）。然而，它们的性能从根本上受到微透镜阵列（MLA）固有平面结构的限制，这导致分辨率、景深（DOF）和深度感知之间的权衡，使得大DOF光场检测极具挑战性。在这里，我们提出了一种具有对数轮廓的弯曲 MLA 范例，具有极高的焦深 (&gt;346λ)、增强的视差 (273%) 和近衍射极限的分辨率，优于传统的平面同类产品。集成到商用显微镜中并与基于神经网络的重建相结合，该架构产生了超景深快照光场显微镜（SDOF-SLFM），实现了自由度（&gt;3毫米）超过15倍的改进，并实现了微金字塔的原位立体成像和流场中微粒的4D跟踪。这项研究提供了一种无需复杂系统组装或样品处理即可升级 SLFM 的实用途径，有助于传统商用显微镜适应动态 4D 成像应用，例如生物实验室和微流体监测。</w:t>
      </w:r>
    </w:p>
    <w:p>
      <w:pPr>
        <w:spacing w:before="120"/>
      </w:pPr>
      <w:r>
        <w:rPr>
          <w:rFonts w:ascii="Times New Roman" w:hAnsi="Times New Roman" w:eastAsia="宋体"/>
          <w:b/>
          <w:sz w:val="21"/>
        </w:rPr>
        <w:t>English Abstract:</w:t>
      </w:r>
    </w:p>
    <w:p>
      <w:r>
        <w:rPr>
          <w:rFonts w:ascii="Times New Roman" w:hAnsi="Times New Roman" w:eastAsia="宋体"/>
          <w:sz w:val="21"/>
        </w:rPr>
        <w:t>ABSTRACT Snapshot light‐field microscopes (SLFMs) enable high‐speed 3D observation (4D imaging) of dynamic micro‐targets. However, their performance is fundamentally restricted by the inherent planar structure of microlens arrays (MLAs), which leads to tradeoffs among resolution, depth of field (DOF), and depth perception, making large DOF light‐field detection extremely challenging. Here, we propose a paradigm in curved MLA with a logarithmic profile, featuring extreme depth of focus (&gt;346λ), enhanced parallax (273%), and near‐diffraction‐limited resolution, outperforming conventional planar counterparts. Integrated into a commercial microscope and combined with neural network‐based reconstruction, this architecture yields a super depth‐of‐field snapshot light‐field microscope (SDOF‐SLFM), achieving over 15 times improvement in DOF (&gt;3 mm) and enabling in situ stereo imaging of micro‐pyramids and 4D tracking of micro‐particles in flow fields. This study offers a practical pathway for upgrading SLFMs without complex system assembly or sample processing, facilitating the adaptation of conventional commercial microscopes to dynamic 4D imaging applications such as biological laboratories and microfluidic flow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单片集成硅光子无本地振荡器零差接收器</w:t>
      </w:r>
    </w:p>
    <w:p>
      <w:r>
        <w:rPr>
          <w:rFonts w:ascii="Times New Roman" w:hAnsi="Times New Roman" w:eastAsia="宋体"/>
          <w:b/>
          <w:color w:val="003264"/>
          <w:sz w:val="24"/>
        </w:rPr>
        <w:t>Monolithically Integrated Silicon Photonic Local Oscillator‐Free Homodyne Receiver</w:t>
      </w:r>
    </w:p>
    <w:p>
      <w:r>
        <w:rPr>
          <w:rFonts w:ascii="Times New Roman" w:hAnsi="Times New Roman" w:eastAsia="宋体"/>
          <w:sz w:val="21"/>
        </w:rPr>
        <w:t>作者: Jingchi Li, Hua Zhong, Yixiao Zhu, Yu He, Zhen Wang, Xiong Ni, Xingchen Ji, Qian Hu, Haoshuo Chen, Nicolas K. Fontaine, Roland Ryf, William Shieh, Yikai Su</w:t>
        <w:br/>
      </w:r>
      <w:r>
        <w:rPr>
          <w:rFonts w:ascii="Times New Roman" w:hAnsi="Times New Roman" w:eastAsia="宋体"/>
          <w:sz w:val="21"/>
        </w:rPr>
        <w:t xml:space="preserve">时间: 2026-01-30 | </w:t>
      </w:r>
      <w:r>
        <w:t xml:space="preserve">链接: </w:t>
      </w:r>
      <w:hyperlink r:id="rId51">
        <w:r>
          <w:rPr>
            <w:rFonts w:ascii="Times New Roman" w:hAnsi="Times New Roman" w:eastAsia="宋体"/>
            <w:color w:val="0000FF"/>
            <w:sz w:val="21"/>
            <w:u w:val="single"/>
          </w:rPr>
          <w:t>https://doi.org/10.1002/lpor.202502793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人工智能和云计算推动的全球数据流量呈指数级增长，需要经济高效、超高容量的光互连。集成光子互连提供了一种有前途的解决方案，但面临关键瓶颈：集成相干接收器需要本地振荡器（LO）激光器，导致单片集成的材料不兼容和成本挑战，而集成自相干方案从根本上遭受光电映射期间信号输入之间的非线性拍频过程引起的非线性失真，这限制了容量和频谱效率。在这里，我们提出了一种集成的无 LO 零差检测方案，通过微环滤波器实现卓越的线性度。 Si 3 N 4 微环谐振器有效地滤除用于零差检测的光载波，节省了相干接收器中的本振，并消除了自相干方案中常见的二阶非线性失真。我们制造的单片集成硅光子接收器可在 80 公里光纤上实现单偏振 600 Gb/s 16 进制正交调幅正交频分复用信号传输，实现每偏振 480 Gb/s 的净传输速度。这比之前的集成自相干检测记录提高了 86%，并且与最先进的集成相干系统相匹配。 C 波段的多通道验证进一步证实了密集波分复用兼容性。这项工作提供了光通信、密集波分复用、直接检测、集成光子互连、硅光子可扩展且经济高效的解决方案，这对于未来每通道 1.6 Tb/s 光互连至关重要。</w:t>
      </w:r>
    </w:p>
    <w:p>
      <w:pPr>
        <w:spacing w:before="120"/>
      </w:pPr>
      <w:r>
        <w:rPr>
          <w:rFonts w:ascii="Times New Roman" w:hAnsi="Times New Roman" w:eastAsia="宋体"/>
          <w:b/>
          <w:sz w:val="21"/>
        </w:rPr>
        <w:t>English Abstract:</w:t>
      </w:r>
    </w:p>
    <w:p>
      <w:r>
        <w:rPr>
          <w:rFonts w:ascii="Times New Roman" w:hAnsi="Times New Roman" w:eastAsia="宋体"/>
          <w:sz w:val="21"/>
        </w:rPr>
        <w:t>ABSTRACT The exponential growth of global data traffic driven by artificial intelligence and cloud computing necessitates cost‐efficient, ultrahigh‐capacity optical interconnects. Integrated photonic interconnect offers a promising solution but faces critical bottlenecks: integrated coherent receivers require local oscillator (LO) lasers, resulting in material incompatibility and cost challenges for monolithic integration, while integrated self‐coherent schemes fundamentally suffer from nonlinear distortions induced by the nonlinear beating process between signal inputs during optical‐to‐electrical mapping, which limits both capacity and spectral efficiency. Here, we present an integrated LO‐free homodyne detection scheme with superior linearity enabled by a micro‐ring filter. The Si 3 N 4 micro‐ring resonator effectively filters out the optical carrier for homodyne detection, saving the LO in coherent receivers and eliminating the second‐order nonlinear distortions commonly encountered in self‐coherent schemes. Our fabricated monolithically integrated silicon photonic receiver enables single‐polarization 600‐Gb/s 16‐ary quadrature amplitude modulated orthogonal frequency division multiplexing signal transmission over an 80‐km fiber, achieving a net 480‐Gb/s per polarization. This represents an 86% improvement over previous integrated self‐coherent detection records and matches that of state‐of‐the‐art integrated coherent systems. Multichannel validation across the C band further confirms the dense wavelength‐division multiplexing compatibility. This work provides an Optical communication, dense wavelength division multiplexing, direct detection, integrated photonic interconnects, silicon photonicsscalable and cost‐effective solution essential for future 1.6 Tb/s per lane optical interconnects.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光拓扑微分密码学</w:t>
      </w:r>
    </w:p>
    <w:p>
      <w:r>
        <w:rPr>
          <w:rFonts w:ascii="Times New Roman" w:hAnsi="Times New Roman" w:eastAsia="宋体"/>
          <w:b/>
          <w:color w:val="003264"/>
          <w:sz w:val="24"/>
        </w:rPr>
        <w:t>Optical Topological Differentiation Cryptography</w:t>
      </w:r>
    </w:p>
    <w:p>
      <w:r>
        <w:rPr>
          <w:rFonts w:ascii="Times New Roman" w:hAnsi="Times New Roman" w:eastAsia="宋体"/>
          <w:sz w:val="21"/>
        </w:rPr>
        <w:t>作者: Yanliang He, Yuanfeng Zhu, Haimei Luo, Wen Yuan, Guiqiang Liu, Zhengqi Liu, Xianping Wang, Junxiao Zhou</w:t>
        <w:br/>
      </w:r>
      <w:r>
        <w:rPr>
          <w:rFonts w:ascii="Times New Roman" w:hAnsi="Times New Roman" w:eastAsia="宋体"/>
          <w:sz w:val="21"/>
        </w:rPr>
        <w:t xml:space="preserve">时间: 2026-01-30 | </w:t>
      </w:r>
      <w:r>
        <w:t xml:space="preserve">链接: </w:t>
      </w:r>
      <w:hyperlink r:id="rId52">
        <w:r>
          <w:rPr>
            <w:rFonts w:ascii="Times New Roman" w:hAnsi="Times New Roman" w:eastAsia="宋体"/>
            <w:color w:val="0000FF"/>
            <w:sz w:val="21"/>
            <w:u w:val="single"/>
          </w:rPr>
          <w:t>https://doi.org/10.1002/lpor.202502957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光加密提供了一种保护机密信息的有效方法，具有低能耗、并行操作、高速和处理多维数据的能力。然而，仍然缺乏可以跨基本空间物理维度（幅度、相位和偏振）加密和解密光学信息的统一框架。在这里，我们提出了一种基于 Pancharatnam-Berry (PB) 相液晶光学元件拓扑微分的光学密码学方法。通过利用 PB 相位的自旋相关相位调制，任何物理维度的二进制编码光学图像都被加密为相同的密文，通过将其转换为基于边缘的表示来有效隐藏信息。解密是通过共轭拓扑微分运算完成的，该运算通过将能量从边缘重新分配回中心来精确地反转该过程，从而恢复原始图像。作为概念证明，我们成功地演示了在幅度、相位和偏振的空间维度上对明文信息“LIGHT”的加密和解密。这项工作通过创新地将光差分应用于物理层加密和解密，引入了光信息安全的新范式，为保护多维光数据提供了强大且统一的方法。</w:t>
      </w:r>
    </w:p>
    <w:p>
      <w:pPr>
        <w:spacing w:before="120"/>
      </w:pPr>
      <w:r>
        <w:rPr>
          <w:rFonts w:ascii="Times New Roman" w:hAnsi="Times New Roman" w:eastAsia="宋体"/>
          <w:b/>
          <w:sz w:val="21"/>
        </w:rPr>
        <w:t>English Abstract:</w:t>
      </w:r>
    </w:p>
    <w:p>
      <w:r>
        <w:rPr>
          <w:rFonts w:ascii="Times New Roman" w:hAnsi="Times New Roman" w:eastAsia="宋体"/>
          <w:sz w:val="21"/>
        </w:rPr>
        <w:t>ABSTRACT Optical encryption provides an effective way to secure confidential information, featuring low energy consumption, parallel operation, high speed, and the ability to process multidimensional data. However, a unified framework that can encrypt and decrypt optical information across the fundamental spatial physical dimensions (amplitude, phase, and polarization) is still lacking. Here, we present an optical cryptography approach based on topological differentiation via Pancharatnam–Berry (PB) phase liquid crystal optical elements. By leveraging the spin‐dependent phase modulation of the PB phase, binary‐encoded optical images in any physical dimension are encrypted into an identical ciphertext, effectively hiding the information by converting it into edge‐based representations. Decryption is accomplished through a conjugate topological differentiation operation, which precisely reverses the process by redistributing energy from the edge back to the center, thereby restoring the original image. As a proof of concept, we successfully demonstrated the encryption and decryption of the plaintext information “LIGHT” across the spatial dimensions of amplitude, phase, and polarization. This work introduces a new paradigm in optical information security by innovatively applying optical differentiation to physical‐layer encryption and decryption, providing a robust and unified approach for the protection of multidimensional optical data.</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06:28 ---</w:t>
      </w:r>
    </w:p>
    <w:p>
      <w:pPr>
        <w:pStyle w:val="Heading2"/>
      </w:pPr>
      <w:r/>
      <w:r>
        <w:rPr>
          <w:rFonts w:ascii="Times New Roman" w:hAnsi="Times New Roman" w:eastAsia="宋体"/>
          <w:b/>
          <w:color w:val="000000"/>
          <w:sz w:val="24"/>
        </w:rPr>
        <w:t>基于胆甾型液晶几何相位的动态光场控制光流控平台</w:t>
      </w:r>
    </w:p>
    <w:p>
      <w:r>
        <w:rPr>
          <w:rFonts w:ascii="Times New Roman" w:hAnsi="Times New Roman" w:eastAsia="宋体"/>
          <w:b/>
          <w:color w:val="003264"/>
          <w:sz w:val="24"/>
        </w:rPr>
        <w:t>An Optofluidic Platform Based on the Geometric Phase of Cholesteric Liquid Crystals for Dynamic Light Field Control</w:t>
      </w:r>
    </w:p>
    <w:p>
      <w:r>
        <w:rPr>
          <w:rFonts w:ascii="Times New Roman" w:hAnsi="Times New Roman" w:eastAsia="宋体"/>
          <w:sz w:val="21"/>
        </w:rPr>
        <w:t>作者: Shi-Long Li, Wei-Xiang Xiu, Liang Liu, Sen-Sen Li, Xuejia Hu, Lu-Jian Chen</w:t>
        <w:br/>
      </w:r>
      <w:r>
        <w:rPr>
          <w:rFonts w:ascii="Times New Roman" w:hAnsi="Times New Roman" w:eastAsia="宋体"/>
          <w:sz w:val="21"/>
        </w:rPr>
        <w:t xml:space="preserve">时间: 2026-01-29 | </w:t>
      </w:r>
      <w:r>
        <w:t xml:space="preserve">链接: </w:t>
      </w:r>
      <w:hyperlink r:id="rId55">
        <w:r>
          <w:rPr>
            <w:rFonts w:ascii="Times New Roman" w:hAnsi="Times New Roman" w:eastAsia="宋体"/>
            <w:color w:val="0000FF"/>
            <w:sz w:val="21"/>
            <w:u w:val="single"/>
          </w:rPr>
          <w:t>https://doi.org/10.1021/acsphotonics.5c02289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通过界面光电子转移对 Fe 3 GeTe 2 /n-Si 范德华异质结构中的磁传输进行光伏调制</w:t>
      </w:r>
    </w:p>
    <w:p>
      <w:r>
        <w:rPr>
          <w:rFonts w:ascii="Times New Roman" w:hAnsi="Times New Roman" w:eastAsia="宋体"/>
          <w:b/>
          <w:color w:val="003264"/>
          <w:sz w:val="24"/>
        </w:rPr>
        <w:t>Photovoltaic Modulation of Magneto-Transport in Fe 3 GeTe 2 /n-Si van der Waals Heterostructures via Interfacial Photoelectron Transfer</w:t>
      </w:r>
    </w:p>
    <w:p>
      <w:r>
        <w:rPr>
          <w:rFonts w:ascii="Times New Roman" w:hAnsi="Times New Roman" w:eastAsia="宋体"/>
          <w:sz w:val="21"/>
        </w:rPr>
        <w:t>作者: Nan Sun, Chang Niu, Zhibo Zhou, Qian Cao, Jican Hao, Hao Geng, Ning Fang, Han Zhang, Lei Wang, Ziyao Zhou</w:t>
        <w:br/>
      </w:r>
      <w:r>
        <w:rPr>
          <w:rFonts w:ascii="Times New Roman" w:hAnsi="Times New Roman" w:eastAsia="宋体"/>
          <w:sz w:val="21"/>
        </w:rPr>
        <w:t xml:space="preserve">时间: 2026-01-30 | </w:t>
      </w:r>
      <w:r>
        <w:t xml:space="preserve">链接: </w:t>
      </w:r>
      <w:hyperlink r:id="rId56">
        <w:r>
          <w:rPr>
            <w:rFonts w:ascii="Times New Roman" w:hAnsi="Times New Roman" w:eastAsia="宋体"/>
            <w:color w:val="0000FF"/>
            <w:sz w:val="21"/>
            <w:u w:val="single"/>
          </w:rPr>
          <w:t>https://doi.org/10.1021/acsphotonics.5c02359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基于功率指数相位涡旋自动聚焦光束的深度分辨体积双光子荧光显微镜</w:t>
      </w:r>
    </w:p>
    <w:p>
      <w:r>
        <w:rPr>
          <w:rFonts w:ascii="Times New Roman" w:hAnsi="Times New Roman" w:eastAsia="宋体"/>
          <w:b/>
          <w:color w:val="003264"/>
          <w:sz w:val="24"/>
        </w:rPr>
        <w:t>Depth-Resolved Volumetric Two-Photon Fluorescence Microscopy Based on Power-Exponent-Phase Vortex Autofocusing Beam</w:t>
      </w:r>
    </w:p>
    <w:p>
      <w:r>
        <w:rPr>
          <w:rFonts w:ascii="Times New Roman" w:hAnsi="Times New Roman" w:eastAsia="宋体"/>
          <w:sz w:val="21"/>
        </w:rPr>
        <w:t>作者: Guangbo Zhang, Sisi Zhou, Ye Fang, Xuefeng Sun, Qianglong Yang, Chao Zhang, Rui Hu, Jiaqing Guo, Binglin Shen, Yuankai Guo, Can Zhao, Yan Huang, Weiguang Zheng, Zhixin Cong, Liwei Liu</w:t>
        <w:br/>
      </w:r>
      <w:r>
        <w:rPr>
          <w:rFonts w:ascii="Times New Roman" w:hAnsi="Times New Roman" w:eastAsia="宋体"/>
          <w:sz w:val="21"/>
        </w:rPr>
        <w:t xml:space="preserve">时间: 2026-01-30 | </w:t>
      </w:r>
      <w:r>
        <w:t xml:space="preserve">链接: </w:t>
      </w:r>
      <w:hyperlink r:id="rId57">
        <w:r>
          <w:rPr>
            <w:rFonts w:ascii="Times New Roman" w:hAnsi="Times New Roman" w:eastAsia="宋体"/>
            <w:color w:val="0000FF"/>
            <w:sz w:val="21"/>
            <w:u w:val="single"/>
          </w:rPr>
          <w:t>https://doi.org/10.1021/acsphotonics.5c02338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08:27 ---</w:t>
      </w:r>
    </w:p>
    <w:p>
      <w:pPr>
        <w:pStyle w:val="Heading2"/>
      </w:pPr>
      <w:r/>
      <w:r>
        <w:rPr>
          <w:rFonts w:ascii="Times New Roman" w:hAnsi="Times New Roman" w:eastAsia="宋体"/>
          <w:b/>
          <w:color w:val="000000"/>
          <w:sz w:val="24"/>
        </w:rPr>
        <w:t>结合 MgCo 2 O 4 改性与机器学习的高性能微腔传感</w:t>
      </w:r>
    </w:p>
    <w:p>
      <w:r>
        <w:rPr>
          <w:rFonts w:ascii="Times New Roman" w:hAnsi="Times New Roman" w:eastAsia="宋体"/>
          <w:b/>
          <w:color w:val="003264"/>
          <w:sz w:val="24"/>
        </w:rPr>
        <w:t>High-performance microcavity sensing combining MgCo 2 O 4 modification with machine learning</w:t>
      </w:r>
    </w:p>
    <w:p>
      <w:r>
        <w:rPr>
          <w:rFonts w:ascii="Times New Roman" w:hAnsi="Times New Roman" w:eastAsia="宋体"/>
          <w:sz w:val="21"/>
        </w:rPr>
        <w:t>作者: Wang Xiaohui, Chen Huiyu, Wang Canjin, Yuan Xiaoming, Liu Wenyao, Tang Jun</w:t>
        <w:br/>
      </w:r>
      <w:r>
        <w:rPr>
          <w:rFonts w:ascii="Times New Roman" w:hAnsi="Times New Roman" w:eastAsia="宋体"/>
          <w:sz w:val="21"/>
        </w:rPr>
        <w:t xml:space="preserve">时间: 2026-01-23 | </w:t>
      </w:r>
      <w:r>
        <w:t xml:space="preserve">链接: </w:t>
      </w:r>
      <w:hyperlink r:id="rId59">
        <w:r>
          <w:rPr>
            <w:rFonts w:ascii="Times New Roman" w:hAnsi="Times New Roman" w:eastAsia="宋体"/>
            <w:color w:val="0000FF"/>
            <w:sz w:val="21"/>
            <w:u w:val="single"/>
          </w:rPr>
          <w:t>https://doi.org/10.1364/ao.584168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回音壁模式（WGM）微瓶谐振器以其自然的液体输送通道结构和高品质因数（Q），为精确的微流体测量提供了关键的技术平台。为了进一步提高检测灵敏度，本研究通过用MgCo 2 O 4 纳米材料修饰空心微瓶谐振器（HMR）的内壁，构建了高灵敏度的乙醇和丙酮传感器。结果表明，改进后的传感器对乙醇溶液的灵敏度为0.0792 nm/%，是丙酮的2.1倍。这表明该传感器对乙醇具有较高的选择性。此外，为了进一步利用全谱信息，引入多层感知器（MLP）深度学习算法进行智能分析。结果表明，乙醇和丙酮的测试准确度分别为99.85%和99.79%。该研究以其高灵敏度和测试精度，为智能光学微腔传感的发展提供支持。</w:t>
      </w:r>
    </w:p>
    <w:p>
      <w:pPr>
        <w:spacing w:before="120"/>
      </w:pPr>
      <w:r>
        <w:rPr>
          <w:rFonts w:ascii="Times New Roman" w:hAnsi="Times New Roman" w:eastAsia="宋体"/>
          <w:b/>
          <w:sz w:val="21"/>
        </w:rPr>
        <w:t>English Abstract:</w:t>
      </w:r>
    </w:p>
    <w:p>
      <w:r>
        <w:rPr>
          <w:rFonts w:ascii="Times New Roman" w:hAnsi="Times New Roman" w:eastAsia="宋体"/>
          <w:sz w:val="21"/>
        </w:rPr>
        <w:t>The whispering gallery mode (WGM) microbottle resonators, with their natural liquid delivery channel structure and high-quality factor (Q), provide a crucial technical platform for precise microfluidic measurement. To further enhance the detection sensitivity, this research constructs a highly sensitive ethanol and acetone sensor by modifying the inner wall of a hollow microbottle resonator (HMR) with MgCo 2 O 4 nanomaterials. The results show that the sensitivity of the modified sensor is 0.0792 nm/% to ethanol solution, which is 2.1 times that of acetone. This indicates that the sensor has higher selectivity for ethanol. In addition, to further utilize the full-spectrum information, a multilayer perceptron (MLP) deep learning algorithm is introduced for intelligent analysis. The results indicate that the test accuracy for ethanol and acetone is 99.85% and 99.79%, respectively. With its high sensitivity and testing accuracy, this research provides support for the development of intelligent optical microcavity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专为传感湍流而定制的全光波前传感器重建算法</w:t>
      </w:r>
    </w:p>
    <w:p>
      <w:r>
        <w:rPr>
          <w:rFonts w:ascii="Times New Roman" w:hAnsi="Times New Roman" w:eastAsia="宋体"/>
          <w:b/>
          <w:color w:val="003264"/>
          <w:sz w:val="24"/>
        </w:rPr>
        <w:t>Plenoptic wavefront sensor reconstruction algorithm tailored for sensing turbulence</w:t>
      </w:r>
    </w:p>
    <w:p>
      <w:r>
        <w:rPr>
          <w:rFonts w:ascii="Times New Roman" w:hAnsi="Times New Roman" w:eastAsia="宋体"/>
          <w:sz w:val="21"/>
        </w:rPr>
        <w:t>作者: Di Lin, Gregory P. DiComo, Steve J. Frawley, Abbie T. Watnik</w:t>
        <w:br/>
      </w:r>
      <w:r>
        <w:rPr>
          <w:rFonts w:ascii="Times New Roman" w:hAnsi="Times New Roman" w:eastAsia="宋体"/>
          <w:sz w:val="21"/>
        </w:rPr>
        <w:t xml:space="preserve">时间: 2026-01-26 | </w:t>
      </w:r>
      <w:r>
        <w:t xml:space="preserve">链接: </w:t>
      </w:r>
      <w:hyperlink r:id="rId60">
        <w:r>
          <w:rPr>
            <w:rFonts w:ascii="Times New Roman" w:hAnsi="Times New Roman" w:eastAsia="宋体"/>
            <w:color w:val="0000FF"/>
            <w:sz w:val="21"/>
            <w:u w:val="single"/>
          </w:rPr>
          <w:t>https://doi.org/10.1364/ao.582015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适用于恢复湍流波前的全光波前传感器算法。我们的方法采用了一种专门的合并技术，用于不连贯地组合来自复合传感器图像的各个单元的相位倾斜贡献。使用合成湍流波前和全光波前传感器的数值模型来模拟测量过程，我们通过从复合传感器图像重建湍流波前并评估传感器的整体性能来证明我们的技术的有效性。我们确定了传感器架构固有的误差源，并讨论了改进其性能的前景。</w:t>
      </w:r>
    </w:p>
    <w:p>
      <w:pPr>
        <w:spacing w:before="120"/>
      </w:pPr>
      <w:r>
        <w:rPr>
          <w:rFonts w:ascii="Times New Roman" w:hAnsi="Times New Roman" w:eastAsia="宋体"/>
          <w:b/>
          <w:sz w:val="21"/>
        </w:rPr>
        <w:t>English Abstract:</w:t>
      </w:r>
    </w:p>
    <w:p>
      <w:r>
        <w:rPr>
          <w:rFonts w:ascii="Times New Roman" w:hAnsi="Times New Roman" w:eastAsia="宋体"/>
          <w:sz w:val="21"/>
        </w:rPr>
        <w:t>We present a plenoptic wavefront sensor algorithm adapted for the recovery of turbulent wavefronts. Our approach employs a specialized consolidation technique for incoherently combining phase tilt contributions from the individual cells of the composite sensor image. Using a synthetic turbulent wavefront and a numerical model of the plenoptic wavefront sensor to emulate the measurement process, we demonstrate the efficacy of our technique by reconstructing the turbulent wavefront from the composite sensor image and evaluating the sensor’s overall performance. We identify the sources of error intrinsic to the sensor architecture and discuss prospects for improving its performance.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11:27 ---</w:t>
      </w:r>
    </w:p>
    <w:p>
      <w:pPr>
        <w:pStyle w:val="Heading2"/>
      </w:pPr>
      <w:r/>
      <w:r>
        <w:rPr>
          <w:rFonts w:ascii="Times New Roman" w:hAnsi="Times New Roman" w:eastAsia="宋体"/>
          <w:b/>
          <w:color w:val="000000"/>
          <w:sz w:val="24"/>
        </w:rPr>
        <w:t>将 1535 和 1562 nm 激光器同时锁频至单个法布里-珀罗腔</w:t>
      </w:r>
    </w:p>
    <w:p>
      <w:r>
        <w:rPr>
          <w:rFonts w:ascii="Times New Roman" w:hAnsi="Times New Roman" w:eastAsia="宋体"/>
          <w:b/>
          <w:color w:val="003264"/>
          <w:sz w:val="24"/>
        </w:rPr>
        <w:t>Simultaneous frequency locking of 1535 and 1562 nm lasers to a single Fabry–Pérot cavity</w:t>
      </w:r>
    </w:p>
    <w:p>
      <w:r>
        <w:rPr>
          <w:rFonts w:ascii="Times New Roman" w:hAnsi="Times New Roman" w:eastAsia="宋体"/>
          <w:sz w:val="21"/>
        </w:rPr>
        <w:t>作者: Xilun Gao, Leilei Lin, Fengfan Cai, Peipei Jiang, Yonghang Shen</w:t>
        <w:br/>
      </w:r>
      <w:r>
        <w:rPr>
          <w:rFonts w:ascii="Times New Roman" w:hAnsi="Times New Roman" w:eastAsia="宋体"/>
          <w:sz w:val="21"/>
        </w:rPr>
        <w:t xml:space="preserve">时间: 2026-01-27 | </w:t>
      </w:r>
      <w:r>
        <w:t xml:space="preserve">链接: </w:t>
      </w:r>
      <w:hyperlink r:id="rId62">
        <w:r>
          <w:rPr>
            <w:rFonts w:ascii="Times New Roman" w:hAnsi="Times New Roman" w:eastAsia="宋体"/>
            <w:color w:val="0000FF"/>
            <w:sz w:val="21"/>
            <w:u w:val="single"/>
          </w:rPr>
          <w:t>https://doi.org/10.1364/ao.583408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我们报告了两个单频激光器分别在 1535 nm 和 1562 nm 附近同时锁频到单个超稳定法布里-珀罗腔。通过 Pound-Drever-Hall 锁定技术，激光器的频率稳定性分别达到 398 kHz 和 391 kHz，产生约 3.395 THz 的大合成频率，具有 5.8×10 -8 的高相对频率稳定性。干涉测试表明，激光器的相位波动抑制也实现了两个数量级。结果对于多波长干涉测量特别有益。</w:t>
      </w:r>
    </w:p>
    <w:p>
      <w:pPr>
        <w:spacing w:before="120"/>
      </w:pPr>
      <w:r>
        <w:rPr>
          <w:rFonts w:ascii="Times New Roman" w:hAnsi="Times New Roman" w:eastAsia="宋体"/>
          <w:b/>
          <w:sz w:val="21"/>
        </w:rPr>
        <w:t>English Abstract:</w:t>
      </w:r>
    </w:p>
    <w:p>
      <w:r>
        <w:rPr>
          <w:rFonts w:ascii="Times New Roman" w:hAnsi="Times New Roman" w:eastAsia="宋体"/>
          <w:sz w:val="21"/>
        </w:rPr>
        <w:t>We report the simultaneous frequency locking of two single frequency lasers around 1535 and 1562 nm to a single ultra-stable Fabry–Pérot cavity, respectively. Frequency stabilities up to 398 and 391 kHz are achieved for the lasers, respectively, through the Pound–Drever–Hall locking technique, producing a large synthesized frequency around 3.395 THz with high relative frequency stability of 5.8×10 −8 . Interferometric tests demonstrate that the phase fluctuation suppression is also realized for the lasers by two orders of magnitude. The results are especially beneficial for multi-wavelength interferometric measurement.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用于动态纳米级测距的紧凑型激光干涉仪</w:t>
      </w:r>
    </w:p>
    <w:p>
      <w:r>
        <w:rPr>
          <w:rFonts w:ascii="Times New Roman" w:hAnsi="Times New Roman" w:eastAsia="宋体"/>
          <w:b/>
          <w:color w:val="003264"/>
          <w:sz w:val="24"/>
        </w:rPr>
        <w:t>Compact laser interferometer for dynamic nanometer-level ranging</w:t>
      </w:r>
    </w:p>
    <w:p>
      <w:r>
        <w:rPr>
          <w:rFonts w:ascii="Times New Roman" w:hAnsi="Times New Roman" w:eastAsia="宋体"/>
          <w:sz w:val="21"/>
        </w:rPr>
        <w:t>作者: E. Germano, O. Mandel, A. Sell, D. Weise, C. Braxmaier</w:t>
        <w:br/>
      </w:r>
      <w:r>
        <w:rPr>
          <w:rFonts w:ascii="Times New Roman" w:hAnsi="Times New Roman" w:eastAsia="宋体"/>
          <w:sz w:val="21"/>
        </w:rPr>
        <w:t xml:space="preserve">时间: 2026-01-26 | </w:t>
      </w:r>
      <w:r>
        <w:t xml:space="preserve">链接: </w:t>
      </w:r>
      <w:hyperlink r:id="rId63">
        <w:r>
          <w:rPr>
            <w:rFonts w:ascii="Times New Roman" w:hAnsi="Times New Roman" w:eastAsia="宋体"/>
            <w:color w:val="0000FF"/>
            <w:sz w:val="21"/>
            <w:u w:val="single"/>
          </w:rPr>
          <w:t>https://doi.org/10.1364/ao.581206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六足定位系统用于各种工业和研究应用，例如卫星传感器测试、光学计量和运动模拟。在模拟航天器间激光测距干涉测量的测试台中，六足机构用于重现轨道动力学，包括航天器抖动。由于其内部传感器的分辨率不足，我们提出了一种具有纳米级测距能力的新型干涉仪架构，作为外部参考系统。通过将光学元件直接粘合到钛基板上，实现了简单的光学布局；执行基于闭环控制器的主动对准，以最大化光电探测器处光束的叠加。由此产生的器件满足空气和真空中的性能要求，其中本底噪声在 1 mHz–1 Hz 范围内评估为低于 1nm/Hz。并行操作两个干涉仪可以进一步降低噪声水平，从而确定热弹性变化是信号噪声的主要贡献者。该设备在整个范围内有效跟踪六足机器人的运动，最大速度≥5mm/s，并且能够识别平台内部传感器的不准确性。</w:t>
      </w:r>
    </w:p>
    <w:p>
      <w:pPr>
        <w:spacing w:before="120"/>
      </w:pPr>
      <w:r>
        <w:rPr>
          <w:rFonts w:ascii="Times New Roman" w:hAnsi="Times New Roman" w:eastAsia="宋体"/>
          <w:b/>
          <w:sz w:val="21"/>
        </w:rPr>
        <w:t>English Abstract:</w:t>
      </w:r>
    </w:p>
    <w:p>
      <w:r>
        <w:rPr>
          <w:rFonts w:ascii="Times New Roman" w:hAnsi="Times New Roman" w:eastAsia="宋体"/>
          <w:sz w:val="21"/>
        </w:rPr>
        <w:t>Hexapod positioning systems are employed in a variety of industrial and research applications, such as satellite sensor testing, optical metrology, and motion simulation. In the context of a testbed simulating spacecraft-to-spacecraft laser ranging interferometry, a hexapod is used to reproduce orbit dynamics, including spacecraft jitter. Due to the insufficient resolution of its internal sensors, what we believe to be a novel interferometer architecture with the capability for nm-level ranging is presented, to act as an external reference system. The simple optical layout is achieved through the direct bonding of the optical components to a titanium baseplate; an active alignment, based on a closed-loop controller, is performed to maximize the superimposition of the beams at the photodetector. The resulting device meets the performance requirements both in air and in vacuum, where the noise floor was evaluated as under 1nm/Hz in the 1 mHz–1 Hz range. Operating two interferometers in parallel enables a further reduction of the noise levels, identifying thermo-elastic variations as the main contributor to signal noise. The device effectively tracks the motion of the hexapod across its full range and at a maximum speed ≥5mm/s, and is able to identify inaccuracies of the internal sensors of the platform.</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11:27 ---</w:t>
      </w:r>
    </w:p>
    <w:p>
      <w:pPr>
        <w:pStyle w:val="Heading2"/>
      </w:pPr>
      <w:r/>
      <w:r>
        <w:rPr>
          <w:rFonts w:ascii="Times New Roman" w:hAnsi="Times New Roman" w:eastAsia="宋体"/>
          <w:b/>
          <w:color w:val="000000"/>
          <w:sz w:val="24"/>
        </w:rPr>
        <w:t>激光稳定的电离跃迁</w:t>
      </w:r>
    </w:p>
    <w:p>
      <w:r>
        <w:rPr>
          <w:rFonts w:ascii="Times New Roman" w:hAnsi="Times New Roman" w:eastAsia="宋体"/>
          <w:b/>
          <w:color w:val="003264"/>
          <w:sz w:val="24"/>
        </w:rPr>
        <w:t>Laser-stabilized ionizing transitions</w:t>
      </w:r>
    </w:p>
    <w:p>
      <w:r>
        <w:rPr>
          <w:rFonts w:ascii="Times New Roman" w:hAnsi="Times New Roman" w:eastAsia="宋体"/>
          <w:sz w:val="21"/>
        </w:rPr>
        <w:t>作者: Erika Cortese, Simone De Liberato</w:t>
        <w:br/>
      </w:r>
      <w:r>
        <w:rPr>
          <w:rFonts w:ascii="Times New Roman" w:hAnsi="Times New Roman" w:eastAsia="宋体"/>
          <w:sz w:val="21"/>
        </w:rPr>
        <w:t xml:space="preserve">时间: 2026-01-16 | </w:t>
      </w:r>
      <w:r>
        <w:t xml:space="preserve">链接: </w:t>
      </w:r>
      <w:hyperlink r:id="rId64">
        <w:r>
          <w:rPr>
            <w:rFonts w:ascii="Times New Roman" w:hAnsi="Times New Roman" w:eastAsia="宋体"/>
            <w:color w:val="0000FF"/>
            <w:sz w:val="21"/>
            <w:u w:val="single"/>
          </w:rPr>
          <w:t>https://doi.org/10.1364/optica.572425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几十年来，稳定暴露在强激光场下的原子一直是原子物理学的中心话题，激发了一些描述不同共振条件和耦合机制下现象的理论框架。在这里，我们从理论上研究了由谐振泵浦场驱动的电离电子跃迁，这与由非微扰、非谐振激光脉冲稳定的克莱默斯-亨内伯格原子形成鲜明对比。我们表明，在临界泵浦强度之上，驱动器会从连续体中产生亚稳态电子束缚态，该束缚态通过双光子电离而衰变。我们计算了所得的共振荧光光谱，并发现了与熟悉的与结合到结合跃迁相关的莫洛三重态在质量上不同的结构。这种荧光提供了亚稳态群体的时间分辨探针。类似于 AC 斯塔克位移是光学腔中观察到的单光子拉比分裂的半经典对应物，我们描述的现象最好理解为最近观察到的由单腔光子束缚的激子的半经典模拟。</w:t>
      </w:r>
    </w:p>
    <w:p>
      <w:pPr>
        <w:spacing w:before="120"/>
      </w:pPr>
      <w:r>
        <w:rPr>
          <w:rFonts w:ascii="Times New Roman" w:hAnsi="Times New Roman" w:eastAsia="宋体"/>
          <w:b/>
          <w:sz w:val="21"/>
        </w:rPr>
        <w:t>English Abstract:</w:t>
      </w:r>
    </w:p>
    <w:p>
      <w:r>
        <w:rPr>
          <w:rFonts w:ascii="Times New Roman" w:hAnsi="Times New Roman" w:eastAsia="宋体"/>
          <w:sz w:val="21"/>
        </w:rPr>
        <w:t>Stabilizing atoms exposed to intense laser fields has been a central topic in atomic physics for decades, inspiring several theoretical frameworks that describe the phenomenon under different resonance conditions and coupling regimes. Here, we theoretically investigate an ionizing electronic transition driven by a resonant pump field, in contrast to Kramers–Henneberger atoms, which are stabilized by non-perturbative, non-resonant laser pulses. We show that, above a critical pump intensity, the drive creates a metastable electronic bound state emerging from the continuum, which decays via two-photon ionization. We calculate the resulting resonant fluorescence spectrum and find a qualitatively different structure from the familiar Mollow triplet associated with bound-to-bound transitions. This fluorescence provides a time-resolved probe of the population in the metastable state. In analogy to how the AC Stark shift is a semiclassical counterpart of the single-photon Rabi splitting observed in optical cavities, the phenomenon we describe is best understood as a semiclassical analog of recently observed excitons bound by a single cavity photon.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通过非线性干涉的实时全光重叠时间透镜阵列</w:t>
      </w:r>
    </w:p>
    <w:p>
      <w:r>
        <w:rPr>
          <w:rFonts w:ascii="Times New Roman" w:hAnsi="Times New Roman" w:eastAsia="宋体"/>
          <w:b/>
          <w:color w:val="003264"/>
          <w:sz w:val="24"/>
        </w:rPr>
        <w:t>Real-time all-optical overlapping time-lens array through nonlinear interference</w:t>
      </w:r>
    </w:p>
    <w:p>
      <w:r>
        <w:rPr>
          <w:rFonts w:ascii="Times New Roman" w:hAnsi="Times New Roman" w:eastAsia="宋体"/>
          <w:sz w:val="21"/>
        </w:rPr>
        <w:t>作者: Manuel P. Fernández, Benjamin Crockett, Connor Rowe, Laureano A. Bulus-Rossini, Pablo A. Costanzo-Caso, Jose Azaña</w:t>
        <w:br/>
      </w:r>
      <w:r>
        <w:rPr>
          <w:rFonts w:ascii="Times New Roman" w:hAnsi="Times New Roman" w:eastAsia="宋体"/>
          <w:sz w:val="21"/>
        </w:rPr>
        <w:t xml:space="preserve">时间: 2026-01-16 | </w:t>
      </w:r>
      <w:r>
        <w:t xml:space="preserve">链接: </w:t>
      </w:r>
      <w:hyperlink r:id="rId65">
        <w:r>
          <w:rPr>
            <w:rFonts w:ascii="Times New Roman" w:hAnsi="Times New Roman" w:eastAsia="宋体"/>
            <w:color w:val="0000FF"/>
            <w:sz w:val="21"/>
            <w:u w:val="single"/>
          </w:rPr>
          <w:t>https://doi.org/10.1364/optica.581406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空二象性是现代光信号处理的基本原理，可以实现空间成像系统的时间模拟。此类系统的关键组件之一是时间透镜，当排列成阵列时，其多功能性仍然受到限制。然而，此类配置对于实现高分辨率、无间隙光谱分析和光子波形生成以及其他要求苛刻的应用至关重要。在这项工作中，我们引入了重叠时间透镜阵列（oTLA），它通过简并和非简并四波混频利用非线性干扰。这种设计打破了传统方法中固有的孔径长度和重复率之间的严格权衡。因此，oTLA 能够同时实现超过数千的高时间带宽乘积，以及输入光信号的高重复率和完整且冗余的时间覆盖，从而确保真正的无间隙操作。我们展示了 oTLA 的重叠因子超过 4 的功能以及分析带宽为 400 GHz 的实时无间隙光谱分析方案。该提案为时间成像系统在需要无缝处理的应用中开辟了道路，例如超快光谱、高速电信、量子光学和宽带光信号的全场测量。</w:t>
      </w:r>
    </w:p>
    <w:p>
      <w:pPr>
        <w:spacing w:before="120"/>
      </w:pPr>
      <w:r>
        <w:rPr>
          <w:rFonts w:ascii="Times New Roman" w:hAnsi="Times New Roman" w:eastAsia="宋体"/>
          <w:b/>
          <w:sz w:val="21"/>
        </w:rPr>
        <w:t>English Abstract:</w:t>
      </w:r>
    </w:p>
    <w:p>
      <w:r>
        <w:rPr>
          <w:rFonts w:ascii="Times New Roman" w:hAnsi="Times New Roman" w:eastAsia="宋体"/>
          <w:sz w:val="21"/>
        </w:rPr>
        <w:t>The space–time duality is a foundational principle in modern optical signal processing, enabling temporal analogues of spatial imaging systems. Among the key components in such systems are time-lenses, whose versatility remains limited when arranged in arrays. Yet such configurations are essential for enabling high-resolution, gap-free optical spectral analysis and photonic waveform generation, among other demanding applications. In this work, we introduce an overlapping time-lens array (oTLA) that exploits nonlinear interference via both degenerate and non-degenerate four-wave mixing. This design breaks the strict trade-off between aperture length and repetition rate inherent in conventional approaches. As a result, the oTLA enables the simultaneous achievement of high time-bandwidth products—beyond several thousand—along with high repetition rate and complete and redundant temporal coverage of the input optical signal, ensuring truly gap-free operation. We showcase the capabilities of the oTLA with overlapping factors exceeding 4 and a real-time gap-free optical spectrum analysis scheme with an analysis bandwidth of 400 GHz. This proposal opens avenues for temporal imaging systems in applications demanding seamless processing, such as in ultrafast spectroscopy, high-speed telecommunications, quantum optics, and the full-field measurement of broadband optical signals.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超分辨率显微镜非线性发射的控制和缩放</w:t>
      </w:r>
    </w:p>
    <w:p>
      <w:r>
        <w:rPr>
          <w:rFonts w:ascii="Times New Roman" w:hAnsi="Times New Roman" w:eastAsia="宋体"/>
          <w:b/>
          <w:color w:val="003264"/>
          <w:sz w:val="24"/>
        </w:rPr>
        <w:t>Control and scaling of nonlinear emission for super-resolution microscopy</w:t>
      </w:r>
    </w:p>
    <w:p>
      <w:r>
        <w:rPr>
          <w:rFonts w:ascii="Times New Roman" w:hAnsi="Times New Roman" w:eastAsia="宋体"/>
          <w:sz w:val="21"/>
        </w:rPr>
        <w:t>作者: Kevin Murzyn, Tanya W. P. van Horen, Peter M. Kraus</w:t>
        <w:br/>
      </w:r>
      <w:r>
        <w:rPr>
          <w:rFonts w:ascii="Times New Roman" w:hAnsi="Times New Roman" w:eastAsia="宋体"/>
          <w:sz w:val="21"/>
        </w:rPr>
        <w:t xml:space="preserve">时间: 2026-01-20 | </w:t>
      </w:r>
      <w:r>
        <w:t xml:space="preserve">链接: </w:t>
      </w:r>
      <w:hyperlink r:id="rId66">
        <w:r>
          <w:rPr>
            <w:rFonts w:ascii="Times New Roman" w:hAnsi="Times New Roman" w:eastAsia="宋体"/>
            <w:color w:val="0000FF"/>
            <w:sz w:val="21"/>
            <w:u w:val="single"/>
          </w:rPr>
          <w:t>https://doi.org/10.1364/optica.576385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分辨率显微镜（低于阿贝衍射极限的成像）在光学远场显微镜的发展和生物成像革命中取得了巨大成功。然而大多数超分辨率技术都是基于荧光显微镜。然而，荧光标记对该技术在某些科学领域的实施施加了限制。无标记技术（例如三次谐波发生 (THG) 显微镜）是一种替代技术，但由于其红外驱动器仅提供有限的分辨率。在这项工作中，我们展示了如何优化 THG 显微镜的点扩散函数 (PSF)，首先针对单色谐波驱动激光器，然后针对双色场。对于单色驱动器，低输入强度会导致最小的 PSF。发生这种情况是因为接近发射谐波阶次的有效非线性阶次导致谐波发射轮廓相对于驱动器的入射强度轮廓的光斑尺寸最大可能减小。在双色情况下，我们利用第二个光脉冲，其聚焦的圆环形注量分布是通过引入轨道角动量产生的。我们表明，第二个脉冲将 PSF 缩小到衍射极限以下。尽管这种收缩没有主要限制，这意味着我们的方法中的分辨率没有主要限制，但当前的实现实际上受到样本损坏的限制。目前，这有望将相干谐波显微成像系统的 PSF 降低 4 倍，同时将分辨率提高 4 倍。这些发现为在更广泛的科学和工业应用（即凝聚态物理和半导体晶圆计量学）中实施超分辨率技术开辟了道路。</w:t>
      </w:r>
    </w:p>
    <w:p>
      <w:pPr>
        <w:spacing w:before="120"/>
      </w:pPr>
      <w:r>
        <w:rPr>
          <w:rFonts w:ascii="Times New Roman" w:hAnsi="Times New Roman" w:eastAsia="宋体"/>
          <w:b/>
          <w:sz w:val="21"/>
        </w:rPr>
        <w:t>English Abstract:</w:t>
      </w:r>
    </w:p>
    <w:p>
      <w:r>
        <w:rPr>
          <w:rFonts w:ascii="Times New Roman" w:hAnsi="Times New Roman" w:eastAsia="宋体"/>
          <w:sz w:val="21"/>
        </w:rPr>
        <w:t>Super-resolution microscopy—imaging below the Abbe diffraction limit—was a resounding success in the development of optical far-field microscopy and revolutionized bioimaging. Yet most super-resolution techniques are based on fluorescence microscopy. However, fluorescent labels impose restrictions on implementing this technique in some fields of science. Label-free techniques such as third-harmonic generation (THG) microscopy are an alternative, but only provide limited resolution due to their infrared driver. In this work, we show how to optimize the point-spread function (PSF) of THG microscopes, first for a single-color harmonic driving laser, and then in a two-color field. For a single-color driver, a low input intensity leads to the smallest PSF. This occurs because an effective nonlinear order close to the order of the emitted harmonic leads to the maximum possible spot size reduction of the harmonic emission profile with respect to the incident intensity profile of the driver. In the two-color case, we utilize a second light pulse with a donut-shaped fluence profile in focus, which is generated by introducing orbital angular momentum. We show that this second pulse shrinks the PSF below the diffraction limit. Although there is no principal limit to this shrinkage, meaning that there is no principal limit to resolution in our approach, the current implementation is practically limited by sample damage. Currently, this promises a factor of 4 reduction of the PSF and a concomitant improvement of the resolution by a factor of 4 in a coherent harmonic microscopy imaging system. These findings open the pathway to implement super-resolution techniques in a broader scientific and industrial application, i.e., in condensed-matter physics and for semiconductor wafer metrology.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13:27 ---</w:t>
      </w:r>
    </w:p>
    <w:p>
      <w:pPr>
        <w:pStyle w:val="Heading2"/>
      </w:pPr>
      <w:r/>
      <w:r>
        <w:rPr>
          <w:rFonts w:ascii="Times New Roman" w:hAnsi="Times New Roman" w:eastAsia="宋体"/>
          <w:b/>
          <w:color w:val="000000"/>
          <w:sz w:val="24"/>
        </w:rPr>
        <w:t>中值剪切颜色量化算法：回顾性</w:t>
      </w:r>
    </w:p>
    <w:p>
      <w:r>
        <w:rPr>
          <w:rFonts w:ascii="Times New Roman" w:hAnsi="Times New Roman" w:eastAsia="宋体"/>
          <w:b/>
          <w:color w:val="003264"/>
          <w:sz w:val="24"/>
        </w:rPr>
        <w:t>Median cut color quantization algorithm: retrospective</w:t>
      </w:r>
    </w:p>
    <w:p>
      <w:r>
        <w:rPr>
          <w:rFonts w:ascii="Times New Roman" w:hAnsi="Times New Roman" w:eastAsia="宋体"/>
          <w:sz w:val="21"/>
        </w:rPr>
        <w:t>作者: M.</w:t>
        <w:br/>
        <w:tab/>
        <w:tab/>
        <w:tab/>
        <w:t>Emre Celebi, María-Luisa Pérez-Delgado</w:t>
        <w:br/>
      </w:r>
      <w:r>
        <w:rPr>
          <w:rFonts w:ascii="Times New Roman" w:hAnsi="Times New Roman" w:eastAsia="宋体"/>
          <w:sz w:val="21"/>
        </w:rPr>
        <w:t xml:space="preserve">时间: 2026-01-29 | </w:t>
      </w:r>
      <w:r>
        <w:t xml:space="preserve">链接: </w:t>
      </w:r>
      <w:hyperlink r:id="rId67">
        <w:r>
          <w:rPr>
            <w:rFonts w:ascii="Times New Roman" w:hAnsi="Times New Roman" w:eastAsia="宋体"/>
            <w:color w:val="0000FF"/>
            <w:sz w:val="21"/>
            <w:u w:val="single"/>
          </w:rPr>
          <w:t>https://doi.org/10.1364/josaa.577058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颜色量化以最小的失真减少给定图像中不同颜色的数量，是一种常见的图像处理操作，在视觉计算中有许多应用。 Heckbert 的中值切割算法可以追溯到 20 世纪 80 年代初，通常被认为是第一个真彩色量化算法。赫克伯特的开创性工作引发了大量后续研究，以各种方式扩展了他的算法。在本次回顾中，我们对中值切割算法进行了详细分析，并演示了它如何影响后来的颜色量化、矢量量化和数据聚类算法。</w:t>
      </w:r>
    </w:p>
    <w:p>
      <w:pPr>
        <w:spacing w:before="120"/>
      </w:pPr>
      <w:r>
        <w:rPr>
          <w:rFonts w:ascii="Times New Roman" w:hAnsi="Times New Roman" w:eastAsia="宋体"/>
          <w:b/>
          <w:sz w:val="21"/>
        </w:rPr>
        <w:t>English Abstract:</w:t>
      </w:r>
    </w:p>
    <w:p>
      <w:r>
        <w:rPr>
          <w:rFonts w:ascii="Times New Roman" w:hAnsi="Times New Roman" w:eastAsia="宋体"/>
          <w:sz w:val="21"/>
        </w:rPr>
        <w:t>Color quantization, reducing the number of distinct colors in a given image with minimal distortion, is a common image processing operation with many applications in visual computing. Heckbert’s median cut algorithm, which dates back to the early 1980s, is generally considered the first true color quantization algorithm. Heckbert’s seminal work generated numerous subsequent studies extending his algorithm in various ways. In this retrospective, we present a detailed analysis of the median cut algorithm and demonstrate how it influenced later color quantization, vector quantization, and data clustering algorithms.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displa.2026.103362" TargetMode="External"/><Relationship Id="rId11" Type="http://schemas.openxmlformats.org/officeDocument/2006/relationships/hyperlink" Target="https://doi.org/10.1016/j.optcom.2026.132977" TargetMode="External"/><Relationship Id="rId12" Type="http://schemas.openxmlformats.org/officeDocument/2006/relationships/hyperlink" Target="https://doi.org/10.1016/j.optcom.2026.132974" TargetMode="External"/><Relationship Id="rId13" Type="http://schemas.openxmlformats.org/officeDocument/2006/relationships/hyperlink" Target="https://doi.org/10.1364/oe.585439" TargetMode="External"/><Relationship Id="rId14" Type="http://schemas.openxmlformats.org/officeDocument/2006/relationships/hyperlink" Target="https://doi.org/10.1038/s41377-026-02185-w" TargetMode="External"/><Relationship Id="rId15" Type="http://schemas.openxmlformats.org/officeDocument/2006/relationships/hyperlink" Target="https://doi.org/10.1109/tvcg.2026.3656848" TargetMode="External"/><Relationship Id="rId16" Type="http://schemas.openxmlformats.org/officeDocument/2006/relationships/hyperlink" Target="https://doi.org/10.1109/tci.2026.3658954" TargetMode="External"/><Relationship Id="rId17" Type="http://schemas.openxmlformats.org/officeDocument/2006/relationships/hyperlink" Target="https://doi.org/10.1109/tip.2026.3657165" TargetMode="External"/><Relationship Id="rId18" Type="http://schemas.openxmlformats.org/officeDocument/2006/relationships/hyperlink" Target="https://doi.org/10.1109/tip.2026.3657636" TargetMode="External"/><Relationship Id="rId19" Type="http://schemas.openxmlformats.org/officeDocument/2006/relationships/hyperlink" Target="https://doi.org/10.1109/tip.2026.3657635" TargetMode="External"/><Relationship Id="rId20" Type="http://schemas.openxmlformats.org/officeDocument/2006/relationships/hyperlink" Target="https://doi.org/10.1109/tip.2026.3657214" TargetMode="External"/><Relationship Id="rId21" Type="http://schemas.openxmlformats.org/officeDocument/2006/relationships/hyperlink" Target="https://doi.org/10.1109/tip.2026.3657640" TargetMode="External"/><Relationship Id="rId22" Type="http://schemas.openxmlformats.org/officeDocument/2006/relationships/hyperlink" Target="https://doi.org/10.1109/tpami.2026.3659164" TargetMode="External"/><Relationship Id="rId23" Type="http://schemas.openxmlformats.org/officeDocument/2006/relationships/hyperlink" Target="https://doi.org/10.1109/tpami.2026.3658965" TargetMode="External"/><Relationship Id="rId24" Type="http://schemas.openxmlformats.org/officeDocument/2006/relationships/hyperlink" Target="https://doi.org/10.1109/tpami.2026.3659200" TargetMode="External"/><Relationship Id="rId25" Type="http://schemas.openxmlformats.org/officeDocument/2006/relationships/hyperlink" Target="https://doi.org/10.1109/tpami.2026.3658949" TargetMode="External"/><Relationship Id="rId26" Type="http://schemas.openxmlformats.org/officeDocument/2006/relationships/hyperlink" Target="https://doi.org/10.1109/tpami.2026.3659110" TargetMode="External"/><Relationship Id="rId27" Type="http://schemas.openxmlformats.org/officeDocument/2006/relationships/hyperlink" Target="https://doi.org/10.1109/tpami.2026.3659041" TargetMode="External"/><Relationship Id="rId28" Type="http://schemas.openxmlformats.org/officeDocument/2006/relationships/hyperlink" Target="https://doi.org/10.1109/tpami.2026.3659125" TargetMode="External"/><Relationship Id="rId29" Type="http://schemas.openxmlformats.org/officeDocument/2006/relationships/hyperlink" Target="https://doi.org/10.1109/tpami.2026.3659463" TargetMode="External"/><Relationship Id="rId30" Type="http://schemas.openxmlformats.org/officeDocument/2006/relationships/hyperlink" Target="https://doi.org/10.1109/tpami.2026.3658731" TargetMode="External"/><Relationship Id="rId31" Type="http://schemas.openxmlformats.org/officeDocument/2006/relationships/hyperlink" Target="https://doi.org/10.1109/tpami.2026.3659168" TargetMode="External"/><Relationship Id="rId32" Type="http://schemas.openxmlformats.org/officeDocument/2006/relationships/hyperlink" Target="https://doi.org/10.1109/tpami.2026.3658856" TargetMode="External"/><Relationship Id="rId33" Type="http://schemas.openxmlformats.org/officeDocument/2006/relationships/hyperlink" Target="https://doi.org/10.1038/s41566-025-01836-5" TargetMode="External"/><Relationship Id="rId34" Type="http://schemas.openxmlformats.org/officeDocument/2006/relationships/hyperlink" Target="https://doi.org/10.29026/oea.2026.250257" TargetMode="External"/><Relationship Id="rId35" Type="http://schemas.openxmlformats.org/officeDocument/2006/relationships/hyperlink" Target="https://doi.org/10.1016/j.optlastec.2026.114830" TargetMode="External"/><Relationship Id="rId36" Type="http://schemas.openxmlformats.org/officeDocument/2006/relationships/hyperlink" Target="https://doi.org/10.1016/j.optlastec.2026.114814" TargetMode="External"/><Relationship Id="rId37" Type="http://schemas.openxmlformats.org/officeDocument/2006/relationships/hyperlink" Target="https://doi.org/10.1364/oe.583629" TargetMode="External"/><Relationship Id="rId38" Type="http://schemas.openxmlformats.org/officeDocument/2006/relationships/hyperlink" Target="https://doi.org/10.1364/oe.584834" TargetMode="External"/><Relationship Id="rId39" Type="http://schemas.openxmlformats.org/officeDocument/2006/relationships/hyperlink" Target="https://doi.org/10.1364/oe.582330" TargetMode="External"/><Relationship Id="rId40" Type="http://schemas.openxmlformats.org/officeDocument/2006/relationships/hyperlink" Target="https://doi.org/10.1364/oe.582440" TargetMode="External"/><Relationship Id="rId41" Type="http://schemas.openxmlformats.org/officeDocument/2006/relationships/hyperlink" Target="https://doi.org/10.1364/oe.584588" TargetMode="External"/><Relationship Id="rId42" Type="http://schemas.openxmlformats.org/officeDocument/2006/relationships/hyperlink" Target="https://doi.org/10.1364/oe.583458" TargetMode="External"/><Relationship Id="rId43" Type="http://schemas.openxmlformats.org/officeDocument/2006/relationships/hyperlink" Target="https://doi.org/10.1364/oe.583376" TargetMode="External"/><Relationship Id="rId44" Type="http://schemas.openxmlformats.org/officeDocument/2006/relationships/hyperlink" Target="https://doi.org/10.1364/oe.582832" TargetMode="External"/><Relationship Id="rId45" Type="http://schemas.openxmlformats.org/officeDocument/2006/relationships/hyperlink" Target="https://doi.org/10.1002/lpor.202502697" TargetMode="External"/><Relationship Id="rId46" Type="http://schemas.openxmlformats.org/officeDocument/2006/relationships/hyperlink" Target="https://doi.org/10.1002/lpor.202502619" TargetMode="External"/><Relationship Id="rId47" Type="http://schemas.openxmlformats.org/officeDocument/2006/relationships/hyperlink" Target="https://doi.org/10.1002/lpor.202501055" TargetMode="External"/><Relationship Id="rId48" Type="http://schemas.openxmlformats.org/officeDocument/2006/relationships/hyperlink" Target="https://doi.org/10.1002/lpor.202503085" TargetMode="External"/><Relationship Id="rId49" Type="http://schemas.openxmlformats.org/officeDocument/2006/relationships/hyperlink" Target="https://doi.org/10.1002/lpor.202501893" TargetMode="External"/><Relationship Id="rId50" Type="http://schemas.openxmlformats.org/officeDocument/2006/relationships/hyperlink" Target="https://doi.org/10.1002/lpor.202502750" TargetMode="External"/><Relationship Id="rId51" Type="http://schemas.openxmlformats.org/officeDocument/2006/relationships/hyperlink" Target="https://doi.org/10.1002/lpor.202502793" TargetMode="External"/><Relationship Id="rId52" Type="http://schemas.openxmlformats.org/officeDocument/2006/relationships/hyperlink" Target="https://doi.org/10.1002/lpor.202502957" TargetMode="External"/><Relationship Id="rId53" Type="http://schemas.openxmlformats.org/officeDocument/2006/relationships/hyperlink" Target="https://doi.org/10.1038/s41377-026-02197-6" TargetMode="External"/><Relationship Id="rId54" Type="http://schemas.openxmlformats.org/officeDocument/2006/relationships/hyperlink" Target="https://doi.org/10.1038/s41377-025-02074-8" TargetMode="External"/><Relationship Id="rId55" Type="http://schemas.openxmlformats.org/officeDocument/2006/relationships/hyperlink" Target="https://doi.org/10.1021/acsphotonics.5c02289" TargetMode="External"/><Relationship Id="rId56" Type="http://schemas.openxmlformats.org/officeDocument/2006/relationships/hyperlink" Target="https://doi.org/10.1021/acsphotonics.5c02359" TargetMode="External"/><Relationship Id="rId57" Type="http://schemas.openxmlformats.org/officeDocument/2006/relationships/hyperlink" Target="https://doi.org/10.1021/acsphotonics.5c02338" TargetMode="External"/><Relationship Id="rId58" Type="http://schemas.openxmlformats.org/officeDocument/2006/relationships/hyperlink" Target="https://doi.org/10.1016/j.optlastec.2026.114828" TargetMode="External"/><Relationship Id="rId59" Type="http://schemas.openxmlformats.org/officeDocument/2006/relationships/hyperlink" Target="https://doi.org/10.1364/ao.584168" TargetMode="External"/><Relationship Id="rId60" Type="http://schemas.openxmlformats.org/officeDocument/2006/relationships/hyperlink" Target="https://doi.org/10.1364/ao.582015" TargetMode="External"/><Relationship Id="rId61" Type="http://schemas.openxmlformats.org/officeDocument/2006/relationships/hyperlink" Target="https://doi.org/10.1016/j.optlastec.2026.114834" TargetMode="External"/><Relationship Id="rId62" Type="http://schemas.openxmlformats.org/officeDocument/2006/relationships/hyperlink" Target="https://doi.org/10.1364/ao.583408" TargetMode="External"/><Relationship Id="rId63" Type="http://schemas.openxmlformats.org/officeDocument/2006/relationships/hyperlink" Target="https://doi.org/10.1364/ao.581206" TargetMode="External"/><Relationship Id="rId64" Type="http://schemas.openxmlformats.org/officeDocument/2006/relationships/hyperlink" Target="https://doi.org/10.1364/optica.572425" TargetMode="External"/><Relationship Id="rId65" Type="http://schemas.openxmlformats.org/officeDocument/2006/relationships/hyperlink" Target="https://doi.org/10.1364/optica.581406" TargetMode="External"/><Relationship Id="rId66" Type="http://schemas.openxmlformats.org/officeDocument/2006/relationships/hyperlink" Target="https://doi.org/10.1364/optica.576385" TargetMode="External"/><Relationship Id="rId67" Type="http://schemas.openxmlformats.org/officeDocument/2006/relationships/hyperlink" Target="https://doi.org/10.1364/josaa.577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