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目 录</w:t>
      </w:r>
    </w:p>
    <w:p>
      <w:r>
        <w:fldChar w:fldCharType="begin"/>
        <w:instrText xml:space="preserve">TOC \o "1-3" \h \z \u</w:instrText>
        <w:fldChar w:fldCharType="separate"/>
        <w:fldChar w:fldCharType="end"/>
      </w:r>
    </w:p>
    <w:p>
      <w:r>
        <w:br/>
      </w:r>
    </w:p>
    <w:p>
      <w:pPr>
        <w:pStyle w:val="Heading1"/>
      </w:pPr>
      <w:r>
        <w:rPr>
          <w:rFonts w:ascii="Times New Roman" w:hAnsi="Times New Roman" w:eastAsia="宋体"/>
          <w:b/>
          <w:color w:val="000000"/>
          <w:sz w:val="32"/>
        </w:rPr>
        <w:t>Nature Communications</w:t>
      </w:r>
    </w:p>
    <w:p>
      <w:pPr>
        <w:jc w:val="center"/>
      </w:pPr>
      <w:r>
        <w:t>--- 更新: 00:27 ---</w:t>
      </w:r>
    </w:p>
    <w:p>
      <w:pPr>
        <w:pStyle w:val="Heading2"/>
      </w:pPr>
      <w:r/>
      <w:r>
        <w:rPr>
          <w:rFonts w:ascii="Times New Roman" w:hAnsi="Times New Roman" w:eastAsia="宋体"/>
          <w:b/>
          <w:color w:val="000000"/>
          <w:sz w:val="24"/>
        </w:rPr>
        <w:t>人类 KV7.4 通道的两步电压传感器激活以及耳聋相关突变的影响</w:t>
      </w:r>
    </w:p>
    <w:p>
      <w:r>
        <w:rPr>
          <w:rFonts w:ascii="Times New Roman" w:hAnsi="Times New Roman" w:eastAsia="宋体"/>
          <w:b/>
          <w:color w:val="003264"/>
          <w:sz w:val="24"/>
        </w:rPr>
        <w:t>Two-step voltage-sensor activation of the human KV7.4 channel and effect of a deafness-associated mutation</w:t>
      </w:r>
    </w:p>
    <w:p>
      <w:r>
        <w:rPr>
          <w:rFonts w:ascii="Times New Roman" w:hAnsi="Times New Roman" w:eastAsia="宋体"/>
          <w:sz w:val="21"/>
        </w:rPr>
        <w:t>作者: Mario Nappi, Damon J. A. Frampton, Ali S. Kusay, Kaiqian Wang, S. Suheda Yasarbas, Serena Pozzi, Francesco Miceli, Sara I. Liin, Maurizio Taglialatela, Antonios Pantazis</w:t>
        <w:br/>
      </w:r>
      <w:r>
        <w:rPr>
          <w:rFonts w:ascii="Times New Roman" w:hAnsi="Times New Roman" w:eastAsia="宋体"/>
          <w:sz w:val="21"/>
        </w:rPr>
        <w:t xml:space="preserve">时间: 2026-02-05 | </w:t>
      </w:r>
      <w:r>
        <w:t xml:space="preserve">链接: </w:t>
      </w:r>
      <w:hyperlink r:id="rId10">
        <w:r>
          <w:rPr>
            <w:rFonts w:ascii="Times New Roman" w:hAnsi="Times New Roman" w:eastAsia="宋体"/>
            <w:color w:val="0000FF"/>
            <w:sz w:val="21"/>
            <w:u w:val="single"/>
          </w:rPr>
          <w:t>https://doi.org/10.1038/s41467-026-69249-8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KCNQ4 编码的 K V 7.4 电压门控钾通道在内耳毛细胞中表达。 KCNQ4 的功能丧失变异会导致非综合征性进行性听力损失 (DFNA2)。 K V 7.4 孔打开需要电压传感器域 (VSD) 的电压依赖性构象变化（激活）；然而，VSD 激活期间的快速电荷位移与缓慢的通道打开之间的耦合目前尚不清楚。在这里，我们利用电压钳荧光测定法，利用两种荧光团和脉冲激发，光学跟踪 K V 7.4 VSD 激活，发现 VSD 激活包含几个电压依赖性转变，其中一些具有与通道打开和关闭相匹配的动力学和电压依赖性。引起 DFNA2 的 R216H 突变通过破坏活性 VSD 配置的稳定性来损害 VSD 运动和通道开放，这一结果已通过分子动力学模拟得到证实。我们建议 K V 7.4 VSD 分两步激活：快速移动代表第一次过渡到中间激活状态，然后是完全激活 VSD 并驱动通道打开的较慢组件。</w:t>
      </w:r>
    </w:p>
    <w:p>
      <w:pPr>
        <w:spacing w:before="120"/>
      </w:pPr>
      <w:r>
        <w:rPr>
          <w:rFonts w:ascii="Times New Roman" w:hAnsi="Times New Roman" w:eastAsia="宋体"/>
          <w:b/>
          <w:sz w:val="21"/>
        </w:rPr>
        <w:t>English Abstract:</w:t>
      </w:r>
    </w:p>
    <w:p>
      <w:r>
        <w:rPr>
          <w:rFonts w:ascii="Times New Roman" w:hAnsi="Times New Roman" w:eastAsia="宋体"/>
          <w:sz w:val="21"/>
        </w:rPr>
        <w:t>Abstract KCNQ4 -encoded K V 7.4 voltage-gated potassium channels are expressed in hair-cells of the inner ear. Loss-of-function variants in KCNQ4 cause non-syndromic progressive hearing loss (DFNA2). K V 7.4 pore opening requires voltage-dependent conformational changes (activation) of the voltage-sensor domains (VSDs); however, how fast charge displacement during VSD activation is coupled to slow channel opening is currently unclear. Here, we optically tracked K V 7.4 VSD activation with voltage-clamp fluorometry, leveraging two fluorophores and pulsed excitation, and found that VSD activation comprises several voltage-dependent transitions, some with kinetics and voltage-dependence matching those of channel opening and closing. The DFNA2-causing R216H mutation impairs VSD movement and channel opening by destabilizing the active VSD configuration, a result confirmed by molecular dynamics simulations. We propose that the K V 7.4 VSD activates in two steps: a fast movement representing a first transition to an intermediate activation state, followed by slower component(s) that fully activate the VSD and drive channel opening.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miRNA 通过 ECM 和发育途径塑造小鼠年龄无关的组织对太空飞行的适应</w:t>
      </w:r>
    </w:p>
    <w:p>
      <w:r>
        <w:rPr>
          <w:rFonts w:ascii="Times New Roman" w:hAnsi="Times New Roman" w:eastAsia="宋体"/>
          <w:b/>
          <w:color w:val="003264"/>
          <w:sz w:val="24"/>
        </w:rPr>
        <w:t>MiRNAs shape mouse age-independent tissue adaptation to spaceflight via ECM and developmental pathways</w:t>
      </w:r>
    </w:p>
    <w:p>
      <w:r>
        <w:rPr>
          <w:rFonts w:ascii="Times New Roman" w:hAnsi="Times New Roman" w:eastAsia="宋体"/>
          <w:sz w:val="21"/>
        </w:rPr>
        <w:t>作者: Friederike Grandke, Shusruto Rishik, Viktoria Wagner, Annika Engel, Nicole Ludwig, Kruti Calcuttawala, Fabian Kern, Verena Keller, Marcin Krawczyk, Louis Stodieck, Virginia Ferguson, Amanda Roberts, Eckart Meese, Nicholas Schaum, Steven Quake, Tony Wyss-Coray, Andreas Keller</w:t>
        <w:br/>
      </w:r>
      <w:r>
        <w:rPr>
          <w:rFonts w:ascii="Times New Roman" w:hAnsi="Times New Roman" w:eastAsia="宋体"/>
          <w:sz w:val="21"/>
        </w:rPr>
        <w:t xml:space="preserve">时间: 2026-02-05 | </w:t>
      </w:r>
      <w:r>
        <w:t xml:space="preserve">链接: </w:t>
      </w:r>
      <w:hyperlink r:id="rId37">
        <w:r>
          <w:rPr>
            <w:rFonts w:ascii="Times New Roman" w:hAnsi="Times New Roman" w:eastAsia="宋体"/>
            <w:color w:val="0000FF"/>
            <w:sz w:val="21"/>
            <w:u w:val="single"/>
          </w:rPr>
          <w:t>https://doi.org/10.1038/s41467-026-68737-1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随着人类太空探索的加速，了解哺乳动物长时间太空飞行对整个生物体的分子影响变得越来越重要。 miRNA 等非编码 RNA 是调节这一景观的关键。因此，我们在国际空间站呆了至少 3 周后，分析了来自 3 个月大和 8 个月大的雌性小鼠 13 个实体器官的 686 个小 RNA 样本，并将它们与地球上的对照组进行比较。我们观察到太空飞行对沿着脂肪-肝脏-胰腺轴以及心脏、大脑、脾脏和胸腺的全身组织重塑途径有显着影响。 MIR-17/92 和 MIR-1/133 家族通过特定的基因靶向驱动不同的分子变化。与年龄无关的变化相比，年龄依赖性变化的幅度较小，主要涉及肠系膜脂肪组织、胰腺和膈肌中通过 MIR-8、MIR-154 和 MIR-15 家族进行的组织重塑。我们的研究结果为航天如何调节哺乳动物基因表达以准备星际航天提供了证据。</w:t>
      </w:r>
    </w:p>
    <w:p>
      <w:pPr>
        <w:spacing w:before="120"/>
      </w:pPr>
      <w:r>
        <w:rPr>
          <w:rFonts w:ascii="Times New Roman" w:hAnsi="Times New Roman" w:eastAsia="宋体"/>
          <w:b/>
          <w:sz w:val="21"/>
        </w:rPr>
        <w:t>English Abstract:</w:t>
      </w:r>
    </w:p>
    <w:p>
      <w:r>
        <w:rPr>
          <w:rFonts w:ascii="Times New Roman" w:hAnsi="Times New Roman" w:eastAsia="宋体"/>
          <w:sz w:val="21"/>
        </w:rPr>
        <w:t>Abstract As human space exploration accelerates, understanding the organism-wide molecular effects of longer spaceflight in mammals becomes increasingly critical. Non-coding RNAs like miRNAs are key to regulating this landscape. We thus analyze 686 small RNA samples of female mice from 13 solid organs at 3 and 8 months of age, after at least 3 weeks on the International Space Station and compare them to earth-bound controls. We observe significant spaceflight effects in systemic tissue remodeling pathways along the Fat-Liver-Pancreas axis and in heart, brain, spleen and thymus. The MIR-17/92 and MIR-1/133 families drive distinct molecular changes through specific gene targeting. Age-dependent changes, smaller in magnitude compared to age-independent changes, primarily involve tissue remodeling through MIR-8 , MIR-154 and MIR-15 families in mesenteric adipose tissue, pancreas, and diaphragm. Our findings provide evidence on how spaceflight regulates mammalian gene expression in preparation for interplanetary spaceflight.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稳定的实时布里渊显微镜揭示了活细胞中蛋白质凝聚物的分形组织</w:t>
      </w:r>
    </w:p>
    <w:p>
      <w:r>
        <w:rPr>
          <w:rFonts w:ascii="Times New Roman" w:hAnsi="Times New Roman" w:eastAsia="宋体"/>
          <w:b/>
          <w:color w:val="003264"/>
          <w:sz w:val="24"/>
        </w:rPr>
        <w:t>Stabilized real-time Brillouin microscopy reveals fractal organization of protein condensates in living cells</w:t>
      </w:r>
    </w:p>
    <w:p>
      <w:r>
        <w:rPr>
          <w:rFonts w:ascii="Times New Roman" w:hAnsi="Times New Roman" w:eastAsia="宋体"/>
          <w:sz w:val="21"/>
        </w:rPr>
        <w:t>作者: Claudia Testi, Emanuele Pontecorvo, Chiara Bartoli, Chiara Marzaro, Fabrizio Gala, Li Zhang, Giulia Zanini, Noemi D’Abbondanza, Maria Giovanna Garone, Valeria de Turris, Andrea Giuliani, Gaia Di Timoteo, Irene Bozzoni, Alessandro Rosa, Giancarlo Ruocco</w:t>
        <w:br/>
      </w:r>
      <w:r>
        <w:rPr>
          <w:rFonts w:ascii="Times New Roman" w:hAnsi="Times New Roman" w:eastAsia="宋体"/>
          <w:sz w:val="21"/>
        </w:rPr>
        <w:t xml:space="preserve">时间: 2026-02-05 | </w:t>
      </w:r>
      <w:r>
        <w:t xml:space="preserve">链接: </w:t>
      </w:r>
      <w:hyperlink r:id="rId78">
        <w:r>
          <w:rPr>
            <w:rFonts w:ascii="Times New Roman" w:hAnsi="Times New Roman" w:eastAsia="宋体"/>
            <w:color w:val="0000FF"/>
            <w:sz w:val="21"/>
            <w:u w:val="single"/>
          </w:rPr>
          <w:t>https://doi.org/10.1038/s41467-026-68984-2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蛋白质凝聚物的机械改变在几种神经退行性疾病的病因学中得到越来越多的认识，但其表征在技术上仍然具有挑战性。尽管布里渊显微镜可以提供一种有前途的解决方案，但其使用受到仪器不稳定的阻碍，需要频繁调整和使用参考材料进行手动校准。在这里，我们提出了一种增强型布里渊显微镜，它包含一个电光调制器，同时用作频率参考、光谱仪校准器和时间稳定器。这种集成可在全自动工作流程中实现多天内稳定、实时的光谱稳定性。使用该系统，我们量化了活细胞中几种蛋白质凝聚物的布里渊位移，并使用 FRAP 验证了我们的发现。技术之间的相关性揭示了冷凝物的分形内部结构，提供了对其物理性质的重要见解，同时探测了包含多种蛋白质种类的整个隔室的机械行为。我们的方法提供了一个独特的框架来区分生理和病理冷凝物，为活细胞中长期、独立于用户的高精度机械测量铺平了道路。</w:t>
      </w:r>
    </w:p>
    <w:p>
      <w:pPr>
        <w:spacing w:before="120"/>
      </w:pPr>
      <w:r>
        <w:rPr>
          <w:rFonts w:ascii="Times New Roman" w:hAnsi="Times New Roman" w:eastAsia="宋体"/>
          <w:b/>
          <w:sz w:val="21"/>
        </w:rPr>
        <w:t>English Abstract:</w:t>
      </w:r>
    </w:p>
    <w:p>
      <w:r>
        <w:rPr>
          <w:rFonts w:ascii="Times New Roman" w:hAnsi="Times New Roman" w:eastAsia="宋体"/>
          <w:sz w:val="21"/>
        </w:rPr>
        <w:t>Abstract Mechanical alterations of protein condensates are increasingly recognized in the etiology of several neurodegenerative diseases, yet their characterization remains technically challenging. Although Brillouin microscopy could offer a promising solution, its use is hindered by instrumental instabilities demanding frequent adjustments and manual calibrations with reference materials. Here, we present an enhanced Brillouin Microscope that incorporates an electro-optic modulator, serving simultaneously as frequency reference, spectrometer calibrator, and temporal stabilizer. This integration enables robust, real-time spectral stability over multiple days in a fully automated workflow. Using this system, we quantify Brillouin shifts of several protein condensates in living cells and validate our findings with FRAP. The correlation between techniques reveals a fractal internal architecture of the condensates, providing important insights into their physical nature while probing the mechanical behavior of entire compartments containing multiple protein species. Our method offers a unique framework for distinguishing physiological from pathological condensates, paving the way for long-term, user-independent, high-precision mechanical measurements in living cells.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Scientific Reports</w:t>
      </w:r>
    </w:p>
    <w:p>
      <w:pPr>
        <w:jc w:val="center"/>
      </w:pPr>
      <w:r>
        <w:t>--- 更新: 00:27 ---</w:t>
      </w:r>
    </w:p>
    <w:p>
      <w:pPr>
        <w:pStyle w:val="Heading2"/>
      </w:pPr>
      <w:r/>
      <w:r>
        <w:rPr>
          <w:rFonts w:ascii="Times New Roman" w:hAnsi="Times New Roman" w:eastAsia="宋体"/>
          <w:b/>
          <w:color w:val="000000"/>
          <w:sz w:val="24"/>
        </w:rPr>
        <w:t>明显的眼部残余散光降低了角膜塑形镜控制近视的效果</w:t>
      </w:r>
    </w:p>
    <w:p>
      <w:r>
        <w:rPr>
          <w:rFonts w:ascii="Times New Roman" w:hAnsi="Times New Roman" w:eastAsia="宋体"/>
          <w:b/>
          <w:color w:val="003264"/>
          <w:sz w:val="24"/>
        </w:rPr>
        <w:t>Significant ocular residual astigmatism reduces the effect of orthokeratology lenses in controlling myopia</w:t>
      </w:r>
    </w:p>
    <w:p>
      <w:r>
        <w:rPr>
          <w:rFonts w:ascii="Times New Roman" w:hAnsi="Times New Roman" w:eastAsia="宋体"/>
          <w:sz w:val="21"/>
        </w:rPr>
        <w:t>作者: Jian Lin, Dexiang An, Yun Lu, Dongmei Yan</w:t>
        <w:br/>
      </w:r>
      <w:r>
        <w:rPr>
          <w:rFonts w:ascii="Times New Roman" w:hAnsi="Times New Roman" w:eastAsia="宋体"/>
          <w:sz w:val="21"/>
        </w:rPr>
        <w:t xml:space="preserve">时间: 2026-02-04 | </w:t>
      </w:r>
      <w:r>
        <w:t xml:space="preserve">链接: </w:t>
      </w:r>
      <w:hyperlink r:id="rId11">
        <w:r>
          <w:rPr>
            <w:rFonts w:ascii="Times New Roman" w:hAnsi="Times New Roman" w:eastAsia="宋体"/>
            <w:color w:val="0000FF"/>
            <w:sz w:val="21"/>
            <w:u w:val="single"/>
          </w:rPr>
          <w:t>https://doi.org/10.1038/s41598-026-38248-6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探讨眼部残余散光（ORA）对儿童近视治疗中角膜塑形镜治疗效果的影响。在这项回顾性队列研究中，60 名 7-12 岁近视儿童根据基线 ORA（定义为屈光散光与前角膜散光之间的矢量差）分为高 ORA（≥ 1.00 D；n = 30）和低 ORA（&lt; 1.00 D；n = 30）组。在镜片验配后 1 天、7 天、1、3、6 和 12 个月进行纵向随访评估。轴向伸长率 (ΔAL) 计算为连续测量值与基线值之间的差异。使用协方差重复测量分析（RM-ANCOVA）对随访期间轴向伸长率（ΔAL）的差异进行统计分析。进行多变量线性回归以确定 12 个月 ΔAL 的决定因素。平均年龄为8.8±1.3岁，年平均轴向生长为0.22±0.17毫米。重复测量 ANCOVA 显示，时间、组别以及时间 × 组别交互作用显着影响轴向伸长（ΔAL，均 P &lt; 0.01），而基线 ACA 则不会（P = 0.671）。除 1 个月外，高 ORA 组的平均轴向伸长率在所有基线后间隔均显着高于低 ORA 组（3 个月：P = 0.036；6 个月：P = 0.015；12 个月：P = 0.001）。回归分析显示，基线 ORA 大小（β = 0.219，P &lt; 0.001）和等效球镜屈光度（β = 0.043，P = 0.038）是年度 ΔAL 的正预测因子，而患者的基线年龄是负预测因子（β = -0.056，P &lt; 0.001）。高ORA（≥ 1.00 D）构成角膜塑形镜减少眼轴伸长效果降低的独立危险因素。这一结果强调了将 ORA 评估纳入角膜塑形镜验配的治疗前评估的重要性。 ORA 高的儿童可能会受益于其他干预措施，例如周边散焦软隐形眼镜，以优化近视管理结果。</w:t>
      </w:r>
    </w:p>
    <w:p>
      <w:pPr>
        <w:spacing w:before="120"/>
      </w:pPr>
      <w:r>
        <w:rPr>
          <w:rFonts w:ascii="Times New Roman" w:hAnsi="Times New Roman" w:eastAsia="宋体"/>
          <w:b/>
          <w:sz w:val="21"/>
        </w:rPr>
        <w:t>English Abstract:</w:t>
      </w:r>
    </w:p>
    <w:p>
      <w:r>
        <w:rPr>
          <w:rFonts w:ascii="Times New Roman" w:hAnsi="Times New Roman" w:eastAsia="宋体"/>
          <w:sz w:val="21"/>
        </w:rPr>
        <w:t>To investigate the influence of ocular residual astigmatism (ORA) on the therapeutic outcomes of orthokeratology lenses in pediatric myopia management. In this retrospective cohort study, 60 myopic children aged 7–12 years were classified into high-ORA (≥ 1.00 D; n = 30) and low-ORA (&lt; 1.00 D; n = 30) groups on the basis of their baseline ORA, defined as the vector difference between refractive astigmatism and anterior corneal astigmatism. Longitudinal follow-up assessments were conducted at 1 day, 7 days, 1, 3, 6, and 12 months post-lens fitting. Axial elongation (ΔAL) was calculated as the difference between sequential measurements and baseline values. Differences in axial elongation (ΔAL) during the follow-up period were statistically analyzed using repeated measures analysis of covariance (RM-ANCOVA). Multivariable linear regression was performed to identify determinants of 12-month ΔAL. The mean age was 8.8 ± 1.3 years, and the average annual axial growth was 0.22 ± 0.17 mm. Repeated-measures ANCOVA showed that time, group, and the time × group interaction significantly affected axial elongation (ΔAL, all P &lt; 0.01), whereas baseline ACA did not (P = 0.671). The high-ORA cohort presented significantly greater mean axial elongation than the low-ORA group at all post baseline intervals except 1 month (3 months: P = 0.036; 6 months: P = 0.015; 12 months: P = 0.001). Regression analysis showed that the baseline ORA magnitude (β = 0.219, P &lt; 0.001) and spherical equivalent refraction (β = 0.043, P = 0.038) were positive predictors of the annual ΔAL, whereas the patient’s baseline age was a negative predictor (β = -0.056, P &lt; 0.001). High ORA (≥ 1.00 D) constitutes an independent risk factor for reduced orthokeratology efficacy in reducing axial elongation. This result emphasizes the importance of incorporating ORA assessment into the pretreatment assessment of orthokeratology lenses fitting. Children with high ORA may benefit from alternative interventions such as peripheral defocus soft contact lenses to optimize myopia management outcomes.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加权基因共表达网络分析表征了桉树对不同生物挑战的常见防御反应</w:t>
      </w:r>
    </w:p>
    <w:p>
      <w:r>
        <w:rPr>
          <w:rFonts w:ascii="Times New Roman" w:hAnsi="Times New Roman" w:eastAsia="宋体"/>
          <w:b/>
          <w:color w:val="003264"/>
          <w:sz w:val="24"/>
        </w:rPr>
        <w:t>A weighted gene co-expression network analysis characterises the common defence responses of Eucalyptus to diverse biotic challenges</w:t>
      </w:r>
    </w:p>
    <w:p>
      <w:r>
        <w:rPr>
          <w:rFonts w:ascii="Times New Roman" w:hAnsi="Times New Roman" w:eastAsia="宋体"/>
          <w:sz w:val="21"/>
        </w:rPr>
        <w:t>作者: Shae Swanepoel, Sanushka Naidoo</w:t>
        <w:br/>
      </w:r>
      <w:r>
        <w:rPr>
          <w:rFonts w:ascii="Times New Roman" w:hAnsi="Times New Roman" w:eastAsia="宋体"/>
          <w:sz w:val="21"/>
        </w:rPr>
        <w:t xml:space="preserve">时间: 2026-02-04 | </w:t>
      </w:r>
      <w:r>
        <w:t xml:space="preserve">链接: </w:t>
      </w:r>
      <w:hyperlink r:id="rId12">
        <w:r>
          <w:rPr>
            <w:rFonts w:ascii="Times New Roman" w:hAnsi="Times New Roman" w:eastAsia="宋体"/>
            <w:color w:val="0000FF"/>
            <w:sz w:val="21"/>
            <w:u w:val="single"/>
          </w:rPr>
          <w:t>https://doi.org/10.1038/s41598-025-32699-z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桉树是全球重要的林业属植物，为造纸、纸浆和生物燃料生产而种植。这些树木日益受到一系列新出现的害虫和病原体的威胁。虽然之前的研究主要集中在单一桉树与病原体相互作用的转录组上，但对多种生物挑战的防御基础的核心转录网络仍然知之甚少。在这里，我们整合了 180 个桉树生物胁迫 RNA 测序文库，以表征与五种不同病理系统相互作用期间的共同防御基因网络。我们构建了一个综合加权基因共表达网络，并鉴定了 38 个高度共表达基因模块，其中包含 40 至 3,328 个基因。该网络揭示了由病原体感染诱导的不同模块，丰富了防御反应，包括水杨酸信号传导和次级代谢物生物合成，尤其是硝酸盐转运和反应，表明氮代谢和免疫之间存在潜在联系。转录因子富集分析强调 WRKY 家族基因是诱导反应的关键调节因子，而 WRKY6 则成为广谱抗性的候选中心基因。总之，这项研究提供了桉树对不同生物应激源反应的第一个综合转录组网络，并为未来的功能验证提供候选基因和途径，以增强长寿树木的抗病资源。</w:t>
      </w:r>
    </w:p>
    <w:p>
      <w:pPr>
        <w:spacing w:before="120"/>
      </w:pPr>
      <w:r>
        <w:rPr>
          <w:rFonts w:ascii="Times New Roman" w:hAnsi="Times New Roman" w:eastAsia="宋体"/>
          <w:b/>
          <w:sz w:val="21"/>
        </w:rPr>
        <w:t>English Abstract:</w:t>
      </w:r>
    </w:p>
    <w:p>
      <w:r>
        <w:rPr>
          <w:rFonts w:ascii="Times New Roman" w:hAnsi="Times New Roman" w:eastAsia="宋体"/>
          <w:sz w:val="21"/>
        </w:rPr>
        <w:t>Eucalyptus is a globally important forestry genera cultivated for paper, pulp and biofuel production. These trees are increasingly threatened by a range of emerging pests and pathogens. While previous studies have focused on the transcriptomes of single Eucalyptus-pathogen interactions, the core transcriptional networks underlying defence across multiple biotic challenges remain poorly understood. Here we integrated 180 Eucalyptus-biotic stress RNA-sequencing libraries to characterise the common defence gene network during interactions with five distinct pathosystems. We constructed a comprehensive weighted gene co-expression network and identified 38 modules of highly co-expressed genes consisting of between 40 and 3,328 genes. The network revealed distinct modules that were induced by pathogen infection, enriched for defence responses including salicylic acid signalling and secondary metabolite biosynthesis and notably nitrate transport and responses, suggesting a potential link between nitrogen metabolism and immunity. Transcription factor enrichment analysis highlighted WRKY family genes as key regulators of induced responses, with WRKY6 emerging as a candidate hub gene in broad-spectrum resistance. Together, this study provides the first integrative transcriptome network of Eucalyptus responses to diverse biotic stressors, and offers candidate genes and pathways for future functional validation to enhance disease resistance resource in long-lived trees.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基于机器学习的中国东部大豆-小麦轮作土壤有机碳动态评估</w:t>
      </w:r>
    </w:p>
    <w:p>
      <w:r>
        <w:rPr>
          <w:rFonts w:ascii="Times New Roman" w:hAnsi="Times New Roman" w:eastAsia="宋体"/>
          <w:b/>
          <w:color w:val="003264"/>
          <w:sz w:val="24"/>
        </w:rPr>
        <w:t>Machine learning-based assessment of soil organic carbon dynamics in soybean–wheat rotations in eastern China</w:t>
      </w:r>
    </w:p>
    <w:p>
      <w:r>
        <w:rPr>
          <w:rFonts w:ascii="Times New Roman" w:hAnsi="Times New Roman" w:eastAsia="宋体"/>
          <w:sz w:val="21"/>
        </w:rPr>
        <w:t>作者: Zhi Yu</w:t>
        <w:br/>
      </w:r>
      <w:r>
        <w:rPr>
          <w:rFonts w:ascii="Times New Roman" w:hAnsi="Times New Roman" w:eastAsia="宋体"/>
          <w:sz w:val="21"/>
        </w:rPr>
        <w:t xml:space="preserve">时间: 2026-02-04 | </w:t>
      </w:r>
      <w:r>
        <w:t xml:space="preserve">链接: </w:t>
      </w:r>
      <w:hyperlink r:id="rId13">
        <w:r>
          <w:rPr>
            <w:rFonts w:ascii="Times New Roman" w:hAnsi="Times New Roman" w:eastAsia="宋体"/>
            <w:color w:val="0000FF"/>
            <w:sz w:val="21"/>
            <w:u w:val="single"/>
          </w:rPr>
          <w:t>https://doi.org/10.1038/s41598-026-38105-6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土壤有机碳（SOC）是农业生态系统的重要组成部分，影响碳循环、土壤肥力和结构，从而影响作物生产力。本研究利用先进的机器学习模型评估了大豆-小麦轮作条件下中国东部土壤有机碳储量的空间分布和动态。数据收集自安徽、河北、河南、江苏、山东、天津和北京，测量了2022-2024年播种前和收获后两个土壤深度（0-15厘米和15-30厘米）的SOC。在测试的模型中，随机森林 (RF) 提供了最准确的 SOC 预测，特别是在 0–15 cm 层（R2 = 0.89，RMSE = 0.95，PRD = 3.41）。结果显示，大豆种植后 SOC 增加，小麦收获后减少，区域差异受标准化高度 (standh)、NDVI、温度季节性 (tempSeason) 和 LS 因子等环境因素影响。大豆较高的生物量和广泛的根系显着提高了 SOC，而小麦较低的生物量导致了 SOC 消耗。这些发现强调了作物类型和管理实践对土壤碳储量的影响，强调了含大豆轮作在改善土壤健康和减轻气候变化影响方面的潜力。</w:t>
      </w:r>
    </w:p>
    <w:p>
      <w:pPr>
        <w:spacing w:before="120"/>
      </w:pPr>
      <w:r>
        <w:rPr>
          <w:rFonts w:ascii="Times New Roman" w:hAnsi="Times New Roman" w:eastAsia="宋体"/>
          <w:b/>
          <w:sz w:val="21"/>
        </w:rPr>
        <w:t>English Abstract:</w:t>
      </w:r>
    </w:p>
    <w:p>
      <w:r>
        <w:rPr>
          <w:rFonts w:ascii="Times New Roman" w:hAnsi="Times New Roman" w:eastAsia="宋体"/>
          <w:sz w:val="21"/>
        </w:rPr>
        <w:t>Soil organic carbon (SOC) is a critical component of agroecosystems, influencing carbon cycling, soil fertility, and structure, thereby affecting crop productivity. This study evaluated the spatial distribution and dynamics of SOC stocks in eastern China under soybean–wheat rotations using advanced machine learning models. Data were collected from Anhui, Hebei, Henan, Jiangsu, Shandong, Tianjin, and Beijing, measuring SOC at two soil depths (0–15 cm and 15–30 cm) before sowing and after harvest during 2022–2024. Among the models tested, Random Forest (RF) provided the most accurate SOC predictions, particularly in the 0–15 cm layer (R2 = 0.89, RMSE = 0.95, PRD = 3.41). Results revealed SOC increases following soybean cultivation and decreases after wheat harvest, with regional variations shaped by environmental factors such as standardized height (standh), NDVI, temperature seasonality (tempSeason), and LS factor. The higher biomass and extensive root system of soybean significantly enhanced SOC, whereas wheat’s lower biomass contributed to SOC depletion. These findings underscore the influence of crop type and management practices on soil carbon stocks, highlighting the potential of soybean-inclusive rotations to improve soil health and mitigate climate change impacts.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泊马度胺和帕比司他协同靶向 ARID2-MYC 轴克服了多发性骨髓瘤中固有的 IMiD 耐药性</w:t>
      </w:r>
    </w:p>
    <w:p>
      <w:r>
        <w:rPr>
          <w:rFonts w:ascii="Times New Roman" w:hAnsi="Times New Roman" w:eastAsia="宋体"/>
          <w:b/>
          <w:color w:val="003264"/>
          <w:sz w:val="24"/>
        </w:rPr>
        <w:t>Synergistic targeting of the ARID2–MYC axis by pomalidomide and panobinostat overcomes intrinsic IMiD resistance in multiple myeloma</w:t>
      </w:r>
    </w:p>
    <w:p>
      <w:r>
        <w:rPr>
          <w:rFonts w:ascii="Times New Roman" w:hAnsi="Times New Roman" w:eastAsia="宋体"/>
          <w:sz w:val="21"/>
        </w:rPr>
        <w:t>作者: Junichi Yamamoto, Tomoko Asatsuma-Okumura, Takumi Ito, Yoshiko Iwai, Hiroshi Handa, Yuki Yamaguchi</w:t>
        <w:br/>
      </w:r>
      <w:r>
        <w:rPr>
          <w:rFonts w:ascii="Times New Roman" w:hAnsi="Times New Roman" w:eastAsia="宋体"/>
          <w:sz w:val="21"/>
        </w:rPr>
        <w:t xml:space="preserve">时间: 2026-02-05 | </w:t>
      </w:r>
      <w:r>
        <w:t xml:space="preserve">链接: </w:t>
      </w:r>
      <w:hyperlink r:id="rId14">
        <w:r>
          <w:rPr>
            <w:rFonts w:ascii="Times New Roman" w:hAnsi="Times New Roman" w:eastAsia="宋体"/>
            <w:color w:val="0000FF"/>
            <w:sz w:val="21"/>
            <w:u w:val="single"/>
          </w:rPr>
          <w:t>https://doi.org/10.1038/s41598-026-37740-3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尽管蛋白酶体抑制剂、免疫调节药物 (IMiD) 和单克隆抗体最近取得了进展，但多发性骨髓瘤仍然是一个治疗挑战。在新方法中，IMiD 和组蛋白脱乙酰酶抑制剂的组合在治疗复发性或难治性多发性骨髓瘤方面显示出了希望。在这里，我们阐明了它们协同作用的分子基础及其在克服骨髓瘤细胞耐药性中的作用。我们证明这些药物共同下调主癌基因 MYC，从而产生协同细胞毒性。重要的是，即使在本质上抵抗 IMiD 的模型中，这种效应仍然存在，其中规范的 IKZF1/3–IRF4/MYC 轴在功能上是解耦的。在这种情况下，该组合涉及另一种 ARID2-MYC 轴，由 IMiD 新底物 ARID2 的协同下调介导。这一发现强调了 IMiD 固有的多药理学在细胞水平上规避主要耐药机制的功能相关性。总之，我们的结果确定了含有 ARID2 的 PBAF 复合物是耐药性骨髓瘤细胞的一个关键弱点，并为设计共同靶向该复合物的联合策略提供了机制原理，并有可能通过克服耐药性来增强治疗效果。</w:t>
      </w:r>
    </w:p>
    <w:p>
      <w:pPr>
        <w:spacing w:before="120"/>
      </w:pPr>
      <w:r>
        <w:rPr>
          <w:rFonts w:ascii="Times New Roman" w:hAnsi="Times New Roman" w:eastAsia="宋体"/>
          <w:b/>
          <w:sz w:val="21"/>
        </w:rPr>
        <w:t>English Abstract:</w:t>
      </w:r>
    </w:p>
    <w:p>
      <w:r>
        <w:rPr>
          <w:rFonts w:ascii="Times New Roman" w:hAnsi="Times New Roman" w:eastAsia="宋体"/>
          <w:sz w:val="21"/>
        </w:rPr>
        <w:t>Multiple myeloma remains a therapeutic challenge despite recent advances with proteasome inhibitors, immunomodulatory drugs (IMiDs), and monoclonal antibodies. Among new approaches, the combination of IMiDs and histone deacetylase inhibitors has shown promise in relapsed or refractory multiple myeloma. Here, we elucidate the molecular basis of their synergy and its role in overcoming drug resistance in myeloma cells. We demonstrate that these agents converge to downregulate the master oncogene MYC, resulting in synergistic cytotoxicity. Importantly, this effect persists even in models intrinsically resistant to IMiDs, where the canonical IKZF1/3–IRF4/MYC axis is functionally uncoupled. In this context, the combination engages an alternative ARID2–MYC axis, mediated by the synergistic downregulation of the IMiD neosubstrate ARID2. This finding highlights the functional relevance of IMiD’s inherent polypharmacology in circumventing primary resistance mechanisms at the cellular level. Together, our results identify the ARID2-containing PBAF complex as a critical vulnerability in resistant myeloma cells and provide a mechanistic rationale for designing combination strategies that co-target this complex, with the potential to enhance therapeutic efficacy by overcoming drug resistance.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监督模型和集成模型与无监督探索阿尔茨海默病预测的比较分析</w:t>
      </w:r>
    </w:p>
    <w:p>
      <w:r>
        <w:rPr>
          <w:rFonts w:ascii="Times New Roman" w:hAnsi="Times New Roman" w:eastAsia="宋体"/>
          <w:b/>
          <w:color w:val="003264"/>
          <w:sz w:val="24"/>
        </w:rPr>
        <w:t>Comparative analysis of supervised and ensemble models with unsupervised exploration for alzheimer’s disease prediction</w:t>
      </w:r>
    </w:p>
    <w:p>
      <w:r>
        <w:rPr>
          <w:rFonts w:ascii="Times New Roman" w:hAnsi="Times New Roman" w:eastAsia="宋体"/>
          <w:sz w:val="21"/>
        </w:rPr>
        <w:t>作者: Youssef Amr, Walaa Gad, Victor Leiva, Carlos Martin-Barreiro, Tamer Abdelkader</w:t>
        <w:br/>
      </w:r>
      <w:r>
        <w:rPr>
          <w:rFonts w:ascii="Times New Roman" w:hAnsi="Times New Roman" w:eastAsia="宋体"/>
          <w:sz w:val="21"/>
        </w:rPr>
        <w:t xml:space="preserve">时间: 2026-02-05 | </w:t>
      </w:r>
      <w:r>
        <w:t xml:space="preserve">链接: </w:t>
      </w:r>
      <w:hyperlink r:id="rId38">
        <w:r>
          <w:rPr>
            <w:rFonts w:ascii="Times New Roman" w:hAnsi="Times New Roman" w:eastAsia="宋体"/>
            <w:color w:val="0000FF"/>
            <w:sz w:val="21"/>
            <w:u w:val="single"/>
          </w:rPr>
          <w:t>https://doi.org/10.1038/s41598-026-37122-9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阿尔茨海默病是一种进行性神经退行性疾病，其特征是记忆丧失和认知能力下降，目前尚无已知的治愈方法。痴呆症是阿尔茨海默病的主要表现，早期发现对于及时干预和制定治疗计划至关重要。本研究介绍了用于预测阿尔茨海默病的集成学习模型，并对传统机器学习和先进集成模型进行了比较分析。该评估是使用“开放获取影像研究系列”2 (OASIS-2) 数据集进行的。传统模型（包括逻辑回归、决策树、支持向量机和随机森林）以自适应增强、极端梯度增强和超参数调整的多数投票集成模型等集成模型为基准。使用准确度、精确度和接收者操作特征曲线下面积来评估性能。结果表明，集成模型，特别是优化的多数投票分类器，始终优于传统方法。为了补充监督比较，应用探索性无监督方法，使用多重对应分析和 k 均值聚类来揭示数据集中的潜在结构。通过对所有变量进行分类，这些无监督方法突出了临床和人口统计学相似性的模式。与之前仅关注预测准确性的研究不同，这项工作将监督分类、集成学习和无监督探索性分析集成在一个统一的框架内。这种组合方法既可以进行稳健的性能比较，又可以更深入地了解与阿尔茨海默病相关的潜在数据结构。所有计算实验均使用Python编程语言进行。</w:t>
      </w:r>
    </w:p>
    <w:p>
      <w:pPr>
        <w:spacing w:before="120"/>
      </w:pPr>
      <w:r>
        <w:rPr>
          <w:rFonts w:ascii="Times New Roman" w:hAnsi="Times New Roman" w:eastAsia="宋体"/>
          <w:b/>
          <w:sz w:val="21"/>
        </w:rPr>
        <w:t>English Abstract:</w:t>
      </w:r>
    </w:p>
    <w:p>
      <w:r>
        <w:rPr>
          <w:rFonts w:ascii="Times New Roman" w:hAnsi="Times New Roman" w:eastAsia="宋体"/>
          <w:sz w:val="21"/>
        </w:rPr>
        <w:t>Alzheimer’s disease is a progressive neurodegenerative disorder characterized by memory loss and cognitive decline, with no known cure. Early detection of dementia, a primary manifestation of Alzheimer’s disease, is critical to enable timely intervention and treatment planning. This study introduces ensemble learning models for predicting Alzheimer’s disease and presents a comparative analysis between traditional machine learning and advanced ensemble models. The evaluation is conducted using the “Open Access Series of Imaging Studies” 2 (OASIS-2) dataset. Traditional models, including logistic regression, decision tree, support vector machine, and random forest, are benchmarked against ensemble models such as adaptive boosting, extreme gradient boosting, and a hyperparameter-tuned majority voting ensemble models. Performance is assessed using accuracy, precision, and the area under the receiver operating characteristic curve. Results show that ensemble models, particularly the optimized majority voting classifier, consistently outperform traditional methods. To complement the supervised comparison, exploratory unsupervised methods were applied using multiple correspondence analysis and k-means clustering to uncover latent structures in the dataset. By categorizing all variables, these unsupervised methods highlight patterns of clinical and demographic similarity. Unlike prior studies that focus solely on predictive accuracy, this work integrates supervised classification, ensemble learning, and unsupervised exploratory analysis within a unified framework. This combined approach enables both robust performance comparison and deeper insights into latent data structures relevant to Alzheimer’s disease. All computational experiments were conducted using the Python programming language.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用于电机轴承故障诊断的解缠结聚合特征学习 (DAFNet)</w:t>
      </w:r>
    </w:p>
    <w:p>
      <w:r>
        <w:rPr>
          <w:rFonts w:ascii="Times New Roman" w:hAnsi="Times New Roman" w:eastAsia="宋体"/>
          <w:b/>
          <w:color w:val="003264"/>
          <w:sz w:val="24"/>
        </w:rPr>
        <w:t>Disentangle-and-aggregate feature learning (DAFNet) for motor bearing fault diagnosis</w:t>
      </w:r>
    </w:p>
    <w:p>
      <w:r>
        <w:rPr>
          <w:rFonts w:ascii="Times New Roman" w:hAnsi="Times New Roman" w:eastAsia="宋体"/>
          <w:sz w:val="21"/>
        </w:rPr>
        <w:t>作者: Jing Tang, Canjun Xiao, Dong Guo, Jiao Bao, Xu Ji, Chenyu Wang</w:t>
        <w:br/>
      </w:r>
      <w:r>
        <w:rPr>
          <w:rFonts w:ascii="Times New Roman" w:hAnsi="Times New Roman" w:eastAsia="宋体"/>
          <w:sz w:val="21"/>
        </w:rPr>
        <w:t xml:space="preserve">时间: 2026-02-05 | </w:t>
      </w:r>
      <w:r>
        <w:t xml:space="preserve">链接: </w:t>
      </w:r>
      <w:hyperlink r:id="rId39">
        <w:r>
          <w:rPr>
            <w:rFonts w:ascii="Times New Roman" w:hAnsi="Times New Roman" w:eastAsia="宋体"/>
            <w:color w:val="0000FF"/>
            <w:sz w:val="21"/>
            <w:u w:val="single"/>
          </w:rPr>
          <w:t>https://doi.org/10.1038/s41598-025-34490-6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针对传统卷积神经网络（CNN）用于电机轴承故障诊断中因网络深度增加而导致的参数冗余和计算效率低的问题，提出一种解缠聚特征学习网络（DAFNet）。该方法旨在克服资源受限的边缘设备上模型部署的挑战。 DAFNet 超越了传统的简单堆叠层的策略，创新性地采用了层次解缠和聚合机制。它利用二次分裂策略来解开浅层、中层和深层特征，然后进行终端特征融合，实现故障信息的有效表示。基于 CWRU 数据集的实验结果表明，DAFNet 在故障诊断方面实现了 100% 的平均准确率，同时显着降低了计算开销和参数数量。与现有主流轻量级模型相比，该方法表现出优越的泛化性能和推理速度，为深度学习在工业嵌入式系统中的高效应用提供了新的理论支撑。</w:t>
      </w:r>
    </w:p>
    <w:p>
      <w:pPr>
        <w:spacing w:before="120"/>
      </w:pPr>
      <w:r>
        <w:rPr>
          <w:rFonts w:ascii="Times New Roman" w:hAnsi="Times New Roman" w:eastAsia="宋体"/>
          <w:b/>
          <w:sz w:val="21"/>
        </w:rPr>
        <w:t>English Abstract:</w:t>
      </w:r>
    </w:p>
    <w:p>
      <w:r>
        <w:rPr>
          <w:rFonts w:ascii="Times New Roman" w:hAnsi="Times New Roman" w:eastAsia="宋体"/>
          <w:sz w:val="21"/>
        </w:rPr>
        <w:t>Abstract To address the issues of parameter redundancy and low computational efficiency in traditional convolutional neural networks (CNNs) for motor bearing fault diagnosis, which are caused by increasing network depth, this paper proposes a Disentangle-and-Aggregate Feature Learning Network (DAFNet). This method is designed to overcome the challenges of model deployment on resource-constrained edge devices. Moving beyond the conventional strategy of simply stacking layers, DAFNet innovatively adopts a hierarchical disentanglement and aggregation mechanism. It utilizes a secondary splitting strategy to disentangle shallow, medium, and deep features, followed by terminal feature fusion to achieve an effective representation of fault information. Experimental results based on the CWRU dataset demonstrate that DAFNet achieves a 100% average accuracy in fault diagnosis while significantly reducing both computational overhead and parameter count. Compared with existing mainstream lightweight models, this method exhibits superior generalization performance and inference speed, providing new theoretical support for the efficient application of deep learning in industrial embedded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气候变化下使用不同深度学习框架的土壤热状况高分辨率预测</w:t>
      </w:r>
    </w:p>
    <w:p>
      <w:r>
        <w:rPr>
          <w:rFonts w:ascii="Times New Roman" w:hAnsi="Times New Roman" w:eastAsia="宋体"/>
          <w:b/>
          <w:color w:val="003264"/>
          <w:sz w:val="24"/>
        </w:rPr>
        <w:t>High-resolution forecasting of soil thermal regimes using different deep learning frameworks under climate change</w:t>
      </w:r>
    </w:p>
    <w:p>
      <w:r>
        <w:rPr>
          <w:rFonts w:ascii="Times New Roman" w:hAnsi="Times New Roman" w:eastAsia="宋体"/>
          <w:sz w:val="21"/>
        </w:rPr>
        <w:t>作者: Mehri Saeidinia, Amir Hamzeh Haghiabi, Mohammad Nazeri Tahroudi, Aliheidar Nasrolahi, Carlo De Michele</w:t>
        <w:br/>
      </w:r>
      <w:r>
        <w:rPr>
          <w:rFonts w:ascii="Times New Roman" w:hAnsi="Times New Roman" w:eastAsia="宋体"/>
          <w:sz w:val="21"/>
        </w:rPr>
        <w:t xml:space="preserve">时间: 2026-02-05 | </w:t>
      </w:r>
      <w:r>
        <w:t xml:space="preserve">链接: </w:t>
      </w:r>
      <w:hyperlink r:id="rId40">
        <w:r>
          <w:rPr>
            <w:rFonts w:ascii="Times New Roman" w:hAnsi="Times New Roman" w:eastAsia="宋体"/>
            <w:color w:val="0000FF"/>
            <w:sz w:val="21"/>
            <w:u w:val="single"/>
          </w:rPr>
          <w:t>https://doi.org/10.1038/s41598-026-38496-6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土壤温度是影响生态和水文过程的关键参数，但由于粗分辨率的气候模型和复杂的土壤-大气相互作用，其在气候变化下的准确预测仍然具有挑战性。本研究开发了一个深度学习框架，可在气候变化情景下降低伊朗西部的土壤温度（5 厘米深度）。使用随机森林 (Gini) 重要性、排列重要性和 SHAP（SHapley 加法解释）分析这三种互补技术的组合，我们从 26 个可用的 CanESM5 (CMIP6) 变量中确定了最佳预测变量。使用历史数据（1980-2014 年）评估了四种深度学习模型（CNN、LSTM、GRU 和混合 CNN-LSTM）的降尺度性能。混合 CNN-LSTM 模型的性能优于其他模型，通过捕获土壤热动力学的空间和时间依赖性，实现了最高精度（NSE &gt; 86%，RMSE &lt; 4.3°C）。评估每种情景趋势（2015-2020）的合理性揭示了区域气候模式：西部站更加干旱和变暖敏感，与SSP245/SSP370一致，而东部站受扎格罗斯山脉影响，显示出有利于SSP119/SSP126的降温和降水反馈。 SSP126、SSP245 和 SSP585 情景下的未来预测表明土壤温度响应呈非线性，高排放路径 (SSP585) 导致最初降温（到 2040 年为-4.11°C），随后加速变暖（到 2100 年为 + 2.09°C）。形成鲜明对比的是，低排放和中排放途径（SSP126、SSP245）会导致稳定、适度的变暖。这使得 SSP585 的十年趋势发生了戏剧性的逆转，从强烈冷却转变为快速加热，并改变了气候的统计概况。研究结果强调，高排放推迟但最终导致最强烈的变暖，凸显了排放途径对未来土壤温度变化速度和模式的关键影响。</w:t>
      </w:r>
    </w:p>
    <w:p>
      <w:pPr>
        <w:spacing w:before="120"/>
      </w:pPr>
      <w:r>
        <w:rPr>
          <w:rFonts w:ascii="Times New Roman" w:hAnsi="Times New Roman" w:eastAsia="宋体"/>
          <w:b/>
          <w:sz w:val="21"/>
        </w:rPr>
        <w:t>English Abstract:</w:t>
      </w:r>
    </w:p>
    <w:p>
      <w:r>
        <w:rPr>
          <w:rFonts w:ascii="Times New Roman" w:hAnsi="Times New Roman" w:eastAsia="宋体"/>
          <w:sz w:val="21"/>
        </w:rPr>
        <w:t>Soil temperature is a critical parameter influencing ecological and hydrological processes, yet its accurate projection under climate change remains challenging due to coarse-resolution climate models and complex soil-atmosphere interactions. This study develops a deep learning framework to downscale soil temperature (5 cm depth) in western Iran, under climate change scenarios. Using an ensemble of three complementary techniques—Random Forest (Gini) importance, Permutation Importance, and SHAP (SHapley Additive exPlanations) analysis—we identified optimal predictors from the 26 available CanESM5 (CMIP6) variables. Four deep learning models—CNN, LSTM, GRU, and a hybrid CNN-LSTM—were evaluated for downscaling performance using historical data (1980–2014). The hybrid CNN-LSTM model outperformed others, achieving the highest accuracy (NSE &gt; 86%, RMSE &lt; 4.3°C) by capturing spatial and temporal dependencies in soil thermal dynamics. Assessing the plausibility of each scenario’s trend (2015–2020) revealed regional climate patterns: western stations, more arid and warming-sensitive, aligned with SSP245/SSP370, while eastern stations, influenced by the Zagros Mountains, showed cooling and precipitation feedbacks favoring SSP119/SSP126. Future projections under SSP126, SSP245, and SSP585 scenarios indicated nonlinear soil temperature responses, with high-emission pathways (SSP585) causing initial cooling (-4.11°C by 2040) followed by accelerated warming (+ 2.09°C by 2100). In stark contrast, low- and mid-emission pathways (SSP126, SSP245) lead to stable, moderate warming. This creates a dramatic reversal in decadal trends for SSP585, shifting from strong cooling to rapid heating, and alters the climate’s statistical profile. The findings emphasize that high emissions defer but ultimately cause the most intense warming, highlighting the critical influence of emission pathways on the future pace and pattern of soil temperature change.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一种新的 Epseptimavirus 噬菌体 vB_SalS-SIY1lw 作为多重耐药婴儿沙门氏菌的潜在抗菌替代品</w:t>
      </w:r>
    </w:p>
    <w:p>
      <w:r>
        <w:rPr>
          <w:rFonts w:ascii="Times New Roman" w:hAnsi="Times New Roman" w:eastAsia="宋体"/>
          <w:b/>
          <w:color w:val="003264"/>
          <w:sz w:val="24"/>
        </w:rPr>
        <w:t>A new Epseptimavirus bacteriophage vB_SalS-SIY1lw as a potential antimicrobial alternative to multidrug-resistant Salmonella Infantis</w:t>
      </w:r>
    </w:p>
    <w:p>
      <w:r>
        <w:rPr>
          <w:rFonts w:ascii="Times New Roman" w:hAnsi="Times New Roman" w:eastAsia="宋体"/>
          <w:sz w:val="21"/>
        </w:rPr>
        <w:t>作者: Yen-Te Liao, Angela Voelker, Abigail R. Arellano, Yujie Zhang, Leslie A. Harden, Alexandra Salvador, Vivian C. H. Wu</w:t>
        <w:br/>
      </w:r>
      <w:r>
        <w:rPr>
          <w:rFonts w:ascii="Times New Roman" w:hAnsi="Times New Roman" w:eastAsia="宋体"/>
          <w:sz w:val="21"/>
        </w:rPr>
        <w:t xml:space="preserve">时间: 2026-02-05 | </w:t>
      </w:r>
      <w:r>
        <w:t xml:space="preserve">链接: </w:t>
      </w:r>
      <w:hyperlink r:id="rId41">
        <w:r>
          <w:rPr>
            <w:rFonts w:ascii="Times New Roman" w:hAnsi="Times New Roman" w:eastAsia="宋体"/>
            <w:color w:val="0000FF"/>
            <w:sz w:val="21"/>
            <w:u w:val="single"/>
          </w:rPr>
          <w:t>https://doi.org/10.1038/s41598-025-31311-8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婴儿沙门氏菌是一种与抗生素耐药性问题高度相关的新兴病原体，近年来导致食源性疾病的增加。因此，寻找新型抗菌药物刻不容缓。目的是表征新分离的 Epseptimavirus 噬菌体，该噬菌体对多重耐药婴儿链球菌菌株具有抗菌活性。沙门氏菌噬菌体 vB_SalS-SIY1lw（或 SIY1lw）是属于 Epseptimavirus 属噬菌体的新成员。 SIY1lw 含有受体结合蛋白 (ORF 23) 和尾部纤维蛋白 (ORF 43) 基因，两者都与细菌宿主识别和结合相关，分别与沙门氏菌噬菌体 OSY-STA（Epseptimavirus 属）和埃希氏菌噬菌体 DaisyDussoix（Tequintavirus 属）中的基因相似。对于生物学特性，SIY1lw 的潜伏期为 30 分钟，估计爆发大小为 42 PFU/CFU。该噬菌体对肠沙门氏菌（Infantis 和 Newport）和非致病性大肠杆菌菌株具有多价作用。体外抗菌活性测试表明，MOI 为 1,000 的噬菌体在 25 °C 处理 6 小时内最有效地减少婴儿链球菌 FSIS7823 和 FSIS4921，分别减少 1 和 0.8 个对数。这些发现表明，新的 Epseptimavirus 噬菌体 SIY1lw 未来有可能开发出多重耐药婴儿链球菌菌株的抗菌替代品。</w:t>
      </w:r>
    </w:p>
    <w:p>
      <w:pPr>
        <w:spacing w:before="120"/>
      </w:pPr>
      <w:r>
        <w:rPr>
          <w:rFonts w:ascii="Times New Roman" w:hAnsi="Times New Roman" w:eastAsia="宋体"/>
          <w:b/>
          <w:sz w:val="21"/>
        </w:rPr>
        <w:t>English Abstract:</w:t>
      </w:r>
    </w:p>
    <w:p>
      <w:r>
        <w:rPr>
          <w:rFonts w:ascii="Times New Roman" w:hAnsi="Times New Roman" w:eastAsia="宋体"/>
          <w:sz w:val="21"/>
        </w:rPr>
        <w:t>Salmonella Infantis is an emerging pathogen highly associated with antibiotic-resistant issues and has contributed to increasing foodborne illness in recent years. Thus, finding novel antimicrobial agents is urgent for the solution. The objective was to characterize a newly isolated Epseptimavirus phage with antimicrobial activity against multidrug-resistant S. Infantis strains. Salmonella phage vB_SalS-SIY1lw (or SIY1lw) is a new member of the phages belonging to the Epseptimavirus genus. SIY1lw contained the receptor binding protein (ORF 23) and tail fiber protein (ORF 43) genes—both associated with bacterial host recognition and binding—similar to that in Salmonella phage OSY-STA (the Epseptimavirus genus) and Escherichia phage DaisyDussoix (the Tequintavirus genus), respectively. For biological traits, SIY1lw has a latent period of 30 min and an estimated burst size of 42 PFU/CFU. The phage was polyvalent against S. enterica (Infantis and Newport) and non-pathogenic E. coli strains. The in vitro antimicrobial activity test showed that the phage with MOI of 1,000 is the most effective in reducing S. Infantis FSIS7823 and FSIS4921 by 1 and 0.8 log, respectively, over the 6-h treatment at 25 °C. These findings indicate that the new Epseptimavirus phage SIY1lw has future potential to develop an antimicrobial alternative to multidrug-resistant S. Infantis strains.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通过战略过渡金属掺杂推进 ZnO 纳米结构</w:t>
      </w:r>
    </w:p>
    <w:p>
      <w:r>
        <w:rPr>
          <w:rFonts w:ascii="Times New Roman" w:hAnsi="Times New Roman" w:eastAsia="宋体"/>
          <w:b/>
          <w:color w:val="003264"/>
          <w:sz w:val="24"/>
        </w:rPr>
        <w:t>Advancing ZnO nanostructures through strategic transition metal doping</w:t>
      </w:r>
    </w:p>
    <w:p>
      <w:r>
        <w:rPr>
          <w:rFonts w:ascii="Times New Roman" w:hAnsi="Times New Roman" w:eastAsia="宋体"/>
          <w:sz w:val="21"/>
        </w:rPr>
        <w:t>作者: Rasool Akhtar Alias Osama, Kamran Akhtar Siddiqui, Haoyun Wang, Hao Zhang, Iqra Akhtar Siddiqui, Peter Lomax, Rebecca Cheung</w:t>
        <w:br/>
      </w:r>
      <w:r>
        <w:rPr>
          <w:rFonts w:ascii="Times New Roman" w:hAnsi="Times New Roman" w:eastAsia="宋体"/>
          <w:sz w:val="21"/>
        </w:rPr>
        <w:t xml:space="preserve">时间: 2026-02-05 | </w:t>
      </w:r>
      <w:r>
        <w:t xml:space="preserve">链接: </w:t>
      </w:r>
      <w:hyperlink r:id="rId42">
        <w:r>
          <w:rPr>
            <w:rFonts w:ascii="Times New Roman" w:hAnsi="Times New Roman" w:eastAsia="宋体"/>
            <w:color w:val="0000FF"/>
            <w:sz w:val="21"/>
            <w:u w:val="single"/>
          </w:rPr>
          <w:t>https://doi.org/10.1038/s41598-026-37977-y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目前的研究论文提出了用钇 (Y) 和钒 (V) 等过渡金属掺杂 Zn对其结构、电子、热稳定性和光学特性的影响的第一性原理研究。用掺杂剂代替这些锌原子可以显着提高材料的介电性能和电导率。然后计算弹性常数以确定掺杂结构的机械稳定性，确认其结构完整性。利用NVT系综来证明热稳定性。计算建模在 Material Studio 中完成，模拟在 CASTEP 中完成，可以对掺杂 ZnO 系统进行详细分析。之前完成的测试包括能带结构、X 射线衍射 (XRD) 图案、热稳定性以及电导率、反射率和折射率等光学特性。结果表明，Y和V掺杂有可能极大地改变ZnO的电子结构，这为增强ZnO在光电和介电器件中的功能提供了良好的机会。除了拓宽我们对原子尺度上掺杂氧化锌的了解之外，这些发现还可以为未来的实验验证和材料开发奠定坚实的基础。</w:t>
      </w:r>
    </w:p>
    <w:p>
      <w:pPr>
        <w:spacing w:before="120"/>
      </w:pPr>
      <w:r>
        <w:rPr>
          <w:rFonts w:ascii="Times New Roman" w:hAnsi="Times New Roman" w:eastAsia="宋体"/>
          <w:b/>
          <w:sz w:val="21"/>
        </w:rPr>
        <w:t>English Abstract:</w:t>
      </w:r>
    </w:p>
    <w:p>
      <w:r>
        <w:rPr>
          <w:rFonts w:ascii="Times New Roman" w:hAnsi="Times New Roman" w:eastAsia="宋体"/>
          <w:sz w:val="21"/>
        </w:rPr>
        <w:t>The current research paper presents a first-principles study of the effects of doping Zno with transition metals such as Yttrium (Y) and Vanadium (V) on its structural, electronic, thermal stability, and optical characteristics. Replacing these Zn atoms with the dopants results in a significant increase in the dielectric properties and conductivity of the material. Elastic constants are then calculated to determine the mechanical stability of the doped structures, confirming their structural integrity. The NVT ensemble is utilized to prove the thermal stability. Computational modelling is done in Material Studio where the simulations are done in CASTEP which can allow a detailed analysis of the doped ZnO systems. The tests done prior are band structure, X-ray diffraction (XRD) patterns, thermal stability, and optical properties like conductivity, reflectivity, and the refractive index. The results indicate that Y and V doping have the potential to alter the electronic structure of ZnO greatly, which has bright opportunities to enhance the functioning of ZnO in optoelectronic and dielectric devices. Besides broadening our knowledge about doped ZnO on the atomic scale, these findings can form a powerful basis of experimental validation and developing materials in the future.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初级体感皮层经颅静态磁刺激后的体感诱发电位和高频振荡</w:t>
      </w:r>
    </w:p>
    <w:p>
      <w:r>
        <w:rPr>
          <w:rFonts w:ascii="Times New Roman" w:hAnsi="Times New Roman" w:eastAsia="宋体"/>
          <w:b/>
          <w:color w:val="003264"/>
          <w:sz w:val="24"/>
        </w:rPr>
        <w:t>Somatosensory evoked potentials and high-frequency oscillations after transcranial static magnetic stimulation over the primary somatosensory cortex</w:t>
      </w:r>
    </w:p>
    <w:p>
      <w:r>
        <w:rPr>
          <w:rFonts w:ascii="Times New Roman" w:hAnsi="Times New Roman" w:eastAsia="宋体"/>
          <w:sz w:val="21"/>
        </w:rPr>
        <w:t>作者: Yuki Tanaka, Aoki Takahashi, Riku Ishizaka, Kodai Minami, Taisei Miyazaki, Kenta Oguma, Nodoka Shimizume, Isamu Ozaki, Tatsunori Watanabe</w:t>
        <w:br/>
      </w:r>
      <w:r>
        <w:rPr>
          <w:rFonts w:ascii="Times New Roman" w:hAnsi="Times New Roman" w:eastAsia="宋体"/>
          <w:sz w:val="21"/>
        </w:rPr>
        <w:t xml:space="preserve">时间: 2026-02-05 | </w:t>
      </w:r>
      <w:r>
        <w:t xml:space="preserve">链接: </w:t>
      </w:r>
      <w:hyperlink r:id="rId43">
        <w:r>
          <w:rPr>
            <w:rFonts w:ascii="Times New Roman" w:hAnsi="Times New Roman" w:eastAsia="宋体"/>
            <w:color w:val="0000FF"/>
            <w:sz w:val="21"/>
            <w:u w:val="single"/>
          </w:rPr>
          <w:t>https://doi.org/10.1038/s41598-026-38767-2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经颅静磁场刺激（tSMS）是一种非侵入性脑刺激技术，可降低皮质兴奋性。尽管其有效性已在各个皮质区域得到证实，但仍不清楚体感处理是否受到这种刺激的影响。本研究的目的是调查初级体感皮层 (S1) 上的 tSMS 是否调节体感诱发电位 (SEP) 以及叠加在其上的高频振荡（体感 HFO）。在一项随机交叉研究中，20 名健康的年轻人在左侧 S1（对应于国际 10-20 系统的 C3）接受 tSMS 或假刺激 20 分钟。记录刺激前、刺激后立即和刺激后 20 分钟对右正中神经刺激的反应 SEP。通过对 SEP 波形应用 400-800 Hz 带通滤波器来提取体感 HFO，并根据 N20 峰值延迟将其分为早期和晚期分量。刺激后 20 分钟，左侧 S1 上的 TSMS 显着降低了早期 HFO 的振幅，而晚期 HFO 则保持不变。没有观察到 tSMS 对标准 SEP 的 N20 成分有影响，这反映了 S1 区域 3b 的神经活动。早期和晚期 HFO 被认为分别反映了丘脑皮质纤维的动作电位和 GABA 能中间神经元的活性。因此，这些发现表明，S1 上的 tSMS 选择性减弱丘脑皮质输入，同时对 GABA 能中间神经元活动没有影响。</w:t>
      </w:r>
    </w:p>
    <w:p>
      <w:pPr>
        <w:spacing w:before="120"/>
      </w:pPr>
      <w:r>
        <w:rPr>
          <w:rFonts w:ascii="Times New Roman" w:hAnsi="Times New Roman" w:eastAsia="宋体"/>
          <w:b/>
          <w:sz w:val="21"/>
        </w:rPr>
        <w:t>English Abstract:</w:t>
      </w:r>
    </w:p>
    <w:p>
      <w:r>
        <w:rPr>
          <w:rFonts w:ascii="Times New Roman" w:hAnsi="Times New Roman" w:eastAsia="宋体"/>
          <w:sz w:val="21"/>
        </w:rPr>
        <w:t>Abstract Transcranial static magnetic field stimulation (tSMS) is a non-invasive brain stimulation technique known to reduce cortical excitability. Although its effectiveness has been demonstrated in various cortical regions, it remains unclear whether somatosensory processing is influenced by this stimulation. The purpose of this study was to investigate whether tSMS over the primary somatosensory cortex (S1) modulates somatosensory evoked potentials (SEPs) and high-frequency oscillations superimposed on them (somatosensory HFOs). In a randomized crossover study, twenty healthy young adults received tSMS or sham stimulation over the left S1 (corresponding to C3 of the international 10–20 system) for 20 min. SEPs were recorded in response to right median nerve stimulation before, immediately after, and 20 min after stimulation. Somatosensory HFOs were extracted by applying a 400–800 Hz band-pass filter to SEP waveforms and separated into early and late components relative to the N20 peak latency. TSMS over the left S1 significantly reduced the amplitude of early HFOs 20 min after stimulation, whereas late HFOs remained unchanged. No effects of tSMS were observed on the N20 component of standard SEPs, which reflects neural activity in area 3b of the S1. Early and late HFOs are thought to reflect the action potentials of thalamocortical fibers and the activity of GABAergic interneurons, respectively. These findings therefore suggest that tSMS over the S1 selectively attenuates thalamocortical input while exerting no effect on GABAergic interneuron activity.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转移性癌症转录组的综合分析揭示了临床上不同的细胞状态和生态系统</w:t>
      </w:r>
    </w:p>
    <w:p>
      <w:r>
        <w:rPr>
          <w:rFonts w:ascii="Times New Roman" w:hAnsi="Times New Roman" w:eastAsia="宋体"/>
          <w:b/>
          <w:color w:val="003264"/>
          <w:sz w:val="24"/>
        </w:rPr>
        <w:t>Integrative analyses of metastatic cancer transcriptome reveal clinically distinct cellular States and ecosystems</w:t>
      </w:r>
    </w:p>
    <w:p>
      <w:r>
        <w:rPr>
          <w:rFonts w:ascii="Times New Roman" w:hAnsi="Times New Roman" w:eastAsia="宋体"/>
          <w:sz w:val="21"/>
        </w:rPr>
        <w:t>作者: Can Zhang, Si Li, Yun Yu, Meng Chi, Ziming Yuan, Kun Wang</w:t>
        <w:br/>
      </w:r>
      <w:r>
        <w:rPr>
          <w:rFonts w:ascii="Times New Roman" w:hAnsi="Times New Roman" w:eastAsia="宋体"/>
          <w:sz w:val="21"/>
        </w:rPr>
        <w:t xml:space="preserve">时间: 2026-02-05 | </w:t>
      </w:r>
      <w:r>
        <w:t xml:space="preserve">链接: </w:t>
      </w:r>
      <w:hyperlink r:id="rId44">
        <w:r>
          <w:rPr>
            <w:rFonts w:ascii="Times New Roman" w:hAnsi="Times New Roman" w:eastAsia="宋体"/>
            <w:color w:val="0000FF"/>
            <w:sz w:val="21"/>
            <w:u w:val="single"/>
          </w:rPr>
          <w:t>https://doi.org/10.1038/s41598-026-36512-3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确定构成转移性肿瘤的不同细胞状态及其在细胞生态系统中的组织对于阐明癌症的生物学和预后多样性至关重要。然而，在转移性癌症中仍然缺乏分析这些细胞状态和生态型的临床相关性的大规模研究。在这项研究中，我们使用机器学习框架 EcoTyper 全面分析了涵盖 25 种癌症类型的 2822 名转移性癌症患者样本的转录组，从而能够表征转移性癌症不可或缺的基本细胞状态和肿瘤生态系统。我们鉴定了 12 种细胞类型中的 45 种不同的细胞状态，并在验证队列中验证了它们的稳健性。我们观察到它们在功能和预后关联方面存在差异。生存分析揭示了临床相关的细胞状态，突出了它们作为临床结果预测因子的前景。功能富集分析表明，细胞状态的标志基因在癌症标志和免疫相关通路中显着富集。此外，我们的分析确定了与不同临床结果相关的五种生态类型。转录因子富集分析揭示了与患者临床结果显着相关的关键转录因子（即 SPIB、SRF 和 NR1D1）。总之，这项研究提供了转移性肿瘤细胞状态和生态系统的高分辨率景观，为癌症治疗策略和预后评估的发展提供了新的潜在目标。</w:t>
      </w:r>
    </w:p>
    <w:p>
      <w:pPr>
        <w:spacing w:before="120"/>
      </w:pPr>
      <w:r>
        <w:rPr>
          <w:rFonts w:ascii="Times New Roman" w:hAnsi="Times New Roman" w:eastAsia="宋体"/>
          <w:b/>
          <w:sz w:val="21"/>
        </w:rPr>
        <w:t>English Abstract:</w:t>
      </w:r>
    </w:p>
    <w:p>
      <w:r>
        <w:rPr>
          <w:rFonts w:ascii="Times New Roman" w:hAnsi="Times New Roman" w:eastAsia="宋体"/>
          <w:sz w:val="21"/>
        </w:rPr>
        <w:t>Determining the diverse cellular states and their organization into cellular ecosystems that make up metastatic tumor is vital for elucidating the biological and prognostic diversity of cancer. However, large-scale studies profiling the clinical relevance of these cellular states and ecotypes are still lacking in metastatic cancers. In this study, we used EcoTyper, a machine learning framework, to comprehensively analyze transcriptomes from 2822 metastatic cancer patient samples covering 25 cancer types, enabling characterization of the fundamental cellular states and tumor ecosystems integral to metastatic cancer. We identified 45 distinct cellular states across 12 cell types and validated their robustness in validation cohorts. We observed that they differed in functional and prognostic associations. Survival analysis revealed that the clinically relevant cellular states, highlighting their promise as predictors of clinical outcomes. Functional enrichment analysis exhibited that the marker genes of cellular states were significantly enriched in cancer hallmark and immune-related pathways. In addition, our analysis identified five ecotypes associated with different clinical outcomes. Transcription factor enrichment analysis revealed key transcription factors (i.e. SPIB, SRF, and NR1D1) that were significantly associated with patient clinical outcomes. In conclusion, this study provided a high-resolution landscape of cellular states and ecosystems in metastatic tumors, offering new potential targets for the development of cancer treatment strategies and prognostic assessment.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局部红外刺激调节麻醉大鼠的自发皮质慢波动力学</w:t>
      </w:r>
    </w:p>
    <w:p>
      <w:r>
        <w:rPr>
          <w:rFonts w:ascii="Times New Roman" w:hAnsi="Times New Roman" w:eastAsia="宋体"/>
          <w:b/>
          <w:color w:val="003264"/>
          <w:sz w:val="24"/>
        </w:rPr>
        <w:t>Local infrared stimulation modulates spontaneous cortical slow wave dynamics in anesthetized rats</w:t>
      </w:r>
    </w:p>
    <w:p>
      <w:r>
        <w:rPr>
          <w:rFonts w:ascii="Times New Roman" w:hAnsi="Times New Roman" w:eastAsia="宋体"/>
          <w:sz w:val="21"/>
        </w:rPr>
        <w:t>作者: Ágnes Szabó, Richárd Fiáth, Ágoston Csaba Horváth, Péter Barthó, István Ulbert, Zoltán Fekete</w:t>
        <w:br/>
      </w:r>
      <w:r>
        <w:rPr>
          <w:rFonts w:ascii="Times New Roman" w:hAnsi="Times New Roman" w:eastAsia="宋体"/>
          <w:sz w:val="21"/>
        </w:rPr>
        <w:t xml:space="preserve">时间: 2026-02-05 | </w:t>
      </w:r>
      <w:r>
        <w:t xml:space="preserve">链接: </w:t>
      </w:r>
      <w:hyperlink r:id="rId45">
        <w:r>
          <w:rPr>
            <w:rFonts w:ascii="Times New Roman" w:hAnsi="Times New Roman" w:eastAsia="宋体"/>
            <w:color w:val="0000FF"/>
            <w:sz w:val="21"/>
            <w:u w:val="single"/>
          </w:rPr>
          <w:t>https://doi.org/10.1038/s41598-026-38781-4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皮质慢波是深度睡眠和某些麻醉条件下的标志性振荡，但控制其动态的神经生物学机制仍不完全清楚。在这里，我们研究了局部近红外 (NIR) 刺激对氯胺酮/甲苯噻嗪麻醉大鼠慢波活动的影响。使用硅基多模光极，我们同时传输近红外光并记录初级体感 (S1Tr) 和顶叶关联 (PtA) 皮质层的局部场电位 (LFP) 和多单元活动 (MUA)。近红外刺激会引起局部组织加热，从而导致慢波特性发生可重复和可逆的变化。具体来说，上态持续时间缩短，下态持续时间延长，上态期间的 MUA 振幅增加，状态转换时斜率更陡，表明神经元同步性增强。 LFP 幅度和频谱变化在不同皮质区域有所不同：PtA 表现出慢波（0.5-2 Hz）和高 delta（2-4 Hz）带活动增加，而 S1Tr 表现出减少的趋势。我们的研究结果表明，局部红外刺激可以可靠地调节皮质慢波动力学，可能是通过温度介导的神经元兴奋性变化。这种方法提供了一种微创方法，用于精确、局部操纵皮质网络活动，并为慢振荡的生物物理调节提供了新的见解。</w:t>
      </w:r>
    </w:p>
    <w:p>
      <w:pPr>
        <w:spacing w:before="120"/>
      </w:pPr>
      <w:r>
        <w:rPr>
          <w:rFonts w:ascii="Times New Roman" w:hAnsi="Times New Roman" w:eastAsia="宋体"/>
          <w:b/>
          <w:sz w:val="21"/>
        </w:rPr>
        <w:t>English Abstract:</w:t>
      </w:r>
    </w:p>
    <w:p>
      <w:r>
        <w:rPr>
          <w:rFonts w:ascii="Times New Roman" w:hAnsi="Times New Roman" w:eastAsia="宋体"/>
          <w:sz w:val="21"/>
        </w:rPr>
        <w:t>Cortical slow waves are hallmark oscillations of deep sleep and certain anesthetic conditions, yet the neurobiological mechanisms controlling their dynamics remain incompletely understood. Here, we investigated the effects of local near-infrared (NIR) stimulation on slow-wave activity in ketamine/xylazine-anesthetized rats. Using a silicon-based multimodal optrode, we simultaneously delivered NIR light and recorded local field potentials (LFPs) and multi-unit activity (MUA) across cortical layers in the primary somatosensory (S1Tr) and parietal association (PtA) cortices. NIR stimulation induces local tissue heating, resulting in reproducible and reversible changes in the properties of slow waves. Specifically, up-state durations were shortened, down-states prolonged, and MUA amplitudes during up-states increased, with steeper slopes at state transitions, indicative of enhanced neuronal synchronization. LFP amplitude and spectral changes varied across cortical regions: PtA exhibited increased slow wave (0.5–2 Hz) and high delta (2–4 Hz) band activity, while S1Tr showed a trend toward reduction. Our findings demonstrate that local infrared stimulation can reliably modulate cortical slow-wave dynamics, likely through temperature-mediated changes in neuronal excitability. This approach provides a minimally invasive method for precise, local manipulation of cortical network activity and offers new insights into the biophysical regulation of slow oscillations.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用于生产用于营养和治疗应用的功能性人 α-乳清蛋白的转质体生物工厂</w:t>
      </w:r>
    </w:p>
    <w:p>
      <w:r>
        <w:rPr>
          <w:rFonts w:ascii="Times New Roman" w:hAnsi="Times New Roman" w:eastAsia="宋体"/>
          <w:b/>
          <w:color w:val="003264"/>
          <w:sz w:val="24"/>
        </w:rPr>
        <w:t>Transplastomic biofactory for the production of functional human α-lactalbumin for nutritional and therapeutic applications</w:t>
      </w:r>
    </w:p>
    <w:p>
      <w:r>
        <w:rPr>
          <w:rFonts w:ascii="Times New Roman" w:hAnsi="Times New Roman" w:eastAsia="宋体"/>
          <w:sz w:val="21"/>
        </w:rPr>
        <w:t>作者: Maryam Ehsasatvatan, Bahram Baghban Kohnehrouz</w:t>
        <w:br/>
      </w:r>
      <w:r>
        <w:rPr>
          <w:rFonts w:ascii="Times New Roman" w:hAnsi="Times New Roman" w:eastAsia="宋体"/>
          <w:sz w:val="21"/>
        </w:rPr>
        <w:t xml:space="preserve">时间: 2026-02-05 | </w:t>
      </w:r>
      <w:r>
        <w:t xml:space="preserve">链接: </w:t>
      </w:r>
      <w:hyperlink r:id="rId46">
        <w:r>
          <w:rPr>
            <w:rFonts w:ascii="Times New Roman" w:hAnsi="Times New Roman" w:eastAsia="宋体"/>
            <w:color w:val="0000FF"/>
            <w:sz w:val="21"/>
            <w:u w:val="single"/>
          </w:rPr>
          <w:t>https://doi.org/10.1038/s41598-026-38965-y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在植物中可持续生产功能性人类蛋白质为开发不含动物的营养和治疗化合物提供了一条变革之路。在这项研究中，我们通过叶绿体基因组工程在烟草中首次报道了人类 α-乳清蛋白 (hLA) 的表达，hLA 是一种具有营养和抗癌特性的关键乳蛋白。使用在强质体调控元件控制下的合成表达盒将密码子优化的 hLA 基因引入质体基因组。通过PCR和Southern印迹分析获得并确认同质转质体系。免疫印迹和 ELISA 定量显示，hLA 累积至总可溶性蛋白 (TSP) 的 23.4%，这是质体表达的人类蛋白报道的最高水平之一。远紫外圆二色性 (CD) 光谱证实叶绿体衍生的 hLA 采用类似天然的 α 螺旋结构。在功能上，重组蛋白在体外成功激活半乳糖基转移酶 (GalT)，使乳糖合成速度达到天然 hLA 的 93%。此外，叶绿体衍生的 hLA 在温和的热条件下与油酸结合转化为具有生物活性的 HAMLET 复合物。 MTT 和膜联蛋白 V/PI 检测证实，该复合物可诱导人结直肠 (WiDr) 和乳腺癌 (MCF-7) 细胞发生有效凋亡，将活力降低至 8% 以下。这些发现确立了叶绿体作为高产、正确折叠和功能性生产母乳蛋白的有效平台。从单一植物系统产生酶活性和治疗功能产品的能力强调了其在食品工程和合成生物学方面的潜力。这项工作为开发适用于婴儿营养、功能性食品和植物生物治疗的重组乳蛋白提供了可扩展、可持续和双重目的的策略。</w:t>
      </w:r>
    </w:p>
    <w:p>
      <w:pPr>
        <w:spacing w:before="120"/>
      </w:pPr>
      <w:r>
        <w:rPr>
          <w:rFonts w:ascii="Times New Roman" w:hAnsi="Times New Roman" w:eastAsia="宋体"/>
          <w:b/>
          <w:sz w:val="21"/>
        </w:rPr>
        <w:t>English Abstract:</w:t>
      </w:r>
    </w:p>
    <w:p>
      <w:r>
        <w:rPr>
          <w:rFonts w:ascii="Times New Roman" w:hAnsi="Times New Roman" w:eastAsia="宋体"/>
          <w:sz w:val="21"/>
        </w:rPr>
        <w:t>The sustainable production of functional human proteins in plants offers a transformative path for developing animal-free nutritional and therapeutic compounds. In this study, we report one of the first expression of human α-lactalbumin (hLA), a key milk protein with nutritional and anticancer properties, via chloroplast genome engineering in Nicotiana tabacum. A codon-optimized hLA gene was introduced into the plastid genome using a synthetic expression cassette under the control of strong plastid regulatory elements. Homoplasmic transplastomic lines were obtained and confirmed via PCR and Southern blot analysis. Immunoblotting and ELISA quantification revealed that hLA accumulated to 23.4% of total soluble protein (TSP), one of the highest levels reported for plastid-expressed human proteins. Far-UV circular dichroism (CD) spectroscopy confirmed that the chloroplast-derived hLA adopted a native-like α-helical structure. Functionally, the recombinant protein successfully activated galactosyltransferase (GalT) in vitro, enabling lactose synthesis at 93% of the rate observed with native hLA. Furthermore, chloroplast-derived hLA was converted into a bioactive HAMLET complex by combining with oleic acid under mild thermal conditions. This complex induced potent apoptosis in human colorectal (WiDr) and breast cancer (MCF-7) cells, reducing viability to less than 8%, as confirmed by MTT and Annexin V/PI assays. These findings establish chloroplasts as an effective platform for high-yield, correctly folded, and functional production of human milk proteins. The ability to generate both enzymatically active and therapeutically functional products from a single plant-based system underscores its potential in food engineering and synthetic biology. This work offers a scalable, sustainable, and dual-purpose strategy for the development of recombinant milk proteins applicable in infant nutrition, functional foods, and plant-made biotherapeutics.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越南存在四种遗传上不同的狂犬病病毒类型，包括亚洲分支中的 SEA1 和 SEA3 分支</w:t>
      </w:r>
    </w:p>
    <w:p>
      <w:r>
        <w:rPr>
          <w:rFonts w:ascii="Times New Roman" w:hAnsi="Times New Roman" w:eastAsia="宋体"/>
          <w:b/>
          <w:color w:val="003264"/>
          <w:sz w:val="24"/>
        </w:rPr>
        <w:t>Four genetically distinct types of rabies virus exist in Vietnam, including the SEA1 and SEA3 subclades within the Asian clade</w:t>
      </w:r>
    </w:p>
    <w:p>
      <w:r>
        <w:rPr>
          <w:rFonts w:ascii="Times New Roman" w:hAnsi="Times New Roman" w:eastAsia="宋体"/>
          <w:sz w:val="21"/>
        </w:rPr>
        <w:t>作者: Michiko Harada, Thu Tuyet Nguyen, Dong Vinh Nguyen, Giang Chau Ngo, Keita Ishijima, Huong T. T. Nguyen, Phuong T. M. Nguyen, Tho Dang Nguyen, Satoshi Inoue, Akiko Okutani, Ken Maeda</w:t>
        <w:br/>
      </w:r>
      <w:r>
        <w:rPr>
          <w:rFonts w:ascii="Times New Roman" w:hAnsi="Times New Roman" w:eastAsia="宋体"/>
          <w:sz w:val="21"/>
        </w:rPr>
        <w:t xml:space="preserve">时间: 2026-02-05 | </w:t>
      </w:r>
      <w:r>
        <w:t xml:space="preserve">链接: </w:t>
      </w:r>
      <w:hyperlink r:id="rId47">
        <w:r>
          <w:rPr>
            <w:rFonts w:ascii="Times New Roman" w:hAnsi="Times New Roman" w:eastAsia="宋体"/>
            <w:color w:val="0000FF"/>
            <w:sz w:val="21"/>
            <w:u w:val="single"/>
          </w:rPr>
          <w:t>https://doi.org/10.1038/s41598-026-38638-w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狂犬病是一种致命的人畜共患疾病，几乎所有哺乳动物都会患上脑炎。越南仍然是狂犬病流行地区，并与中国、老挝和柬埔寨接壤，狂犬病在这些国家也持续存在。核蛋白和全基因组测序是研究循环狂犬病病毒 (RABV) 毒株的遗传多样性和传播动态的重要工具。本研究旨在评估越南目前的狂犬病状况，并使用两种测序方法对狂犬病病毒株进行基因表征。越南每年都会报告人类和犬类狂犬病病例，每年约有 50 万人接受暴露后预防治疗，不过这一数字最近有所增加。对人类和狂犬病狗的流行病学数据和 RABV 进行了分析。越南 RABV 被分为四个不同的遗传组，所有这些组在系统发育上都与邻国传播的病毒相关。全基因组分析揭示了病毒分类的区域差异，表明当地因素可能影响越南与邻国之间的病毒传播。人类和狗源性狂犬病病毒之间的高度遗传相似性凸显了持续的人畜共患威胁，并强调越南及其邻近地区迫切需要采用“同一个健康”方法来预防和控制狂犬病。</w:t>
      </w:r>
    </w:p>
    <w:p>
      <w:pPr>
        <w:spacing w:before="120"/>
      </w:pPr>
      <w:r>
        <w:rPr>
          <w:rFonts w:ascii="Times New Roman" w:hAnsi="Times New Roman" w:eastAsia="宋体"/>
          <w:b/>
          <w:sz w:val="21"/>
        </w:rPr>
        <w:t>English Abstract:</w:t>
      </w:r>
    </w:p>
    <w:p>
      <w:r>
        <w:rPr>
          <w:rFonts w:ascii="Times New Roman" w:hAnsi="Times New Roman" w:eastAsia="宋体"/>
          <w:sz w:val="21"/>
        </w:rPr>
        <w:t>Rabies is a fatal zoonotic disease that causes encephalitis in almost all mammals. Vietnam remains endemic for rabies and shares borders with China, Laos, and Cambodia, where the disease also persists. Nucleoprotein and full-genome sequencing are valuable tools for investigating the genetic diversity and transmission dynamics of circulating rabies virus (RABV) strains. This study aimed to assess the current rabies situation in Vietnam and genetically characterize RABV strains using both sequencing approaches. Human and canine rabies cases are reported annually in Vietnam, where approximately half a million people receiving post-exposure prophylaxis each year, though this number has recently increased. Epidemiological data and RABVs from humans and rabid dogs were analyzed. Vietnamese RABVs were classified into four distinct genetic groups, all phylogenetically related to viruses circulating in neighboring countries. Full-genome analysis revealed regional differences in virus classification, suggesting that local factors may influence viral circulation between Vietnam and neighboring countries. The high genetic similarity between human- and dog-derived RABVs underscores the continued zoonotic threat and highlights the critical need for a One Health approach to rabies prevention and control in Vietnam and its neighboring regions.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基于人工智能的临床恶化分析的随机对照试验</w:t>
      </w:r>
    </w:p>
    <w:p>
      <w:r>
        <w:rPr>
          <w:rFonts w:ascii="Times New Roman" w:hAnsi="Times New Roman" w:eastAsia="宋体"/>
          <w:b/>
          <w:color w:val="003264"/>
          <w:sz w:val="24"/>
        </w:rPr>
        <w:t>A randomized controlled trial of artificial intelligence-based analytics for clinical deterioration</w:t>
      </w:r>
    </w:p>
    <w:p>
      <w:r>
        <w:rPr>
          <w:rFonts w:ascii="Times New Roman" w:hAnsi="Times New Roman" w:eastAsia="宋体"/>
          <w:sz w:val="21"/>
        </w:rPr>
        <w:t>作者: Jessica Keim-Malpass, Sarah J. Ratcliffe, Matthew T. Clark, Katy N. Krahn, Oliver J. Monfredi, Susan Hamil, Gholamreza Yousefvand, Marieke K. Jones, Ashley Nelson, Liza P. Moorman, J. Randall Moorman, Jamieson M. Bourque</w:t>
        <w:br/>
      </w:r>
      <w:r>
        <w:rPr>
          <w:rFonts w:ascii="Times New Roman" w:hAnsi="Times New Roman" w:eastAsia="宋体"/>
          <w:sz w:val="21"/>
        </w:rPr>
        <w:t xml:space="preserve">时间: 2026-02-05 | </w:t>
      </w:r>
      <w:r>
        <w:t xml:space="preserve">链接: </w:t>
      </w:r>
      <w:hyperlink r:id="rId48">
        <w:r>
          <w:rPr>
            <w:rFonts w:ascii="Times New Roman" w:hAnsi="Times New Roman" w:eastAsia="宋体"/>
            <w:color w:val="0000FF"/>
            <w:sz w:val="21"/>
            <w:u w:val="single"/>
          </w:rPr>
          <w:t>https://doi.org/10.1038/s41598-026-39051-z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这项务实的随机对照试验旨在评估基于人工智能 (AI) 的预测分析的被动显示对急症护理心脏病内外科病房内科和外科患者无临床恶化事件的时间的影响。 10,422 名住院患者被随机分配到风险轨迹显示的干预组或常规医疗护理的对照组。该试验在一家学术医院拥有 85 个床位的心脏病科和心脏外科住院病房进行，并制定了实质性的实施和教育计划。这是一种被动展示，没有强制要求做出具体反应。主要分析比较了临床恶化事件（死亡、紧急 ICU 转移、紧急气管插管、心脏骤停或紧急手术），并比较了入院 21 天后的死亡率。风险评分大幅上升的患者平均住院时间延长了一倍（6.8 天 vs 3.4 天）。组间主要结局没有变化。在发生临床事件的患者中，与标准护理/展示关闭组相比，干预/展示组中的无事件时间更长，但这并未达到统计学显着性。临床医生选择将 11% 的患者转移到展示床或转移出展示床，这一审查事件将他们从分析中删除，从而破坏了研究随机性的各个方面。结合持续心肺监测和风险轨迹显示以及教育计划的预测分析监测并没有改善患者的治疗结果。虽然进行这项研究是必要的，但务实的设计使得对病情较重的患者进行干预/展示床位有了重大进展。未来的设计考虑必须侧重于理解临床医生的解释、护理流程和沟通实践。临床试验注册号：NCT04359641 2020 年 4 月 24 日注册。</w:t>
      </w:r>
    </w:p>
    <w:p>
      <w:pPr>
        <w:spacing w:before="120"/>
      </w:pPr>
      <w:r>
        <w:rPr>
          <w:rFonts w:ascii="Times New Roman" w:hAnsi="Times New Roman" w:eastAsia="宋体"/>
          <w:b/>
          <w:sz w:val="21"/>
        </w:rPr>
        <w:t>English Abstract:</w:t>
      </w:r>
    </w:p>
    <w:p>
      <w:r>
        <w:rPr>
          <w:rFonts w:ascii="Times New Roman" w:hAnsi="Times New Roman" w:eastAsia="宋体"/>
          <w:sz w:val="21"/>
        </w:rPr>
        <w:t>This pragmatic randomized controlled trial aimed to assess the effect of a passive display of artificial intelligence (AI)-based predictive analytics on hours free of clinical deterioration events among medical and surgical patients in an acute care cardiology medical-surgical ward. 10,422 inpatient visits were randomly assigned by cluster to the intervention group of a display of risk trajectories or to a control group of usual medical care. The trial was undertaken on an 85-bed inpatient cardiology and cardiac surgery ward of an academic hospital with a substantial implementation and education plan. This was a passive display with no specific response mandated. The primary analysis compared events of clinical deterioration (death, emergent ICU transfer, emergent endotracheal intubation, cardiac arrest, or emergent surgery) and compared mortality 21 days after admission. Patients with a large spike in risk score had, on average, twice the length of hospital stay (6.8 compared to 3.4 days). There was no change in the primary outcome between groups. Among those who had a clinical event, there were more event-free hours in the intervention/display-on group compared to the standard-of-care/display-off, but this did not reach statistical significance. Clinicians chose to transfer 11% of patients into or out of display beds, a censoring event removing them from the analysis, thereby undermining aspects of the randomized nature of the study. Predictive analytics monitoring incorporating continuous cardiorespiratory monitoring and displays of risk trajectories coupled with an education plan did not improve patient outcomes. While necessary to conduct the study, the pragmatic design allowed for significant movement towards intervention/displayed beds for sicker patients. Design considerations in the future must focus on understanding clinicians’ interpretation, care processes, and communication practices. Clinical trial registration number: NCT04359641 Registered 4/24/20.</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综合宏基因组和 16S rRNA 分析揭示了奶牛粪便堆肥过程中抗性基因与微生物群落之间的时间关联</w:t>
      </w:r>
    </w:p>
    <w:p>
      <w:r>
        <w:rPr>
          <w:rFonts w:ascii="Times New Roman" w:hAnsi="Times New Roman" w:eastAsia="宋体"/>
          <w:b/>
          <w:color w:val="003264"/>
          <w:sz w:val="24"/>
        </w:rPr>
        <w:t>Integrated metagenomic and 16S rRNA analysis reveals temporal associations between resistance genes and microbial communities during dairy manure composting</w:t>
      </w:r>
    </w:p>
    <w:p>
      <w:r>
        <w:rPr>
          <w:rFonts w:ascii="Times New Roman" w:hAnsi="Times New Roman" w:eastAsia="宋体"/>
          <w:sz w:val="21"/>
        </w:rPr>
        <w:t>作者: Yuan Zhou, Kaiyue Liu, Ping Gong, Jian Wu, Zhuqing Ren, Erguang Jin</w:t>
        <w:br/>
      </w:r>
      <w:r>
        <w:rPr>
          <w:rFonts w:ascii="Times New Roman" w:hAnsi="Times New Roman" w:eastAsia="宋体"/>
          <w:sz w:val="21"/>
        </w:rPr>
        <w:t xml:space="preserve">时间: 2026-02-05 | </w:t>
      </w:r>
      <w:r>
        <w:t xml:space="preserve">链接: </w:t>
      </w:r>
      <w:hyperlink r:id="rId49">
        <w:r>
          <w:rPr>
            <w:rFonts w:ascii="Times New Roman" w:hAnsi="Times New Roman" w:eastAsia="宋体"/>
            <w:color w:val="0000FF"/>
            <w:sz w:val="21"/>
            <w:u w:val="single"/>
          </w:rPr>
          <w:t>https://doi.org/10.1038/s41598-026-37092-y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奶牛粪便堆肥被广泛应用于稳定有机废物和减少环境污染，但该过程中的阻力决定因素的行为仍未得到充分解决。在本研究中，鸟枪法宏基因组测序用于表征奶牛粪堆肥过程中抗生素抗性基因（ARG）、金属抗性基因（MRG）、杀菌剂抗性基因（BRG）、移动遗传元件（MGE）和微生物群落组成的时间变化。我们的分析不是推断直接的机械因果关系，而是侧重于识别统计支持的趋势、关联和堆肥阶段的共现模式。我们观察到，在嗜热阶段，与 MRG 和 BRG 相比，ARG 的相对丰度迅速下降，同时温度升高，而 sul2 等特定基因在整个过程中持续存在。微生物群落组成的变化，特别是放线菌和变形菌相对优势的变化，与耐药组谱的变化显着相关。相关性和网络分析进一步揭示了 ARG、MRG、BRG 和 MGE 之间的强关联，表明潜在的共选择和水平基因转移联系，但并不暗示直接的因果机制。此外，一些机会性细菌属与氨基糖苷类和大环内酯-林可酰胺-链阳菌素型ARG呈正相关，表明堆肥施用后可能存在传播风险。总体而言，本研究对奶牛粪便堆肥过程中的抗性组和微生物群落动态提供了基于关联的综合概述，并强调了在评估堆肥作为粪便管理策略时考虑多种抗性决定因素的重要性。</w:t>
      </w:r>
    </w:p>
    <w:p>
      <w:pPr>
        <w:spacing w:before="120"/>
      </w:pPr>
      <w:r>
        <w:rPr>
          <w:rFonts w:ascii="Times New Roman" w:hAnsi="Times New Roman" w:eastAsia="宋体"/>
          <w:b/>
          <w:sz w:val="21"/>
        </w:rPr>
        <w:t>English Abstract:</w:t>
      </w:r>
    </w:p>
    <w:p>
      <w:r>
        <w:rPr>
          <w:rFonts w:ascii="Times New Roman" w:hAnsi="Times New Roman" w:eastAsia="宋体"/>
          <w:sz w:val="21"/>
        </w:rPr>
        <w:t>Abstract Dairy manure composting is widely applied to stabilize organic waste and reduce environmental pollution, yet the behavior of resistance determinants during this process remains insufficiently resolved. In this study, shotgun metagenomic sequencing was used to characterize temporal changes in antibiotic resistance genes (ARGs), metal resistance genes (MRGs), biocide resistance genes (BRGs), mobile genetic elements (MGEs), and microbial community composition during dairy manure composting. Rather than inferring direct mechanistic causation, our analyses focused on identifying statistically supported trends, associations, and co-occurrence patterns across composting stages. We observed a rapid decline in the relative abundance of ARGs compared with MRGs and BRGs during the thermophilic phase, coinciding with increasing temperature, while specific genes such as sul2 persisted throughout the process. Shifts in microbial community composition, particularly changes in the relative dominance of Actinobacteria and Proteobacteria , were significantly associated with variations in resistome profiles. Correlation and network analyses further revealed strong associations among ARGs, MRGs, BRGs, and MGEs, suggesting potential co-selection and horizontal gene transfer linkages without implying direct causal mechanisms. In addition, several opportunistic bacterial genera showed positive associations with aminoglycoside- and macrolide–lincosamide–streptogramin-type ARGs, indicating possible dissemination risks following compost application. Overall, this study provides an integrated, association-based overview of resistome and microbial community dynamics during dairy manure composting and highlights the importance of considering multiple resistance determinants when evaluating composting as a manure management strategy.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目标检测从 CNN 到 Transformer 和多模态融合的演变</w:t>
      </w:r>
    </w:p>
    <w:p>
      <w:r>
        <w:rPr>
          <w:rFonts w:ascii="Times New Roman" w:hAnsi="Times New Roman" w:eastAsia="宋体"/>
          <w:b/>
          <w:color w:val="003264"/>
          <w:sz w:val="24"/>
        </w:rPr>
        <w:t>The evolution of object detection from CNNs to transformers and multi-modal fusion</w:t>
      </w:r>
    </w:p>
    <w:p>
      <w:r>
        <w:rPr>
          <w:rFonts w:ascii="Times New Roman" w:hAnsi="Times New Roman" w:eastAsia="宋体"/>
          <w:sz w:val="21"/>
        </w:rPr>
        <w:t>作者: Zeran Wang, Yuan Chen, Yuhao Gu, Jian Liu, Xudong Zhu, Mianwang He</w:t>
        <w:br/>
      </w:r>
      <w:r>
        <w:rPr>
          <w:rFonts w:ascii="Times New Roman" w:hAnsi="Times New Roman" w:eastAsia="宋体"/>
          <w:sz w:val="21"/>
        </w:rPr>
        <w:t xml:space="preserve">时间: 2026-02-05 | </w:t>
      </w:r>
      <w:r>
        <w:t xml:space="preserve">链接: </w:t>
      </w:r>
      <w:hyperlink r:id="rId50">
        <w:r>
          <w:rPr>
            <w:rFonts w:ascii="Times New Roman" w:hAnsi="Times New Roman" w:eastAsia="宋体"/>
            <w:color w:val="0000FF"/>
            <w:sz w:val="21"/>
            <w:u w:val="single"/>
          </w:rPr>
          <w:t>https://doi.org/10.1038/s41598-026-37052-6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目标检测是计算机视觉的基石，旨在对图像中的目标进行定位和分类。这项全面的调查回顾了现代目标检测方法，重点关注两个主要范例：卷积神经网络 (CNN) 和基于 Transformer 的架构。这项工作对基于 CNN 和基于 Transformer 的检测范例进行了结构化比较，强调了它们的互补优势和权衡。 CNN 在局部特征提取和计算效率方面表现出优势，而 Transformer 擅长通过自注意力机制捕获全局上下文。我们还分析了集成红绿蓝 (RGB)、光检测和测距 (LiDAR) 以及语言嵌入的多模态融合技术。代表性模型的基准测试结果包括：实时检测变压器 (RT-DETR) 在 0.5 : 0.95 的交集交集 (IoU) 处实现 53.1% 的平均平均精度 (mAP)，You Only Look Once 版本 8 (YOLOv8) 在 0.5:0.95 处实现 50.2% mAP，实时检测器超过每秒 100 帧 (FPS)，具有具有竞争力的精度，以及专用红外方法在 NUAA-SIRST 数据集上实现了 92.45% 的 F 测量。这项工作引入了一种新颖的多模态融合策略分类法，记录了整个领域和特定评论的局限性，并综合了不同数据集的最新 2024 年至 2025 年基准。尽管取得了这些进展，但在处理尺度变化、遮挡效应和域适应方面仍然存在重大挑战。这项调查概述了这些持续存在的障碍和有前途的研究方向，为研究人员和从业者提供了结构化的参考。</w:t>
      </w:r>
    </w:p>
    <w:p>
      <w:pPr>
        <w:spacing w:before="120"/>
      </w:pPr>
      <w:r>
        <w:rPr>
          <w:rFonts w:ascii="Times New Roman" w:hAnsi="Times New Roman" w:eastAsia="宋体"/>
          <w:b/>
          <w:sz w:val="21"/>
        </w:rPr>
        <w:t>English Abstract:</w:t>
      </w:r>
    </w:p>
    <w:p>
      <w:r>
        <w:rPr>
          <w:rFonts w:ascii="Times New Roman" w:hAnsi="Times New Roman" w:eastAsia="宋体"/>
          <w:sz w:val="21"/>
        </w:rPr>
        <w:t>Abstract Object detection, a cornerstone of computer vision, aims to localize and classify objects within images. This comprehensive survey reviews modern object detection methods, focusing on two dominant paradigms: Convolutional Neural Networks (CNNs) and Transformer-based architectures. This work provides a structured comparison of CNN-based and Transformer-based detection paradigms, highlighting their complementary strengths and trade-offs. CNNs demonstrate advantages in local feature extraction and computational efficiency, whereas Transformers excel at capturing global context through self-attention mechanisms. We also analyze multi-modal fusion techniques integrating Red-Green-Blue (RGB), Light Detection and Ranging (LiDAR), and language embeddings. Benchmark results from representative models include: Real-Time Detection Transformer (RT-DETR) achieves 53.1% mean Average Precision (mAP) at Intersection over Union (IoU) at 0.5 : 0.95, You Only Look Once version 8 (YOLOv8) achieves 50.2% mAP at 0.5:0.95, real-time detectors exceed 100 frames per second (FPS) with competitive accuracy, and specialized infrared methods achieve 92.45% F-measure on NUAA-SIRST dataset. The work introduces a novel taxonomy of multi-modal fusion strategies, documents field-wide and review-specific limitations, and synthesizes recent 2024 to 2025 benchmarks across diverse datasets. Despite these advances, significant challenges remain in handling scale variation, occlusion effects, and domain adaptation. This survey outlines these persistent obstacles and promising research directions, providing a structured reference for researchers and practitioners.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探索2000-2023年欧亚大陆高致病性甲型禽流感病毒基因重排时空变化的综合方法</w:t>
      </w:r>
    </w:p>
    <w:p>
      <w:r>
        <w:rPr>
          <w:rFonts w:ascii="Times New Roman" w:hAnsi="Times New Roman" w:eastAsia="宋体"/>
          <w:b/>
          <w:color w:val="003264"/>
          <w:sz w:val="24"/>
        </w:rPr>
        <w:t>Integrated approaches to explore temporal-spatial changes in gene reassortment of highly pathogenic avian influenza A(H5) virus in Eurasia, 2000–2023</w:t>
      </w:r>
    </w:p>
    <w:p>
      <w:r>
        <w:rPr>
          <w:rFonts w:ascii="Times New Roman" w:hAnsi="Times New Roman" w:eastAsia="宋体"/>
          <w:sz w:val="21"/>
        </w:rPr>
        <w:t>作者: Bo-Jia Chen, Chun-Chen Liang, Yao-Tsun Li, Ting-Wu Chuang, Hong-Dar Isaac Wu, Day-Yu Chao</w:t>
        <w:br/>
      </w:r>
      <w:r>
        <w:rPr>
          <w:rFonts w:ascii="Times New Roman" w:hAnsi="Times New Roman" w:eastAsia="宋体"/>
          <w:sz w:val="21"/>
        </w:rPr>
        <w:t xml:space="preserve">时间: 2026-02-05 | </w:t>
      </w:r>
      <w:r>
        <w:t xml:space="preserve">链接: </w:t>
      </w:r>
      <w:hyperlink r:id="rId51">
        <w:r>
          <w:rPr>
            <w:rFonts w:ascii="Times New Roman" w:hAnsi="Times New Roman" w:eastAsia="宋体"/>
            <w:color w:val="0000FF"/>
            <w:sz w:val="21"/>
            <w:u w:val="single"/>
          </w:rPr>
          <w:t>https://doi.org/10.1038/s41598-026-38466-y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鹅/广东/1996谱系(Gs/Gd)后代H5病毒在全球的传播具有高致病性，通过与低致病性禽流感病毒(LPAIV)的基因重配导致HA基因多样化，增加了它们对不同宿主的适应性。我们的研究旨在研究重配事件的时空动态，并确定与基因重配生态位相关的环境驱动因素。建立完整的 AIV 序列数据库是为了确定自 1997 年 Gs/Gd H5N1 出现以来 HPAIV 的全球基因型分布。开发了三阶段研究设计来确定 HPAIV H5 的基因重配热点（RA 热点），并检查 RA 热点与不同环境风险因素之间的关联。从1997年到2023年，HPAIV H5亚型表现出日益复杂的基因交换，本研究共鉴定出136种基因型。从单基因型主导（2000-2013年）到多基因型共循环（2014-2021年），再到区域流行（2022-2023年），观察到了三个不同的波。配对研究发现，雁形目、鸫形目和雀形目鸟类与 RA 热点呈显着正相关。 H5 HPAIV 基因型的动态变化与环境驱动因素从水禽到陆禽的转变一致，凸显了有针对性的监测对于促进缓解策略制定的重要性。</w:t>
      </w:r>
    </w:p>
    <w:p>
      <w:pPr>
        <w:spacing w:before="120"/>
      </w:pPr>
      <w:r>
        <w:rPr>
          <w:rFonts w:ascii="Times New Roman" w:hAnsi="Times New Roman" w:eastAsia="宋体"/>
          <w:b/>
          <w:sz w:val="21"/>
        </w:rPr>
        <w:t>English Abstract:</w:t>
      </w:r>
    </w:p>
    <w:p>
      <w:r>
        <w:rPr>
          <w:rFonts w:ascii="Times New Roman" w:hAnsi="Times New Roman" w:eastAsia="宋体"/>
          <w:sz w:val="21"/>
        </w:rPr>
        <w:t>The global circulation of the Goose/Guangdong/1996-lineage (Gs/Gd)-descended H5 viruses is highly pathogenic and has led to diversification of the HA gene through gene reassortment with low pathogenic avian influenza viruses (LPAIV), increasing their adaptability to different hosts. Our study aimed to investigate the spatial and temporal dynamics of reassortment events and identify the environmental drivers associated with the ecological niche of the gene reassortment. The complete AIV sequence database was curated to identify the global genotype distributions of HPAIV since the emergence of Gs/Gd H5N1 in 1997. The three-stage study design was developed to identify the gene reassortment hotspots (RA-hotspots) of HPAIV H5 and to examine the association between RA-hotspots and different environmental risk factors. From 1997 to 2023, HPAIV H5 subtype exhibited increasingly complex genetic exchanges, with a total of 136 genotypes identified in this study. Three distinct waves were observed from mono-genotype-dominant (2000–2013) to multi-genotypic co-circulation (2014–2021), followed by regional endemicity (2022–2023). The matched-pair study found that bird species in the orders Anseriformes, Charadriiformes, and Passeriformes are significantly positively associated with RA-hotspots. The dynamic changes in H5 HPAIV genotypes are consistent with the transition of environmental drivers from waterfowl to landfowl, highlighting the importance of targeted surveillance to facilitate the development of mitigation strategies.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修正：用于固体氧化物器件的 CGO-Cu 复合材料的原位高温 X 射线衍射和膨胀分析</w:t>
      </w:r>
    </w:p>
    <w:p>
      <w:r>
        <w:rPr>
          <w:rFonts w:ascii="Times New Roman" w:hAnsi="Times New Roman" w:eastAsia="宋体"/>
          <w:b/>
          <w:color w:val="003264"/>
          <w:sz w:val="24"/>
        </w:rPr>
        <w:t>Correction: In situ high temperature X-ray diffraction and dilatometric analysis of CGO–Cu composites for solid oxide devices</w:t>
      </w:r>
    </w:p>
    <w:p>
      <w:r>
        <w:rPr>
          <w:rFonts w:ascii="Times New Roman" w:hAnsi="Times New Roman" w:eastAsia="宋体"/>
          <w:sz w:val="21"/>
        </w:rPr>
        <w:t>作者: M. Balaguer, M. Fabuel, A. Kriele, A. Stark, J. M. Serra, C. Solís</w:t>
        <w:br/>
      </w:r>
      <w:r>
        <w:rPr>
          <w:rFonts w:ascii="Times New Roman" w:hAnsi="Times New Roman" w:eastAsia="宋体"/>
          <w:sz w:val="21"/>
        </w:rPr>
        <w:t xml:space="preserve">时间: 2026-02-05 | </w:t>
      </w:r>
      <w:r>
        <w:t xml:space="preserve">链接: </w:t>
      </w:r>
      <w:hyperlink r:id="rId52">
        <w:r>
          <w:rPr>
            <w:rFonts w:ascii="Times New Roman" w:hAnsi="Times New Roman" w:eastAsia="宋体"/>
            <w:color w:val="0000FF"/>
            <w:sz w:val="21"/>
            <w:u w:val="single"/>
          </w:rPr>
          <w:t>https://doi.org/10.1038/s41598-026-37894-0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城市热应激和青少年健康：印度尼西亚的影响和适应策略</w:t>
      </w:r>
    </w:p>
    <w:p>
      <w:r>
        <w:rPr>
          <w:rFonts w:ascii="Times New Roman" w:hAnsi="Times New Roman" w:eastAsia="宋体"/>
          <w:b/>
          <w:color w:val="003264"/>
          <w:sz w:val="24"/>
        </w:rPr>
        <w:t>Urban heat stress and adolescent health: impacts and adaptation strategies in Indonesia</w:t>
      </w:r>
    </w:p>
    <w:p>
      <w:r>
        <w:rPr>
          <w:rFonts w:ascii="Times New Roman" w:hAnsi="Times New Roman" w:eastAsia="宋体"/>
          <w:sz w:val="21"/>
        </w:rPr>
        <w:t>作者: D. Daniel, Vena Jaladara, Ragil Suciningsih, Xiang Ren Tan, Pearl Min Sze Tan, Yodi Mahendradhata, Jason Kai Wei Lee</w:t>
        <w:br/>
      </w:r>
      <w:r>
        <w:rPr>
          <w:rFonts w:ascii="Times New Roman" w:hAnsi="Times New Roman" w:eastAsia="宋体"/>
          <w:sz w:val="21"/>
        </w:rPr>
        <w:t xml:space="preserve">时间: 2026-02-05 | </w:t>
      </w:r>
      <w:r>
        <w:t xml:space="preserve">链接: </w:t>
      </w:r>
      <w:hyperlink r:id="rId79">
        <w:r>
          <w:rPr>
            <w:rFonts w:ascii="Times New Roman" w:hAnsi="Times New Roman" w:eastAsia="宋体"/>
            <w:color w:val="0000FF"/>
            <w:sz w:val="21"/>
            <w:u w:val="single"/>
          </w:rPr>
          <w:t>https://doi.org/10.1038/s41598-025-34800-y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气候变化通过极端的室外高温对青少年的健康产生不利影响，导致脱水、认知障碍、慢性健康风险以及可能致命的中暑。青少年的高水平体力活动和对户外极端高温影响的认识有限，加剧了这些风险，凸显了有效适应策略的必要性。然而，关于热暴露对身心的影响、青少年采取的适应实践、心理决定因素、微气候感知和周围自然条件的综合研究仍然有限。这项研究调查了城市地区青少年的户外热暴露情况，重点关注印度尼西亚日惹市。我们结合社会生态模型和RANAS心理学理论进行分析。对 439 名青少年的采访显示，由于户外高温暴露和热适应实践参与度较低，他们出现了轻微的身体和精神症状。近一半的人认为暴露在户外高温下很可能会出现健康问题，并且对高温暴露有很好的了解。然而，风险感知和知识这两个因素不足以刺激受访者采取适应做法。由于适应实践的心理水平较高，年轻女性比年轻男性更有可能采取热适应实践。对适应实践影响最大的变量是经历过热暴露的身体影响，其次是经历过精神影响和对环​​境阳光的看法。在所有心理因素中，自我调节“记忆”与采取适应实践显着相关。这项研究为制定适应策略以改善城市青少年的气候适应行为提供了重要见解。</w:t>
      </w:r>
    </w:p>
    <w:p>
      <w:pPr>
        <w:spacing w:before="120"/>
      </w:pPr>
      <w:r>
        <w:rPr>
          <w:rFonts w:ascii="Times New Roman" w:hAnsi="Times New Roman" w:eastAsia="宋体"/>
          <w:b/>
          <w:sz w:val="21"/>
        </w:rPr>
        <w:t>English Abstract:</w:t>
      </w:r>
    </w:p>
    <w:p>
      <w:r>
        <w:rPr>
          <w:rFonts w:ascii="Times New Roman" w:hAnsi="Times New Roman" w:eastAsia="宋体"/>
          <w:sz w:val="21"/>
        </w:rPr>
        <w:t>Climate change adversely affects adolescent health through extreme outdoor heat, causing dehydration, cognitive impairment, chronic health risks, and potentially fatal heat stroke. Adolescents’ high levels of physical activity and limited awareness about the impacts of extreme outdoor heat exacerbate these risks, highlighting the need for effective adaptation strategies. However, comprehensive studies on the physical and mental effects of heat exposure, adaptation practices adopted by adolescents, psychological determinants, microclimatic perceptions, and ambient-natural conditions remain limited. This study examined outdoor heat exposure in adolescents in urban areas, focusing on Yogyakarta City, Indonesia. We combined the Social-Ecological Model and the RANAS psychological theories in the analysis. Interviews with 439 adolescents revealed mild physical and mental symptoms due to outdoor heat exposure and low engagement in heat adaptation practices. Nearly half perceived a high likelihood of experiencing health problems when exposed to heat outdoors and had good knowledge about heat exposure. However, these two factors on risk perception and knowledge were not sufficient to spur respondents to adopt adaptation practices. Young women were more likely than young men to adopt heat adaptation practices, driven by higher psychological levels towards adaptation practices. The most influential variables on adaptation practices were having experienced the physical impacts of heat exposure, followed by having experienced the mental impacts, and perceptions about ambient sunlight. Among all psychological factors, self-regulation ‘remembering’ was significantly associated with adopting adaptation practices. This study provides key insights into developing adaptation strategies to improve climate adaptation behavior in urban adolescents.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使用功能化氧化铝 (Al2O₃) 纳米粒子增强低碳钢上环氧复合涂层的耐腐蚀性</w:t>
      </w:r>
    </w:p>
    <w:p>
      <w:r>
        <w:rPr>
          <w:rFonts w:ascii="Times New Roman" w:hAnsi="Times New Roman" w:eastAsia="宋体"/>
          <w:b/>
          <w:color w:val="003264"/>
          <w:sz w:val="24"/>
        </w:rPr>
        <w:t>Enhancing corrosion resistance of Epoxy-Based composite coatings on mild steel using functionalized aluminium oxide (Al₂O₃) nanoparticles</w:t>
      </w:r>
    </w:p>
    <w:p>
      <w:r>
        <w:rPr>
          <w:rFonts w:ascii="Times New Roman" w:hAnsi="Times New Roman" w:eastAsia="宋体"/>
          <w:sz w:val="21"/>
        </w:rPr>
        <w:t>作者: Saraswati Kumari Ola, Ishita Chopra, Triveni Ola, Veena Dhayal</w:t>
        <w:br/>
      </w:r>
      <w:r>
        <w:rPr>
          <w:rFonts w:ascii="Times New Roman" w:hAnsi="Times New Roman" w:eastAsia="宋体"/>
          <w:sz w:val="21"/>
        </w:rPr>
        <w:t xml:space="preserve">时间: 2026-02-05 | </w:t>
      </w:r>
      <w:r>
        <w:t xml:space="preserve">链接: </w:t>
      </w:r>
      <w:hyperlink r:id="rId80">
        <w:r>
          <w:rPr>
            <w:rFonts w:ascii="Times New Roman" w:hAnsi="Times New Roman" w:eastAsia="宋体"/>
            <w:color w:val="0000FF"/>
            <w:sz w:val="21"/>
            <w:u w:val="single"/>
          </w:rPr>
          <w:t>https://doi.org/10.1038/s41598-026-35180-7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在本研究中，合成了 Al2O3 和功能化氧化铝 [Al2O3F]，并通过傅里叶变换红外光谱、透射电子显微镜热重分析和扫描电子显微镜与能量色散 X 射线分析进行表征。由于腐蚀性环境中低碳钢的腐蚀是一个持续存在的挑战，因此这项工作的重点是使用金属氧化物纳米粒子改进环氧涂层。采用电化学技术测定了环氧树脂、含Al2O3 的环氧树脂和Al2O3F 在3.5 wt% NaCl 溶液中的腐蚀行为。通过拉力测试、盐雾测试和接触角测量来分析涂层基材的表面变化。结果证实了环氧-Al2O3F涂层比纯环氧树脂具有优越的性能。添加更高浓度的 Al2O3 和功能化 Al2O3 显着提高了涂层的防护性能。总之，这项研究为开发具有增强防腐蚀性能的先进涂层提供了重要的理解，为在具有挑战性的环境条件下的实际应用铺平了道路。</w:t>
      </w:r>
    </w:p>
    <w:p>
      <w:pPr>
        <w:spacing w:before="120"/>
      </w:pPr>
      <w:r>
        <w:rPr>
          <w:rFonts w:ascii="Times New Roman" w:hAnsi="Times New Roman" w:eastAsia="宋体"/>
          <w:b/>
          <w:sz w:val="21"/>
        </w:rPr>
        <w:t>English Abstract:</w:t>
      </w:r>
    </w:p>
    <w:p>
      <w:r>
        <w:rPr>
          <w:rFonts w:ascii="Times New Roman" w:hAnsi="Times New Roman" w:eastAsia="宋体"/>
          <w:sz w:val="21"/>
        </w:rPr>
        <w:t>In this study the Al2O3 and functionalized Aluminium oxide [Al2O3F] were synthesised and characterized by Fourier transform infrared spectroscopy Transmission Electron Microscopy thermal gravimetric analysis and Scanning Electron Microscopy with Energy Dispersive X-Ray Analysis. Since corrosion of mild steel in aggressive environments is a persistent challenge, this work focuses on improving epoxy coatings using metal oxide nanoparticles. The corrosion behaviour of the epoxy, epoxy containing Al2O3, and Al2O3F was determined by electrochemical technique in 3.5 wt% NaCl solution. Surface changes of the coated substrates were analysed by pull-off test, salt spray test, and contact angle measurement. The results confirmed the superior performance of epoxy-Al₂O₃F coating over neat epoxy. Adding higher concentrations of Al₂O₃ and functionalized Al₂O₃ significantly improved the coating’s protective performance. In summary, this research provides significant understanding for the development of advanced coatings with enhanced protective properties against corrosion, paving the way for practical applications in challenging environmental conditions.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肝移植候选者骨质疏松症与候补死亡率之间的关系</w:t>
      </w:r>
    </w:p>
    <w:p>
      <w:r>
        <w:rPr>
          <w:rFonts w:ascii="Times New Roman" w:hAnsi="Times New Roman" w:eastAsia="宋体"/>
          <w:b/>
          <w:color w:val="003264"/>
          <w:sz w:val="24"/>
        </w:rPr>
        <w:t>Association between osteoporosis and waitlist mortality in liver transplant candidates</w:t>
      </w:r>
    </w:p>
    <w:p>
      <w:r>
        <w:rPr>
          <w:rFonts w:ascii="Times New Roman" w:hAnsi="Times New Roman" w:eastAsia="宋体"/>
          <w:sz w:val="21"/>
        </w:rPr>
        <w:t>作者: Arzhang Naseri, Ehsan Shojaeefard, Alireza Keshtkar, Farnaz Atighi, Amirreza Sabahizadeh, Ramina Mofarrah, Marzieh Bakhshayeshkaram, Pedram Talezadeh, Fateme Sadat Sadeghi, Saeedreza Shirzadi, Yasaman Khadem, Mohammad Mahdi Dabbaghmanesh, Seyed Taghi Heydari, Mohammad Hossein Dabbaghmanesh</w:t>
        <w:br/>
      </w:r>
      <w:r>
        <w:rPr>
          <w:rFonts w:ascii="Times New Roman" w:hAnsi="Times New Roman" w:eastAsia="宋体"/>
          <w:sz w:val="21"/>
        </w:rPr>
        <w:t xml:space="preserve">时间: 2026-02-05 | </w:t>
      </w:r>
      <w:r>
        <w:t xml:space="preserve">链接: </w:t>
      </w:r>
      <w:hyperlink r:id="rId81">
        <w:r>
          <w:rPr>
            <w:rFonts w:ascii="Times New Roman" w:hAnsi="Times New Roman" w:eastAsia="宋体"/>
            <w:color w:val="0000FF"/>
            <w:sz w:val="21"/>
            <w:u w:val="single"/>
          </w:rPr>
          <w:t>https://doi.org/10.1038/s41598-026-38543-2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骨质疏松症是终末期肝病 (ESLD) 的常见合并症，但其对候补生存的影响仍未得到充分研究，特别是在非西方人群中。这项前瞻性横断面研究评估了 702 名成年候选者的骨矿物质密度 (BMD) 及其与死亡率的关系，其中包括 424 名男性 (60.4%) 和 278 名女性 (39.6%)，总体平均年龄为 45.13 ± 13.67 岁，正在伊朗一家主要转诊中心等待首次死亡供体肝移植。通过双能 X 射线吸收测定法 (DXA) 对腰椎、股骨颈和全髋关节的 BMD 进行评估。 43.4%的患者存在骨质疏松症，36.9%的患者存在骨质减少，只有19.7%的患者骨密度正常。终末期肝病模型 (MELD) 平均评分为 18.1 ± 6.53。在所有病因中，自身免疫性肝炎（AIH）患者的骨质疏松患病率最高（53.61%）。多变量 Cox 回归分析显示，骨质疏松症与候补死亡率增加独立相关（HR = 1.90，95% CI：1.17-3.07）。相反，原发性硬化性胆管炎 (PSC) 与死亡风险降低相关（HR = 0.42，95% CI：0.19–0.93）。这些发现强调了 ESLD 患者骨病的高患病率，将 AIH 确定为骨质疏松症的高风险病因，并将骨质疏松症确立为候补生存的重要预测因素，强调了 BMD 评估在移植前风险分层中的潜在价值。</w:t>
      </w:r>
    </w:p>
    <w:p>
      <w:pPr>
        <w:spacing w:before="120"/>
      </w:pPr>
      <w:r>
        <w:rPr>
          <w:rFonts w:ascii="Times New Roman" w:hAnsi="Times New Roman" w:eastAsia="宋体"/>
          <w:b/>
          <w:sz w:val="21"/>
        </w:rPr>
        <w:t>English Abstract:</w:t>
      </w:r>
    </w:p>
    <w:p>
      <w:r>
        <w:rPr>
          <w:rFonts w:ascii="Times New Roman" w:hAnsi="Times New Roman" w:eastAsia="宋体"/>
          <w:sz w:val="21"/>
        </w:rPr>
        <w:t>Osteoporosis is a common comorbidity in end-stage liver disease (ESLD), yet its impact on waitlist survival remains underexplored, particularly in non-Western populations. This prospective cross-sectional study evaluated bone mineral density (BMD) and its association with mortality in 702 adult candidates, including 424 (60.4%) males and 278 (39.6%) females with an overall mean age of 45.13 ± 13.67 years, awaiting their first deceased-donor liver transplantation at a major referral center in Iran. BMD was assessed via dual-energy X-ray absorptiometry (DXA) at the lumbar spine, femoral neck, and total hip. Osteoporosis was present in 43.4% of patients, osteopenia in 36.9%, and only 19.7% had normal BMD. The mean Model for End-Stage Liver Disease (MELD) score was 18.1 ± 6.53. Patients with autoimmune hepatitis (AIH) exhibited the highest prevalence of osteoporosis (53.61%) among all etiologies. Multivariate Cox regression analysis revealed that osteoporosis was independently associated with increased waitlist mortality (HR = 1.90, 95% CI: 1.17–3.07). Conversely, primary sclerosing cholangitis (PSC) was associated with reduced mortality risk (HR = 0.42, 95% CI: 0.19–0.93). These findings underscore the high prevalence of bone disease in ESLD patients, identify AIH as a high-risk etiology for osteoporosis, and establish osteoporosis as a significant predictor of waitlist survival, highlighting the potential value of BMD assessment in pre-transplant risk stratification.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混合来源引进成功增强了圈养林麝（Moschus berezovskii）的遗传多样性</w:t>
      </w:r>
    </w:p>
    <w:p>
      <w:r>
        <w:rPr>
          <w:rFonts w:ascii="Times New Roman" w:hAnsi="Times New Roman" w:eastAsia="宋体"/>
          <w:b/>
          <w:color w:val="003264"/>
          <w:sz w:val="24"/>
        </w:rPr>
        <w:t>Mixed-source introductions successfully enhance the genetic diversity of captive forest musk deer (Moschus berezovskii)</w:t>
      </w:r>
    </w:p>
    <w:p>
      <w:r>
        <w:rPr>
          <w:rFonts w:ascii="Times New Roman" w:hAnsi="Times New Roman" w:eastAsia="宋体"/>
          <w:sz w:val="21"/>
        </w:rPr>
        <w:t>作者: Xianna Lan, Yichen Wang, Yixin Li, Haonan Zhang, Zhengwei Luo, Luyao Hai, Han Jiang, Yuhan Ma, Wangshan Zheng, Pengfei Luo, Yu Zhang, Defu Hu, Xinghu Qin</w:t>
        <w:br/>
      </w:r>
      <w:r>
        <w:rPr>
          <w:rFonts w:ascii="Times New Roman" w:hAnsi="Times New Roman" w:eastAsia="宋体"/>
          <w:sz w:val="21"/>
        </w:rPr>
        <w:t xml:space="preserve">时间: 2026-02-05 | </w:t>
      </w:r>
      <w:r>
        <w:t xml:space="preserve">链接: </w:t>
      </w:r>
      <w:hyperlink r:id="rId82">
        <w:r>
          <w:rPr>
            <w:rFonts w:ascii="Times New Roman" w:hAnsi="Times New Roman" w:eastAsia="宋体"/>
            <w:color w:val="0000FF"/>
            <w:sz w:val="21"/>
            <w:u w:val="single"/>
          </w:rPr>
          <w:t>https://doi.org/10.1038/s41598-026-37358-5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持续的偷猎和栖息地丧失，野生森林麝（FMD）数量一直在减少。尽管圈养繁殖增加了种群数量，但由于野生种群的枯竭和圈养种群近亲繁殖导致的遗传多样性丧失，维持这些养殖种群的遗传多样性变得越来越紧迫和具有挑战性。我们使用 683 个个体的样本，评估了中国西部新建立的异地种群（BB；于 2019 年成立，有 44 个育种者）及其三个创始来源种群（PZH、TZL、GL）的线粒体遗传多样性（ATP8-6、Cytb、控制区 [CR]）、结构和母系谱系模式。我们的结果表明，异位群体在 ATP8-6 和 Cytb 中比其来源群体保持更高的核苷酸多样性 (π)，同时表现出可比的单倍型多样性 (Hd)。系统发育和单倍型网络分析确定了整个种群的三个母系谱系，异地种群包含所有谱系的代表，并显示出与至少一些创始群体的显着遗传分化，表明混合来源引入策略成功地创建了一个遗传上不同的种群。中性测试和错配分布表明基线种群存在历史瓶颈，而异地种群则显示出近期混合和扩张的特征。这些发现强调了混合来源引入在迁地保护期间增强遗传多样性的潜在好处。我们建议对人口历史进行长期遗传监测和深入分析，以完善易位策略并支持口蹄疫在管理护理下的长期生存能力。</w:t>
      </w:r>
    </w:p>
    <w:p>
      <w:pPr>
        <w:spacing w:before="120"/>
      </w:pPr>
      <w:r>
        <w:rPr>
          <w:rFonts w:ascii="Times New Roman" w:hAnsi="Times New Roman" w:eastAsia="宋体"/>
          <w:b/>
          <w:sz w:val="21"/>
        </w:rPr>
        <w:t>English Abstract:</w:t>
      </w:r>
    </w:p>
    <w:p>
      <w:r>
        <w:rPr>
          <w:rFonts w:ascii="Times New Roman" w:hAnsi="Times New Roman" w:eastAsia="宋体"/>
          <w:sz w:val="21"/>
        </w:rPr>
        <w:t>Wild Forest musk deer (FMD) has been declining due to continuing poaching and habitat loss. Although captive breeding has increased population numbers, maintaining genetic diversity in these farmed populations has become increasingly urgent and challenging due to depleted wild stocks and loss of genetic diversity from inbreeding in captive populations. Using samples from 683 individuals, we assessed mitochondrial genetic diversity (ATP8-6, Cytb, control region [CR]), structure, and maternal lineage patterns in a newly established ex-situ population (BB; founded 2019 with 44 breeders) and its three founding source populations (PZH, TZL, GL) in western China. Our results demonstrate that the ex-situ population maintains higher nucleotide diversity (π) in ATP8-6 and Cytb than its source populations, while exhibiting comparable haplotype diversity (Hd). Phylogenetic and haplotype network analyses identified three maternal lineages across populations, with the ex-situ population containing representatives of all lineages and showing significant genetic differentiation from at least some founder groups, indicating the mixed-source introduction strategy successfully created a genetically distinct population. Neutrality tests and mismatch distributions suggested historical bottlenecks in baseline populations, whereas the ex-situ population showed signatures of recent admixture and expansion. These findings highlight the potential benefits of mixed-source introductions in enhancing genetic diversity during ex-situ conservation. We recommend long-term genetic monitoring and in-depth analysis of population history to refine translocation strategies and support the long-term viability of FMD under managed care.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通过实验研究和机器学习分析沸石和废陶瓷粉末混凝土的力学性能和耐久性</w:t>
      </w:r>
    </w:p>
    <w:p>
      <w:r>
        <w:rPr>
          <w:rFonts w:ascii="Times New Roman" w:hAnsi="Times New Roman" w:eastAsia="宋体"/>
          <w:b/>
          <w:color w:val="003264"/>
          <w:sz w:val="24"/>
        </w:rPr>
        <w:t>Mechanical properties and durability of concrete with zeolite and waste ceramic powder through experimental investigation and machine learning analysis</w:t>
      </w:r>
    </w:p>
    <w:p>
      <w:r>
        <w:rPr>
          <w:rFonts w:ascii="Times New Roman" w:hAnsi="Times New Roman" w:eastAsia="宋体"/>
          <w:sz w:val="21"/>
        </w:rPr>
        <w:t>作者: Danial Nasr, Rezvan Babagoli, Peyman Shirani Bidabadi</w:t>
        <w:br/>
      </w:r>
      <w:r>
        <w:rPr>
          <w:rFonts w:ascii="Times New Roman" w:hAnsi="Times New Roman" w:eastAsia="宋体"/>
          <w:sz w:val="21"/>
        </w:rPr>
        <w:t xml:space="preserve">时间: 2026-02-05 | </w:t>
      </w:r>
      <w:r>
        <w:t xml:space="preserve">链接: </w:t>
      </w:r>
      <w:hyperlink r:id="rId83">
        <w:r>
          <w:rPr>
            <w:rFonts w:ascii="Times New Roman" w:hAnsi="Times New Roman" w:eastAsia="宋体"/>
            <w:color w:val="0000FF"/>
            <w:sz w:val="21"/>
            <w:u w:val="single"/>
          </w:rPr>
          <w:t>https://doi.org/10.1038/s41598-026-38184-5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研究了沸石和陶瓷粉末作为辅助胶凝材料对混凝土机械和耐久性能的综合影响，并开发了机器学习模型来准确预测这些性能。尽管之前的研究已经单独评估了这些材料，但之前没有任何工作系统地检验它们在多个替代水平上的协同效应或将实验结果与先进的预测模型相结合。进行了全面的实验计划来评估混合混合物的抗压强度和氯化物渗透阻力。结果表明，最佳组合（15% 沸石和 30% 陶瓷粉末）显着增强了耐用性，将 RCPT 电荷从 3235.1 库仑降低至 425.7 库仑，降低了 86.8%，具有统计显着性（p &lt; 0.05）。为了将研究结果的适用性扩展到测试的混合设计之外，使用实验数据集训练了几种机器学习算法，XGBoost 展示了最高的预测准确性（RMSE = 1.5，R2 = 0.91）。这些模型提供了混凝土性能的可靠估计，并减少了广泛的实验室测试的需要。总体而言，结果表明，沸石和陶瓷粉末的协同使用不仅可以提高机械和耐久性能，还可以减少水泥需求并回收工业废物，为生产更耐用的混凝土提供了一种实用且环境可持续的方法。</w:t>
      </w:r>
    </w:p>
    <w:p>
      <w:pPr>
        <w:spacing w:before="120"/>
      </w:pPr>
      <w:r>
        <w:rPr>
          <w:rFonts w:ascii="Times New Roman" w:hAnsi="Times New Roman" w:eastAsia="宋体"/>
          <w:b/>
          <w:sz w:val="21"/>
        </w:rPr>
        <w:t>English Abstract:</w:t>
      </w:r>
    </w:p>
    <w:p>
      <w:r>
        <w:rPr>
          <w:rFonts w:ascii="Times New Roman" w:hAnsi="Times New Roman" w:eastAsia="宋体"/>
          <w:sz w:val="21"/>
        </w:rPr>
        <w:t>This study investigates the combined influence of zeolite and ceramic powder as supplementary cementitious materials on the mechanical and durability performance of concrete and develops machine-learning models to accurately predict these properties. Although previous studies have evaluated these materials individually, no prior work has systematically examined their synergistic effects across multiple replacement levels or integrated experimental findings with advanced predictive modeling. A comprehensive experimental program was conducted to assess the compressive strength and chloride penetration resistance of hybrid mixtures. Results show that the optimal combination (15% zeolite and 30% ceramic powder) significantly enhanced durability, reducing the RCPT charge from 3235.1 to 425.7 coulombs w 86.8% reduction, statistically significant (p &lt; 0.05). To extend the applicability of the findings beyond the tested mix designs, several machine-learning algorithms were trained using the experimental dataset, with XGBoost demonstrating the highest predictive accuracy (RMSE = 1.5, R2 = 0.91). These models provide reliable estimations of concrete performance and reduce the need for extensive laboratory testing. Overall, the results highlight that the synergistic use of zeolite and ceramic powder not only improves mechanical and durability performance but also reduces cement demand and recycles industrial waste, offering a practical and environmentally sustainable approach for producing more durable concrete.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UCMSC 衍生的外泌体通过调节中性粒细胞的 Th17/Treg 平衡改善干眼病发病机制</w:t>
      </w:r>
    </w:p>
    <w:p>
      <w:r>
        <w:rPr>
          <w:rFonts w:ascii="Times New Roman" w:hAnsi="Times New Roman" w:eastAsia="宋体"/>
          <w:b/>
          <w:color w:val="003264"/>
          <w:sz w:val="24"/>
        </w:rPr>
        <w:t>UCMSC-derived exosomes ameliorate dry eye disease pathogenesis by modulating neutrophils on Th17/Treg balance</w:t>
      </w:r>
    </w:p>
    <w:p>
      <w:r>
        <w:rPr>
          <w:rFonts w:ascii="Times New Roman" w:hAnsi="Times New Roman" w:eastAsia="宋体"/>
          <w:sz w:val="21"/>
        </w:rPr>
        <w:t>作者: Yuxing Gong, Yufei Ding, Jingyi Yang, Tao Ding, Bin Li, Junfeng Ma, Wahid Shah, Youcai Deng, Ping Duan, Yu Zhang, Yuan Gao</w:t>
        <w:br/>
      </w:r>
      <w:r>
        <w:rPr>
          <w:rFonts w:ascii="Times New Roman" w:hAnsi="Times New Roman" w:eastAsia="宋体"/>
          <w:sz w:val="21"/>
        </w:rPr>
        <w:t xml:space="preserve">时间: 2026-02-05 | </w:t>
      </w:r>
      <w:r>
        <w:t xml:space="preserve">链接: </w:t>
      </w:r>
      <w:hyperlink r:id="rId84">
        <w:r>
          <w:rPr>
            <w:rFonts w:ascii="Times New Roman" w:hAnsi="Times New Roman" w:eastAsia="宋体"/>
            <w:color w:val="0000FF"/>
            <w:sz w:val="21"/>
            <w:u w:val="single"/>
          </w:rPr>
          <w:t>https://doi.org/10.1038/s41598-026-38010-y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干眼病 (DED) 是一种以 Th17/Treg 细胞失衡为特征的慢性眼表疾病，尤其在老年女性中普遍存在。目前的治疗方法正在从仅仅缓解症状发展到针对免疫功能障碍。间充质干细胞衍生的外泌体 (MSC-Exos) 已被证明能够在 DED 中调节免疫反应并促进角膜上皮细胞再生。尽管如此，MSC-Exos 发挥这些作用的确切机制尚未完全清楚。因此，本研究的目的是探讨脐带间充质干细胞来源的外泌体（UCMSC-Exos）在 DED 小鼠模型中的治疗作用背后的机制。我们发现 UCMSC-Exos 在体外刺激人角膜上皮细胞系伤口愈合。 UCMSC-Exos 的局部或全身给药显着改变了中性粒细胞的细胞因子表达，导致促炎细胞因子表达减少和抗炎细胞因子表达增加。细胞因子谱的这种变化重新建立了 Treg/Th17 细胞平衡，从而减少炎症并缓解 DED 症状，年轻小鼠表现出更明显的益处。这些结果凸显了 UCMSC-Exos 作为 DED 治疗方法的潜力，可调节免疫失调并增强眼表修复。</w:t>
      </w:r>
    </w:p>
    <w:p>
      <w:pPr>
        <w:spacing w:before="120"/>
      </w:pPr>
      <w:r>
        <w:rPr>
          <w:rFonts w:ascii="Times New Roman" w:hAnsi="Times New Roman" w:eastAsia="宋体"/>
          <w:b/>
          <w:sz w:val="21"/>
        </w:rPr>
        <w:t>English Abstract:</w:t>
      </w:r>
    </w:p>
    <w:p>
      <w:r>
        <w:rPr>
          <w:rFonts w:ascii="Times New Roman" w:hAnsi="Times New Roman" w:eastAsia="宋体"/>
          <w:sz w:val="21"/>
        </w:rPr>
        <w:t>Dry eye disease (DED) is a chronic ocular surface disorder characterized by Th17/Treg cells imbalance, particularly prevalent among elderly females. Current treatment approaches are evolving from merely providing symptomatic relief to targeting immune dysfunction. Mesenchymal stem cell-derived exosomes (MSC-Exos) have demonstrated the ability to modulate the immune response and promote corneal epithelial cell regeneration in DED. Nonetheless, the precise mechanism through which MSC-Exos exert these effects is not yet fully understood. Consequently, the objective of this study was to explore the mechanisms behind the therapeutic effects of umbilical cord mesenchymal stem cell-derived exosomes (UCMSC-Exos) in a murine model of DED. We discovered that UCMSC-Exos stimulated human corneal epithelial cell lines wound healing in vitro. The topical or systemic administration of UCMSC-Exos significantly altered cytokine expression by neutrophils, leading to a reduction in proinflammatory cytokine expression and an increase in anti-inflammatory cytokine expression. This shift in the cytokine profile reestablished the Treg/Th17 cells balance, resulting in decreased inflammation and alleviation of DED symptoms, with younger mice showing more pronounced benefits. These results highlight the potential of UCMSC-Exos as a therapeutic approach for DED that modulates immune dysregulation and enhances ocular surface repair.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 Al2O3 全面增强 PVC 纳米复合材料，用于先进光电器件</w:t>
      </w:r>
    </w:p>
    <w:p>
      <w:r>
        <w:rPr>
          <w:rFonts w:ascii="Times New Roman" w:hAnsi="Times New Roman" w:eastAsia="宋体"/>
          <w:b/>
          <w:color w:val="003264"/>
          <w:sz w:val="24"/>
        </w:rPr>
        <w:t>Comprehensive enhancement of PVC nanocomposites through Al2O3 for advanced optoelectronics</w:t>
      </w:r>
    </w:p>
    <w:p>
      <w:r>
        <w:rPr>
          <w:rFonts w:ascii="Times New Roman" w:hAnsi="Times New Roman" w:eastAsia="宋体"/>
          <w:sz w:val="21"/>
        </w:rPr>
        <w:t>作者: M. A. Attallah</w:t>
        <w:br/>
      </w:r>
      <w:r>
        <w:rPr>
          <w:rFonts w:ascii="Times New Roman" w:hAnsi="Times New Roman" w:eastAsia="宋体"/>
          <w:sz w:val="21"/>
        </w:rPr>
        <w:t xml:space="preserve">时间: 2026-02-05 | </w:t>
      </w:r>
      <w:r>
        <w:t xml:space="preserve">链接: </w:t>
      </w:r>
      <w:hyperlink r:id="rId85">
        <w:r>
          <w:rPr>
            <w:rFonts w:ascii="Times New Roman" w:hAnsi="Times New Roman" w:eastAsia="宋体"/>
            <w:color w:val="0000FF"/>
            <w:sz w:val="21"/>
            <w:u w:val="single"/>
          </w:rPr>
          <w:t>https://doi.org/10.1038/s41598-025-32078-8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随着弹性和半透明光电子学的快速发展，对低成本材料的需求已成为一个主要的研究课题。因此，本文研究了 Al 2 O 3 的掺入如何改变 PVC 的性能。采用经济高效且简单的工艺（铸造法）调节Al 2 O 3 浓度，制备了新型PVC/xAl 2 O 3 (x = 0, 0.01, 0.03, 0.07, 0.1, 0.2 wt%)纳米复合材料。使用 X 射线衍射 (XRD)、傅里叶变换红外光谱 (FTIR)、扫描电子显微镜 (SEM)、紫外-可见 (UV-可见) 光谱和阻抗测量来分析 PVC/xAl 2 O 3 (x = 0、0.01、0.03、0.07、0.1、0.2 wt%) 纳米复合材料。使用 Scherrer 和 Williamson-Hall 方法评估位错密度 (δ)、畸变参数 (g)、纳米颗粒尺寸 (D) 和晶格应变 (ε)。观察到晶体尺寸和微晶数量随着Al 2 O 3 含量的增加而增加，表明材料中的结晶度较高。发现 PVC/xAl 2 O 3 (x = 0.1wt%) 的粒径约为 30.22 nm。 SEM 分析表明，在低 Al 2 O 3 浓度下，PVC 内 Al 2 O 3 的分布一致。这些PVC/Al 2 O 3 薄膜根据其取决于填料浓度的可见吸收特性，在不同柔性光电器件的封装中用作可调节的光漫射薄膜。 PVC和PVC/x(Al 2 O 3 )（其中x=0.2）的光学带隙分别为5.05 eV和3 eV。这种减少与带隙中局域态的产生有关。获得的折射率值大于早期研究中发现的值，表明少量Al 2 O 3 纳米粒子的掺入提高了PVC的折射率。值得注意的是，随着Al 2 O 3 浓度的升高，色散参数E d 、M 2 和M 3 呈现增加，而E 0 呈现下降。相反，随着 PVC 基体中氧化铝含量的增加，合成纳米复合材料的介电特性得到改善。研究结果得出结论，廉价的 PVC/xAl 2 O 3 (x = 0.1wt%) 纳米复合材料可用作复杂光电应用的重要组成部分。</w:t>
      </w:r>
    </w:p>
    <w:p>
      <w:pPr>
        <w:spacing w:before="120"/>
      </w:pPr>
      <w:r>
        <w:rPr>
          <w:rFonts w:ascii="Times New Roman" w:hAnsi="Times New Roman" w:eastAsia="宋体"/>
          <w:b/>
          <w:sz w:val="21"/>
        </w:rPr>
        <w:t>English Abstract:</w:t>
      </w:r>
    </w:p>
    <w:p>
      <w:r>
        <w:rPr>
          <w:rFonts w:ascii="Times New Roman" w:hAnsi="Times New Roman" w:eastAsia="宋体"/>
          <w:sz w:val="21"/>
        </w:rPr>
        <w:t>Abstract With the rapid advancement of elastic and translucent optoelectronics, the demand for low-cost materials has emerged as a major research topic. As a result, this paper investigated how Al 2 O 3 incorporation altered the properties of PVC. New PVC/xAl 2 O 3 (x = 0, 0.01, 0.03, 0.07, 0.1, 0.2 wt%) nanocomposites were manufactured by using a cost-effective and simple process (casting method) to adjust the Al 2 O 3 concentration. The PVC/xAl 2 O 3 (x = 0, 0.01, 0.03, 0.07, 0.1, 0.2 wt%) nanocomposites were analyzed using X-ray diffraction (XRD), Fourier Transform Infrared spectroscopy (FTIR), scanning electron microscopy (SEM), ultraviolet-visible (UV–visible) spectroscopy, and impedance measurements. Dislocation density (δ), Distortion parameter (g), nanoparticle size (D), and lattice strain (ε) were assessed using the Scherrer and Williamson–Hall methods. Crystal size and the number of crystallites were observed to increase with Al 2 O 3 content, revealing the higher crystallinity in the material. It was found that the particle size was ~ 30.22 nm for PVC/xAl 2 O 3 (x = 0.1wt%). SEM analysis showed a consistent distribution of Al 2 O 3 within the PVC at low concentrations of Al 2 O 3 . These PVC/Al 2 O 3 films were used as adjustable light- diffusing films in the packaging of different flexible photoelectric devices, according to their visible absorbance characteristic depending on filler concentrations. The optical bandgaps of PVC and PVC/x(Al 2 O 3 ) (where x = 0.2) were 5.05 eV and 3 eV, respectively. This decrease was associated with the creation of localized states in the bandgap. The refractive index values obtained were greater than those found in earlier studies, suggesting that the incorporation of a small amount of Al 2 O 3 nanoparticles improved the refractive index of PVC. It was noted that as the concentration of Al 2 O 3 rose, the dispersion parameters E d , M 2, and M 3 showed an increase, while E 0 exhibited a decrease. Conversely, the dielectric characteristics of the synthesized nanocomposites improved as the alumina content in the PVC matrix increased. The findings concluded that inexpensive PVC/xAl 2 O 3 (x = 0.1wt%) nanocomposites can be used as an essential component in sophisticated optoelectronic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与多重耐药肺炎克雷伯菌耐药性逆转相关的全局调节因子和外排基因的综合分析</w:t>
      </w:r>
    </w:p>
    <w:p>
      <w:r>
        <w:rPr>
          <w:rFonts w:ascii="Times New Roman" w:hAnsi="Times New Roman" w:eastAsia="宋体"/>
          <w:b/>
          <w:color w:val="003264"/>
          <w:sz w:val="24"/>
        </w:rPr>
        <w:t>Integrated analysis of global regulators and efflux genes associated with antimicrobial resistance reversal in multidrug resistant Klebsiella pneumoniae</w:t>
      </w:r>
    </w:p>
    <w:p>
      <w:r>
        <w:rPr>
          <w:rFonts w:ascii="Times New Roman" w:hAnsi="Times New Roman" w:eastAsia="宋体"/>
          <w:sz w:val="21"/>
        </w:rPr>
        <w:t>作者: Ali J. Obaid, Ali J. Alkawaz, Maryam S. Naser</w:t>
        <w:br/>
      </w:r>
      <w:r>
        <w:rPr>
          <w:rFonts w:ascii="Times New Roman" w:hAnsi="Times New Roman" w:eastAsia="宋体"/>
          <w:sz w:val="21"/>
        </w:rPr>
        <w:t xml:space="preserve">时间: 2026-02-05 | </w:t>
      </w:r>
      <w:r>
        <w:t xml:space="preserve">链接: </w:t>
      </w:r>
      <w:hyperlink r:id="rId86">
        <w:r>
          <w:rPr>
            <w:rFonts w:ascii="Times New Roman" w:hAnsi="Times New Roman" w:eastAsia="宋体"/>
            <w:color w:val="0000FF"/>
            <w:sz w:val="21"/>
            <w:u w:val="single"/>
          </w:rPr>
          <w:t>https://doi.org/10.1038/s41598-026-37272-w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多重耐药肺炎克雷伯菌由于能够逃避抗生素治疗，特别是通过外排系统的过度表达，带来了越来越大的临床挑战。其中，AcrAB-TolC 泵是抵抗氟喹诺酮类药物的核心。虽然全球监管机构的 MarA、SoxS 和 Rob 是已知的肠杆菌科外排调节剂，但它们在临床肺炎克雷伯菌中的功能相关性仍未得到充分定义，并且很大程度上基于相关性。本研究旨在 (1) 确定多重耐药 (MDR) 肺炎克雷伯菌中全局调节因子 MarA、SoxS 和 Rob 与 AcrAB-TolC 外排系统之间的转录关联，以及 (2) 通过基于 PAβN 的抑制测定，功能性评估外排是否有助于氟喹诺酮耐药。这两个分析层共同表明调节剂表达和外排相关的耐药逆转之间可能存在联系，但未确认直接调节激活。通过抗生素敏感性测试对 30 种临床 MDR 分离株和 10 种敏感对照进行了表征。使用 qRT-PCR 对基因表达进行定量，标准化为 16S rRNA，并通过 2^–ΔΔCt 方法进行分析。皮尔逊相关性评估了基因表达与耐药性之间的关系。使用 AcrAB-TolC 抑制剂 PAβN 进行外排活性的表型验证。 MDR 分离株表现出 marA（5.0 倍）、soxS（4.0 倍）、acrB（7.9 倍）和其他外排成分的显着过表达（p &lt; 0.001）。在 marA/soxS 和 acrB 表达之间观察到强正相关性，表明潜在的调控关联。在 80% 高 acrB 表达分离株中，PAβN 暴露使环丙沙星 MIC 降低了四倍以上，支持主动外排机制的参与。我们的综合研究结果表明，较高的 marA/soxS 表达与临床 MDR 分离株中 AcrAB-TolC 外排泵基因表达的增加和氟喹诺酮耐药性相关，而 PAβN 介导的外排抑制与部分敏感性恢复相关。总之，这些结果凸显了全球调节剂和外排泵作为耐药逆转的可行治疗靶点。</w:t>
      </w:r>
    </w:p>
    <w:p>
      <w:pPr>
        <w:spacing w:before="120"/>
      </w:pPr>
      <w:r>
        <w:rPr>
          <w:rFonts w:ascii="Times New Roman" w:hAnsi="Times New Roman" w:eastAsia="宋体"/>
          <w:b/>
          <w:sz w:val="21"/>
        </w:rPr>
        <w:t>English Abstract:</w:t>
      </w:r>
    </w:p>
    <w:p>
      <w:r>
        <w:rPr>
          <w:rFonts w:ascii="Times New Roman" w:hAnsi="Times New Roman" w:eastAsia="宋体"/>
          <w:sz w:val="21"/>
        </w:rPr>
        <w:t>Multidrug-resistant Klebsiella pneumoniae poses a growing clinical challenge due to its ability to evade antibiotic treatment, particularly through the overexpression of efflux systems. Among these, the AcrAB-TolC pump is central to resistance against fluoroquinolones. While the global regulator’s MarA, SoxS, and Rob are known modulators of efflux in Enterobacteriaceae, their functional relevance in clinical K. pneumoniae remains insufficiently defined and largely correlation-based. This study was designed to (1) determine the transcriptional association between the global regulators MarA, SoxS, and Rob with the AcrAB-TolC efflux system in multidrug-resistant (MDR) Klebsiella pneumoniae, and (2) functionally assess whether efflux contributes to fluoroquinolone resistance through PAβN-based inhibition assays. Together, these two analytical layers suggest a possible link between regulator expression and efflux-associated resistance reversal, without confirming direct regulatory activation. Thirty clinical MDR isolates and ten susceptible controls were characterized via antibiotic susceptibility testing. Gene expression was quantified using qRT-PCR, normalized to 16S rRNA, and analyzed by the 2^–ΔΔCt method. Pearson correlation assessed relationships between gene expression and resistance. Phenotypic validation of efflux activity was performed using PAβN, an AcrAB-TolC inhibitor. MDR isolates exhibited significant overexpression of marA (5.0-fold), soxS (4.0-fold), acrB (7.9-fold), and other efflux components (p &lt; 0.001). Strong positive correlations were observed between marA/soxS and acrB expression, suggesting a potential regulatory association. PAβN exposure reduced ciprofloxacin MICs by ≥ fourfold in 80% of high acrB expression isolates, supporting the involvement of active efflux mechanisms. Our integrated findings indicate that higher marA/soxS expression is associated with increased gene expression of the AcrAB-TolC efflux pump and fluoroquinolone resistance in clinical MDR isolates, while PAβN-mediated efflux inhibition is associated with partial susceptibility restoration. Together, these results highlight global regulators and efflux pumps as actionable therapeutic targets for resistance reversal.</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Displays</w:t>
      </w:r>
    </w:p>
    <w:p>
      <w:pPr>
        <w:jc w:val="center"/>
      </w:pPr>
      <w:r>
        <w:t>--- 更新: 00:27 ---</w:t>
      </w:r>
    </w:p>
    <w:p>
      <w:pPr>
        <w:pStyle w:val="Heading2"/>
      </w:pPr>
      <w:r/>
      <w:r>
        <w:rPr>
          <w:rFonts w:ascii="Times New Roman" w:hAnsi="Times New Roman" w:eastAsia="宋体"/>
          <w:b/>
          <w:color w:val="000000"/>
          <w:sz w:val="24"/>
        </w:rPr>
        <w:t>通过冲突感知提示学习实现轻量级多天气图像恢复</w:t>
      </w:r>
    </w:p>
    <w:p>
      <w:r>
        <w:rPr>
          <w:rFonts w:ascii="Times New Roman" w:hAnsi="Times New Roman" w:eastAsia="宋体"/>
          <w:b/>
          <w:color w:val="003264"/>
          <w:sz w:val="24"/>
        </w:rPr>
        <w:t>A lightweight multi-weather image restoration via conflict-aware prompt learning</w:t>
      </w:r>
    </w:p>
    <w:p>
      <w:r>
        <w:rPr>
          <w:rFonts w:ascii="Times New Roman" w:hAnsi="Times New Roman" w:eastAsia="宋体"/>
          <w:sz w:val="21"/>
        </w:rPr>
        <w:t>作者: Pengyun Chen, Ning Cao, Minghui Jiang, Zhuoyu Jin, Hao Liu, Xiaoheng Jiang, Mingliang Xu</w:t>
        <w:br/>
      </w:r>
      <w:r>
        <w:rPr>
          <w:rFonts w:ascii="Times New Roman" w:hAnsi="Times New Roman" w:eastAsia="宋体"/>
          <w:sz w:val="21"/>
        </w:rPr>
        <w:t xml:space="preserve">时间: 2026-02-01 | </w:t>
      </w:r>
      <w:r>
        <w:t xml:space="preserve">链接: </w:t>
      </w:r>
      <w:hyperlink r:id="rId15">
        <w:r>
          <w:rPr>
            <w:rFonts w:ascii="Times New Roman" w:hAnsi="Times New Roman" w:eastAsia="宋体"/>
            <w:color w:val="0000FF"/>
            <w:sz w:val="21"/>
            <w:u w:val="single"/>
          </w:rPr>
          <w:t>https://doi.org/10.1016/j.displa.2026.103378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基于视觉注意力的 VR 疾病评估模型</w:t>
      </w:r>
    </w:p>
    <w:p>
      <w:r>
        <w:rPr>
          <w:rFonts w:ascii="Times New Roman" w:hAnsi="Times New Roman" w:eastAsia="宋体"/>
          <w:b/>
          <w:color w:val="003264"/>
          <w:sz w:val="24"/>
        </w:rPr>
        <w:t>A visual Attention-Based model for VR sickness assessment</w:t>
      </w:r>
    </w:p>
    <w:p>
      <w:r>
        <w:rPr>
          <w:rFonts w:ascii="Times New Roman" w:hAnsi="Times New Roman" w:eastAsia="宋体"/>
          <w:sz w:val="21"/>
        </w:rPr>
        <w:t>作者: Yongqing Cai, Cheng Han, Wei Quan, Yuechen Zhang</w:t>
        <w:br/>
      </w:r>
      <w:r>
        <w:rPr>
          <w:rFonts w:ascii="Times New Roman" w:hAnsi="Times New Roman" w:eastAsia="宋体"/>
          <w:sz w:val="21"/>
        </w:rPr>
        <w:t xml:space="preserve">时间: 2026-02-01 | </w:t>
      </w:r>
      <w:r>
        <w:t xml:space="preserve">链接: </w:t>
      </w:r>
      <w:hyperlink r:id="rId16">
        <w:r>
          <w:rPr>
            <w:rFonts w:ascii="Times New Roman" w:hAnsi="Times New Roman" w:eastAsia="宋体"/>
            <w:color w:val="0000FF"/>
            <w:sz w:val="21"/>
            <w:u w:val="single"/>
          </w:rPr>
          <w:t>https://doi.org/10.1016/j.displa.2026.103376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 Technology</w:t>
      </w:r>
    </w:p>
    <w:p>
      <w:pPr>
        <w:jc w:val="center"/>
      </w:pPr>
      <w:r>
        <w:t>--- 更新: 00:28 ---</w:t>
      </w:r>
    </w:p>
    <w:p>
      <w:pPr>
        <w:pStyle w:val="Heading2"/>
      </w:pPr>
      <w:r/>
      <w:r>
        <w:rPr>
          <w:rFonts w:ascii="Times New Roman" w:hAnsi="Times New Roman" w:eastAsia="宋体"/>
          <w:b/>
          <w:color w:val="000000"/>
          <w:sz w:val="24"/>
        </w:rPr>
        <w:t>“基于双端点检测和迭代 VMD 的非对称干涉仪宽频振动定位”的勘误表 [选项 1]激光技术。 187（2025）112882]</w:t>
      </w:r>
    </w:p>
    <w:p>
      <w:r>
        <w:rPr>
          <w:rFonts w:ascii="Times New Roman" w:hAnsi="Times New Roman" w:eastAsia="宋体"/>
          <w:b/>
          <w:color w:val="003264"/>
          <w:sz w:val="24"/>
        </w:rPr>
        <w:t>Corrigendum to “Wide-Frequency vibration positioning of asymmetric interferometers based on dual endpoint detection and iterative VMD” [Opt. Laser Technol. 187 (2025) 112882]</w:t>
      </w:r>
    </w:p>
    <w:p>
      <w:r>
        <w:rPr>
          <w:rFonts w:ascii="Times New Roman" w:hAnsi="Times New Roman" w:eastAsia="宋体"/>
          <w:sz w:val="21"/>
        </w:rPr>
        <w:t>作者: Chaoxiang Chen, Kun Liu, Jianying Jing, Xinxin Hu, Kang Xue, Dongqi Zhang, Ziwen Du, Guixian Li, Tianhua Xu, Junfeng Jiang, Tiegen Liu</w:t>
        <w:br/>
      </w:r>
      <w:r>
        <w:rPr>
          <w:rFonts w:ascii="Times New Roman" w:hAnsi="Times New Roman" w:eastAsia="宋体"/>
          <w:sz w:val="21"/>
        </w:rPr>
        <w:t xml:space="preserve">时间: 2026-02-01 | </w:t>
      </w:r>
      <w:r>
        <w:t xml:space="preserve">链接: </w:t>
      </w:r>
      <w:hyperlink r:id="rId17">
        <w:r>
          <w:rPr>
            <w:rFonts w:ascii="Times New Roman" w:hAnsi="Times New Roman" w:eastAsia="宋体"/>
            <w:color w:val="0000FF"/>
            <w:sz w:val="21"/>
            <w:u w:val="single"/>
          </w:rPr>
          <w:t>https://doi.org/10.1016/j.optlastec.2026.114799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Ti-6Al-4V合金T型接头非水平双激光束双边同步焊接熔池和小孔重力变形动力学</w:t>
      </w:r>
    </w:p>
    <w:p>
      <w:r>
        <w:rPr>
          <w:rFonts w:ascii="Times New Roman" w:hAnsi="Times New Roman" w:eastAsia="宋体"/>
          <w:b/>
          <w:color w:val="003264"/>
          <w:sz w:val="24"/>
        </w:rPr>
        <w:t>Gravity-induced distortion dynamics of molten pool and keyhole during non-horizontal dual laser beam bilateral synchronous welding for Ti-6Al-4V alloy T-joints</w:t>
      </w:r>
    </w:p>
    <w:p>
      <w:r>
        <w:rPr>
          <w:rFonts w:ascii="Times New Roman" w:hAnsi="Times New Roman" w:eastAsia="宋体"/>
          <w:sz w:val="21"/>
        </w:rPr>
        <w:t>作者: Yanqiu Zhao, Tingyan Yan, Rui Li, Jiangfeng Wang, Chao Ma, Xiaohong Zhan</w:t>
        <w:br/>
      </w:r>
      <w:r>
        <w:rPr>
          <w:rFonts w:ascii="Times New Roman" w:hAnsi="Times New Roman" w:eastAsia="宋体"/>
          <w:sz w:val="21"/>
        </w:rPr>
        <w:t xml:space="preserve">时间: 2026-06-01 | </w:t>
      </w:r>
      <w:r>
        <w:t xml:space="preserve">链接: </w:t>
      </w:r>
      <w:hyperlink r:id="rId18">
        <w:r>
          <w:rPr>
            <w:rFonts w:ascii="Times New Roman" w:hAnsi="Times New Roman" w:eastAsia="宋体"/>
            <w:color w:val="0000FF"/>
            <w:sz w:val="21"/>
            <w:u w:val="single"/>
          </w:rPr>
          <w:t>https://doi.org/10.1016/j.optlastec.2026.114815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激光冲击波作用下CFRP胶层分层机理</w:t>
      </w:r>
    </w:p>
    <w:p>
      <w:r>
        <w:rPr>
          <w:rFonts w:ascii="Times New Roman" w:hAnsi="Times New Roman" w:eastAsia="宋体"/>
          <w:b/>
          <w:color w:val="003264"/>
          <w:sz w:val="24"/>
        </w:rPr>
        <w:t>Delamination mechanism of CFRP adhesive layer under laser-induced shock waves</w:t>
      </w:r>
    </w:p>
    <w:p>
      <w:r>
        <w:rPr>
          <w:rFonts w:ascii="Times New Roman" w:hAnsi="Times New Roman" w:eastAsia="宋体"/>
          <w:sz w:val="21"/>
        </w:rPr>
        <w:t>作者: Wangfan Zhou, Tao Wang, Jun Chen, Haoyu Zhou, Gui Zhang, Enoch Asuako Larson, Yu Yang</w:t>
        <w:br/>
      </w:r>
      <w:r>
        <w:rPr>
          <w:rFonts w:ascii="Times New Roman" w:hAnsi="Times New Roman" w:eastAsia="宋体"/>
          <w:sz w:val="21"/>
        </w:rPr>
        <w:t xml:space="preserve">时间: 2026-06-01 | </w:t>
      </w:r>
      <w:r>
        <w:t xml:space="preserve">链接: </w:t>
      </w:r>
      <w:hyperlink r:id="rId19">
        <w:r>
          <w:rPr>
            <w:rFonts w:ascii="Times New Roman" w:hAnsi="Times New Roman" w:eastAsia="宋体"/>
            <w:color w:val="0000FF"/>
            <w:sz w:val="21"/>
            <w:u w:val="single"/>
          </w:rPr>
          <w:t>https://doi.org/10.1016/j.optlastec.2026.114876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基于激光功率调制的4H-SiC晶圆皮秒激光多层改性及隐形切割研究</w:t>
      </w:r>
    </w:p>
    <w:p>
      <w:r>
        <w:rPr>
          <w:rFonts w:ascii="Times New Roman" w:hAnsi="Times New Roman" w:eastAsia="宋体"/>
          <w:b/>
          <w:color w:val="003264"/>
          <w:sz w:val="24"/>
        </w:rPr>
        <w:t>Study on picosecond laser multi-layer modification and stealth dicing of 4H-SiC wafers based on laser power modulation</w:t>
      </w:r>
    </w:p>
    <w:p>
      <w:r>
        <w:rPr>
          <w:rFonts w:ascii="Times New Roman" w:hAnsi="Times New Roman" w:eastAsia="宋体"/>
          <w:sz w:val="21"/>
        </w:rPr>
        <w:t>作者: Yixiong Yan, Sijia Chen, Yuxuan Cheng, Cong Mao, Mingjun Zhang, Yu Zheng, Weidong Tang, Ji’an Duan</w:t>
        <w:br/>
      </w:r>
      <w:r>
        <w:rPr>
          <w:rFonts w:ascii="Times New Roman" w:hAnsi="Times New Roman" w:eastAsia="宋体"/>
          <w:sz w:val="21"/>
        </w:rPr>
        <w:t xml:space="preserve">时间: 2026-06-01 | </w:t>
      </w:r>
      <w:r>
        <w:t xml:space="preserve">链接: </w:t>
      </w:r>
      <w:hyperlink r:id="rId20">
        <w:r>
          <w:rPr>
            <w:rFonts w:ascii="Times New Roman" w:hAnsi="Times New Roman" w:eastAsia="宋体"/>
            <w:color w:val="0000FF"/>
            <w:sz w:val="21"/>
            <w:u w:val="single"/>
          </w:rPr>
          <w:t>https://doi.org/10.1016/j.optlastec.2026.114882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基于海藻酸钙水凝胶涂层 STMS 纤维结构的高性能湿度和压力传感器</w:t>
      </w:r>
    </w:p>
    <w:p>
      <w:r>
        <w:rPr>
          <w:rFonts w:ascii="Times New Roman" w:hAnsi="Times New Roman" w:eastAsia="宋体"/>
          <w:b/>
          <w:color w:val="003264"/>
          <w:sz w:val="24"/>
        </w:rPr>
        <w:t>High-performance humidity and pressure sensor based on STMS fiber structure coated with Ca-alginate hydrogel</w:t>
      </w:r>
    </w:p>
    <w:p>
      <w:r>
        <w:rPr>
          <w:rFonts w:ascii="Times New Roman" w:hAnsi="Times New Roman" w:eastAsia="宋体"/>
          <w:sz w:val="21"/>
        </w:rPr>
        <w:t>作者: Jiachen Guo, Benyu Zhang, Zhifang Xu, Lina Bi, Shuang Li, Yueyan Shi, Liang Zhou, Shiqing Zhou, Jiaqi Zhang</w:t>
        <w:br/>
      </w:r>
      <w:r>
        <w:rPr>
          <w:rFonts w:ascii="Times New Roman" w:hAnsi="Times New Roman" w:eastAsia="宋体"/>
          <w:sz w:val="21"/>
        </w:rPr>
        <w:t xml:space="preserve">时间: 2026-06-01 | </w:t>
      </w:r>
      <w:r>
        <w:t xml:space="preserve">链接: </w:t>
      </w:r>
      <w:hyperlink r:id="rId55">
        <w:r>
          <w:rPr>
            <w:rFonts w:ascii="Times New Roman" w:hAnsi="Times New Roman" w:eastAsia="宋体"/>
            <w:color w:val="0000FF"/>
            <w:sz w:val="21"/>
            <w:u w:val="single"/>
          </w:rPr>
          <w:t>https://doi.org/10.1016/j.optlastec.2026.114820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水射流引导激光加工 NdFeB 永磁体的冷热热平衡控制机制</w:t>
      </w:r>
    </w:p>
    <w:p>
      <w:r>
        <w:rPr>
          <w:rFonts w:ascii="Times New Roman" w:hAnsi="Times New Roman" w:eastAsia="宋体"/>
          <w:b/>
          <w:color w:val="003264"/>
          <w:sz w:val="24"/>
        </w:rPr>
        <w:t>Mechanisms of Hot–Cold thermal balance control in Water-Jet-Guided laser machining of NdFeB permanent magnets</w:t>
      </w:r>
    </w:p>
    <w:p>
      <w:r>
        <w:rPr>
          <w:rFonts w:ascii="Times New Roman" w:hAnsi="Times New Roman" w:eastAsia="宋体"/>
          <w:sz w:val="21"/>
        </w:rPr>
        <w:t>作者: Ping Huang, Guanghui Zhang, Zhichuang Chen, Xinping He, Qingan Lu, Yuxing Huang, Hui Jiao, Tanggao Feng, Yuhong Long</w:t>
        <w:br/>
      </w:r>
      <w:r>
        <w:rPr>
          <w:rFonts w:ascii="Times New Roman" w:hAnsi="Times New Roman" w:eastAsia="宋体"/>
          <w:sz w:val="21"/>
        </w:rPr>
        <w:t xml:space="preserve">时间: 2026-06-01 | </w:t>
      </w:r>
      <w:r>
        <w:t xml:space="preserve">链接: </w:t>
      </w:r>
      <w:hyperlink r:id="rId56">
        <w:r>
          <w:rPr>
            <w:rFonts w:ascii="Times New Roman" w:hAnsi="Times New Roman" w:eastAsia="宋体"/>
            <w:color w:val="0000FF"/>
            <w:sz w:val="21"/>
            <w:u w:val="single"/>
          </w:rPr>
          <w:t>https://doi.org/10.1016/j.optlastec.2026.114879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NH3/H2/空气等速平流混合物的激光诱导等离子体点火和燃烧特性</w:t>
      </w:r>
    </w:p>
    <w:p>
      <w:r>
        <w:rPr>
          <w:rFonts w:ascii="Times New Roman" w:hAnsi="Times New Roman" w:eastAsia="宋体"/>
          <w:b/>
          <w:color w:val="003264"/>
          <w:sz w:val="24"/>
        </w:rPr>
        <w:t>Laser-induced plasma ignition and combustion characteristics for advective NH3/H2/Air mixtures with constant velocity</w:t>
      </w:r>
    </w:p>
    <w:p>
      <w:r>
        <w:rPr>
          <w:rFonts w:ascii="Times New Roman" w:hAnsi="Times New Roman" w:eastAsia="宋体"/>
          <w:sz w:val="21"/>
        </w:rPr>
        <w:t>作者: Junjie Zhang, Erjiang Hu, Zihao Chen, Geyuan Yin, Zuohua Huang</w:t>
        <w:br/>
      </w:r>
      <w:r>
        <w:rPr>
          <w:rFonts w:ascii="Times New Roman" w:hAnsi="Times New Roman" w:eastAsia="宋体"/>
          <w:sz w:val="21"/>
        </w:rPr>
        <w:t xml:space="preserve">时间: 2026-06-01 | </w:t>
      </w:r>
      <w:r>
        <w:t xml:space="preserve">链接: </w:t>
      </w:r>
      <w:hyperlink r:id="rId87">
        <w:r>
          <w:rPr>
            <w:rFonts w:ascii="Times New Roman" w:hAnsi="Times New Roman" w:eastAsia="宋体"/>
            <w:color w:val="0000FF"/>
            <w:sz w:val="21"/>
            <w:u w:val="single"/>
          </w:rPr>
          <w:t>https://doi.org/10.1016/j.optlastec.2026.114877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Lasers in Engineering</w:t>
      </w:r>
    </w:p>
    <w:p>
      <w:pPr>
        <w:jc w:val="center"/>
      </w:pPr>
      <w:r>
        <w:t>--- 更新: 00:28 ---</w:t>
      </w:r>
    </w:p>
    <w:p>
      <w:pPr>
        <w:pStyle w:val="Heading2"/>
      </w:pPr>
      <w:r/>
      <w:r>
        <w:rPr>
          <w:rFonts w:ascii="Times New Roman" w:hAnsi="Times New Roman" w:eastAsia="宋体"/>
          <w:b/>
          <w:color w:val="000000"/>
          <w:sz w:val="24"/>
        </w:rPr>
        <w:t>集成基于 TIE 的相位成像和边缘 AI 分析的电动可调台式显微镜</w:t>
      </w:r>
    </w:p>
    <w:p>
      <w:r>
        <w:rPr>
          <w:rFonts w:ascii="Times New Roman" w:hAnsi="Times New Roman" w:eastAsia="宋体"/>
          <w:b/>
          <w:color w:val="003264"/>
          <w:sz w:val="24"/>
        </w:rPr>
        <w:t>Electrically tunable benchtop microscope integrating TIE-based phase imaging and edge AI analysis</w:t>
      </w:r>
    </w:p>
    <w:p>
      <w:r>
        <w:rPr>
          <w:rFonts w:ascii="Times New Roman" w:hAnsi="Times New Roman" w:eastAsia="宋体"/>
          <w:sz w:val="21"/>
        </w:rPr>
        <w:t>作者: Hsieh-Fu Tsai, Soumyajit Podder, I-Ming Chang, Mao-Chang Ho</w:t>
        <w:br/>
      </w:r>
      <w:r>
        <w:rPr>
          <w:rFonts w:ascii="Times New Roman" w:hAnsi="Times New Roman" w:eastAsia="宋体"/>
          <w:sz w:val="21"/>
        </w:rPr>
        <w:t xml:space="preserve">时间: 2026-06-01 | </w:t>
      </w:r>
      <w:r>
        <w:t xml:space="preserve">链接: </w:t>
      </w:r>
      <w:hyperlink r:id="rId21">
        <w:r>
          <w:rPr>
            <w:rFonts w:ascii="Times New Roman" w:hAnsi="Times New Roman" w:eastAsia="宋体"/>
            <w:color w:val="0000FF"/>
            <w:sz w:val="21"/>
            <w:u w:val="single"/>
          </w:rPr>
          <w:t>https://doi.org/10.1016/j.optlaseng.2026.109659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迈向精确的超分辨率重建：数字全息显微镜的分数频域位置映射模型</w:t>
      </w:r>
    </w:p>
    <w:p>
      <w:r>
        <w:rPr>
          <w:rFonts w:ascii="Times New Roman" w:hAnsi="Times New Roman" w:eastAsia="宋体"/>
          <w:b/>
          <w:color w:val="003264"/>
          <w:sz w:val="24"/>
        </w:rPr>
        <w:t>Toward accurate super-resolution reconstruction: Fractional - frequency domain position mapping model for digital holographic microscopy</w:t>
      </w:r>
    </w:p>
    <w:p>
      <w:r>
        <w:rPr>
          <w:rFonts w:ascii="Times New Roman" w:hAnsi="Times New Roman" w:eastAsia="宋体"/>
          <w:sz w:val="21"/>
        </w:rPr>
        <w:t>作者: Mengyao Li, Bingcai Liu, Jiaxin Meng, Kaixiang Xie, Hongjun Wang, Xueliang Zhu, Jintao Xu, Ailing Tian</w:t>
        <w:br/>
      </w:r>
      <w:r>
        <w:rPr>
          <w:rFonts w:ascii="Times New Roman" w:hAnsi="Times New Roman" w:eastAsia="宋体"/>
          <w:sz w:val="21"/>
        </w:rPr>
        <w:t xml:space="preserve">时间: 2026-06-01 | </w:t>
      </w:r>
      <w:r>
        <w:t xml:space="preserve">链接: </w:t>
      </w:r>
      <w:hyperlink r:id="rId57">
        <w:r>
          <w:rPr>
            <w:rFonts w:ascii="Times New Roman" w:hAnsi="Times New Roman" w:eastAsia="宋体"/>
            <w:color w:val="0000FF"/>
            <w:sz w:val="21"/>
            <w:u w:val="single"/>
          </w:rPr>
          <w:t>https://doi.org/10.1016/j.optlaseng.2026.109672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Communications</w:t>
      </w:r>
    </w:p>
    <w:p>
      <w:pPr>
        <w:jc w:val="center"/>
      </w:pPr>
      <w:r>
        <w:t>--- 更新: 00:28 ---</w:t>
      </w:r>
    </w:p>
    <w:p>
      <w:pPr>
        <w:pStyle w:val="Heading2"/>
      </w:pPr>
      <w:r/>
      <w:r>
        <w:rPr>
          <w:rFonts w:ascii="Times New Roman" w:hAnsi="Times New Roman" w:eastAsia="宋体"/>
          <w:b/>
          <w:color w:val="000000"/>
          <w:sz w:val="24"/>
        </w:rPr>
        <w:t>面内和面外磁场中等离子体纳米结构的手性光学响应的​​各向异性变化</w:t>
      </w:r>
    </w:p>
    <w:p>
      <w:r>
        <w:rPr>
          <w:rFonts w:ascii="Times New Roman" w:hAnsi="Times New Roman" w:eastAsia="宋体"/>
          <w:b/>
          <w:color w:val="003264"/>
          <w:sz w:val="24"/>
        </w:rPr>
        <w:t>Anisotropic Variation in Chiroptical Response of Plasmonic Nanostructure in In-plane and Out-of-Plane Magnetic Fields</w:t>
      </w:r>
    </w:p>
    <w:p>
      <w:r>
        <w:rPr>
          <w:rFonts w:ascii="Times New Roman" w:hAnsi="Times New Roman" w:eastAsia="宋体"/>
          <w:sz w:val="21"/>
        </w:rPr>
        <w:t>作者: Muhammad Ikram, Shaohua Tao, Muhammad Akram</w:t>
        <w:br/>
      </w:r>
      <w:r>
        <w:rPr>
          <w:rFonts w:ascii="Times New Roman" w:hAnsi="Times New Roman" w:eastAsia="宋体"/>
          <w:sz w:val="21"/>
        </w:rPr>
        <w:t xml:space="preserve">时间: 2026-02-01 | </w:t>
      </w:r>
      <w:r>
        <w:t xml:space="preserve">链接: </w:t>
      </w:r>
      <w:hyperlink r:id="rId22">
        <w:r>
          <w:rPr>
            <w:rFonts w:ascii="Times New Roman" w:hAnsi="Times New Roman" w:eastAsia="宋体"/>
            <w:color w:val="0000FF"/>
            <w:sz w:val="21"/>
            <w:u w:val="single"/>
          </w:rPr>
          <w:t>https://doi.org/10.1016/j.optcom.2026.132998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具有可控方位角对称性的等离激元增强二维原子定位</w:t>
      </w:r>
    </w:p>
    <w:p>
      <w:r>
        <w:rPr>
          <w:rFonts w:ascii="Times New Roman" w:hAnsi="Times New Roman" w:eastAsia="宋体"/>
          <w:b/>
          <w:color w:val="003264"/>
          <w:sz w:val="24"/>
        </w:rPr>
        <w:t>Plasmon-enhanced two-dimensional atomic localization with controllable azimuthal symmetry</w:t>
      </w:r>
    </w:p>
    <w:p>
      <w:r>
        <w:rPr>
          <w:rFonts w:ascii="Times New Roman" w:hAnsi="Times New Roman" w:eastAsia="宋体"/>
          <w:sz w:val="21"/>
        </w:rPr>
        <w:t>作者: Muhammad Idrees, Yuanping Chen, Beibing Huang, Hui-Jun Li, Zareen A. Khan, Yuee Xie</w:t>
        <w:br/>
      </w:r>
      <w:r>
        <w:rPr>
          <w:rFonts w:ascii="Times New Roman" w:hAnsi="Times New Roman" w:eastAsia="宋体"/>
          <w:sz w:val="21"/>
        </w:rPr>
        <w:t xml:space="preserve">时间: 2026-02-01 | </w:t>
      </w:r>
      <w:r>
        <w:t xml:space="preserve">链接: </w:t>
      </w:r>
      <w:hyperlink r:id="rId23">
        <w:r>
          <w:rPr>
            <w:rFonts w:ascii="Times New Roman" w:hAnsi="Times New Roman" w:eastAsia="宋体"/>
            <w:color w:val="0000FF"/>
            <w:sz w:val="21"/>
            <w:u w:val="single"/>
          </w:rPr>
          <w:t>https://doi.org/10.1016/j.optcom.2026.132990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采用大直径和低数值孔径侧芯设计的改进手性耦合芯光纤具有低损耗、宽带宽和良好的热负载耐受性</w:t>
      </w:r>
    </w:p>
    <w:p>
      <w:r>
        <w:rPr>
          <w:rFonts w:ascii="Times New Roman" w:hAnsi="Times New Roman" w:eastAsia="宋体"/>
          <w:b/>
          <w:color w:val="003264"/>
          <w:sz w:val="24"/>
        </w:rPr>
        <w:t>Low loss, broad bandwidth and good heat load tolerance in a modified chirally-coupled-core fiber with large-diameter and low-NA side-core design</w:t>
      </w:r>
    </w:p>
    <w:p>
      <w:r>
        <w:rPr>
          <w:rFonts w:ascii="Times New Roman" w:hAnsi="Times New Roman" w:eastAsia="宋体"/>
          <w:sz w:val="21"/>
        </w:rPr>
        <w:t>作者: Yifeng Hong, Jianchang Tan, He Hao, Jiabin Bai, Zupei Zhan, Dong Li, Shuiliang Zhou</w:t>
        <w:br/>
      </w:r>
      <w:r>
        <w:rPr>
          <w:rFonts w:ascii="Times New Roman" w:hAnsi="Times New Roman" w:eastAsia="宋体"/>
          <w:sz w:val="21"/>
        </w:rPr>
        <w:t xml:space="preserve">时间: 2026-02-01 | </w:t>
      </w:r>
      <w:r>
        <w:t xml:space="preserve">链接: </w:t>
      </w:r>
      <w:hyperlink r:id="rId24">
        <w:r>
          <w:rPr>
            <w:rFonts w:ascii="Times New Roman" w:hAnsi="Times New Roman" w:eastAsia="宋体"/>
            <w:color w:val="0000FF"/>
            <w:sz w:val="21"/>
            <w:u w:val="single"/>
          </w:rPr>
          <w:t>https://doi.org/10.1016/j.optcom.2026.132981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Applied Optics</w:t>
      </w:r>
    </w:p>
    <w:p>
      <w:pPr>
        <w:jc w:val="center"/>
      </w:pPr>
      <w:r>
        <w:t>--- 更新: 00:28 ---</w:t>
      </w:r>
    </w:p>
    <w:p>
      <w:pPr>
        <w:pStyle w:val="Heading2"/>
      </w:pPr>
      <w:r/>
      <w:r>
        <w:rPr>
          <w:rFonts w:ascii="Times New Roman" w:hAnsi="Times New Roman" w:eastAsia="宋体"/>
          <w:b/>
          <w:color w:val="000000"/>
          <w:sz w:val="24"/>
        </w:rPr>
        <w:t>吸收聚焦激光微分干涉仪可近乎同时进行稳定和脉动流动特性测量</w:t>
      </w:r>
    </w:p>
    <w:p>
      <w:r>
        <w:rPr>
          <w:rFonts w:ascii="Times New Roman" w:hAnsi="Times New Roman" w:eastAsia="宋体"/>
          <w:b/>
          <w:color w:val="003264"/>
          <w:sz w:val="24"/>
        </w:rPr>
        <w:t>Absorption focused laser differential interferometry for near-simultaneous steady and fluctuating flow property measurements</w:t>
      </w:r>
    </w:p>
    <w:p>
      <w:r>
        <w:rPr>
          <w:rFonts w:ascii="Times New Roman" w:hAnsi="Times New Roman" w:eastAsia="宋体"/>
          <w:sz w:val="21"/>
        </w:rPr>
        <w:t>作者: Joshua M. Weisberger, Brett F. Bathel, Gregory C. Herring</w:t>
        <w:br/>
      </w:r>
      <w:r>
        <w:rPr>
          <w:rFonts w:ascii="Times New Roman" w:hAnsi="Times New Roman" w:eastAsia="宋体"/>
          <w:sz w:val="21"/>
        </w:rPr>
        <w:t xml:space="preserve">时间: 2026-02-03 | </w:t>
      </w:r>
      <w:r>
        <w:t xml:space="preserve">链接: </w:t>
      </w:r>
      <w:hyperlink r:id="rId25">
        <w:r>
          <w:rPr>
            <w:rFonts w:ascii="Times New Roman" w:hAnsi="Times New Roman" w:eastAsia="宋体"/>
            <w:color w:val="0000FF"/>
            <w:sz w:val="21"/>
            <w:u w:val="single"/>
          </w:rPr>
          <w:t>https://doi.org/10.1364/ao.580653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使用单个可调谐二极管激光器的聚焦激光差分干涉仪（FLDI）系统已在实验室中组装和测试，以便对高频流密度波动和其他稳定流特性进行近同步和共线测量。可调谐二极管发射近 760 nm 波长的光，可探测分子氧（许多风洞设施中普遍存在的气体种类）的 A 波段吸收光谱，从而避免了这些测量中使用流动播种的需要。使用具有 100% O 2 的压力控制测试单元对非聚焦 LDI 和聚焦版本的吸收干涉仪系统进行了测试，两个系统均在 0.01 atm 至 0.3 atm 的测试范围内准确测量压力，而使用 FLDI 系统的压力估计具有更高的不确定性。还观察到了 LDI 和 FLDI 系统干涉仪方面的预期操作，其中 LDI 系统表现出对沿光束路径的压缩空气射流的恒定灵敏度，而 FLDI 系统表现出过滤远离焦点平面的信号的能力。在 NASA 兰利研究中心的探头校准隧道对该系统进行了进一步测试，用于评估激光调制的各种选项及其对测量的干涉仪和吸收部分的影响。该系统演示了直接吸收和波长调制技术，并讨论了每种方法的优点和缺点。</w:t>
      </w:r>
    </w:p>
    <w:p>
      <w:pPr>
        <w:spacing w:before="120"/>
      </w:pPr>
      <w:r>
        <w:rPr>
          <w:rFonts w:ascii="Times New Roman" w:hAnsi="Times New Roman" w:eastAsia="宋体"/>
          <w:b/>
          <w:sz w:val="21"/>
        </w:rPr>
        <w:t>English Abstract:</w:t>
      </w:r>
    </w:p>
    <w:p>
      <w:r>
        <w:rPr>
          <w:rFonts w:ascii="Times New Roman" w:hAnsi="Times New Roman" w:eastAsia="宋体"/>
          <w:sz w:val="21"/>
        </w:rPr>
        <w:t>A focused laser differential interferometer (FLDI) system using a single tunable diode laser has been assembled and tested in the lab, in order to make near-simultaneous and colinear measurements of high-frequency flow density fluctuations and other steady flow properties. The tunable diode, emitting near 760 nm, probes the A-band absorption spectrum of molecular oxygen, a gas species ubiquitous in many wind tunnel facilities, avoiding the need for flow seeding for these measurements. Non-focused LDI and focused versions of the absorption interferometer system were tested using a pressure-controlled test cell with 100% O 2 , where both systems accurately measured the pressure over the tested range from 0.01 atm to 0.3 atm, with higher uncertainties in pressure estimates using the FLDI system. The expected operation of the interferometer aspect of LDI and FLDI systems was also observed, where the LDI system demonstrated constant sensitivity to a compressed air jet along the beam path, whereas the FLDI system demonstrated the ability to filter the signal away from the plane of focus. Further testing of the system at NASA Langley Research Center’s Probe Calibration Tunnel was used to evaluate various options for laser modulation and their impact on the interferometer and absorption portions of the measurement. Both direct absorption and wavelength modulation techniques are demonstrated for this system, as well as a discussion of the benefits and drawbacks of each approach.</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Letters</w:t>
      </w:r>
    </w:p>
    <w:p>
      <w:pPr>
        <w:jc w:val="center"/>
      </w:pPr>
      <w:r>
        <w:t>--- 更新: 00:28 ---</w:t>
      </w:r>
    </w:p>
    <w:p>
      <w:pPr>
        <w:pStyle w:val="Heading2"/>
      </w:pPr>
      <w:r/>
      <w:r>
        <w:rPr>
          <w:rFonts w:ascii="Times New Roman" w:hAnsi="Times New Roman" w:eastAsia="宋体"/>
          <w:b/>
          <w:color w:val="000000"/>
          <w:sz w:val="24"/>
        </w:rPr>
        <w:t>统一分数拉盖尔-高斯光束</w:t>
      </w:r>
    </w:p>
    <w:p>
      <w:r>
        <w:rPr>
          <w:rFonts w:ascii="Times New Roman" w:hAnsi="Times New Roman" w:eastAsia="宋体"/>
          <w:b/>
          <w:color w:val="003264"/>
          <w:sz w:val="24"/>
        </w:rPr>
        <w:t>Unified fractional Laguerre–Gaussian beams</w:t>
      </w:r>
    </w:p>
    <w:p>
      <w:r>
        <w:rPr>
          <w:rFonts w:ascii="Times New Roman" w:hAnsi="Times New Roman" w:eastAsia="宋体"/>
          <w:sz w:val="21"/>
        </w:rPr>
        <w:t>作者: Javier Alejandro Pérez-Garza, Pedro Oliva-Sanchez, Ruben Aguilar-Marquez, Servando López-Aguayo</w:t>
        <w:br/>
      </w:r>
      <w:r>
        <w:rPr>
          <w:rFonts w:ascii="Times New Roman" w:hAnsi="Times New Roman" w:eastAsia="宋体"/>
          <w:sz w:val="21"/>
        </w:rPr>
        <w:t xml:space="preserve">时间: 2026-01-27 | </w:t>
      </w:r>
      <w:r>
        <w:t xml:space="preserve">链接: </w:t>
      </w:r>
      <w:hyperlink r:id="rId26">
        <w:r>
          <w:rPr>
            <w:rFonts w:ascii="Times New Roman" w:hAnsi="Times New Roman" w:eastAsia="宋体"/>
            <w:color w:val="0000FF"/>
            <w:sz w:val="21"/>
            <w:u w:val="single"/>
          </w:rPr>
          <w:t>https://doi.org/10.1364/ol.578134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引入了傅立叶-拉普拉斯分数阶框架，该框架通过精确的近轴解将标准和优雅的拉盖尔-高斯族统一起来。通过施加高斯型包络约束，我们恢复整数索引标准模式，并同时生成具有分数径向顺序的有界、优雅的分支。利用切比雪夫结构探索了方位角依赖性，并通过整数轨道角动量 (OAM) 模式的香农-正弦叠加来物理实现，该叠加保留了单值性，但实现了连续可调的平均 OAM。我们推导了封闭形式的归一化场，在数值上验证了它们的自由空间传播，并揭示了标准分支和优雅分支之间的 OAM 简并性，每个分支都表现出独特的横向鲁棒性。</w:t>
      </w:r>
    </w:p>
    <w:p>
      <w:pPr>
        <w:spacing w:before="120"/>
      </w:pPr>
      <w:r>
        <w:rPr>
          <w:rFonts w:ascii="Times New Roman" w:hAnsi="Times New Roman" w:eastAsia="宋体"/>
          <w:b/>
          <w:sz w:val="21"/>
        </w:rPr>
        <w:t>English Abstract:</w:t>
      </w:r>
    </w:p>
    <w:p>
      <w:r>
        <w:rPr>
          <w:rFonts w:ascii="Times New Roman" w:hAnsi="Times New Roman" w:eastAsia="宋体"/>
          <w:sz w:val="21"/>
        </w:rPr>
        <w:t>We introduce a Fourier–Laplace fractional framework that unifies the standard and elegant Laguerre–Gaussian families through exact paraxial solutions. By imposing a Gaussian-type envelope constraint, we recover the integer-indexed standard modes and simultaneously generate a bounded, elegant branch with fractional-radial order. The azimuthal dependence is explored with Chebyshev structures and realized physically through a Shannon–sinc superposition of integer orbital-angular-momentum (OAM) modes, which preserves single-valuedness yet enables continuously tunable mean OAM. We derive closed-form normalized fields, numerically validate their free-space propagation, and uncover an OAM degeneracy between the standard and elegant branches, each exhibiting distinct transverse robustness.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超短 X 射线脉冲形状对多原子系统衍射的影响</w:t>
      </w:r>
    </w:p>
    <w:p>
      <w:r>
        <w:rPr>
          <w:rFonts w:ascii="Times New Roman" w:hAnsi="Times New Roman" w:eastAsia="宋体"/>
          <w:b/>
          <w:color w:val="003264"/>
          <w:sz w:val="24"/>
        </w:rPr>
        <w:t>Influence of the shape of ultrashort X-ray pulses on diffraction in polyatomic systems</w:t>
      </w:r>
    </w:p>
    <w:p>
      <w:r>
        <w:rPr>
          <w:rFonts w:ascii="Times New Roman" w:hAnsi="Times New Roman" w:eastAsia="宋体"/>
          <w:sz w:val="21"/>
        </w:rPr>
        <w:t>作者: D. N. Makarov, M. K. Eseev, E. S. Gusarevich, A. A. Kharlamova</w:t>
        <w:br/>
      </w:r>
      <w:r>
        <w:rPr>
          <w:rFonts w:ascii="Times New Roman" w:hAnsi="Times New Roman" w:eastAsia="宋体"/>
          <w:sz w:val="21"/>
        </w:rPr>
        <w:t xml:space="preserve">时间: 2026-02-03 | </w:t>
      </w:r>
      <w:r>
        <w:t xml:space="preserve">链接: </w:t>
      </w:r>
      <w:hyperlink r:id="rId27">
        <w:r>
          <w:rPr>
            <w:rFonts w:ascii="Times New Roman" w:hAnsi="Times New Roman" w:eastAsia="宋体"/>
            <w:color w:val="0000FF"/>
            <w:sz w:val="21"/>
            <w:u w:val="single"/>
          </w:rPr>
          <w:t>https://doi.org/10.1364/ol.582649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由于新的脉冲源的出现，超短 X 射线脉冲在研究物质结构方面的应用最近变得越来越重要。在结构研究中通常很少考虑脉冲持续时间，并且其形状的影响实际上仍未被探索。本文证明，当在多原子系统上散射超短 X 射线脉冲时，脉冲形状是使用阿秒脉冲时的一个重要特征。还表明，脉冲形状对散射光谱的影响可以用简单的分析形式表示。例如，考虑具有 NV 中心的金刚石晶体和 DNA 分子片段对三个不同形状的超短脉冲的散射。</w:t>
      </w:r>
    </w:p>
    <w:p>
      <w:pPr>
        <w:spacing w:before="120"/>
      </w:pPr>
      <w:r>
        <w:rPr>
          <w:rFonts w:ascii="Times New Roman" w:hAnsi="Times New Roman" w:eastAsia="宋体"/>
          <w:b/>
          <w:sz w:val="21"/>
        </w:rPr>
        <w:t>English Abstract:</w:t>
      </w:r>
    </w:p>
    <w:p>
      <w:r>
        <w:rPr>
          <w:rFonts w:ascii="Times New Roman" w:hAnsi="Times New Roman" w:eastAsia="宋体"/>
          <w:sz w:val="21"/>
        </w:rPr>
        <w:t>The use of ultrashort X-ray pulses in studying the structure of matter has recently gained increasing relevance due to the emergence of new sources of such pulses. Pulse duration is typically rarely considered in structural studies, and the influence of its shape remains virtually unexplored. This article demonstrates that, when scattering ultrashort X-ray pulses on polyatomic systems, pulse shape is an important characteristic when using attosecond pulses. It is also shown that the influence of pulse shape on scattering spectra can be represented in a simple analytical form. As an example, the scattering of three ultrashort pulses of different shapes by a diamond crystal with NV centers and a fragment of a DNA molecule is considered.</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Light: Science &amp; Applications</w:t>
      </w:r>
    </w:p>
    <w:p>
      <w:pPr>
        <w:jc w:val="center"/>
      </w:pPr>
      <w:r>
        <w:t>--- 更新: 00:28 ---</w:t>
      </w:r>
    </w:p>
    <w:p>
      <w:pPr>
        <w:pStyle w:val="Heading2"/>
      </w:pPr>
      <w:r/>
      <w:r>
        <w:rPr>
          <w:rFonts w:ascii="Times New Roman" w:hAnsi="Times New Roman" w:eastAsia="宋体"/>
          <w:b/>
          <w:color w:val="000000"/>
          <w:sz w:val="24"/>
        </w:rPr>
        <w:t>高功率脉冲电化学发光用于果蝇幼虫行为的光遗传学操作</w:t>
      </w:r>
    </w:p>
    <w:p>
      <w:r>
        <w:rPr>
          <w:rFonts w:ascii="Times New Roman" w:hAnsi="Times New Roman" w:eastAsia="宋体"/>
          <w:b/>
          <w:color w:val="003264"/>
          <w:sz w:val="24"/>
        </w:rPr>
        <w:t>High-power pulsed electrochemiluminescence for optogenetic manipulation of Drosophila larval behaviour</w:t>
      </w:r>
    </w:p>
    <w:p>
      <w:r>
        <w:rPr>
          <w:rFonts w:ascii="Times New Roman" w:hAnsi="Times New Roman" w:eastAsia="宋体"/>
          <w:sz w:val="21"/>
        </w:rPr>
        <w:t>作者: Chang-Ki Moon, Matthias König, Ranjini Sircar, Julian F. Butscher, Ronald Alle, Klaus Meerholz, Stefan R. Pulver, Malte C. Gather</w:t>
        <w:br/>
      </w:r>
      <w:r>
        <w:rPr>
          <w:rFonts w:ascii="Times New Roman" w:hAnsi="Times New Roman" w:eastAsia="宋体"/>
          <w:sz w:val="21"/>
        </w:rPr>
        <w:t xml:space="preserve">时间: 2026-02-05 | </w:t>
      </w:r>
      <w:r>
        <w:t xml:space="preserve">链接: </w:t>
      </w:r>
      <w:hyperlink r:id="rId28">
        <w:r>
          <w:rPr>
            <w:rFonts w:ascii="Times New Roman" w:hAnsi="Times New Roman" w:eastAsia="宋体"/>
            <w:color w:val="0000FF"/>
            <w:sz w:val="21"/>
            <w:u w:val="single"/>
          </w:rPr>
          <w:t>https://doi.org/10.1038/s41377-025-02143-y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摘要电化学发光（ECL）通过电化学反应产生光，并在生物医学的各种分析应用中显示出前景。然而，由于光输出不足和运行稳定性低，ECL器件（ECLD）作为光源的使用受到限制。在这项研究中，我们提出了一种 ECLD 的高功率脉冲操作策略，以解决这些局限性并证明其在光遗传学操作中的有效性。通过应用具有短相反相位的双相电压序列，我们通过激基复合物形成反应途径实现了强烈且高效的 ECL。这种方法可产生极高的光功率密度，对于数千个脉冲超过 100 μW mm − ²。通过优化电压波形来平衡离子浓度进一步提高了设备​​的稳定性。通过将多个优化的脉冲合并到由短休息期分隔的脉冲串中，获得了高亮度且随着时间的推移功率损失最小的延长光脉冲。利用这些策略在表达光遗传学效应子 CsChrimson 的果蝇 (Drosophila melanogaster) 幼虫中引发强烈的光遗传学反应。 ECLD 的半透明特性有助于通过设备从下方同时对幼虫行为进行成像。这些发现凸显了 ECLD 作为生物医学和神经光子学研究中多功能光学工具的潜力。</w:t>
      </w:r>
    </w:p>
    <w:p>
      <w:pPr>
        <w:spacing w:before="120"/>
      </w:pPr>
      <w:r>
        <w:rPr>
          <w:rFonts w:ascii="Times New Roman" w:hAnsi="Times New Roman" w:eastAsia="宋体"/>
          <w:b/>
          <w:sz w:val="21"/>
        </w:rPr>
        <w:t>English Abstract:</w:t>
      </w:r>
    </w:p>
    <w:p>
      <w:r>
        <w:rPr>
          <w:rFonts w:ascii="Times New Roman" w:hAnsi="Times New Roman" w:eastAsia="宋体"/>
          <w:sz w:val="21"/>
        </w:rPr>
        <w:t>Abstract Electrochemiluminescence (ECL) produces light through electrochemical reactions and has shown promise for various analytic applications in biomedicine. However, the use of ECL devices (ECLDs) as light sources has been limited due to insufficient light output and low operational stability. In this study, we present a high-power pulsed operation strategy for ECLDs to address these limitations and demonstrate their effectiveness in optogenetic manipulation. By applying a biphasic voltage sequence with short opposing phases, we achieve intense and efficient ECL through an exciplex-formation reaction pathway. This approach results in an exceptionally high optical power density, exceeding 100 μW mm − ², for several thousand pulses. Balancing the ion concentration by optimizing the voltage waveform further improves device stability. By incorporating multiple optimized pulses into a pulse train separated by short rest periods, extended light pulses of high brightness and with minimal power loss over time were obtained. These strategies were leveraged to elicit a robust optogenetic response in fruit fly ( Drosophila melanogaster ) larvae expressing the optogenetic effector CsChrimson. The semi-transparent nature of ECLDs facilitates simultaneous imaging of larval behaviour from underneath, through the device. These findings highlight the potential of ECLDs as versatile optical tools in biomedical and neurophotonics research.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游离卤化物离子的取代可解锁锰基金属卤化物中的响应性光致发光切换</w:t>
      </w:r>
    </w:p>
    <w:p>
      <w:r>
        <w:rPr>
          <w:rFonts w:ascii="Times New Roman" w:hAnsi="Times New Roman" w:eastAsia="宋体"/>
          <w:b/>
          <w:color w:val="003264"/>
          <w:sz w:val="24"/>
        </w:rPr>
        <w:t>Substitution of free halide ions unlocks responsive photoluminescence switching in manganese-based metal halides</w:t>
      </w:r>
    </w:p>
    <w:p>
      <w:r>
        <w:rPr>
          <w:rFonts w:ascii="Times New Roman" w:hAnsi="Times New Roman" w:eastAsia="宋体"/>
          <w:sz w:val="21"/>
        </w:rPr>
        <w:t>作者: Sisi Li, Kaitong Luo, Yali Zhou, Junhao Wang, Zhen Zhang, Zhao-Qing Liu, Yibo Chen</w:t>
        <w:br/>
      </w:r>
      <w:r>
        <w:rPr>
          <w:rFonts w:ascii="Times New Roman" w:hAnsi="Times New Roman" w:eastAsia="宋体"/>
          <w:sz w:val="21"/>
        </w:rPr>
        <w:t xml:space="preserve">时间: 2026-02-05 | </w:t>
      </w:r>
      <w:r>
        <w:t xml:space="preserve">链接: </w:t>
      </w:r>
      <w:hyperlink r:id="rId74">
        <w:r>
          <w:rPr>
            <w:rFonts w:ascii="Times New Roman" w:hAnsi="Times New Roman" w:eastAsia="宋体"/>
            <w:color w:val="0000FF"/>
            <w:sz w:val="21"/>
            <w:u w:val="single"/>
          </w:rPr>
          <w:t>https://doi.org/10.1038/s41377-025-02161-w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刺激响应有机-无机金属卤化物在新兴的信息相关应用中具有广阔的前景。在这项工作中，用Br - 取代C 5 H 11 N 3 (MnCl 3 ·H 2 O)X（其中C 5 H 11 N 3 2+代表组胺阳离子，X代表游离卤离子）中的游离卤离子Cl - 将非响应性杂化物C 5 H 11 N 3 (MnCl 3 ·H 2 O)Cl转化为刺激响应性C 5 H 11 N 3 (MnCl 3 ·H 2 O)Br。后者在热或水暴露时表现出红色和绿色之间的可逆光致发光颜色转换。大量的实验和理论分析表明，响应特性主要源于Br - 取代后H 2 O 分子周围的氢键减弱，这有利于H 2 O 分子在加热下的初始逃逸。随后的结构重组和配位转变引起光致发光的变化。此外，所制备的卤化物/聚合物发光薄膜被证明在平面温度传感、热冲压和加密/解密等多种场景中具有高度适用性。这项研究强调了金属卤化物中游离卤化物离子的关键但经常被忽视的作用，并为其结构-性能关系提供了新的见解。</w:t>
      </w:r>
    </w:p>
    <w:p>
      <w:pPr>
        <w:spacing w:before="120"/>
      </w:pPr>
      <w:r>
        <w:rPr>
          <w:rFonts w:ascii="Times New Roman" w:hAnsi="Times New Roman" w:eastAsia="宋体"/>
          <w:b/>
          <w:sz w:val="21"/>
        </w:rPr>
        <w:t>English Abstract:</w:t>
      </w:r>
    </w:p>
    <w:p>
      <w:r>
        <w:rPr>
          <w:rFonts w:ascii="Times New Roman" w:hAnsi="Times New Roman" w:eastAsia="宋体"/>
          <w:sz w:val="21"/>
        </w:rPr>
        <w:t>Abstract Stimuli-responsive organic-inorganic metal halides hold great promise for emerging information-related applications. In this work, replacing the free halide ion Cl − with Br − in C 5 H 11 N 3 (MnCl 3 ·H 2 O)X (where C 5 H 11 N 3 2+ represents histamine cation, X represents free halide ions) converts the non-responsive hybrid C 5 H 11 N 3 (MnCl 3 ·H 2 O)Cl into a stimuli-responsive C 5 H 11 N 3 (MnCl 3 ·H 2 O)Br. The latter exhibits reversible photoluminescence color switching between red and green upon thermal or water exposure. Extensive experimental and theoretical analyses reveal that the responsive property primarily stems from weakened hydrogen bonding surrounding H 2 O molecules after Br − substitution, which facilitates the initial escape of H 2 O molecules under heating. Subsequent structural reorganization and coordination transformation then induce the change in photoluminescence. Furthermore, the fabricated halide/polymer luminescent films are demonstrated to be highly applicable in multiple scenarios, such as planar temperature sensing, thermal stamping, and encryption/decryption. This study highlights the crucial yet often overlooked role of free halide ions in metal halides and offers new insights into their structure–property relationships.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 3D 癌症模型成像和 AI 辅助类器官分析的光学相干光声显微镜</w:t>
      </w:r>
    </w:p>
    <w:p>
      <w:r>
        <w:rPr>
          <w:rFonts w:ascii="Times New Roman" w:hAnsi="Times New Roman" w:eastAsia="宋体"/>
          <w:b/>
          <w:color w:val="003264"/>
          <w:sz w:val="24"/>
        </w:rPr>
        <w:t>Optical coherence photoacoustic microscopy for 3D cancer model imaging with AI-assisted organoid analysis</w:t>
      </w:r>
    </w:p>
    <w:p>
      <w:r>
        <w:rPr>
          <w:rFonts w:ascii="Times New Roman" w:hAnsi="Times New Roman" w:eastAsia="宋体"/>
          <w:sz w:val="21"/>
        </w:rPr>
        <w:t>作者: Abigail J. Deloria, Agnes Csiszar, Shiyu Deng, Mohammad Ali Sabbaghi, Francesco Branciforti, Lukasz Bugyi, Giulia Rotunno, Richard Haindl, Rainer Leitgeb, Massimo Salvi, Manojit Pramanik, Yi Yuan, Leopold Schmetterer, Gergely Szakacs, Wolfgang Drexler, Kristen M. Meiburger, Mengyang Liu</w:t>
        <w:br/>
      </w:r>
      <w:r>
        <w:rPr>
          <w:rFonts w:ascii="Times New Roman" w:hAnsi="Times New Roman" w:eastAsia="宋体"/>
          <w:sz w:val="21"/>
        </w:rPr>
        <w:t xml:space="preserve">时间: 2026-02-05 | </w:t>
      </w:r>
      <w:r>
        <w:t xml:space="preserve">链接: </w:t>
      </w:r>
      <w:hyperlink r:id="rId75">
        <w:r>
          <w:rPr>
            <w:rFonts w:ascii="Times New Roman" w:hAnsi="Times New Roman" w:eastAsia="宋体"/>
            <w:color w:val="0000FF"/>
            <w:sz w:val="21"/>
            <w:u w:val="single"/>
          </w:rPr>
          <w:t>https://doi.org/10.1038/s41377-025-02177-2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癌症类器官和癌症球体是 3D 细胞培养模型，在癌症研究中具有不同但重叠的目的。各种商业光学成像技术已被用来研究这些细胞培养物，但这些方法受到各种限制，例如荧光标记的要求、复杂的样品处理和有限的图像体积大小。在这项工作中，我们展示了用于研究这些模型的多模态光学相干光声显微镜（OC-PAM）系统，克服了这些限制。我们首先使用光学相干显微镜（OCM）对乳腺癌类器官进行了纵向研究。利用 OCM 成像结果，开发了基于人工智能 (AI) 的算法，可自动分割单个类器官，并使用放射组学纹理特征方法对其随时间的活力进行分类，从而在单个类器官水平上实现稳健、定量的跟踪和分类。为了补充 OCM 的对比度，我们对含有黑色素阳性和黑色素阴性细胞的球体模型进行了 OC-PAM 成像。在第二项研究中，OC-PAM 图像清楚地映射了隐藏在黑色素阴性细胞中的黑色素阳性细胞的分布。这些结果表明，OC-PAM 与人工智能技术相结合可以成为研究癌症类器官和癌症球体的强大工具。</w:t>
      </w:r>
    </w:p>
    <w:p>
      <w:pPr>
        <w:spacing w:before="120"/>
      </w:pPr>
      <w:r>
        <w:rPr>
          <w:rFonts w:ascii="Times New Roman" w:hAnsi="Times New Roman" w:eastAsia="宋体"/>
          <w:b/>
          <w:sz w:val="21"/>
        </w:rPr>
        <w:t>English Abstract:</w:t>
      </w:r>
    </w:p>
    <w:p>
      <w:r>
        <w:rPr>
          <w:rFonts w:ascii="Times New Roman" w:hAnsi="Times New Roman" w:eastAsia="宋体"/>
          <w:sz w:val="21"/>
        </w:rPr>
        <w:t>Abstract Cancer organoids and cancer spheroids are 3D cell culture models with distinct yet overlapping purposes in cancer research. Various commercially available optical imaging techniques have been employed to study these cell cultures, but these methods suffer from various limitations such as the requirement of fluorescence labeling, complicated sample handling, and limited image volume size. In this work, we demonstrate a multimodal optical coherence photoacoustic microscopy (OC-PAM) system for the study of these models, overcoming these limitations. We first performed a longitudinal study using optical coherence microscopy (OCM) for breast cancer organoids. Using the OCM imaging results, artificial intelligence (AI)-based algorithms were developed to automatically segment individual organoids and classify their viability over time using a radiomics texture feature approach, enabling robust, quantitative tracking and classification at the single-organoid level. To supplement OCM’s contrast, we then performed OC-PAM imaging of spheroid models with both melanin positive and melanin negative cells. In the second study, the OC-PAM images clearly mapped the distribution of melanin positive cells hidden amongst melanin negative cells. These results suggest that OC-PAM coupled with AI techniques can be a powerful tool to study cancer organoids and cancer spheroids.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Vis. Comput. Graph</w:t>
      </w:r>
    </w:p>
    <w:p>
      <w:pPr>
        <w:jc w:val="center"/>
      </w:pPr>
      <w:r>
        <w:t>--- 更新: 00:28 ---</w:t>
      </w:r>
    </w:p>
    <w:p>
      <w:pPr>
        <w:pStyle w:val="Heading2"/>
      </w:pPr>
      <w:r/>
      <w:r>
        <w:rPr>
          <w:rFonts w:ascii="Times New Roman" w:hAnsi="Times New Roman" w:eastAsia="宋体"/>
          <w:b/>
          <w:color w:val="000000"/>
          <w:sz w:val="24"/>
        </w:rPr>
        <w:t>用于大规模重建的结构引导内存高效 3D 高斯</w:t>
      </w:r>
    </w:p>
    <w:p>
      <w:r>
        <w:rPr>
          <w:rFonts w:ascii="Times New Roman" w:hAnsi="Times New Roman" w:eastAsia="宋体"/>
          <w:b/>
          <w:color w:val="003264"/>
          <w:sz w:val="24"/>
        </w:rPr>
        <w:t>Structure-guided Memory-efficient 3D Gaussians for Large-scale Reconstruction</w:t>
      </w:r>
    </w:p>
    <w:p>
      <w:r>
        <w:rPr>
          <w:rFonts w:ascii="Times New Roman" w:hAnsi="Times New Roman" w:eastAsia="宋体"/>
          <w:sz w:val="21"/>
        </w:rPr>
        <w:t>作者: Zinan Lv, Yeqian Qian, Chunxiang Wang, and Ming Yang</w:t>
        <w:br/>
      </w:r>
      <w:r>
        <w:rPr>
          <w:rFonts w:ascii="Times New Roman" w:hAnsi="Times New Roman" w:eastAsia="宋体"/>
          <w:sz w:val="21"/>
        </w:rPr>
        <w:t xml:space="preserve">时间: 2026 | </w:t>
      </w:r>
      <w:r>
        <w:t xml:space="preserve">链接: </w:t>
      </w:r>
      <w:hyperlink r:id="rId29">
        <w:r>
          <w:rPr>
            <w:rFonts w:ascii="Times New Roman" w:hAnsi="Times New Roman" w:eastAsia="宋体"/>
            <w:color w:val="0000FF"/>
            <w:sz w:val="21"/>
            <w:u w:val="single"/>
          </w:rPr>
          <w:t>https://doi.org/10.1109/tvcg.2025.3637033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3D 重建是一项关键技术，对城市规划、自动驾驶和虚拟现实等应用具有重大影响。 3D 高斯溅射 (3DGS) 的最新进展在小规模场景中展示了令人印象深刻的结果，通过实时渲染功能实现了高质量重建。然而，当应用于大规模场景时，由于模型尺寸呈指数级增长，现有的3DGS方法面临着巨大的挑战，常常超出消费级GPU的内存容量，导致训练和渲染变得不可行。在本文中，我们提出了一种结构引导的内存高效 3DGS 框架，该框架仅使用当前大规模 3DGS 方法一半的内存，同时保持最先进的重建精度。具体来说，我们引入了一种结构引导的密度控制机制，该机制使用启发式方法在具有挑战性的区域中分割高斯椭球体，并在致密化过程中优化其属性，显着降低内存存储需求，同时用更少的椭球体保留结构细节。此外，我们提出了一种新颖的结构损失来监督场景结构信息的学习，使模型能够更好地捕获和保留直线和边缘等几何细节，进一步提高重建精度。我们还提出了已知最大的用于 3D 重建的无人机数据集，其中包含 10,000 多张高分辨率图像，覆盖面积超过 250 万平方米。对多个基准数据集和我们提出的数据集的广泛实验表明，我们的新方法具有高内存效率和高精度。</w:t>
      </w:r>
    </w:p>
    <w:p>
      <w:pPr>
        <w:spacing w:before="120"/>
      </w:pPr>
      <w:r>
        <w:rPr>
          <w:rFonts w:ascii="Times New Roman" w:hAnsi="Times New Roman" w:eastAsia="宋体"/>
          <w:b/>
          <w:sz w:val="21"/>
        </w:rPr>
        <w:t>English Abstract:</w:t>
      </w:r>
    </w:p>
    <w:p>
      <w:r>
        <w:rPr>
          <w:rFonts w:ascii="Times New Roman" w:hAnsi="Times New Roman" w:eastAsia="宋体"/>
          <w:sz w:val="21"/>
        </w:rPr>
        <w:t>3D reconstruction is a critical technology with significant implications for applications such as urban planning, autonomous driving, and virtual reality. Recent advances in 3D Gaussian Splatting (3DGS) have demonstrated impressive results in small-scale scenes, achieving high-quality reconstructions with real-time rendering capabilities. However, when applied to large-scale scenes, existing 3DGS methods face significant challenges due to the exponential growth of model size, often exceeding the memory capacity of consumer-grade GPUs and making training and rendering infeasible. In this paper, we propose a structure-guided memory-efficient 3DGS framework that uses only half the memory of current large-scale 3DGS methods while maintaining state-of-the-art reconstruction accuracy. Specifically, we introduce a structure-guided density control mechanism that uses a heuristic approach to split Gaussian ellipsoids in challenging regions and optimizes their attributes during densification, significantly reducing memory storage requirements while preserving structural details with fewer ellipsoids. Moreover, we propose a novel structure loss to supervise the learning of scene structural information, enabling the model to better capture and preserve geometric details such as straight lines and edges, further enhancing reconstruction accuracy. We also propose the largest known drone dataset for 3D reconstruction, comprising over 10,000 high-resolution images covering more than 2.5 million square meters. Extensive experiments on multiple benchmark datasets and our proposed dataset demonstrate that our new method is highly memory-efficient with high accuracy.</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ACS Photonics</w:t>
      </w:r>
    </w:p>
    <w:p>
      <w:pPr>
        <w:jc w:val="center"/>
      </w:pPr>
      <w:r>
        <w:t>--- 更新: 00:28 ---</w:t>
      </w:r>
    </w:p>
    <w:p>
      <w:pPr>
        <w:pStyle w:val="Heading2"/>
      </w:pPr>
      <w:r/>
      <w:r>
        <w:rPr>
          <w:rFonts w:ascii="Times New Roman" w:hAnsi="Times New Roman" w:eastAsia="宋体"/>
          <w:b/>
          <w:color w:val="000000"/>
          <w:sz w:val="24"/>
        </w:rPr>
        <w:t>通过简并准 BIC 超表面产生可调谐二次谐波</w:t>
      </w:r>
    </w:p>
    <w:p>
      <w:r>
        <w:rPr>
          <w:rFonts w:ascii="Times New Roman" w:hAnsi="Times New Roman" w:eastAsia="宋体"/>
          <w:b/>
          <w:color w:val="003264"/>
          <w:sz w:val="24"/>
        </w:rPr>
        <w:t>Tunable Second Harmonic Generation by Degenerate Quasi-BIC Metasurfaces</w:t>
      </w:r>
    </w:p>
    <w:p>
      <w:r>
        <w:rPr>
          <w:rFonts w:ascii="Times New Roman" w:hAnsi="Times New Roman" w:eastAsia="宋体"/>
          <w:sz w:val="21"/>
        </w:rPr>
        <w:t>作者: Mingsheng Gao, Zhenyu Wang, Jiadian Yan, Zixian Ma, Lu Peng, Yang Chen, Qing Zhang, Yuanjie Yang</w:t>
        <w:br/>
      </w:r>
      <w:r>
        <w:rPr>
          <w:rFonts w:ascii="Times New Roman" w:hAnsi="Times New Roman" w:eastAsia="宋体"/>
          <w:sz w:val="21"/>
        </w:rPr>
        <w:t xml:space="preserve">时间: 2026-02-04 | </w:t>
      </w:r>
      <w:r>
        <w:t xml:space="preserve">链接: </w:t>
      </w:r>
      <w:hyperlink r:id="rId30">
        <w:r>
          <w:rPr>
            <w:rFonts w:ascii="Times New Roman" w:hAnsi="Times New Roman" w:eastAsia="宋体"/>
            <w:color w:val="0000FF"/>
            <w:sz w:val="21"/>
            <w:u w:val="single"/>
          </w:rPr>
          <w:t>https://doi.org/10.1021/acsphotonics.5c02490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AlGaN 基深紫外 LED 的外延和芯片结构的设计和优化：提高效率和可靠性</w:t>
      </w:r>
    </w:p>
    <w:p>
      <w:r>
        <w:rPr>
          <w:rFonts w:ascii="Times New Roman" w:hAnsi="Times New Roman" w:eastAsia="宋体"/>
          <w:b/>
          <w:color w:val="003264"/>
          <w:sz w:val="24"/>
        </w:rPr>
        <w:t>Design and Optimization of Epitaxial and Chip Structures in AlGaN-Based Deep-Ultraviolet LEDs: Toward Enhanced Efficiency and Reliability</w:t>
      </w:r>
    </w:p>
    <w:p>
      <w:r>
        <w:rPr>
          <w:rFonts w:ascii="Times New Roman" w:hAnsi="Times New Roman" w:eastAsia="宋体"/>
          <w:sz w:val="21"/>
        </w:rPr>
        <w:t>作者: Yifang Chen, Quanjiang Lv, Tianpeng Yang, Tingting Mi, Xiaowen Wang, Junlin Liu</w:t>
        <w:br/>
      </w:r>
      <w:r>
        <w:rPr>
          <w:rFonts w:ascii="Times New Roman" w:hAnsi="Times New Roman" w:eastAsia="宋体"/>
          <w:sz w:val="21"/>
        </w:rPr>
        <w:t xml:space="preserve">时间: 2026-02-04 | </w:t>
      </w:r>
      <w:r>
        <w:t xml:space="preserve">链接: </w:t>
      </w:r>
      <w:hyperlink r:id="rId76">
        <w:r>
          <w:rPr>
            <w:rFonts w:ascii="Times New Roman" w:hAnsi="Times New Roman" w:eastAsia="宋体"/>
            <w:color w:val="0000FF"/>
            <w:sz w:val="21"/>
            <w:u w:val="single"/>
          </w:rPr>
          <w:t>https://doi.org/10.1021/acsphotonics.5c02187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通过散射和光致发光光谱法实现等离子体纳米腔中单层 WS 2 的鲁棒强耦合</w:t>
      </w:r>
    </w:p>
    <w:p>
      <w:r>
        <w:rPr>
          <w:rFonts w:ascii="Times New Roman" w:hAnsi="Times New Roman" w:eastAsia="宋体"/>
          <w:b/>
          <w:color w:val="003264"/>
          <w:sz w:val="24"/>
        </w:rPr>
        <w:t>Robust Strong Coupling of Monolayer WS 2 in Plasmonic Nanocavities via Scattering and Photoluminescence Spectroscopy</w:t>
      </w:r>
    </w:p>
    <w:p>
      <w:r>
        <w:rPr>
          <w:rFonts w:ascii="Times New Roman" w:hAnsi="Times New Roman" w:eastAsia="宋体"/>
          <w:sz w:val="21"/>
        </w:rPr>
        <w:t>作者: Jing Li, Qingzhang You, Wenjing Bo, Menglei Li, Xi Liang, Lisheng Zhang, Longkun Yang, Ze Li, Duan Zhang, Yan Fang, Peter Nordlander, Peijie Wang</w:t>
        <w:br/>
      </w:r>
      <w:r>
        <w:rPr>
          <w:rFonts w:ascii="Times New Roman" w:hAnsi="Times New Roman" w:eastAsia="宋体"/>
          <w:sz w:val="21"/>
        </w:rPr>
        <w:t xml:space="preserve">时间: 2026-02-05 | </w:t>
      </w:r>
      <w:r>
        <w:t xml:space="preserve">链接: </w:t>
      </w:r>
      <w:hyperlink r:id="rId77">
        <w:r>
          <w:rPr>
            <w:rFonts w:ascii="Times New Roman" w:hAnsi="Times New Roman" w:eastAsia="宋体"/>
            <w:color w:val="0000FF"/>
            <w:sz w:val="21"/>
            <w:u w:val="single"/>
          </w:rPr>
          <w:t>https://doi.org/10.1021/acsphotonics.5c01950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Image Processing</w:t>
      </w:r>
    </w:p>
    <w:p>
      <w:pPr>
        <w:jc w:val="center"/>
      </w:pPr>
      <w:r>
        <w:t>--- 更新: 00:28 ---</w:t>
      </w:r>
    </w:p>
    <w:p>
      <w:pPr>
        <w:pStyle w:val="Heading2"/>
      </w:pPr>
      <w:r/>
      <w:r>
        <w:rPr>
          <w:rFonts w:ascii="Times New Roman" w:hAnsi="Times New Roman" w:eastAsia="宋体"/>
          <w:b/>
          <w:color w:val="000000"/>
          <w:sz w:val="24"/>
        </w:rPr>
        <w:t>使用弱监督剩余变压器进行准确的工业异常检测和定位</w:t>
      </w:r>
    </w:p>
    <w:p>
      <w:r>
        <w:rPr>
          <w:rFonts w:ascii="Times New Roman" w:hAnsi="Times New Roman" w:eastAsia="宋体"/>
          <w:b/>
          <w:color w:val="003264"/>
          <w:sz w:val="24"/>
        </w:rPr>
        <w:t>Accurate Industrial Anomaly Detection and Localization using Weakly-Supervised Residual Transformers</w:t>
      </w:r>
    </w:p>
    <w:p>
      <w:r>
        <w:rPr>
          <w:rFonts w:ascii="Times New Roman" w:hAnsi="Times New Roman" w:eastAsia="宋体"/>
          <w:sz w:val="21"/>
        </w:rPr>
        <w:t>作者: Hanxi Li, Jingqi Wu, Deyin Liu, Lin Yuanbo Wu, Hao Chen, Chunhua Shen</w:t>
        <w:br/>
      </w:r>
      <w:r>
        <w:rPr>
          <w:rFonts w:ascii="Times New Roman" w:hAnsi="Times New Roman" w:eastAsia="宋体"/>
          <w:sz w:val="21"/>
        </w:rPr>
        <w:t xml:space="preserve">时间: 2026 | </w:t>
      </w:r>
      <w:r>
        <w:t xml:space="preserve">链接: </w:t>
      </w:r>
      <w:hyperlink r:id="rId31">
        <w:r>
          <w:rPr>
            <w:rFonts w:ascii="Times New Roman" w:hAnsi="Times New Roman" w:eastAsia="宋体"/>
            <w:color w:val="0000FF"/>
            <w:sz w:val="21"/>
            <w:u w:val="single"/>
          </w:rPr>
          <w:t>https://doi.org/10.1109/tip.2026.3659337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工业异常检测（AD）的最新进展表明，在训练过程中纳入少量异常样本可以显着提高准确性。然而，这种改进通常是以大量注释工作为代价的，这对于许多实际应用程序来说是不切实际的。在本文中，我们介绍了一种新颖的框架“弱监督RES idual Transformer”（WeakREST），旨在实现高异常检测精度，同时最大限度地减少对手动注释的依赖。首先，我们将逐像素异常定位任务重新表述为逐块分类问题。其次，我们引入了一种基于残差的特征表示，称为“位置快速异常残差”（PosFAR），它可以更有效地捕获异常模式。为了利用此功能，我们采用 Swin Transformer 来增强异常检测和定位。此外，我们提出了一种利用边界框和图像标签来定义异常区域的弱注释方法。这种方法建立了一个半监督学习环境，减少了对精确像素级标签的依赖。为了进一步改进学习过程，我们开发了一种新颖的 ResMixMatch 算法，能够处理弱标签和基于残差的表示之间的相互作用。在基准数据集 MVTec-AD 上，我们的方法实现了 83:0% 的平均精度 (AP)，超过了之前在无监督设置下 82:7% 的最佳结果。在有监督的 AD 设置中，WeakREST 的 AP 达到 87:6%，超过了之前最好的 86:0%。值得注意的是，即使使用边界框等较弱的注释，WeakREST 也超过了依赖于像素级监督的领先方法的性能，与 MVTec-AD 上之前最好的 86:0% 相比，AP 达到了 87:1%。这种卓越的性能在其他成熟的 AD 数据集上得到了一致的复制，包括 MVTec 3D、KSDD2 和 Real-IAD。代码位于：https://github.com/BeJane/Semi REST。</w:t>
      </w:r>
    </w:p>
    <w:p>
      <w:pPr>
        <w:spacing w:before="120"/>
      </w:pPr>
      <w:r>
        <w:rPr>
          <w:rFonts w:ascii="Times New Roman" w:hAnsi="Times New Roman" w:eastAsia="宋体"/>
          <w:b/>
          <w:sz w:val="21"/>
        </w:rPr>
        <w:t>English Abstract:</w:t>
      </w:r>
    </w:p>
    <w:p>
      <w:r>
        <w:rPr>
          <w:rFonts w:ascii="Times New Roman" w:hAnsi="Times New Roman" w:eastAsia="宋体"/>
          <w:sz w:val="21"/>
        </w:rPr>
        <w:t>Recent advancements in industrial anomaly detection (AD) have demonstrated that incorporating a small number of anomalous samples during training can significantly enhance accuracy. However, this improvement often comes at the cost of extensive annotation efforts, which are impractical for many real-world applications. In this paper, we introduce a novel framework, “ Weakly -supervised RES idual T ransformer” (WeakREST) , designed to achieve high anomaly detection accuracy while minimizing the reliance on manual annotations. First, we reformulate the pixel-wise anomaly localization task into a block-wise classification problem. Second, we introduce a residual-based feature representation called “ Pos itional F ast A nomaly R esiduals” (PosFAR) which captures anomalous patterns more effectively. To leverage this feature, we adapt the Swin Transformer for enhanced anomaly detection and localization. Additionally, we propose a weak annotation approach utilizing bounding boxes and image tags to define anomalous regions. This approach establishes a semi-supervised learning context that reduces the dependency on precise pixel-level labels. To further improve the learning process, we develop a novel ResMixMatch algorithm, capable of handling the interplay between weak labels and residual-based representations. On the benchmark dataset MVTec-AD, our method achieves an Average Precision (AP) of 83:0%, surpassing the previous best result of 82:7% in the unsupervised setting. In the supervised AD setting, WeakREST attains an AP of 87:6%, outperforming the previous best of 86:0%. Notably, even when using weaker annotations such as bounding boxes, WeakREST exceeds the performance of leading methods relying on pixel-wise supervision, achieving an AP of 87:1% compared to the prior best of 86:0% on MVTec-AD. This superior performance is consistently replicated across other well-established AD datasets, including MVTec 3D, KSDD2 and Real-IAD. Code is available at: https://github.com/BeJane/Semi REST.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无约束环境下多视角掌纹识别的高置信度块对角线分析</w:t>
      </w:r>
    </w:p>
    <w:p>
      <w:r>
        <w:rPr>
          <w:rFonts w:ascii="Times New Roman" w:hAnsi="Times New Roman" w:eastAsia="宋体"/>
          <w:b/>
          <w:color w:val="003264"/>
          <w:sz w:val="24"/>
        </w:rPr>
        <w:t>High-Confident Block Diagonal Analysis for Multi-View Palmprint Recognition in Unrestrained Environment</w:t>
      </w:r>
    </w:p>
    <w:p>
      <w:r>
        <w:rPr>
          <w:rFonts w:ascii="Times New Roman" w:hAnsi="Times New Roman" w:eastAsia="宋体"/>
          <w:sz w:val="21"/>
        </w:rPr>
        <w:t>作者: Shuping Zhao, Lunke Fei, Tingting Cai, Jie Wen, Bob Zhang, Jinrong Cui</w:t>
        <w:br/>
      </w:r>
      <w:r>
        <w:rPr>
          <w:rFonts w:ascii="Times New Roman" w:hAnsi="Times New Roman" w:eastAsia="宋体"/>
          <w:sz w:val="21"/>
        </w:rPr>
        <w:t xml:space="preserve">时间: 2026 | </w:t>
      </w:r>
      <w:r>
        <w:t xml:space="preserve">链接: </w:t>
      </w:r>
      <w:hyperlink r:id="rId32">
        <w:r>
          <w:rPr>
            <w:rFonts w:ascii="Times New Roman" w:hAnsi="Times New Roman" w:eastAsia="宋体"/>
            <w:color w:val="0000FF"/>
            <w:sz w:val="21"/>
            <w:u w:val="single"/>
          </w:rPr>
          <w:t>https://doi.org/10.1109/tip.2026.3659325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无限制掌纹识别是指在智能手机摄像头、监控录像、近红外场景等非受控环境下，根据采集到的掌纹图像进行个人身份认证的综合身份认证技术。然而，由于此类环境中图像质量、照明条件和手部姿势的变化，无限制的掌纹识别面临着巨大的挑战。我们观察到许多现有方法都利用子空间结构作为先验，其中数据的块对角线属性已经得到证明。在本文中，我们考虑一种统一的学习模型来保证所有视图的一致块对角线属性，称为多视图掌纹识别的高置信块对角线分析（HCBDA MPR）。特别是，本文提出了一种多视图块对角正则器来指导所有视图学习一致的块对角结构。以这种方式，可以保留每个视图的主要判别特征，同时学习所有视图的严格块对角线结构。在多个真实世界无约束掌纹数据库上的实验结果证明了该方法的优越性，与其他最先进的相关方法相比，获得了最高的识别精度。</w:t>
      </w:r>
    </w:p>
    <w:p>
      <w:pPr>
        <w:spacing w:before="120"/>
      </w:pPr>
      <w:r>
        <w:rPr>
          <w:rFonts w:ascii="Times New Roman" w:hAnsi="Times New Roman" w:eastAsia="宋体"/>
          <w:b/>
          <w:sz w:val="21"/>
        </w:rPr>
        <w:t>English Abstract:</w:t>
      </w:r>
    </w:p>
    <w:p>
      <w:r>
        <w:rPr>
          <w:rFonts w:ascii="Times New Roman" w:hAnsi="Times New Roman" w:eastAsia="宋体"/>
          <w:sz w:val="21"/>
        </w:rPr>
        <w:t>Unrestrained palmprint recognition refers to a comprehensive identity authentication technology, that performs personal authentication based on the palmprint images captured in uncontrolled environments, i.e., smartphone cameras, surveillance footage, or near-infrared scenarios. However, unrestrained palmprint recognition faces significant challenges due to the variability in image quality, lighting conditions, and hand poses present in such settings. We observed that many existing methods utilize the subspace structure as a prior, where the block diagonal property of the data has been proved. In this paper, we consider a unified learning model to guarantee the consensus block diagonal property for all views, named high-confident block diagonal analysis for multi-view palmprint recognition (HCBDA MPR). Particularly, this paper proposed a multi-view block diagonal regularizer to guide that all views learn a consensus block diagonal structure. In such a manner, the main discriminant features from each view can be preserved while the learning of the strict block diagonal structure across all views. Experimental results on a number of real-world unrestrained palmprint databases proved the superiority of the proposed method, where the highest recognition accuracies were obtained in comparison with the other state-of-the-art related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野外单图像反射分离的互补专家混合和互补交叉注意</w:t>
      </w:r>
    </w:p>
    <w:p>
      <w:r>
        <w:rPr>
          <w:rFonts w:ascii="Times New Roman" w:hAnsi="Times New Roman" w:eastAsia="宋体"/>
          <w:b/>
          <w:color w:val="003264"/>
          <w:sz w:val="24"/>
        </w:rPr>
        <w:t>Complementary Mixture-of-Experts and Complementary Cross-Attention for Single Image Reflection Separation in the Wild</w:t>
      </w:r>
    </w:p>
    <w:p>
      <w:r>
        <w:rPr>
          <w:rFonts w:ascii="Times New Roman" w:hAnsi="Times New Roman" w:eastAsia="宋体"/>
          <w:sz w:val="21"/>
        </w:rPr>
        <w:t>作者: Jonghyuk Park, Jae-Young Sim</w:t>
        <w:br/>
      </w:r>
      <w:r>
        <w:rPr>
          <w:rFonts w:ascii="Times New Roman" w:hAnsi="Times New Roman" w:eastAsia="宋体"/>
          <w:sz w:val="21"/>
        </w:rPr>
        <w:t xml:space="preserve">时间: 2026 | </w:t>
      </w:r>
      <w:r>
        <w:t xml:space="preserve">链接: </w:t>
      </w:r>
      <w:hyperlink r:id="rId33">
        <w:r>
          <w:rPr>
            <w:rFonts w:ascii="Times New Roman" w:hAnsi="Times New Roman" w:eastAsia="宋体"/>
            <w:color w:val="0000FF"/>
            <w:sz w:val="21"/>
            <w:u w:val="single"/>
          </w:rPr>
          <w:t>https://doi.org/10.1109/tip.2026.3659334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单图像反射分离 (SIRS) 旨在从通过玻璃状反射表面捕获的包含两者叠加的单个图像重建透射图像和反射图像。最近基于学习的 SIRS 方法显着提高了具有轻微反射伪影的典型图像的性能；然而，他们经常与包含在野外拍摄的具有挑战性的反射的各种图像作斗争。在本文中，我们提出了一种基于灵活的双流架构的通用 SIRS 框架，能够处理不同的反射工件。具体来说，我们采用了专家混合机制，可以根据空间异构反射特性动态地将专业专家分配给图像块。然后，指定的专家合作以自适应方式提取传输流和反射流之间的互补特征。此外，我们利用 Transformers 的多头注意力机制来同时利用高和低互相关性，然后将其互补地用于促进自适应流间特征交互。在不同的现实世界数据集上评估的实验结果表明，所提出的方法在定性和定量上都显着优于现有的最先进方法。</w:t>
      </w:r>
    </w:p>
    <w:p>
      <w:pPr>
        <w:spacing w:before="120"/>
      </w:pPr>
      <w:r>
        <w:rPr>
          <w:rFonts w:ascii="Times New Roman" w:hAnsi="Times New Roman" w:eastAsia="宋体"/>
          <w:b/>
          <w:sz w:val="21"/>
        </w:rPr>
        <w:t>English Abstract:</w:t>
      </w:r>
    </w:p>
    <w:p>
      <w:r>
        <w:rPr>
          <w:rFonts w:ascii="Times New Roman" w:hAnsi="Times New Roman" w:eastAsia="宋体"/>
          <w:sz w:val="21"/>
        </w:rPr>
        <w:t>Single Image Reflection Separation (SIRS) aims to reconstruct both the transmitted and reflected images from a single image that contains a superimposition of both, captured through a glass-like reflective surface. Recent learning-based methods of SIRS have significantly improved performance on typical images with mild reflection artifacts; however, they often struggle with diverse images containing challenging reflections captured in the wild. In this paper, we propose a universal SIRS framework based on a flexible dual-stream architecture, capable of handling diverse reflection artifacts. Specifically, we incorporate a Mixture-of-Experts mechanism that dynamically assigns specialized experts to image patches based on spatially heterogeneous reflection characteristics. The assigned experts then cooperate to extract complementary features between the transmission and reflection streams in an adaptive manner. In addition, we leverage the multi-head attention mechanism of Transformers to simultaneously exploit both high and low cross-correlations, which are then complementarily used to facilitate adaptive inter-stream feature interactions. Experimental results evaluated on diverse real-world datasets demonstrate that the proposed method significantly outperforms existing state-of-the-art methods qualitatively and quantitatively.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通过频率空间特征过滤和高斯混合建模改进无监督超声图像异常检测</w:t>
      </w:r>
    </w:p>
    <w:p>
      <w:r>
        <w:rPr>
          <w:rFonts w:ascii="Times New Roman" w:hAnsi="Times New Roman" w:eastAsia="宋体"/>
          <w:b/>
          <w:color w:val="003264"/>
          <w:sz w:val="24"/>
        </w:rPr>
        <w:t>Improving Unsupervised Ultrasonic Image Anomaly Detection via Frequency-Spatial Feature Filtering and Gaussian Mixture Modeling</w:t>
      </w:r>
    </w:p>
    <w:p>
      <w:r>
        <w:rPr>
          <w:rFonts w:ascii="Times New Roman" w:hAnsi="Times New Roman" w:eastAsia="宋体"/>
          <w:sz w:val="21"/>
        </w:rPr>
        <w:t>作者: Wenjing Zhang, Ke Lu, Jinbao Wang, Hao Liang, Can Gao, Jian Xue</w:t>
        <w:br/>
      </w:r>
      <w:r>
        <w:rPr>
          <w:rFonts w:ascii="Times New Roman" w:hAnsi="Times New Roman" w:eastAsia="宋体"/>
          <w:sz w:val="21"/>
        </w:rPr>
        <w:t xml:space="preserve">时间: 2026 | </w:t>
      </w:r>
      <w:r>
        <w:t xml:space="preserve">链接: </w:t>
      </w:r>
      <w:hyperlink r:id="rId34">
        <w:r>
          <w:rPr>
            <w:rFonts w:ascii="Times New Roman" w:hAnsi="Times New Roman" w:eastAsia="宋体"/>
            <w:color w:val="0000FF"/>
            <w:sz w:val="21"/>
            <w:u w:val="single"/>
          </w:rPr>
          <w:t>https://doi.org/10.1109/tip.2026.3659292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由于有限的标记数据、强烈的结构和随机噪声以及高度多样化的缺陷表现，超声图像异常检测面临重大挑战。为了克服这些障碍，我们推出了 UltraChip，这是一种新的大规模 C 扫描基准测试，包含来自各种芯片封装类型的约 8,000 张真实图像，每张图像都用像素级掩模仔细注释了裂纹、孔洞和层。在此资源的基础上，我们提出了 FSGM-Net，这是一个专为异常检测量身定制的完全无监督框架。 FSGM-Net 利用自适应频率空间特征过滤机制：可学习的 FFT 空间补丁滤波器首先抑制噪声，并动态地将正态权重分配给视觉变换器 (ViT) 补丁特征。随后，自适应高斯混合模型（Ada-GMM）捕获正常特征的分布，并指导深浅多尺度交互解码器进行准确的像素级异常推断。此外，我们提出了一种强制编码器-滤波器一致性和基于熵的稀疏门控的滤波器损失，以及鼓励特征重建和置信高斯混合建模的分布损失。大量实验表明，FSGM-Net 不仅在 UltraChip 上取得了最先进的结果，而且还表现出优于 MVTec-AD 和 VisA 的跨域泛化能力，同时支持在单个 GPU 上进行实时推理。该数据集和框架共同推进了实际应用中稳健、无注释的超声无损检测。</w:t>
      </w:r>
    </w:p>
    <w:p>
      <w:pPr>
        <w:spacing w:before="120"/>
      </w:pPr>
      <w:r>
        <w:rPr>
          <w:rFonts w:ascii="Times New Roman" w:hAnsi="Times New Roman" w:eastAsia="宋体"/>
          <w:b/>
          <w:sz w:val="21"/>
        </w:rPr>
        <w:t>English Abstract:</w:t>
      </w:r>
    </w:p>
    <w:p>
      <w:r>
        <w:rPr>
          <w:rFonts w:ascii="Times New Roman" w:hAnsi="Times New Roman" w:eastAsia="宋体"/>
          <w:sz w:val="21"/>
        </w:rPr>
        <w:t>Ultrasonic image anomaly detection faces significant challenges due to limited labeled data, strong structural and random noise, and highly diverse defect manifestations. To overcome these obstacles, we introduce UltraChip, a new large-scale C-scan benchmark containing about 8,000 real-world images from various chip packaging types, each meticulously annotated with pixel-level masks for cracks, holes, and layers. Building on this resource, we present FSGM-Net, a fully unsupervised framework tailored for anomaly detection. FSGM-Net leverages an adaptive Frequency-Spatial feature filtering mechanism: a learnable FFT-Spatial patch filter first suppresses noise and dynamically assigns normality weights to Vision Transformer (ViT) patch features. Subsequently, an Adaptive Gaussian Mixture Model (Ada-GMM) captures the distribution of normal features and guides a deep–shallow multi-scale interaction decoder for accurate, pixel-level anomaly inference. In addition, we propose a filter loss that enforces encoder–filter consistency and entropy-based sparse gating, together with a distributional loss that encourages both feature reconstruction and confident Gaussian mixture modeling. Extensive experiments demonstrate that FSGM-Net not only achieves state-of-the-art results on UltraChip but also exhibits superior cross-domain generalization to MVTec-AD and VisA, while supporting real-time inference on a single GPU. Together, the dataset and framework advance robust, annotation-free ultrasonic NDT in practical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攻击增强混合对比骨骼表示学习</w:t>
      </w:r>
    </w:p>
    <w:p>
      <w:r>
        <w:rPr>
          <w:rFonts w:ascii="Times New Roman" w:hAnsi="Times New Roman" w:eastAsia="宋体"/>
          <w:b/>
          <w:color w:val="003264"/>
          <w:sz w:val="24"/>
        </w:rPr>
        <w:t>Attack-Augmented Mixing-Contrastive Skeletal Representation Learning</w:t>
      </w:r>
    </w:p>
    <w:p>
      <w:r>
        <w:rPr>
          <w:rFonts w:ascii="Times New Roman" w:hAnsi="Times New Roman" w:eastAsia="宋体"/>
          <w:sz w:val="21"/>
        </w:rPr>
        <w:t>作者: Binqian Xu, Xiangbo Shu, Jiachao Zhang, Rui Yan, Guo-Sen Xie</w:t>
        <w:br/>
      </w:r>
      <w:r>
        <w:rPr>
          <w:rFonts w:ascii="Times New Roman" w:hAnsi="Times New Roman" w:eastAsia="宋体"/>
          <w:sz w:val="21"/>
        </w:rPr>
        <w:t xml:space="preserve">时间: 2026 | </w:t>
      </w:r>
      <w:r>
        <w:t xml:space="preserve">链接: </w:t>
      </w:r>
      <w:hyperlink r:id="rId35">
        <w:r>
          <w:rPr>
            <w:rFonts w:ascii="Times New Roman" w:hAnsi="Times New Roman" w:eastAsia="宋体"/>
            <w:color w:val="0000FF"/>
            <w:sz w:val="21"/>
            <w:u w:val="single"/>
          </w:rPr>
          <w:t>https://doi.org/10.1109/tip.2026.3659331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对比学习通过利用有效的正样本和负样本对来促进无监督动作识别的信息骨架表示的获取。然而，大多数现有方法通过弱或强的数据增强来构建这些对，这通常依赖于骨骼的随机外观改变。虽然这种增强在某种程度上是有效的，但它们只是间接引入语义变化，并且面临两个固有的局限性。首先，简单地修改骨架的外观通常无法反映有意义的语义变化。其次，随机扰动可能会无意中模糊正负对之间的界限，削弱对比目标。为了应对这些挑战，我们提出了一种攻击驱动的增强框架，明确引入了语义级扰动。这种方法有助于生成硬阳性，同时指导模型挖掘信息更丰富的硬阴性。基于这个想法，我们提出了攻击增强混合对比骨骼表示学习（A 2 MC），这是一个新颖的框架，专注于对比硬正样本和硬负样本，以实现更稳健的表示学习。在 A 2 MC 中，我们设计了一个攻击增强 (Att-Aug) 模块，该模块集成了目标（基于攻击）和非目标（基于增强）扰动，以生成信息丰富的硬阳性样本。与此同时，我们提出了正负混合器（PNM），它将硬正负特征混合在一起，以合成具有挑战性的硬负特征。然后将它们用于更新混合记忆库，以实现更有效的对比学习。对三个公共基准的综合评估表明，我们的方法（称为 A 2 MC）实现了与现有最​​先进方法相当或超过的性能。</w:t>
      </w:r>
    </w:p>
    <w:p>
      <w:pPr>
        <w:spacing w:before="120"/>
      </w:pPr>
      <w:r>
        <w:rPr>
          <w:rFonts w:ascii="Times New Roman" w:hAnsi="Times New Roman" w:eastAsia="宋体"/>
          <w:b/>
          <w:sz w:val="21"/>
        </w:rPr>
        <w:t>English Abstract:</w:t>
      </w:r>
    </w:p>
    <w:p>
      <w:r>
        <w:rPr>
          <w:rFonts w:ascii="Times New Roman" w:hAnsi="Times New Roman" w:eastAsia="宋体"/>
          <w:sz w:val="21"/>
        </w:rPr>
        <w:t>Contrastive learning facilitates the acquisition of informative skeleton representations for unsupervised action recognition by leveraging effective positive and negative sample pairs. However, most existing methods construct these pairs through weak or strong data augmentations, which typically rely on random appearance alterations of skeletons. While such augmentations are somewhat effective, they introduce semantic variations only indirectly and face two inherent limitations. First, simply modifying the appearance of skeletons often fails to reflect meaningful semantic variations. Second, random perturbations can unintentionally blur the boundary between positive and negative pairs, weakening the contrastive objective. To address these challenges, we propose an attack-driven augmentation framework that explicitly introduces semantic-level perturbations. This approach facilitates the generation of hard positives while guiding the model to mine more informative hard negatives. Building on this idea, we present Attack-Augmented Mixing-Contrastive Skeletal Representation Learning (A 2 MC), a novel framework that focuses on contrasting hard positive and hard negative samples for more robust representation learning. Within A 2 MC, we design an Attack-Augmentation (Att-Aug) module that integrates both targeted (attack-based) and untargeted (augmentation-based) perturbations to generate informative hard positive samples. In parallel, we propose the Positive-Negative Mixer (PNM), which blends hard positive and negative features to synthesize challenging hard negatives. These are then used to update a mixed memory bank for more effective contrastive learning. Comprehensive evaluations across three public benchmarks demonstrate that our approach, termed A 2 MC, achieves performance on par with or exceeding existing state-of-the-art methods.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Pattern Anal. Mach. Intell.</w:t>
      </w:r>
    </w:p>
    <w:p>
      <w:pPr>
        <w:jc w:val="center"/>
      </w:pPr>
      <w:r>
        <w:t>--- 更新: 00:28 ---</w:t>
      </w:r>
    </w:p>
    <w:p>
      <w:pPr>
        <w:pStyle w:val="Heading2"/>
      </w:pPr>
      <w:r/>
      <w:r>
        <w:rPr>
          <w:rFonts w:ascii="Times New Roman" w:hAnsi="Times New Roman" w:eastAsia="宋体"/>
          <w:b/>
          <w:color w:val="000000"/>
          <w:sz w:val="24"/>
        </w:rPr>
        <w:t>通过语言指导和表示对齐快速解开领域泛化</w:t>
      </w:r>
    </w:p>
    <w:p>
      <w:r>
        <w:rPr>
          <w:rFonts w:ascii="Times New Roman" w:hAnsi="Times New Roman" w:eastAsia="宋体"/>
          <w:b/>
          <w:color w:val="003264"/>
          <w:sz w:val="24"/>
        </w:rPr>
        <w:t>Prompt Disentanglement via Language Guidance and Representation Alignment for Domain Generalization</w:t>
      </w:r>
    </w:p>
    <w:p>
      <w:r>
        <w:rPr>
          <w:rFonts w:ascii="Times New Roman" w:hAnsi="Times New Roman" w:eastAsia="宋体"/>
          <w:sz w:val="21"/>
        </w:rPr>
        <w:t>作者: De Cheng, Zhipeng Xu, Xinyang Jiang, Dongsheng Li, Nannan Wang, Xinbo Gao</w:t>
        <w:br/>
      </w:r>
      <w:r>
        <w:rPr>
          <w:rFonts w:ascii="Times New Roman" w:hAnsi="Times New Roman" w:eastAsia="宋体"/>
          <w:sz w:val="21"/>
        </w:rPr>
        <w:t xml:space="preserve">时间: 2026 | </w:t>
      </w:r>
      <w:r>
        <w:t xml:space="preserve">链接: </w:t>
      </w:r>
      <w:hyperlink r:id="rId36">
        <w:r>
          <w:rPr>
            <w:rFonts w:ascii="Times New Roman" w:hAnsi="Times New Roman" w:eastAsia="宋体"/>
            <w:color w:val="0000FF"/>
            <w:sz w:val="21"/>
            <w:u w:val="single"/>
          </w:rPr>
          <w:t>https://doi.org/10.1109/tpami.2026.3661049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域泛化（DG）旨在通过学习域不变表示来开发在未见过的目标域上表现良好的模型。预训练视觉基础模型 (VFM)（例如 CLIP）的最新进展显示出通过即时调整增强 DG 的强大潜力。然而，现有的基于 VFM 的提示调整方法通常侧重于特定于任务的适应，而不是解开域不变特征，导致跨域泛化的探索不够充分。在本文中，我们通过充分利用 VFM 中可控且灵活的语言提示来应对这一挑战。观察到文本模态本质上具有丰富的语义并且更容易解开，我们提出了一种新颖的框架，称为通过语言指导和表示对齐进行提示解开（PADG）。 PADG 首先采用大型语言模型 (LLM) 将文本提示分解为领域不变和领域特定的组件，然后指导领域不变视觉表示的学习。为了补充纯文本指导的局限性，我们进一步引入了最差显式表示对齐（WERA）模块，该模块通过可学习的风格化提示模拟有界域的变化以及对齐原始样本和扰动样本之间的表示来增强视觉不变性。对主流 DG 基准（包括 PACS、VLCS、OfficeHome、DomainNet 和 TerraInc）的大量实验表明，PADG 始终优于现有的最先进方法，验证了其在鲁棒域不变表示学习中的有效性。该代码位于：https://anonymous.4open.science/r/paper-5403/</w:t>
      </w:r>
    </w:p>
    <w:p>
      <w:pPr>
        <w:spacing w:before="120"/>
      </w:pPr>
      <w:r>
        <w:rPr>
          <w:rFonts w:ascii="Times New Roman" w:hAnsi="Times New Roman" w:eastAsia="宋体"/>
          <w:b/>
          <w:sz w:val="21"/>
        </w:rPr>
        <w:t>English Abstract:</w:t>
      </w:r>
    </w:p>
    <w:p>
      <w:r>
        <w:rPr>
          <w:rFonts w:ascii="Times New Roman" w:hAnsi="Times New Roman" w:eastAsia="宋体"/>
          <w:sz w:val="21"/>
        </w:rPr>
        <w:t>Domain Generalization (DG) seeks to develop models that perform well on unseen target domains by learning domain-invariant representations. Recent advances in pre-trained Visual Foundation Models (VFMs), such as CLIP, have shown strong potential for enhancing DG through prompt tuning. However, existing VFM-based prompt tuning methods often focus on task-specific adaptation rather than disentangling domain invariant features, leaving cross-domain generalization insufficiently explored. In this paper, we address this challenge by fully leveraging the controllable and flexible language prompt in VFMs. Observing that the text modality is inherently rich in semantics and easier to disentangle, we propose a novel frame work termed Prompt Disentanglement via Language Guidance and Representation Alignment (PADG). PADG first employs a large language model (LLM) to disentangle textual prompts into domain-invariant and domain-specific components, which then guide the learning of domain-invariant visual representations. To complement the limitations of text-only guidance, we further introduce the Worst Explicit Representation Alignment (WERA) module, which enhances visual invariance by simulating bounded domain shifts through learnable stylization prompts and aligning representations between original and perturbed samples. Extensive experiments on mainstream DG benchmarks, including PACS, VLCS, OfficeHome, DomainNet, and TerraInc, demonstrate that PADG consistently outperforms existing state of-the-art methods, validating its effectiveness in robust domain invariant representation learning. The code is available at: https://anonymous.4open.science/r/paper-5403/</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Nature Photonics</w:t>
      </w:r>
    </w:p>
    <w:p>
      <w:pPr>
        <w:jc w:val="center"/>
      </w:pPr>
      <w:r>
        <w:t>--- 更新: 06:29 ---</w:t>
      </w:r>
    </w:p>
    <w:p>
      <w:pPr>
        <w:pStyle w:val="Heading2"/>
      </w:pPr>
      <w:r/>
      <w:r>
        <w:rPr>
          <w:rFonts w:ascii="Times New Roman" w:hAnsi="Times New Roman" w:eastAsia="宋体"/>
          <w:b/>
          <w:color w:val="000000"/>
          <w:sz w:val="24"/>
        </w:rPr>
        <w:t>高度稳定的全钙钛矿串联太阳能电池，具有锡铅表面的目标转化</w:t>
      </w:r>
    </w:p>
    <w:p>
      <w:r>
        <w:rPr>
          <w:rFonts w:ascii="Times New Roman" w:hAnsi="Times New Roman" w:eastAsia="宋体"/>
          <w:b/>
          <w:color w:val="003264"/>
          <w:sz w:val="24"/>
        </w:rPr>
        <w:t>Highly stable all-perovskite tandem solar cells with targeted conversion of tin–lead surfaces</w:t>
      </w:r>
    </w:p>
    <w:p>
      <w:r>
        <w:rPr>
          <w:rFonts w:ascii="Times New Roman" w:hAnsi="Times New Roman" w:eastAsia="宋体"/>
          <w:sz w:val="21"/>
        </w:rPr>
        <w:t>作者: Nannan Sun, Sheng Fu, Yunfei Li, Tianshu Ma, Feng Wang, Wentai Ouyang, Bo Feng, Xiaotian Zhu, Zhengbo Cui, Canglang Yao, Wenxiao Zhang, Xiaodong Li, Changlei Wang, Feng Gao, Junfeng Fang</w:t>
        <w:br/>
      </w:r>
      <w:r>
        <w:rPr>
          <w:rFonts w:ascii="Times New Roman" w:hAnsi="Times New Roman" w:eastAsia="宋体"/>
          <w:sz w:val="21"/>
        </w:rPr>
        <w:t xml:space="preserve">时间: 2026-02-05 | </w:t>
      </w:r>
      <w:r>
        <w:t xml:space="preserve">链接: </w:t>
      </w:r>
      <w:hyperlink r:id="rId53">
        <w:r>
          <w:rPr>
            <w:rFonts w:ascii="Times New Roman" w:hAnsi="Times New Roman" w:eastAsia="宋体"/>
            <w:color w:val="0000FF"/>
            <w:sz w:val="21"/>
            <w:u w:val="single"/>
          </w:rPr>
          <w:t>https://doi.org/10.1038/s41566-025-01815-w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用氢氧化铯处理钙钛矿薄膜中的锡铅表面，形成固体金属氧化物，稳定表面，防止光热降解。当用于全钙钛矿串联太阳能电池时，经认证的功率转换效率为28.56%，在ISOS-L-3条件下测试500小时后，其中90%的效率保持不变。</w:t>
      </w:r>
    </w:p>
    <w:p>
      <w:pPr>
        <w:spacing w:before="120"/>
      </w:pPr>
      <w:r>
        <w:rPr>
          <w:rFonts w:ascii="Times New Roman" w:hAnsi="Times New Roman" w:eastAsia="宋体"/>
          <w:b/>
          <w:sz w:val="21"/>
        </w:rPr>
        <w:t>English Abstract:</w:t>
      </w:r>
    </w:p>
    <w:p>
      <w:r>
        <w:rPr>
          <w:rFonts w:ascii="Times New Roman" w:hAnsi="Times New Roman" w:eastAsia="宋体"/>
          <w:sz w:val="21"/>
        </w:rPr>
        <w:t>Treating the tin–lead surface in perovskite films with caesium hydroxide forms solid metal oxides that stabilize the surface against photothermal degradation. When used in all-perovskite tandem solar cells, a certified power conversion efficiency of 28.56% is achieved, 90% of which is retained after 500 h of testing under ISOS-L-3 conditions.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Opto-Electronic Advances</w:t>
      </w:r>
    </w:p>
    <w:p>
      <w:pPr>
        <w:jc w:val="center"/>
      </w:pPr>
      <w:r>
        <w:t>--- 更新: 06:29 ---</w:t>
      </w:r>
    </w:p>
    <w:p>
      <w:pPr>
        <w:pStyle w:val="Heading2"/>
      </w:pPr>
      <w:r/>
      <w:r>
        <w:rPr>
          <w:rFonts w:ascii="Times New Roman" w:hAnsi="Times New Roman" w:eastAsia="宋体"/>
          <w:b/>
          <w:color w:val="000000"/>
          <w:sz w:val="24"/>
        </w:rPr>
        <w:t>一种混合集成高精度可调谐半导体激光器</w:t>
      </w:r>
    </w:p>
    <w:p>
      <w:r>
        <w:rPr>
          <w:rFonts w:ascii="Times New Roman" w:hAnsi="Times New Roman" w:eastAsia="宋体"/>
          <w:b/>
          <w:color w:val="003264"/>
          <w:sz w:val="24"/>
        </w:rPr>
        <w:t>A hybrid integrated high-precision tunable semiconductor laser</w:t>
      </w:r>
    </w:p>
    <w:p>
      <w:r>
        <w:rPr>
          <w:rFonts w:ascii="Times New Roman" w:hAnsi="Times New Roman" w:eastAsia="宋体"/>
          <w:sz w:val="21"/>
        </w:rPr>
        <w:t>作者: Yiran Zhu, Botao Fu, Zhiwei Fang, Qiyue Hu, Jianping Yu, Yunpeng Song, Yu Ma, Min Wang, Kunpeng Jia, Zhenda Xie, Ya Cheng</w:t>
        <w:br/>
      </w:r>
      <w:r>
        <w:rPr>
          <w:rFonts w:ascii="Times New Roman" w:hAnsi="Times New Roman" w:eastAsia="宋体"/>
          <w:sz w:val="21"/>
        </w:rPr>
        <w:t xml:space="preserve">时间: 2026 | </w:t>
      </w:r>
      <w:r>
        <w:t xml:space="preserve">链接: </w:t>
      </w:r>
      <w:hyperlink r:id="rId54">
        <w:r>
          <w:rPr>
            <w:rFonts w:ascii="Times New Roman" w:hAnsi="Times New Roman" w:eastAsia="宋体"/>
            <w:color w:val="0000FF"/>
            <w:sz w:val="21"/>
            <w:u w:val="single"/>
          </w:rPr>
          <w:t>https://doi.org/10.29026/oea.2026.250274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薄膜铌酸锂由于其出色的电光和非线性特性，已成为集成光子学的一个有前途的平台。然而，对于从光通信和传感到计量和量子技术等众多应用至关重要的片上可调谐激光器的发展仍然有限。当前的解决方案在波长调谐范围或精度方面都不足，并且经常依赖于复杂的控制策略。在这里，我们展示了一种集成电光可调谐窄线宽 III-V 激光器，实现了约 51.8 nm 的调谐范围、约 1.21 MHz 的固有线宽和约 0.03 nm 的高调谐精度。具体来说，我们的外腔独特地结合了高反射萨尼亚克反射镜和一系列不平衡干涉仪，它们一起提供有利于单纵模窄线宽激光操作的光谱响应，这不仅通过实验演示，而且通过富有洞察力的理论分析证明。</w:t>
      </w:r>
    </w:p>
    <w:p>
      <w:pPr>
        <w:spacing w:before="120"/>
      </w:pPr>
      <w:r>
        <w:rPr>
          <w:rFonts w:ascii="Times New Roman" w:hAnsi="Times New Roman" w:eastAsia="宋体"/>
          <w:b/>
          <w:sz w:val="21"/>
        </w:rPr>
        <w:t>English Abstract:</w:t>
      </w:r>
    </w:p>
    <w:p>
      <w:r>
        <w:rPr>
          <w:rFonts w:ascii="Times New Roman" w:hAnsi="Times New Roman" w:eastAsia="宋体"/>
          <w:sz w:val="21"/>
        </w:rPr>
        <w:t>Thin-film lithium niobate has become a promising platform for integrated photonics due to its outstanding electro-optic and nonlinear properties. However, the development of on-chip tunable lasers, which is essential for a plethora of applications ranging from optical communications and sensing to metrology and quantum technology, remains limited. Current solutions fall short in either wavelength tuning range or precision, and frequently relies on complex control strategy. Here, we demonstrate an integrated electro-optically tunable narrow-linewidth III-V laser, achieving a tuning range of ~51.8 nm, an intrinsic linewidth of ~1.21 MHz, and high tuning precision of ~0.03 nm. Specifically, our external cavity uniquely combines highly reflective Sagnac mirrors and a series of unbalanced interferometers which together offer a spectral response in favor of single-longitudinal-mode narrow-linewidth lasing operation, evidenced by not only experimental demonstration but also insightful theoretical analysis.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Express</w:t>
      </w:r>
    </w:p>
    <w:p>
      <w:pPr>
        <w:jc w:val="center"/>
      </w:pPr>
      <w:r>
        <w:t>--- 更新: 06:29 ---</w:t>
      </w:r>
    </w:p>
    <w:p>
      <w:pPr>
        <w:pStyle w:val="Heading2"/>
      </w:pPr>
      <w:r/>
      <w:r>
        <w:rPr>
          <w:rFonts w:ascii="Times New Roman" w:hAnsi="Times New Roman" w:eastAsia="宋体"/>
          <w:b/>
          <w:color w:val="000000"/>
          <w:sz w:val="24"/>
        </w:rPr>
        <w:t>用于 300 mm 硅光子平台上标准单模光纤的低于 1 dB 损耗和偏振不敏感 O 波段边缘耦合器</w:t>
      </w:r>
    </w:p>
    <w:p>
      <w:r>
        <w:rPr>
          <w:rFonts w:ascii="Times New Roman" w:hAnsi="Times New Roman" w:eastAsia="宋体"/>
          <w:b/>
          <w:color w:val="003264"/>
          <w:sz w:val="24"/>
        </w:rPr>
        <w:t>Sub-1 dB loss and polarization-insensitive O-band edge coupler for standard single-mode fiber on a 300 mm silicon photonics platform</w:t>
      </w:r>
    </w:p>
    <w:p>
      <w:r>
        <w:rPr>
          <w:rFonts w:ascii="Times New Roman" w:hAnsi="Times New Roman" w:eastAsia="宋体"/>
          <w:sz w:val="21"/>
        </w:rPr>
        <w:t>作者: Qingshuai Su, Xiao Hu, Fang Wei, Xu Wang, Xiangyue Li, Hexi Han, Wei Chu, Haiwen Cai</w:t>
        <w:br/>
      </w:r>
      <w:r>
        <w:rPr>
          <w:rFonts w:ascii="Times New Roman" w:hAnsi="Times New Roman" w:eastAsia="宋体"/>
          <w:sz w:val="21"/>
        </w:rPr>
        <w:t xml:space="preserve">时间: 2026-01-22 | </w:t>
      </w:r>
      <w:r>
        <w:t xml:space="preserve">链接: </w:t>
      </w:r>
      <w:hyperlink r:id="rId58">
        <w:r>
          <w:rPr>
            <w:rFonts w:ascii="Times New Roman" w:hAnsi="Times New Roman" w:eastAsia="宋体"/>
            <w:color w:val="0000FF"/>
            <w:sz w:val="21"/>
            <w:u w:val="single"/>
          </w:rPr>
          <w:t>https://doi.org/10.1364/oe.583573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数据中心互连和高性能计算的需求不断增长，硅光子已成为下一代光通信和互连系统的关键技术。然而，硅光子芯片和标准单模光纤之间的有效耦合仍然是限制大规模部署的关键挑战。在这项工作中，我们展示了在具有两层氮化硅的 300 mm 硅光子有源平台上制造的亚分贝损耗、偏振不敏感的 O 波段边缘耦合器。该边缘耦合器采用基于悬臂的结构，具有结构优化的石英波导面，显着改善了标准单模光纤的模场重叠和对准容差。将光场直接耦合到单模氮化硅波导中可实现优异的性能，在 1260-1360 nm 波长范围内，TE/TM 模式插入损耗低于 0.87 dB/1.0 dB，偏振相关损耗 (PDL) 低于 0.14 dB。此外，高效的层间耦合可实现从氮化硅波导到单模硅波导的绝热光场转换，在 100 nm 带宽内保持高性能，TE/TM 模式耦合损耗低于 0.85 dB/1.2 dB，PDL 低于 0.37 dB。该器件还在所有三个维度（水平、垂直和耦合间隙）上表现出出色的对准公差。这项研究为在先进硅光子平台上实现高性能光输入/输出接口提供了一种可扩展且经济高效的解决方案，为高密度光互连和计算系统的大规模集成铺平了道路。</w:t>
      </w:r>
    </w:p>
    <w:p>
      <w:pPr>
        <w:spacing w:before="120"/>
      </w:pPr>
      <w:r>
        <w:rPr>
          <w:rFonts w:ascii="Times New Roman" w:hAnsi="Times New Roman" w:eastAsia="宋体"/>
          <w:b/>
          <w:sz w:val="21"/>
        </w:rPr>
        <w:t>English Abstract:</w:t>
      </w:r>
    </w:p>
    <w:p>
      <w:r>
        <w:rPr>
          <w:rFonts w:ascii="Times New Roman" w:hAnsi="Times New Roman" w:eastAsia="宋体"/>
          <w:sz w:val="21"/>
        </w:rPr>
        <w:t>With the growing demand for data center interconnects and high-performance computing, silicon photonics has emerged as a key technology for next-generation optical communication and interconnect systems. However, efficient coupling between silicon photonic chips and standard single-mode fibers remains a critical challenge limiting large-scale deployment. In this work, we demonstrate a sub-decibel loss, polarization-insensitive O-band edge coupler fabricated on a 300 mm silicon photonics active platform with two-layer silicon nitrides. The edge coupler employs a cantilever-based structure with a structurally optimized silica waveguide facet, significantly improving mode field overlap and alignment tolerance with standard single-mode fibers. Direct coupling of the optical field into a single-mode silicon nitride waveguide achieves excellent performance, with TE/TM mode insertion losses below 0.87 dB/1.0 dB and a polarization-dependent loss (PDL) below 0.14 dB across the 1260-1360 nm wavelength range. Furthermore, efficient interlayer coupling enables adiabatic optical field conversion from the silicon nitride waveguide to a single-mode silicon waveguide, maintaining high performance over a 100 nm bandwidth with TE/TM mode coupling losses below 0.85 dB/1.2 dB and a PDL below 0.37 dB. The device also exhibits excellent alignment tolerances in all three dimensions (horizontal, vertical, and coupling gap). This research provides a scalable and cost-effective solution for realizing high-performance optical input/output interfaces on advanced silicon photonics platforms, paving the way for large-scale integration in high-density optical interconnects and computing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通过各向异性梯度稀疏性和低秩正则化锥形束计算机层析成像的图像重建算法</w:t>
      </w:r>
    </w:p>
    <w:p>
      <w:r>
        <w:rPr>
          <w:rFonts w:ascii="Times New Roman" w:hAnsi="Times New Roman" w:eastAsia="宋体"/>
          <w:b/>
          <w:color w:val="003264"/>
          <w:sz w:val="24"/>
        </w:rPr>
        <w:t>Image reconstruction algorithm regularized by anisotropic gradient sparsity and low rank for cone beam computed laminography</w:t>
      </w:r>
    </w:p>
    <w:p>
      <w:r>
        <w:rPr>
          <w:rFonts w:ascii="Times New Roman" w:hAnsi="Times New Roman" w:eastAsia="宋体"/>
          <w:sz w:val="21"/>
        </w:rPr>
        <w:t>作者: Jing Lu, Pengcheng Zhang, Yi Liu, Zhiyuan Li, Shu Li, Hangqi Wu, Wenyan Liu, Zhiguo Gui</w:t>
        <w:br/>
      </w:r>
      <w:r>
        <w:rPr>
          <w:rFonts w:ascii="Times New Roman" w:hAnsi="Times New Roman" w:eastAsia="宋体"/>
          <w:sz w:val="21"/>
        </w:rPr>
        <w:t xml:space="preserve">时间: 2026-01-22 | </w:t>
      </w:r>
      <w:r>
        <w:t xml:space="preserve">链接: </w:t>
      </w:r>
      <w:hyperlink r:id="rId59">
        <w:r>
          <w:rPr>
            <w:rFonts w:ascii="Times New Roman" w:hAnsi="Times New Roman" w:eastAsia="宋体"/>
            <w:color w:val="0000FF"/>
            <w:sz w:val="21"/>
            <w:u w:val="single"/>
          </w:rPr>
          <w:t>https://doi.org/10.1364/oe.582146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X 射线计算机断层扫描 (CL) 已成为检查板壳部件的首选无损成像技术。然而，其独特的扫描几何形状不可避免地导致投影数据不完整，从而导致重建图像中出现明显的混叠伪影和结构退化。为了解决这个问题，我们提出了一种新颖的 CL 重建模型，该模型结合了各向异性梯度、稀疏和低秩 (AGSLR) 正则化。该模型利用了 CL 图像的局部平滑度和全局空间相关性。具体来说，局部平滑度通过总变分（TV）来捕获，而全局空间相关性则通过张量核范数（TNN）来表征。此外，该模型通过引入各向异性电视项，将 CL 图像中水平和垂直边缘的差分恢复能力编码为先验。利用 Chambolle-Pock (CP) 算法设计了数值求解器。模拟和真实数据的实验结果表明，所提出的算法在抑制锥束伪影、降低噪声和恢复结构细节方面显着优于现有方法。</w:t>
      </w:r>
    </w:p>
    <w:p>
      <w:pPr>
        <w:spacing w:before="120"/>
      </w:pPr>
      <w:r>
        <w:rPr>
          <w:rFonts w:ascii="Times New Roman" w:hAnsi="Times New Roman" w:eastAsia="宋体"/>
          <w:b/>
          <w:sz w:val="21"/>
        </w:rPr>
        <w:t>English Abstract:</w:t>
      </w:r>
    </w:p>
    <w:p>
      <w:r>
        <w:rPr>
          <w:rFonts w:ascii="Times New Roman" w:hAnsi="Times New Roman" w:eastAsia="宋体"/>
          <w:sz w:val="21"/>
        </w:rPr>
        <w:t>X-ray computed laminography (CL) has emerged as the preferred nondestructive imaging technique for inspecting plate-shell components. However, its unique scanning geometry inevitably leads to incomplete projection data, thereby causing significant aliasing artifacts and structural degradation in reconstructed images. To address this issue, we propose a novel CL reconstruction model that incorporates anisotropic gradient, sparse, and low-rank (AGSLR) regularization. The model leverages both the local smoothness and global spatial correlation of CL images. Specifically, local smoothness is captured through total variation (TV), while global spatial correlation is characterized by tensor nuclear norm (TNN). Furthermore, the model encodes the differential restoration capabilities of horizontal and vertical edges in CL images as a prior by introducing anisotropic TV terms. A numerical solver is devised utilizing the Chambolle-Pock (CP) algorithm. Experimental results on simulated and real data demonstrate that the proposed algorithm significantly outperforms existing methods in suppressing cone-beam artifacts, reducing noise, and recovering structural details.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基于孤子微梳双载波太赫兹光载波转换的全光子W波段太赫兹接收器，用于高速OOK无线传输</w:t>
      </w:r>
    </w:p>
    <w:p>
      <w:r>
        <w:rPr>
          <w:rFonts w:ascii="Times New Roman" w:hAnsi="Times New Roman" w:eastAsia="宋体"/>
          <w:b/>
          <w:color w:val="003264"/>
          <w:sz w:val="24"/>
        </w:rPr>
        <w:t>All-photonic W-band terahertz receiver based on THz-to-optical carrier conversion with soliton microcomb dual carriers for high-speed OOK wireless transmission</w:t>
      </w:r>
    </w:p>
    <w:p>
      <w:r>
        <w:rPr>
          <w:rFonts w:ascii="Times New Roman" w:hAnsi="Times New Roman" w:eastAsia="宋体"/>
          <w:sz w:val="21"/>
        </w:rPr>
        <w:t>作者: Yudai Matsumura, Hiroki Kishikawa, Naoya Kuse, Yasuhiro Okamura, Eiji Hase, Jun-Ichi Fujikata, Masanobu Haraguchi, Takahiro Kaji, Akira Otomo, Isao Morohashi, Tomohiro Tetsumoto, Shintaro Hisatake, Atsushi Kanno, Yu Tokizane, Takeshi Yasui</w:t>
        <w:br/>
      </w:r>
      <w:r>
        <w:rPr>
          <w:rFonts w:ascii="Times New Roman" w:hAnsi="Times New Roman" w:eastAsia="宋体"/>
          <w:sz w:val="21"/>
        </w:rPr>
        <w:t xml:space="preserve">时间: 2026-01-23 | </w:t>
      </w:r>
      <w:r>
        <w:t xml:space="preserve">链接: </w:t>
      </w:r>
      <w:hyperlink r:id="rId60">
        <w:r>
          <w:rPr>
            <w:rFonts w:ascii="Times New Roman" w:hAnsi="Times New Roman" w:eastAsia="宋体"/>
            <w:color w:val="0000FF"/>
            <w:sz w:val="21"/>
            <w:u w:val="single"/>
          </w:rPr>
          <w:t>https://doi.org/10.1364/oe.582936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我们展示了一种用于数据调制信号的全光子太赫兹 (THz) 接收器，目标是 106 GHz、2.97 Gb/s 开关键控 (OOK) 链路。该方案采用以孤子微梳为参考的双波长光载波，并使用电光聚合物调制器通过非偏振电光下变频执行太赫兹到光载波的转换。 RF 频谱和眼图证实了无差错传输，Q 因子为 5.78，误码率为 3.74 × 10 -9 ，远低于硬决策前向纠错阈值（Q 因子 = 2.67，(BER) = 3.8 × 10 -3 ）。使用单波长光载波配置的比较测量清楚地揭示了双波长方案卓越的信噪比性能。系统级建模进一步表明了传输距离超过100 m的可扩展性。这些结果使孤子微梳参考双载波成为紧凑型集成接收器的一个有前景的平台，可在未来 6G 网络中实现无缝无线光融合。</w:t>
      </w:r>
    </w:p>
    <w:p>
      <w:pPr>
        <w:spacing w:before="120"/>
      </w:pPr>
      <w:r>
        <w:rPr>
          <w:rFonts w:ascii="Times New Roman" w:hAnsi="Times New Roman" w:eastAsia="宋体"/>
          <w:b/>
          <w:sz w:val="21"/>
        </w:rPr>
        <w:t>English Abstract:</w:t>
      </w:r>
    </w:p>
    <w:p>
      <w:r>
        <w:rPr>
          <w:rFonts w:ascii="Times New Roman" w:hAnsi="Times New Roman" w:eastAsia="宋体"/>
          <w:sz w:val="21"/>
        </w:rPr>
        <w:t>We demonstrate an all-photonic terahertz (THz) receiver for a data-modulated signal, targeting a 106-GHz, 2.97-Gb/s on-off keying (OOK) link. The scheme employs dual-wavelength optical carriers referenced to a soliton microcomb and performs THz-to-optical carrier conversion via nonpolarimetric electro-optic downconversion using an electro-optic polymer modulator. RF spectra and eye diagrams confirmed error-free transmission with a Q-factor of 5.78 and a bit-error rate of 3.74 × 10 −9 , well below the hard-decision forward-error-correction threshold (Q-factor = 2.67, (BER) = 3.8 × 10 −3 ). Comparative measurements using a single-wavelength optical-carrier configuration clearly revealed the superior signal-to-noise performance of the dual-wavelength scheme. System-level modeling further indicated the scalability of the transmission distance beyond 100 m. These results establish soliton microcomb-referenced dual carriers as a promising platform for compact, integrated receivers enabling seamless wireless-optical convergence in future 6G networks.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用于无标记 T-DXd 药物与抗体比率测定的量子弱测量生物传感器</w:t>
      </w:r>
    </w:p>
    <w:p>
      <w:r>
        <w:rPr>
          <w:rFonts w:ascii="Times New Roman" w:hAnsi="Times New Roman" w:eastAsia="宋体"/>
          <w:b/>
          <w:color w:val="003264"/>
          <w:sz w:val="24"/>
        </w:rPr>
        <w:t>Quantum weak measurement biosensor for label-free drug-to-antibody ratio determination of T-DXd</w:t>
      </w:r>
    </w:p>
    <w:p>
      <w:r>
        <w:rPr>
          <w:rFonts w:ascii="Times New Roman" w:hAnsi="Times New Roman" w:eastAsia="宋体"/>
          <w:sz w:val="21"/>
        </w:rPr>
        <w:t>作者: Shuqian Wang, Yufei Liu, Yuxin Zhou, Yadong Chen, Jia Yao, Jingjing Zhang, Li Dongmei, Qiang Lin, Yi Ruan</w:t>
        <w:br/>
      </w:r>
      <w:r>
        <w:rPr>
          <w:rFonts w:ascii="Times New Roman" w:hAnsi="Times New Roman" w:eastAsia="宋体"/>
          <w:sz w:val="21"/>
        </w:rPr>
        <w:t xml:space="preserve">时间: 2026-01-22 | </w:t>
      </w:r>
      <w:r>
        <w:t xml:space="preserve">链接: </w:t>
      </w:r>
      <w:hyperlink r:id="rId61">
        <w:r>
          <w:rPr>
            <w:rFonts w:ascii="Times New Roman" w:hAnsi="Times New Roman" w:eastAsia="宋体"/>
            <w:color w:val="0000FF"/>
            <w:sz w:val="21"/>
            <w:u w:val="single"/>
          </w:rPr>
          <w:t>https://doi.org/10.1364/oe.583299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抗体药物偶联物 (ADC) 需要精确的药物与抗体比率 (DAR) 表征，以确保治疗效果、安全性和法规遵从性。然而，传统的 DAR 方法（例如紫外-可见光谱、疏水相互作用色谱和质谱）通常具有破坏性、依赖于标记或无法在生理相关条件下进行实时分析。在这里，我们提出了一种基于量子弱测量 (QWM) 的 Mach-Zehnder 干涉生物传感器，能够在固定的人表皮生长因子受体 2 (HER2) 过表达 SKBR3 细胞基质上对曲妥珠单抗 deruxtecan (T-DXd) 进行无标记体外 DAR 定量。弱值放大增强了干涉仪的相位灵敏度，允许在统一光学平台内对 T-DXd 进行皮摩尔级检测，并实时监测 HER2 靶向结合和二硫苏糖醇诱导的 DXd 有效负载释放。校准实验产生了出色的线性响应，灵敏度为 3.166 × 10 10 nm · M −1，检测限为 1.31 × 10 −12 M。通过结合 T-DXd 吸附和 DXd 释放测量，QWM 传感器确定 DAR 为 (7.3 ± 0.26)，与标称规格非常吻合。干涉读数无需荧光或酶标记，避免了抗体支架的剧烈消化，同时仅需要微升规模的样品体积。除了 T-DXd 之外，这种模块化量子生物传感架构还适用于其他 ADC 和蛋白质药物缀合物，作为精确生物制药表征和质量控制的补充工具。</w:t>
      </w:r>
    </w:p>
    <w:p>
      <w:pPr>
        <w:spacing w:before="120"/>
      </w:pPr>
      <w:r>
        <w:rPr>
          <w:rFonts w:ascii="Times New Roman" w:hAnsi="Times New Roman" w:eastAsia="宋体"/>
          <w:b/>
          <w:sz w:val="21"/>
        </w:rPr>
        <w:t>English Abstract:</w:t>
      </w:r>
    </w:p>
    <w:p>
      <w:r>
        <w:rPr>
          <w:rFonts w:ascii="Times New Roman" w:hAnsi="Times New Roman" w:eastAsia="宋体"/>
          <w:sz w:val="21"/>
        </w:rPr>
        <w:t>Antibody-drug conjugates (ADCs) demand precise drug-to-antibody ratio (DAR) characterization to ensure therapeutic efficacy, safety, and regulatory compliance. However, conventional DAR methods such as UV-Vis spectroscopy, hydrophobic interaction chromatography, and mass spectrometry are often destructive, label-dependent, or incapable of real-time analysis under physiologically relevant conditions. Here, we present a quantum weak measurement (QWM)-based Mach-Zehnder interferometric biosensor that enables label-free in-vitro DAR quantification of trastuzumab deruxtecan (T-DXd) on fixed human epidermal growth factor receptor 2 (HER2)-overexpressing SKBR3 cell substrates. Weak-value amplification enhances the phase sensitivity of the interferometer, allowing picomolar-level detection of T-DXd and real-time monitoring of HER2-targeted binding and dithiothreitol-induced DXd payload release within a unified optical platform. Calibration experiments yield an excellent linear response with a sensitivity of 3.166 × 10 10 nm · M −1 and a detection limit of 1.31 × 10 −12 M. By combining T-DXd adsorption and DXd release measurements, the QWM sensor determines a DAR of (7.3 ± 0.26), in good agreement with nominal specifications. The interferometric readout operates without fluorescent or enzymatic labels and avoids harsh digestion of the antibody scaffold, while requiring only microliter-scale sample volumes. Beyond T-DXd, this modular quantum biosensing architecture is adaptable to other ADCs and protein-drug conjugates as a complementary tool for precision biopharmaceutical characterization and quality control.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使用模式交换器进行模式操作的灵活分插复用器</w:t>
      </w:r>
    </w:p>
    <w:p>
      <w:r>
        <w:rPr>
          <w:rFonts w:ascii="Times New Roman" w:hAnsi="Times New Roman" w:eastAsia="宋体"/>
          <w:b/>
          <w:color w:val="003264"/>
          <w:sz w:val="24"/>
        </w:rPr>
        <w:t>Flexible add-drop multiplexers for mode manipulation using mode exchangers</w:t>
      </w:r>
    </w:p>
    <w:p>
      <w:r>
        <w:rPr>
          <w:rFonts w:ascii="Times New Roman" w:hAnsi="Times New Roman" w:eastAsia="宋体"/>
          <w:sz w:val="21"/>
        </w:rPr>
        <w:t>作者: Yaxin Yu, Zhenzhao Guo, Lei Zhang, Jiao Zhang, Min Zhu, Shengbao Wu, Jinbiao Xiao</w:t>
        <w:br/>
      </w:r>
      <w:r>
        <w:rPr>
          <w:rFonts w:ascii="Times New Roman" w:hAnsi="Times New Roman" w:eastAsia="宋体"/>
          <w:sz w:val="21"/>
        </w:rPr>
        <w:t xml:space="preserve">时间: 2026-01-21 | </w:t>
      </w:r>
      <w:r>
        <w:t xml:space="preserve">链接: </w:t>
      </w:r>
      <w:hyperlink r:id="rId62">
        <w:r>
          <w:rPr>
            <w:rFonts w:ascii="Times New Roman" w:hAnsi="Times New Roman" w:eastAsia="宋体"/>
            <w:color w:val="0000FF"/>
            <w:sz w:val="21"/>
            <w:u w:val="single"/>
          </w:rPr>
          <w:t>https://doi.org/10.1364/oe.586767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灵活的模式操作对于大规模构建模分复用（MDM）系统至关重要，可以实现任意信号交换、路由和复用，从而显着增强光互连能力。展示了一种紧凑而灵活的模式操纵方案，以通过智能算法优化的模式交换器（ME）为中心。以基于贝塞尔曲线轮廓波导的四模交换器和相应的模式分插复用器（MADM）为例，对其灵活的模式操纵能力进行了理论分析和实验验证。对制造的 ME 01/23、ME 02/13 和 ME 03/12 模式交换器的实验测量表明，插入损耗 (IL) 低于 1.8 dB，串扰 (CT) 优于 -10 dB，波长范围分别为 1515–1570 nm、1508–1580 nm 和 1519–1580 nm。所有这三种器件均具有小于 6 × 3 μm 2 的紧凑尺寸。同时，在 C 频段 (1530–1565 nm) 上运行的三模分插复用器 (MADM) 的特性验证了所有传输模式的 IL 小于 2.4 dB，CT 超过 -10.0 dB。值得注意的是，所提出的模式操纵策略为高阶模式提供了理论上的可扩展性，克服了传统 MDM 系统的一个关键限制：无法直接访问多模总线波导中的特定低阶模式。因此，这些发现为集成到下一代高密度光通信系统提供了关键的技术基础。</w:t>
      </w:r>
    </w:p>
    <w:p>
      <w:pPr>
        <w:spacing w:before="120"/>
      </w:pPr>
      <w:r>
        <w:rPr>
          <w:rFonts w:ascii="Times New Roman" w:hAnsi="Times New Roman" w:eastAsia="宋体"/>
          <w:b/>
          <w:sz w:val="21"/>
        </w:rPr>
        <w:t>English Abstract:</w:t>
      </w:r>
    </w:p>
    <w:p>
      <w:r>
        <w:rPr>
          <w:rFonts w:ascii="Times New Roman" w:hAnsi="Times New Roman" w:eastAsia="宋体"/>
          <w:sz w:val="21"/>
        </w:rPr>
        <w:t>Flexible mode manipulation is essential for the large-scale construction of mode-division multiplexing (MDM) systems, enabling arbitrary signal exchanging, routing, and multiplexing to significantly enhance optical interconnection capacity. A compact and flexible mode manipulation scheme is demonstrated, centered on a mode exchanger (ME) optimized by intelligent algorithms. Taking four-mode exchangers based on a Bézier curve profile waveguide and corresponding mode add-drop multiplexers (MADMs) as examples, theoretical analysis and experimental verification of their flexible mode manipulation capabilities are presented. Experimental measurements on the fabricated ME 01/23 , ME 02/13 , and ME 03/12 mode exchangers reveal insertion loss (IL) below 1.8 dB and crosstalk (CT) better than −10 dB, spanning the wavelength ranges of 1515–1570 nm, 1508–1580 nm, and 1519–1580 nm, respectively. All three devices feature a compact footprint of less than 6 × 3 μm 2 . Meanwhile, characterization of the three-mode add-drop multiplexers (MADMs) operating over the C-band (1530–1565 nm) verifies IL of less than 2.4 dB and CT exceeding −10.0 dB for all transmission modes. Notably, the proposed mode manipulation strategy offers theoretical scalability to higher-order modes, overcoming a key limitation of conventional MDM systems: the inability to directly access specific low-order modes in multimode bus waveguides. These findings thus provide critical technical foundations for integration into next-generation high-density optical communication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基于随机时间信号的腔衰荡光谱：一种用于高反射率涂层表征的抗噪声方法</w:t>
      </w:r>
    </w:p>
    <w:p>
      <w:r>
        <w:rPr>
          <w:rFonts w:ascii="Times New Roman" w:hAnsi="Times New Roman" w:eastAsia="宋体"/>
          <w:b/>
          <w:color w:val="003264"/>
          <w:sz w:val="24"/>
        </w:rPr>
        <w:t>Random temporal signal-based cavity ring-down spectroscopy: a noise-resilient approach for high-reflectance coating characterization</w:t>
      </w:r>
    </w:p>
    <w:p>
      <w:r>
        <w:rPr>
          <w:rFonts w:ascii="Times New Roman" w:hAnsi="Times New Roman" w:eastAsia="宋体"/>
          <w:sz w:val="21"/>
        </w:rPr>
        <w:t>作者: Jiří Junek, Štěpán Kunc, Jakub Nečásek, Karel Žídek</w:t>
        <w:br/>
      </w:r>
      <w:r>
        <w:rPr>
          <w:rFonts w:ascii="Times New Roman" w:hAnsi="Times New Roman" w:eastAsia="宋体"/>
          <w:sz w:val="21"/>
        </w:rPr>
        <w:t xml:space="preserve">时间: 2026-01-23 | </w:t>
      </w:r>
      <w:r>
        <w:t xml:space="preserve">链接: </w:t>
      </w:r>
      <w:hyperlink r:id="rId63">
        <w:r>
          <w:rPr>
            <w:rFonts w:ascii="Times New Roman" w:hAnsi="Times New Roman" w:eastAsia="宋体"/>
            <w:color w:val="0000FF"/>
            <w:sz w:val="21"/>
            <w:u w:val="single"/>
          </w:rPr>
          <w:t>https://doi.org/10.1364/oe.582190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高反射率光学涂层的准确表征对于激光系统和先进光学仪器等应用至关重要，在这些应用中，即使是百万分之一 (ppm) 的反射率偏差也会严重影响系统性能。传统的测量方法，例如分光光度法或基于脉冲的腔衰荡光谱法 (CRDS)，在超高反射率时面临严重限制 - 分光光度法通常在 99.9% 以上饱和，而脉冲 CRDS 对探测器抖动、脉冲不稳定性和超过 99.999% 的长平均时间变得越来越敏感。在这项工作中，我们提出并通过实验验证了一种基于随机时间信号 (RATS) 方法的时间分辨 CRDS 技术，该技术用随机调制信号取代了确定性激光脉冲。使用四镜腔（R &gt; 99.99%）的数值模拟和实验测量表明，基于 RATS 的方法在相同的采集时间下实现了更平滑的衰减并提高了精度。随机时间信号增强了光子吞吐量，同时保持恒定的峰值功率，从而使信噪比提高 50 倍并防止镜子损坏。结果证实，RATS-CRDS 方法可以在很短的时间内达到与传统脉冲 CRDS 相当或更高的精度，为工业和空间光学应用中超高反射率涂层的精密反射测量提供稳健且可扩展的方法。</w:t>
      </w:r>
    </w:p>
    <w:p>
      <w:pPr>
        <w:spacing w:before="120"/>
      </w:pPr>
      <w:r>
        <w:rPr>
          <w:rFonts w:ascii="Times New Roman" w:hAnsi="Times New Roman" w:eastAsia="宋体"/>
          <w:b/>
          <w:sz w:val="21"/>
        </w:rPr>
        <w:t>English Abstract:</w:t>
      </w:r>
    </w:p>
    <w:p>
      <w:r>
        <w:rPr>
          <w:rFonts w:ascii="Times New Roman" w:hAnsi="Times New Roman" w:eastAsia="宋体"/>
          <w:sz w:val="21"/>
        </w:rPr>
        <w:t>Accurate characterization of high-reflectance optical coatings is essential for applications such as laser systems and advanced optical instrumentation, where even parts-per-million (ppm) deviations in reflectance can critically affect system performance. Conventional measurement approaches, such as spectrophotometry or pulse-based cavity-ringdown spectroscopy (CRDS), face severe limitations at ultra-high reflectances—spectrophotometry typically saturates above 99.9%, while pulsed CRDS becomes increasingly sensitive to detector jitter, pulse instability, and long averaging times beyond 99.999%. In this work, we present and experimentally verify a time-resolved CRDS technique based on the random temporal signal (RATS) approach, which replaces deterministic laser pulses with a randomly modulated signal. Numerical simulations and experimental measurements using a four-mirror cavity ( R &gt; 99.99%) demonstrate that the RATS-based method achieves smoother decays and improved precision under identical acquisition times. The stochastic temporal signal enhances photon throughput while maintaining constant peak power, resulting in 50× higher signal-to-noise ratio and preventing mirror damage. The results confirm that the RATS-CRDS method can achieve comparable or superior accuracy to conventional pulsed CRDS in a fraction of the time, offering a robust and scalable approach for precision reflectometry of ultra-high reflectance coatings in industrial and space-optics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由杨花絮微观结构实现的仿生随机激光器</w:t>
      </w:r>
    </w:p>
    <w:p>
      <w:r>
        <w:rPr>
          <w:rFonts w:ascii="Times New Roman" w:hAnsi="Times New Roman" w:eastAsia="宋体"/>
          <w:b/>
          <w:color w:val="003264"/>
          <w:sz w:val="24"/>
        </w:rPr>
        <w:t>Bio-inspired random lasers enabled by poplar catkin microstructures</w:t>
      </w:r>
    </w:p>
    <w:p>
      <w:r>
        <w:rPr>
          <w:rFonts w:ascii="Times New Roman" w:hAnsi="Times New Roman" w:eastAsia="宋体"/>
          <w:sz w:val="21"/>
        </w:rPr>
        <w:t>作者: Jiatao Hu, Yuxia Zhao, Yining Zhang, Yu Luan, Zhaoxin Fan, Hao Lv, Shuaiyi Zhang, Xia Wang</w:t>
        <w:br/>
      </w:r>
      <w:r>
        <w:rPr>
          <w:rFonts w:ascii="Times New Roman" w:hAnsi="Times New Roman" w:eastAsia="宋体"/>
          <w:sz w:val="21"/>
        </w:rPr>
        <w:t xml:space="preserve">时间: 2026-01-26 | </w:t>
      </w:r>
      <w:r>
        <w:t xml:space="preserve">链接: </w:t>
      </w:r>
      <w:hyperlink r:id="rId64">
        <w:r>
          <w:rPr>
            <w:rFonts w:ascii="Times New Roman" w:hAnsi="Times New Roman" w:eastAsia="宋体"/>
            <w:color w:val="0000FF"/>
            <w:sz w:val="21"/>
            <w:u w:val="single"/>
          </w:rPr>
          <w:t>https://doi.org/10.1364/oe.584775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这项工作提出了一种基于天然生物材料，特别是杨花絮纤维 (PCF) 的随机激光器 (RL)，在含罗丹明 6G 的溶液处理增益介质中用作可生物降解的散射基质。制备了五个 PCF 浓度范围为 1.5 至 5.5 mg/mL 的样品，激光阈值在 4.5 mg/mL 时达到最低 8.21 µJ/脉冲，这归因于分层纤维网络提供的最佳多重散射。在此浓度下，发射光谱在 584 nm 处从 14.8 nm 变窄至 0.8 nm，伴随着非线性强度增长以及相对较低浓度的 4 nm 红移，表明散射强度增强。该系统在超过 1,200 个泵浦脉冲下保持稳定的输出，并且复制对称破缺分析证实了高于阈值的可再现相干模式的出现。由于空间相干性较低，该设备的散斑对比度仅为 0.0755，明显低于传统 532 nm 激光器 (0.2118)，从而能够对 USAF 1951 目标和蜻蜓翅膀进行高保真无散斑成像。这项工作将 PCF 确立为绿色、低成本和高性能的 RL 平台，为生物成像、环境传感和柔性光子学中的无散斑成像应用提供了一条有前途的途径。</w:t>
      </w:r>
    </w:p>
    <w:p>
      <w:pPr>
        <w:spacing w:before="120"/>
      </w:pPr>
      <w:r>
        <w:rPr>
          <w:rFonts w:ascii="Times New Roman" w:hAnsi="Times New Roman" w:eastAsia="宋体"/>
          <w:b/>
          <w:sz w:val="21"/>
        </w:rPr>
        <w:t>English Abstract:</w:t>
      </w:r>
    </w:p>
    <w:p>
      <w:r>
        <w:rPr>
          <w:rFonts w:ascii="Times New Roman" w:hAnsi="Times New Roman" w:eastAsia="宋体"/>
          <w:sz w:val="21"/>
        </w:rPr>
        <w:t>This work presents a random laser (RL) based on natural biomaterials, specifically poplar catkin fibers (PCFs), used as a biodegradable scattering matrix in a solution-processed gain medium with Rhodamine 6G. Five samples with PCF concentrations ranging from 1.5 to 5.5 mg/mL were prepared, and the lasing threshold reached a minimum of 8.21 µJ/pulse at 4.5 mg/mL—attributed to optimal multiple scattering provided by the hierarchical fibrous network. At this concentration, the emission spectrum narrowed from 14.8 nm to 0.8 nm at 584 nm, accompanied by nonlinear intensity growth and a 4 nm redshift from lower concentrations, indicating enhanced scattering strength. The system maintained stable output over 1,200 pump pulses, and replica symmetry breaking analysis confirmed the emergence of reproducible coherent modes above threshold. Owing to its low spatial coherence, the device achieved a speckle contrast of only 0.0755—significantly lower than that of a conventional 532 nm laser (0.2118)—enabling high-fidelity speckle-free imaging of both a USAF 1951 target and a dragonfly wing. This work establishes PCFs as a green, low-cost, and high-performance RL platform, offering a promising route toward speckle-free imaging applications in bioimaging, environmental sensing, and flexible photonics.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原型光流控可切换光学元件</w:t>
      </w:r>
    </w:p>
    <w:p>
      <w:r>
        <w:rPr>
          <w:rFonts w:ascii="Times New Roman" w:hAnsi="Times New Roman" w:eastAsia="宋体"/>
          <w:b/>
          <w:color w:val="003264"/>
          <w:sz w:val="24"/>
        </w:rPr>
        <w:t>Prototype optofluidic switchable optical element</w:t>
      </w:r>
    </w:p>
    <w:p>
      <w:r>
        <w:rPr>
          <w:rFonts w:ascii="Times New Roman" w:hAnsi="Times New Roman" w:eastAsia="宋体"/>
          <w:sz w:val="21"/>
        </w:rPr>
        <w:t>作者: Joshua Mock, Valdemar Portney, F. Richard Christ</w:t>
        <w:br/>
      </w:r>
      <w:r>
        <w:rPr>
          <w:rFonts w:ascii="Times New Roman" w:hAnsi="Times New Roman" w:eastAsia="宋体"/>
          <w:sz w:val="21"/>
        </w:rPr>
        <w:t xml:space="preserve">时间: 2026-01-29 | </w:t>
      </w:r>
      <w:r>
        <w:t xml:space="preserve">链接: </w:t>
      </w:r>
      <w:hyperlink r:id="rId65">
        <w:r>
          <w:rPr>
            <w:rFonts w:ascii="Times New Roman" w:hAnsi="Times New Roman" w:eastAsia="宋体"/>
            <w:color w:val="0000FF"/>
            <w:sz w:val="21"/>
            <w:u w:val="single"/>
          </w:rPr>
          <w:t>https://doi.org/10.1364/oe.581146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报告了基于数字化光流控平台的可切换光学元件的物理实现和验证，该平台先前被引入作为两种光功率之间切换的方法。不同光焦度之间切换的应用有很多，老花眼矫正就是其中之一。该原型的最终目的是将眼镜镜片放置在智能和传统眼镜中，以便在折射和衍射光学状态之间切换，设计为对应于近距离和远距离焦点。在当前的原型开发周期中，我们研究了原型结构的剩余缺陷，以实现光学状态之间的可靠切换。我们还研究了远程控制开关的可能性。该研究导致除了衍射光学基板之外还引入了折射光学基板，并对使用磁力形式的远程控制开关产生了负面结果。必须更严格地控​​制两个光学基板的位置和移动，以实现快速切换。</w:t>
      </w:r>
    </w:p>
    <w:p>
      <w:pPr>
        <w:spacing w:before="120"/>
      </w:pPr>
      <w:r>
        <w:rPr>
          <w:rFonts w:ascii="Times New Roman" w:hAnsi="Times New Roman" w:eastAsia="宋体"/>
          <w:b/>
          <w:sz w:val="21"/>
        </w:rPr>
        <w:t>English Abstract:</w:t>
      </w:r>
    </w:p>
    <w:p>
      <w:r>
        <w:rPr>
          <w:rFonts w:ascii="Times New Roman" w:hAnsi="Times New Roman" w:eastAsia="宋体"/>
          <w:sz w:val="21"/>
        </w:rPr>
        <w:t>We report the physical realization and validation of a switchable optical element based on a digitized optofluidic platform previously introduced as an approach to switching between two optical powers. There are numerous applications for switching between different optical powers, with presbyopia correction being one of them. The prototype’s ultimate intention is for spectacle lens placement in smart and conventional glasses for switching between refractive and diffractive optical states designed to correspond to near and distance foci. In the current prototype development cycle, we looked into remaining deficiencies of the prototype construction to achieve reliable switching between the optical states. We have also investigated the possibility of controlling the switching remotely. The investigation resulted in the introduction of the refractive optical substrate in addition to the diffractive optical substrate, and resulted in a negative outcome on the use of remote control switching in the form of magnetic force. The position and movement of both optical substrates must be more rigorously controlled for fast switching.</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Advanced Photonics</w:t>
      </w:r>
    </w:p>
    <w:p>
      <w:pPr>
        <w:jc w:val="center"/>
      </w:pPr>
      <w:r>
        <w:t>--- 更新: 06:30 ---</w:t>
      </w:r>
    </w:p>
    <w:p>
      <w:pPr>
        <w:pStyle w:val="Heading2"/>
      </w:pPr>
      <w:r/>
      <w:r>
        <w:rPr>
          <w:rFonts w:ascii="Times New Roman" w:hAnsi="Times New Roman" w:eastAsia="宋体"/>
          <w:b/>
          <w:color w:val="000000"/>
          <w:sz w:val="24"/>
        </w:rPr>
        <w:t>用于激光写入集成光子平台中量子信息处理的高性能外差接收器</w:t>
      </w:r>
    </w:p>
    <w:p>
      <w:r>
        <w:rPr>
          <w:rFonts w:ascii="Times New Roman" w:hAnsi="Times New Roman" w:eastAsia="宋体"/>
          <w:b/>
          <w:color w:val="003264"/>
          <w:sz w:val="24"/>
        </w:rPr>
        <w:t>High-performance heterodyne receiver for quantum information processing in a laser-written integrated photonic platform</w:t>
      </w:r>
    </w:p>
    <w:p>
      <w:r>
        <w:rPr>
          <w:rFonts w:ascii="Times New Roman" w:hAnsi="Times New Roman" w:eastAsia="宋体"/>
          <w:sz w:val="21"/>
        </w:rPr>
        <w:t>作者: Andrea Peri, Giulio Gualandi, Tommaso Bertapelle, Mattia Sabatini, Giacomo Corrielli, Yoann Piétri, Davide Giacomo Marangon, Giuseppe Vallone, Paolo Villoresi, Roberto Osellame, Marco Avesani</w:t>
        <w:br/>
      </w:r>
      <w:r>
        <w:rPr>
          <w:rFonts w:ascii="Times New Roman" w:hAnsi="Times New Roman" w:eastAsia="宋体"/>
          <w:sz w:val="21"/>
        </w:rPr>
        <w:t xml:space="preserve">时间: 2026-02-04 | </w:t>
      </w:r>
      <w:r>
        <w:t xml:space="preserve">链接: </w:t>
      </w:r>
      <w:hyperlink r:id="rId66">
        <w:r>
          <w:rPr>
            <w:rFonts w:ascii="Times New Roman" w:hAnsi="Times New Roman" w:eastAsia="宋体"/>
            <w:color w:val="0000FF"/>
            <w:sz w:val="21"/>
            <w:u w:val="single"/>
          </w:rPr>
          <w:t>https://doi.org/10.1117/1.ap.8.1.016009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连续可变量子密钥分发（CV-QKD）和连续可变量子随机数生成（CV-QRNG）是安全通信和高速随机生成的关键技术，其操作利用散粒噪声限制相干检测。集成光子解决方案是推进这些协议的关键，因为它们能够实现紧凑、可扩展且高效的系统实施。我们引入硼硅酸盐玻璃上的飞秒激光微加工（FLM）作为生产光子集成电路（PIC）的平台，实现适合量子信息处理的相干检测。我们采用片外检测器，利用 FLM 的特定功能来生产专为 CV-QKD 和 CV-QRNG 应用设计的 PIC。 PIC 具有完全可调的光学组件，可在协议定义的条件下实现精确校准和可靠运行。该器件具有低插入损耗 (≤1.28 dB)、偏振不敏感操作以及超过 73 dB 的共模抑制比。这些特性使得能够实验性地实现安全生成速率为 42.74 Gbit/s 的独立于源设备的 CV-QRNG 和基于正交相移键控的 CV-QKD 系统，密钥速率达到 3.2 Mbit/s。我们的研究结果凸显了 FLM 技术作为集成光子平台的潜力，为可扩展和高性能的量子通信系统铺平了道路。</w:t>
      </w:r>
    </w:p>
    <w:p>
      <w:pPr>
        <w:spacing w:before="120"/>
      </w:pPr>
      <w:r>
        <w:rPr>
          <w:rFonts w:ascii="Times New Roman" w:hAnsi="Times New Roman" w:eastAsia="宋体"/>
          <w:b/>
          <w:sz w:val="21"/>
        </w:rPr>
        <w:t>English Abstract:</w:t>
      </w:r>
    </w:p>
    <w:p>
      <w:r>
        <w:rPr>
          <w:rFonts w:ascii="Times New Roman" w:hAnsi="Times New Roman" w:eastAsia="宋体"/>
          <w:sz w:val="21"/>
        </w:rPr>
        <w:t>Continuous variable quantum key distribution (CV-QKD) and continuous variable quantum random number generation (CV-QRNG) are critical technologies for secure communication and high-speed randomness generation, exploiting shot-noise-limited coherent detection for their operation. Integrated photonic solutions are key to advancing these protocols, as they enable compact, scalable, and efficient system implementations. We introduce femtosecond laser micromachining (FLM) on borosilicate glass as a platform for producing photonic integrated circuits (PICs) realizing coherent detection suitable for quantum information processing. Employing off-chip detectors, we exploit the specific features of FLM to produce a PIC designed for CV-QKD and CV-QRNG applications. The PIC features fully adjustable optical components that achieve precise calibration and reliable operation under protocol-defined conditions. The device exhibits low insertion losses (≤1.28 dB), polarization-insensitive operation, and a common-mode rejection ratio exceeding 73 dB. These characteristics allowed the experimental realization of a source-device-independent CV-QRNG with a secure generation rate of 42.74 Gbit/s and a quadrature phase-shift-keying-based CV-QKD system achieving a secret key rate of 3.2 Mbit/s. Our results highlight the potential of FLM technology as an integrated photonic platform, paving the way for scalable and high-performing quantum communication systems.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Laser &amp; Photonics Reviews</w:t>
      </w:r>
    </w:p>
    <w:p>
      <w:pPr>
        <w:jc w:val="center"/>
      </w:pPr>
      <w:r>
        <w:t>--- 更新: 06:30 ---</w:t>
      </w:r>
    </w:p>
    <w:p>
      <w:pPr>
        <w:pStyle w:val="Heading2"/>
      </w:pPr>
      <w:r/>
      <w:r>
        <w:rPr>
          <w:rFonts w:ascii="Times New Roman" w:hAnsi="Times New Roman" w:eastAsia="宋体"/>
          <w:b/>
          <w:color w:val="000000"/>
          <w:sz w:val="24"/>
        </w:rPr>
        <w:t>谐振膜超表面的偶极-四极模型和多极分析</w:t>
      </w:r>
    </w:p>
    <w:p>
      <w:r>
        <w:rPr>
          <w:rFonts w:ascii="Times New Roman" w:hAnsi="Times New Roman" w:eastAsia="宋体"/>
          <w:b/>
          <w:color w:val="003264"/>
          <w:sz w:val="24"/>
        </w:rPr>
        <w:t>Dipole‐Quadrupole Model and Multipole Analysis of Resonant Membrane Metasurfaces</w:t>
      </w:r>
    </w:p>
    <w:p>
      <w:r>
        <w:rPr>
          <w:rFonts w:ascii="Times New Roman" w:hAnsi="Times New Roman" w:eastAsia="宋体"/>
          <w:sz w:val="21"/>
        </w:rPr>
        <w:t>作者: Izzatjon Allayarov, Andrey B. Evlyukhin, Antonio Calà Lesina</w:t>
        <w:br/>
      </w:r>
      <w:r>
        <w:rPr>
          <w:rFonts w:ascii="Times New Roman" w:hAnsi="Times New Roman" w:eastAsia="宋体"/>
          <w:sz w:val="21"/>
        </w:rPr>
        <w:t xml:space="preserve">时间: 2026-02-04 | </w:t>
      </w:r>
      <w:r>
        <w:t xml:space="preserve">链接: </w:t>
      </w:r>
      <w:hyperlink r:id="rId67">
        <w:r>
          <w:rPr>
            <w:rFonts w:ascii="Times New Roman" w:hAnsi="Times New Roman" w:eastAsia="宋体"/>
            <w:color w:val="0000FF"/>
            <w:sz w:val="21"/>
            <w:u w:val="single"/>
          </w:rPr>
          <w:t>https://doi.org/10.1002/lpor.202502674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膜超表面由介电层中孔的周期性排列形成，因其通过减材技术更容易制造、不需要基板以及可进入谐振近场而受到关注。尽管它们具有实际意义，但它们的理论描述仍然难以捉摸。在这里，我们提出了一种半解析偶极-四极模型，用于对以任意角度激发的超表面中数值获得的反射和透射光谱进行多极分析。偶极子模型通常足以研究由固体纳米结构制成的传统超表面。然而，电和磁四极子的加入对于研究膜超表面是必要的，这为展示我们的方法提供了一个理想的平台。我们证明了选择对称膜超表面晶胞的最佳位置以确保偶极-四极近似的充分性的重要性。我们表明，我们的形式主义可以解释由多极间干扰引起的复杂现象，包括晶格阿纳极和广义克尔克效应、法诺共振和连续体中的准束缚态。我们还介绍了该方法对具有非中心对称晶胞（例如圆锥孔和表面空隙）的膜超表面的适用性。通过更深入地了解导致局部和集体共振形成的耦合机制，我们的方法扩展了电磁学工具箱，以研究、理解和设计传统和膜超表面。</w:t>
      </w:r>
    </w:p>
    <w:p>
      <w:pPr>
        <w:spacing w:before="120"/>
      </w:pPr>
      <w:r>
        <w:rPr>
          <w:rFonts w:ascii="Times New Roman" w:hAnsi="Times New Roman" w:eastAsia="宋体"/>
          <w:b/>
          <w:sz w:val="21"/>
        </w:rPr>
        <w:t>English Abstract:</w:t>
      </w:r>
    </w:p>
    <w:p>
      <w:r>
        <w:rPr>
          <w:rFonts w:ascii="Times New Roman" w:hAnsi="Times New Roman" w:eastAsia="宋体"/>
          <w:sz w:val="21"/>
        </w:rPr>
        <w:t>ABSTRACT Membrane metasurfaces, formed by periodic arrangements of holes in a dielectric layer, are gaining attention for their easier manufacturing via subtractive techniques, unnecessity of substrates, and access to resonant near fields. Despite their practical relevance, their theoretical description remains elusive. Here, we present a semi‐analytical dipole‐quadrupole model for the multipole analysis of numerically obtained reflection and transmission spectra in metasurfaces excited at arbitrary angles. Dipole models are generally sufficient to study traditional metasurfaces made of solid nanostructures. However, the inclusion of electric and magnetic quadrupoles is necessary to study membrane metasurfaces, which offer an ideal platform to showcase our method. We demonstrate the importance of choosing the optimal position of a symmetric membrane metasurface's unit cell to ensure the sufficiency of the dipole‐quadrupole approximation. We show that our formalism can explain complex phenomena arising from inter‐multipole interference, including lattice anapole and generalized Kerker effects, Fano resonances, and quasi‐bound states in the continuum. We also present the applicability of the method to membrane metasurfaces with non‐centrosymmetric unit cells (e.g., conical holes and surface voids). By enabling a deeper insight into the coupling mechanisms leading to the formation of local and collective resonances, our method expands the electromagnetics toolbox to study, understand, and design conventional and membrane metasurfaces.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无标题</w:t>
      </w:r>
    </w:p>
    <w:p>
      <w:r>
        <w:rPr>
          <w:rFonts w:ascii="Times New Roman" w:hAnsi="Times New Roman" w:eastAsia="宋体"/>
          <w:b/>
          <w:color w:val="003264"/>
          <w:sz w:val="24"/>
        </w:rPr>
        <w:t>No Title</w:t>
      </w:r>
    </w:p>
    <w:p>
      <w:r>
        <w:rPr>
          <w:rFonts w:ascii="Times New Roman" w:hAnsi="Times New Roman" w:eastAsia="宋体"/>
          <w:sz w:val="21"/>
        </w:rPr>
        <w:t>作者: Unknown</w:t>
        <w:br/>
      </w:r>
      <w:r>
        <w:rPr>
          <w:rFonts w:ascii="Times New Roman" w:hAnsi="Times New Roman" w:eastAsia="宋体"/>
          <w:sz w:val="21"/>
        </w:rPr>
        <w:t xml:space="preserve">时间: 2026-02-01 | </w:t>
      </w:r>
      <w:r>
        <w:t xml:space="preserve">链接: </w:t>
      </w:r>
      <w:hyperlink r:id="rId68">
        <w:r>
          <w:rPr>
            <w:rFonts w:ascii="Times New Roman" w:hAnsi="Times New Roman" w:eastAsia="宋体"/>
            <w:color w:val="0000FF"/>
            <w:sz w:val="21"/>
            <w:u w:val="single"/>
          </w:rPr>
          <w:t>https://doi.org/10.1002/lpor.v20.3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通过高调制系数映射和主成分分析 (PCA-iSIM) 打破非相干结构照明显微镜的分辨率障碍（激光光子学 Rev. 20(3)/2026）</w:t>
      </w:r>
    </w:p>
    <w:p>
      <w:r>
        <w:rPr>
          <w:rFonts w:ascii="Times New Roman" w:hAnsi="Times New Roman" w:eastAsia="宋体"/>
          <w:b/>
          <w:color w:val="003264"/>
          <w:sz w:val="24"/>
        </w:rPr>
        <w:t>Breaking the Resolution Barrier in Incoherent Structured Illumination Microscopy via High‐Modulation Coefficient Mapping and Principal Component Analysis (PCA‐iSIM) (Laser Photonics Rev. 20(3)/2026)</w:t>
      </w:r>
    </w:p>
    <w:p>
      <w:r>
        <w:rPr>
          <w:rFonts w:ascii="Times New Roman" w:hAnsi="Times New Roman" w:eastAsia="宋体"/>
          <w:sz w:val="21"/>
        </w:rPr>
        <w:t>作者: Maoxian Zhang, Xinyu Han, Jiaming Qian, Hongjun Wu, Tianchi Kang, Dongqin Lu, Jing Feng, Weihao Cheng, Yuzhen Zhang, Qian Chen, Chao Zuo</w:t>
        <w:br/>
      </w:r>
      <w:r>
        <w:rPr>
          <w:rFonts w:ascii="Times New Roman" w:hAnsi="Times New Roman" w:eastAsia="宋体"/>
          <w:sz w:val="21"/>
        </w:rPr>
        <w:t xml:space="preserve">时间: 2026-02-05 | </w:t>
      </w:r>
      <w:r>
        <w:t xml:space="preserve">链接: </w:t>
      </w:r>
      <w:hyperlink r:id="rId69">
        <w:r>
          <w:rPr>
            <w:rFonts w:ascii="Times New Roman" w:hAnsi="Times New Roman" w:eastAsia="宋体"/>
            <w:color w:val="0000FF"/>
            <w:sz w:val="21"/>
            <w:u w:val="single"/>
          </w:rPr>
          <w:t>https://doi.org/10.1002/lpor.70881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深度学习辅助下的单光子级偏振全光纤微传感器（激光光子学 Rev. 20(3)/2026）</w:t>
      </w:r>
    </w:p>
    <w:p>
      <w:r>
        <w:rPr>
          <w:rFonts w:ascii="Times New Roman" w:hAnsi="Times New Roman" w:eastAsia="宋体"/>
          <w:b/>
          <w:color w:val="003264"/>
          <w:sz w:val="24"/>
        </w:rPr>
        <w:t>All‐Fiber Microsensor of Polarization at Single‐Photon Level Aided by Deep Learning (Laser Photonics Rev. 20(3)/2026)</w:t>
      </w:r>
    </w:p>
    <w:p>
      <w:r>
        <w:rPr>
          <w:rFonts w:ascii="Times New Roman" w:hAnsi="Times New Roman" w:eastAsia="宋体"/>
          <w:sz w:val="21"/>
        </w:rPr>
        <w:t>作者: Martin Bielak, Dominik Vašinka, Miroslav Ježek</w:t>
        <w:br/>
      </w:r>
      <w:r>
        <w:rPr>
          <w:rFonts w:ascii="Times New Roman" w:hAnsi="Times New Roman" w:eastAsia="宋体"/>
          <w:sz w:val="21"/>
        </w:rPr>
        <w:t xml:space="preserve">时间: 2026-02-05 | </w:t>
      </w:r>
      <w:r>
        <w:t xml:space="preserve">链接: </w:t>
      </w:r>
      <w:hyperlink r:id="rId70">
        <w:r>
          <w:rPr>
            <w:rFonts w:ascii="Times New Roman" w:hAnsi="Times New Roman" w:eastAsia="宋体"/>
            <w:color w:val="0000FF"/>
            <w:sz w:val="21"/>
            <w:u w:val="single"/>
          </w:rPr>
          <w:t>https://doi.org/10.1002/lpor.70880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用于视觉运动传感的拉伸可调谐液晶弹性体激光器（激光光子学Rev. 20(3)/2026）</w:t>
      </w:r>
    </w:p>
    <w:p>
      <w:r>
        <w:rPr>
          <w:rFonts w:ascii="Times New Roman" w:hAnsi="Times New Roman" w:eastAsia="宋体"/>
          <w:b/>
          <w:color w:val="003264"/>
          <w:sz w:val="24"/>
        </w:rPr>
        <w:t>Stretch‐Tunable Liquid Crystal Elastomer Lasers for Visual Motion Sensing (Laser Photonics Rev. 20(3)/2026)</w:t>
      </w:r>
    </w:p>
    <w:p>
      <w:r>
        <w:rPr>
          <w:rFonts w:ascii="Times New Roman" w:hAnsi="Times New Roman" w:eastAsia="宋体"/>
          <w:sz w:val="21"/>
        </w:rPr>
        <w:t>作者: Zhijia Hu, Lulu Guo, Guangyin Qu, Xiaojuan Zhang, Siqi Li, Yan Kuai, Weiwei Fu, Jiangang Gao, Feng Xu, Yu Liu, Anderson S. L. Gomes, Benli Yu</w:t>
        <w:br/>
      </w:r>
      <w:r>
        <w:rPr>
          <w:rFonts w:ascii="Times New Roman" w:hAnsi="Times New Roman" w:eastAsia="宋体"/>
          <w:sz w:val="21"/>
        </w:rPr>
        <w:t xml:space="preserve">时间: 2026-02-05 | </w:t>
      </w:r>
      <w:r>
        <w:t xml:space="preserve">链接: </w:t>
      </w:r>
      <w:hyperlink r:id="rId71">
        <w:r>
          <w:rPr>
            <w:rFonts w:ascii="Times New Roman" w:hAnsi="Times New Roman" w:eastAsia="宋体"/>
            <w:color w:val="0000FF"/>
            <w:sz w:val="21"/>
            <w:u w:val="single"/>
          </w:rPr>
          <w:t>https://doi.org/10.1002/lpor.70879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用于紫外单像素成像的 (TPA) 2 Cu 4 Br 6 超宽带自陷激子发射（激光光子学 Rev. 20(3)/2026）</w:t>
      </w:r>
    </w:p>
    <w:p>
      <w:r>
        <w:rPr>
          <w:rFonts w:ascii="Times New Roman" w:hAnsi="Times New Roman" w:eastAsia="宋体"/>
          <w:b/>
          <w:color w:val="003264"/>
          <w:sz w:val="24"/>
        </w:rPr>
        <w:t>Ultra‐Broadband Self‐Trapped Exciton Emission of (TPA) 2 Cu 4 Br 6 for UV Single‐Pixel Imaging (Laser Photonics Rev. 20(3)/2026)</w:t>
      </w:r>
    </w:p>
    <w:p>
      <w:r>
        <w:rPr>
          <w:rFonts w:ascii="Times New Roman" w:hAnsi="Times New Roman" w:eastAsia="宋体"/>
          <w:sz w:val="21"/>
        </w:rPr>
        <w:t>作者: Jianbang Mu, Kun Zheng, Yanlin Mi, Haifeng Yao, Chang Zhou, Quanchao Zhao, Bingkun Chen, Jie Cao, Qun Hao</w:t>
        <w:br/>
      </w:r>
      <w:r>
        <w:rPr>
          <w:rFonts w:ascii="Times New Roman" w:hAnsi="Times New Roman" w:eastAsia="宋体"/>
          <w:sz w:val="21"/>
        </w:rPr>
        <w:t xml:space="preserve">时间: 2026-02-05 | </w:t>
      </w:r>
      <w:r>
        <w:t xml:space="preserve">链接: </w:t>
      </w:r>
      <w:hyperlink r:id="rId72">
        <w:r>
          <w:rPr>
            <w:rFonts w:ascii="Times New Roman" w:hAnsi="Times New Roman" w:eastAsia="宋体"/>
            <w:color w:val="0000FF"/>
            <w:sz w:val="21"/>
            <w:u w:val="single"/>
          </w:rPr>
          <w:t>https://doi.org/10.1002/lpor.70883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问题信息：激光与光子。修订版 20(3)/2026</w:t>
      </w:r>
    </w:p>
    <w:p>
      <w:r>
        <w:rPr>
          <w:rFonts w:ascii="Times New Roman" w:hAnsi="Times New Roman" w:eastAsia="宋体"/>
          <w:b/>
          <w:color w:val="003264"/>
          <w:sz w:val="24"/>
        </w:rPr>
        <w:t>Issue Information: Laser &amp; Photon. Rev. 20(3)/2026</w:t>
      </w:r>
    </w:p>
    <w:p>
      <w:r>
        <w:rPr>
          <w:rFonts w:ascii="Times New Roman" w:hAnsi="Times New Roman" w:eastAsia="宋体"/>
          <w:sz w:val="21"/>
        </w:rPr>
        <w:t>作者: Unknown</w:t>
        <w:br/>
      </w:r>
      <w:r>
        <w:rPr>
          <w:rFonts w:ascii="Times New Roman" w:hAnsi="Times New Roman" w:eastAsia="宋体"/>
          <w:sz w:val="21"/>
        </w:rPr>
        <w:t xml:space="preserve">时间: 2026-02-05 | </w:t>
      </w:r>
      <w:r>
        <w:t xml:space="preserve">链接: </w:t>
      </w:r>
      <w:hyperlink r:id="rId73">
        <w:r>
          <w:rPr>
            <w:rFonts w:ascii="Times New Roman" w:hAnsi="Times New Roman" w:eastAsia="宋体"/>
            <w:color w:val="0000FF"/>
            <w:sz w:val="21"/>
            <w:u w:val="single"/>
          </w:rPr>
          <w:t>https://doi.org/10.1002/lpor.70882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38/s41467-026-69249-8" TargetMode="External"/><Relationship Id="rId11" Type="http://schemas.openxmlformats.org/officeDocument/2006/relationships/hyperlink" Target="https://doi.org/10.1038/s41598-026-38248-6" TargetMode="External"/><Relationship Id="rId12" Type="http://schemas.openxmlformats.org/officeDocument/2006/relationships/hyperlink" Target="https://doi.org/10.1038/s41598-025-32699-z" TargetMode="External"/><Relationship Id="rId13" Type="http://schemas.openxmlformats.org/officeDocument/2006/relationships/hyperlink" Target="https://doi.org/10.1038/s41598-026-38105-6" TargetMode="External"/><Relationship Id="rId14" Type="http://schemas.openxmlformats.org/officeDocument/2006/relationships/hyperlink" Target="https://doi.org/10.1038/s41598-026-37740-3" TargetMode="External"/><Relationship Id="rId15" Type="http://schemas.openxmlformats.org/officeDocument/2006/relationships/hyperlink" Target="https://doi.org/10.1016/j.displa.2026.103378" TargetMode="External"/><Relationship Id="rId16" Type="http://schemas.openxmlformats.org/officeDocument/2006/relationships/hyperlink" Target="https://doi.org/10.1016/j.displa.2026.103376" TargetMode="External"/><Relationship Id="rId17" Type="http://schemas.openxmlformats.org/officeDocument/2006/relationships/hyperlink" Target="https://doi.org/10.1016/j.optlastec.2026.114799" TargetMode="External"/><Relationship Id="rId18" Type="http://schemas.openxmlformats.org/officeDocument/2006/relationships/hyperlink" Target="https://doi.org/10.1016/j.optlastec.2026.114815" TargetMode="External"/><Relationship Id="rId19" Type="http://schemas.openxmlformats.org/officeDocument/2006/relationships/hyperlink" Target="https://doi.org/10.1016/j.optlastec.2026.114876" TargetMode="External"/><Relationship Id="rId20" Type="http://schemas.openxmlformats.org/officeDocument/2006/relationships/hyperlink" Target="https://doi.org/10.1016/j.optlastec.2026.114882" TargetMode="External"/><Relationship Id="rId21" Type="http://schemas.openxmlformats.org/officeDocument/2006/relationships/hyperlink" Target="https://doi.org/10.1016/j.optlaseng.2026.109659" TargetMode="External"/><Relationship Id="rId22" Type="http://schemas.openxmlformats.org/officeDocument/2006/relationships/hyperlink" Target="https://doi.org/10.1016/j.optcom.2026.132998" TargetMode="External"/><Relationship Id="rId23" Type="http://schemas.openxmlformats.org/officeDocument/2006/relationships/hyperlink" Target="https://doi.org/10.1016/j.optcom.2026.132990" TargetMode="External"/><Relationship Id="rId24" Type="http://schemas.openxmlformats.org/officeDocument/2006/relationships/hyperlink" Target="https://doi.org/10.1016/j.optcom.2026.132981" TargetMode="External"/><Relationship Id="rId25" Type="http://schemas.openxmlformats.org/officeDocument/2006/relationships/hyperlink" Target="https://doi.org/10.1364/ao.580653" TargetMode="External"/><Relationship Id="rId26" Type="http://schemas.openxmlformats.org/officeDocument/2006/relationships/hyperlink" Target="https://doi.org/10.1364/ol.578134" TargetMode="External"/><Relationship Id="rId27" Type="http://schemas.openxmlformats.org/officeDocument/2006/relationships/hyperlink" Target="https://doi.org/10.1364/ol.582649" TargetMode="External"/><Relationship Id="rId28" Type="http://schemas.openxmlformats.org/officeDocument/2006/relationships/hyperlink" Target="https://doi.org/10.1038/s41377-025-02143-y" TargetMode="External"/><Relationship Id="rId29" Type="http://schemas.openxmlformats.org/officeDocument/2006/relationships/hyperlink" Target="https://doi.org/10.1109/tvcg.2025.3637033" TargetMode="External"/><Relationship Id="rId30" Type="http://schemas.openxmlformats.org/officeDocument/2006/relationships/hyperlink" Target="https://doi.org/10.1021/acsphotonics.5c02490" TargetMode="External"/><Relationship Id="rId31" Type="http://schemas.openxmlformats.org/officeDocument/2006/relationships/hyperlink" Target="https://doi.org/10.1109/tip.2026.3659337" TargetMode="External"/><Relationship Id="rId32" Type="http://schemas.openxmlformats.org/officeDocument/2006/relationships/hyperlink" Target="https://doi.org/10.1109/tip.2026.3659325" TargetMode="External"/><Relationship Id="rId33" Type="http://schemas.openxmlformats.org/officeDocument/2006/relationships/hyperlink" Target="https://doi.org/10.1109/tip.2026.3659334" TargetMode="External"/><Relationship Id="rId34" Type="http://schemas.openxmlformats.org/officeDocument/2006/relationships/hyperlink" Target="https://doi.org/10.1109/tip.2026.3659292" TargetMode="External"/><Relationship Id="rId35" Type="http://schemas.openxmlformats.org/officeDocument/2006/relationships/hyperlink" Target="https://doi.org/10.1109/tip.2026.3659331" TargetMode="External"/><Relationship Id="rId36" Type="http://schemas.openxmlformats.org/officeDocument/2006/relationships/hyperlink" Target="https://doi.org/10.1109/tpami.2026.3661049" TargetMode="External"/><Relationship Id="rId37" Type="http://schemas.openxmlformats.org/officeDocument/2006/relationships/hyperlink" Target="https://doi.org/10.1038/s41467-026-68737-1" TargetMode="External"/><Relationship Id="rId38" Type="http://schemas.openxmlformats.org/officeDocument/2006/relationships/hyperlink" Target="https://doi.org/10.1038/s41598-026-37122-9" TargetMode="External"/><Relationship Id="rId39" Type="http://schemas.openxmlformats.org/officeDocument/2006/relationships/hyperlink" Target="https://doi.org/10.1038/s41598-025-34490-6" TargetMode="External"/><Relationship Id="rId40" Type="http://schemas.openxmlformats.org/officeDocument/2006/relationships/hyperlink" Target="https://doi.org/10.1038/s41598-026-38496-6" TargetMode="External"/><Relationship Id="rId41" Type="http://schemas.openxmlformats.org/officeDocument/2006/relationships/hyperlink" Target="https://doi.org/10.1038/s41598-025-31311-8" TargetMode="External"/><Relationship Id="rId42" Type="http://schemas.openxmlformats.org/officeDocument/2006/relationships/hyperlink" Target="https://doi.org/10.1038/s41598-026-37977-y" TargetMode="External"/><Relationship Id="rId43" Type="http://schemas.openxmlformats.org/officeDocument/2006/relationships/hyperlink" Target="https://doi.org/10.1038/s41598-026-38767-2" TargetMode="External"/><Relationship Id="rId44" Type="http://schemas.openxmlformats.org/officeDocument/2006/relationships/hyperlink" Target="https://doi.org/10.1038/s41598-026-36512-3" TargetMode="External"/><Relationship Id="rId45" Type="http://schemas.openxmlformats.org/officeDocument/2006/relationships/hyperlink" Target="https://doi.org/10.1038/s41598-026-38781-4" TargetMode="External"/><Relationship Id="rId46" Type="http://schemas.openxmlformats.org/officeDocument/2006/relationships/hyperlink" Target="https://doi.org/10.1038/s41598-026-38965-y" TargetMode="External"/><Relationship Id="rId47" Type="http://schemas.openxmlformats.org/officeDocument/2006/relationships/hyperlink" Target="https://doi.org/10.1038/s41598-026-38638-w" TargetMode="External"/><Relationship Id="rId48" Type="http://schemas.openxmlformats.org/officeDocument/2006/relationships/hyperlink" Target="https://doi.org/10.1038/s41598-026-39051-z" TargetMode="External"/><Relationship Id="rId49" Type="http://schemas.openxmlformats.org/officeDocument/2006/relationships/hyperlink" Target="https://doi.org/10.1038/s41598-026-37092-y" TargetMode="External"/><Relationship Id="rId50" Type="http://schemas.openxmlformats.org/officeDocument/2006/relationships/hyperlink" Target="https://doi.org/10.1038/s41598-026-37052-6" TargetMode="External"/><Relationship Id="rId51" Type="http://schemas.openxmlformats.org/officeDocument/2006/relationships/hyperlink" Target="https://doi.org/10.1038/s41598-026-38466-y" TargetMode="External"/><Relationship Id="rId52" Type="http://schemas.openxmlformats.org/officeDocument/2006/relationships/hyperlink" Target="https://doi.org/10.1038/s41598-026-37894-0" TargetMode="External"/><Relationship Id="rId53" Type="http://schemas.openxmlformats.org/officeDocument/2006/relationships/hyperlink" Target="https://doi.org/10.1038/s41566-025-01815-w" TargetMode="External"/><Relationship Id="rId54" Type="http://schemas.openxmlformats.org/officeDocument/2006/relationships/hyperlink" Target="https://doi.org/10.29026/oea.2026.250274" TargetMode="External"/><Relationship Id="rId55" Type="http://schemas.openxmlformats.org/officeDocument/2006/relationships/hyperlink" Target="https://doi.org/10.1016/j.optlastec.2026.114820" TargetMode="External"/><Relationship Id="rId56" Type="http://schemas.openxmlformats.org/officeDocument/2006/relationships/hyperlink" Target="https://doi.org/10.1016/j.optlastec.2026.114879" TargetMode="External"/><Relationship Id="rId57" Type="http://schemas.openxmlformats.org/officeDocument/2006/relationships/hyperlink" Target="https://doi.org/10.1016/j.optlaseng.2026.109672" TargetMode="External"/><Relationship Id="rId58" Type="http://schemas.openxmlformats.org/officeDocument/2006/relationships/hyperlink" Target="https://doi.org/10.1364/oe.583573" TargetMode="External"/><Relationship Id="rId59" Type="http://schemas.openxmlformats.org/officeDocument/2006/relationships/hyperlink" Target="https://doi.org/10.1364/oe.582146" TargetMode="External"/><Relationship Id="rId60" Type="http://schemas.openxmlformats.org/officeDocument/2006/relationships/hyperlink" Target="https://doi.org/10.1364/oe.582936" TargetMode="External"/><Relationship Id="rId61" Type="http://schemas.openxmlformats.org/officeDocument/2006/relationships/hyperlink" Target="https://doi.org/10.1364/oe.583299" TargetMode="External"/><Relationship Id="rId62" Type="http://schemas.openxmlformats.org/officeDocument/2006/relationships/hyperlink" Target="https://doi.org/10.1364/oe.586767" TargetMode="External"/><Relationship Id="rId63" Type="http://schemas.openxmlformats.org/officeDocument/2006/relationships/hyperlink" Target="https://doi.org/10.1364/oe.582190" TargetMode="External"/><Relationship Id="rId64" Type="http://schemas.openxmlformats.org/officeDocument/2006/relationships/hyperlink" Target="https://doi.org/10.1364/oe.584775" TargetMode="External"/><Relationship Id="rId65" Type="http://schemas.openxmlformats.org/officeDocument/2006/relationships/hyperlink" Target="https://doi.org/10.1364/oe.581146" TargetMode="External"/><Relationship Id="rId66" Type="http://schemas.openxmlformats.org/officeDocument/2006/relationships/hyperlink" Target="https://doi.org/10.1117/1.ap.8.1.016009" TargetMode="External"/><Relationship Id="rId67" Type="http://schemas.openxmlformats.org/officeDocument/2006/relationships/hyperlink" Target="https://doi.org/10.1002/lpor.202502674" TargetMode="External"/><Relationship Id="rId68" Type="http://schemas.openxmlformats.org/officeDocument/2006/relationships/hyperlink" Target="https://doi.org/10.1002/lpor.v20.3" TargetMode="External"/><Relationship Id="rId69" Type="http://schemas.openxmlformats.org/officeDocument/2006/relationships/hyperlink" Target="https://doi.org/10.1002/lpor.70881" TargetMode="External"/><Relationship Id="rId70" Type="http://schemas.openxmlformats.org/officeDocument/2006/relationships/hyperlink" Target="https://doi.org/10.1002/lpor.70880" TargetMode="External"/><Relationship Id="rId71" Type="http://schemas.openxmlformats.org/officeDocument/2006/relationships/hyperlink" Target="https://doi.org/10.1002/lpor.70879" TargetMode="External"/><Relationship Id="rId72" Type="http://schemas.openxmlformats.org/officeDocument/2006/relationships/hyperlink" Target="https://doi.org/10.1002/lpor.70883" TargetMode="External"/><Relationship Id="rId73" Type="http://schemas.openxmlformats.org/officeDocument/2006/relationships/hyperlink" Target="https://doi.org/10.1002/lpor.70882" TargetMode="External"/><Relationship Id="rId74" Type="http://schemas.openxmlformats.org/officeDocument/2006/relationships/hyperlink" Target="https://doi.org/10.1038/s41377-025-02161-w" TargetMode="External"/><Relationship Id="rId75" Type="http://schemas.openxmlformats.org/officeDocument/2006/relationships/hyperlink" Target="https://doi.org/10.1038/s41377-025-02177-2" TargetMode="External"/><Relationship Id="rId76" Type="http://schemas.openxmlformats.org/officeDocument/2006/relationships/hyperlink" Target="https://doi.org/10.1021/acsphotonics.5c02187" TargetMode="External"/><Relationship Id="rId77" Type="http://schemas.openxmlformats.org/officeDocument/2006/relationships/hyperlink" Target="https://doi.org/10.1021/acsphotonics.5c01950" TargetMode="External"/><Relationship Id="rId78" Type="http://schemas.openxmlformats.org/officeDocument/2006/relationships/hyperlink" Target="https://doi.org/10.1038/s41467-026-68984-2" TargetMode="External"/><Relationship Id="rId79" Type="http://schemas.openxmlformats.org/officeDocument/2006/relationships/hyperlink" Target="https://doi.org/10.1038/s41598-025-34800-y" TargetMode="External"/><Relationship Id="rId80" Type="http://schemas.openxmlformats.org/officeDocument/2006/relationships/hyperlink" Target="https://doi.org/10.1038/s41598-026-35180-7" TargetMode="External"/><Relationship Id="rId81" Type="http://schemas.openxmlformats.org/officeDocument/2006/relationships/hyperlink" Target="https://doi.org/10.1038/s41598-026-38543-2" TargetMode="External"/><Relationship Id="rId82" Type="http://schemas.openxmlformats.org/officeDocument/2006/relationships/hyperlink" Target="https://doi.org/10.1038/s41598-026-37358-5" TargetMode="External"/><Relationship Id="rId83" Type="http://schemas.openxmlformats.org/officeDocument/2006/relationships/hyperlink" Target="https://doi.org/10.1038/s41598-026-38184-5" TargetMode="External"/><Relationship Id="rId84" Type="http://schemas.openxmlformats.org/officeDocument/2006/relationships/hyperlink" Target="https://doi.org/10.1038/s41598-026-38010-y" TargetMode="External"/><Relationship Id="rId85" Type="http://schemas.openxmlformats.org/officeDocument/2006/relationships/hyperlink" Target="https://doi.org/10.1038/s41598-025-32078-8" TargetMode="External"/><Relationship Id="rId86" Type="http://schemas.openxmlformats.org/officeDocument/2006/relationships/hyperlink" Target="https://doi.org/10.1038/s41598-026-37272-w" TargetMode="External"/><Relationship Id="rId87" Type="http://schemas.openxmlformats.org/officeDocument/2006/relationships/hyperlink" Target="https://doi.org/10.1016/j.optlastec.2026.1148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