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Scientific Reports</w:t>
      </w:r>
    </w:p>
    <w:p>
      <w:pPr>
        <w:jc w:val="center"/>
      </w:pPr>
      <w:r>
        <w:t>--- 更新: 06:28 ---</w:t>
      </w:r>
    </w:p>
    <w:p>
      <w:pPr>
        <w:pStyle w:val="Heading2"/>
      </w:pPr>
      <w:r/>
      <w:r>
        <w:rPr>
          <w:rFonts w:ascii="Times New Roman" w:hAnsi="Times New Roman" w:eastAsia="宋体"/>
          <w:b/>
          <w:color w:val="000000"/>
          <w:sz w:val="24"/>
        </w:rPr>
        <w:t>氧化石墨烯/金属有机骨架复合材料作为酯化反应的有效催化剂</w:t>
      </w:r>
    </w:p>
    <w:p>
      <w:r>
        <w:rPr>
          <w:rFonts w:ascii="Times New Roman" w:hAnsi="Times New Roman" w:eastAsia="宋体"/>
          <w:b/>
          <w:color w:val="003264"/>
          <w:sz w:val="24"/>
        </w:rPr>
        <w:t>Graphene oxide/metal–organic framework composite as an effective catalyst for esterification reactions</w:t>
      </w:r>
    </w:p>
    <w:p>
      <w:r>
        <w:rPr>
          <w:rFonts w:ascii="Times New Roman" w:hAnsi="Times New Roman" w:eastAsia="宋体"/>
          <w:sz w:val="21"/>
        </w:rPr>
        <w:t>作者: Reza Masoudi, Ali Zarnegaryan, Zahra Dehbanipour</w:t>
        <w:br/>
      </w:r>
      <w:r>
        <w:rPr>
          <w:rFonts w:ascii="Times New Roman" w:hAnsi="Times New Roman" w:eastAsia="宋体"/>
          <w:sz w:val="21"/>
        </w:rPr>
        <w:t xml:space="preserve">时间: 2026-02-08 | </w:t>
      </w:r>
      <w:r>
        <w:t xml:space="preserve">链接: </w:t>
      </w:r>
      <w:hyperlink r:id="rId10">
        <w:r>
          <w:rPr>
            <w:rFonts w:ascii="Times New Roman" w:hAnsi="Times New Roman" w:eastAsia="宋体"/>
            <w:color w:val="0000FF"/>
            <w:sz w:val="21"/>
            <w:u w:val="single"/>
          </w:rPr>
          <w:t>https://doi.org/10.1038/s41598-026-36344-1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此，我们报道了浸渍到锆基金属有机骨架（MOF-801）中的氧化石墨烯（GO）的合成和表征，表示为MOF-801@GO，作为酯化反应的催化剂。使用各种技术对合成的催化剂进行了彻底的表征，包括傅里叶变换红外（FTIR）光谱、Brunauer-Emmett-Teller（BET）表面积测量、扫描电子显微镜（SEM）、透射电子显微镜（TEM）、热重分析（TGA）、X射线衍射（XRD）和电感耦合等离子体（ICP）光谱。通过氨程序升温脱附(NH3-TPD)评价表面酸强度。 MOF-801@GO 的催化性能在不使用溶剂的羧酸与醇的酯化反应中进行了评估。在优化的反应条件下，该催化剂实现了高达95%的酯化收率。值得注意的是，该催化剂很容易回收并在多个循环中重复使用，催化活性或结构完整性的损失最小，凸显了其在实际酯化应用中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Herein, we report the synthesis and characterization of graphene oxide (GO) impregnated into a Zr-based metal–organic framework (MOF-801), denoted as MOF-801@GO, as a catalyst for esterification reactions. The synthesized catalyst was thoroughly characterized using various techniques, including Fourier-transform infrared (FTIR) spectroscopy, Brunauer–Emmett–Teller (BET) surface area measurements, and scanning electron microscopy (SEM), transmission electron microscopy (TEM), thermogravimetric analysis (TGA), X-ray diffraction (XRD), and inductively coupled plasma (ICP) spectroscopy. The surface acid strength was evaluated by ammonia temperature-programmed desorption (NH₃-TPD). The catalytic performance of MOF-801@GO was assessed in the esterification of carboxylic acids with alcohols using no solvent. Under optimized reaction conditions, the catalyst achieved a high esterification yield of up to 95%. Notably, the catalyst was readily recovered and reused over multiple cycles with minimal loss of catalytic activity or structural integrity, highlighting its promise for practical esterification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蛭石基轻质地质聚合物砂浆的电磁屏蔽性能及力学性能</w:t>
      </w:r>
    </w:p>
    <w:p>
      <w:r>
        <w:rPr>
          <w:rFonts w:ascii="Times New Roman" w:hAnsi="Times New Roman" w:eastAsia="宋体"/>
          <w:b/>
          <w:color w:val="003264"/>
          <w:sz w:val="24"/>
        </w:rPr>
        <w:t>Electromagnetic shielding performance and mechanical properties of vermiculite-based lightweight geopolymer mortars</w:t>
      </w:r>
    </w:p>
    <w:p>
      <w:r>
        <w:rPr>
          <w:rFonts w:ascii="Times New Roman" w:hAnsi="Times New Roman" w:eastAsia="宋体"/>
          <w:sz w:val="21"/>
        </w:rPr>
        <w:t>作者: Ali İhsan Çelik, Ufuk Tunç, Ali Durmuş, Ercan Karaköse, Fatih Özkan Alkurt, Muharrem Karaaslan</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https://doi.org/10.1038/s41598-026-38722-1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电子设备的广泛使用导致电磁污染的增加，造成电磁干扰，降低系统的性能。此外，日益严重的电磁污染会给人类健康带来严重风险。本研究研究了用于防止电磁污染的蛭石增强轻质地质聚合物复合材料的开发。该复合材料是使用 0 至 100% 之间不同比例的 F 级粉煤灰和蛭石以及 10-13 M NaOH 溶液生产的。通过测量 3-40 GHz 频段的 S11、S21 和屏蔽效能 (SE) 来评估 160 × 140 × 40 mm 片剂样品的电磁性能，其中 16 GHz 和 32 GHz 用作交叉特性图的代表点。虽然电磁SE在3-40 GHz宽频带上进行了表征，但选择16 GHz和32 GHz频率作为详细交叉特性分析和曲面图的代表点，以说明机械和电磁性能之间的相互作用。所有混合物均表现出良好的阻抗匹配，反射值低于 − 10 dB。 SE 结果表明，V25–M12、V50–M12 和 V100–M12 混合物（尤其是在 Ka 频段）通过表现出高于 50 dB 的谐振峰值来提供高电磁衰减。由于其多孔结构，蛭石含量的增加使堆积密度降低了 8-17%。较高的摩尔浓度（尤其是 13 M）会产生较松散的微观结构。使用 25% 蛭石和 11 M 溶液获得最高的机械弯曲强度（8.9 MPa），而使用不含蛭石的对照样品获得最高的压缩强度（30-32 MPa）。田口分析表明，25% 蛭石和 11-13 M NaOH 的组合提供了最平衡的机械和电磁性能。</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widespread use of electronic devices has led to an increase in electromagnetic pollution, which causes electromagnetic interference and reduces the performance of systems. Furthermore, increasing electromagnetic pollution can pose serious risks to human health. This study investigates the development of vermiculite-reinforced lightweight geopolymer composites for protection against electromagnetic pollution. The composites were produced using F-class fly ash and vermiculite in varying proportions between 0 and 100%, along with 10–13 M NaOH solutions. The electromagnetic performance of the 160 × 140 × 40 mm tablet samples is evaluated by measuring S11, S21, and shielding effectiveness (SE) for 3–40 GHz frequency bands, 16 GHz and 32 GHz used as representative points for cross-property plots. While electromagnetic SE was characterized across the broad 3–40 GHz band, the frequencies of 16 GHz and 32 GHz are selected as representative points for detailed cross-property analysis and surface plotting to illustrate the interaction between mechanical and electromagnetic performance. All mixtures showed good impedance matching with reflection values below − 10 dB. SE results show that V25–M12, V50–M12, and V100–M12 mixtures, especially in the Ka band, provided high electromagnetic attenuation by exhibiting resonance peaks above 50 dB. The increase in vermiculite content reduced the bulk density by 8–17% due to its porous structure. Higher molarities (especially 13 M) created a looser microstructure. The highest mechanical flexural strength (8.9 MPa) is obtained with 25% vermiculite and 11 M solution, while the highest compressive strength (30–32 MPa) is obtained with the vermiculite-free control sample. Taguchi analysis showed that the combination of 25% vermiculite and 11–13 M NaOH provided the most balanced mechanical and electromagnetic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使用一维投影门控在 MRI 中进行运动鲁棒性髓磷脂成像</w:t>
      </w:r>
    </w:p>
    <w:p>
      <w:r>
        <w:rPr>
          <w:rFonts w:ascii="Times New Roman" w:hAnsi="Times New Roman" w:eastAsia="宋体"/>
          <w:b/>
          <w:color w:val="003264"/>
          <w:sz w:val="24"/>
        </w:rPr>
        <w:t>Motion-robust myelin imaging in MRI using 1D projection gating</w:t>
      </w:r>
    </w:p>
    <w:p>
      <w:r>
        <w:rPr>
          <w:rFonts w:ascii="Times New Roman" w:hAnsi="Times New Roman" w:eastAsia="宋体"/>
          <w:sz w:val="21"/>
        </w:rPr>
        <w:t>作者: Jinil Park, Sam Sedaghat, Kader Karli Oguz, Youngkyoo Jung, Eddie Fu, Nian Wang, Fang Liu, Hyungseok Jang</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https://doi.org/10.1038/s41598-026-39238-4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具有反转恢复超短回波时间 (IR-UTE) 的髓磷脂加权成像具有高度运动敏感性，但额外的硬件或更长的扫描是不切实际的。我们评估了具有位反转辐条角度的一维上下 (SI) 导航器是否可以在不扩展采集范围的情况下减轻运动伪影。双回波 IR-UTE 在 3T 下实施。绝热反转脉冲后，白质零点周围每段采集 21 个辐条，并且双回波减法抑制了残留的长 T2 信号。在每个段的末尾添加 SI 导航器可以在不延长 TR 的情况下进行运动检测。位反转用于伪随机化辐条角度。 Bloch 对 2D 合成大脑的模拟去除了 10% 的辐条以模拟门控。对三名志愿者进行了扫描：（i）按顺序排列，不运动； (ii) 位反转，无运动； (iii) 反转并故意点头。导航器在点头过程中拒绝了 12,000 个辐条中的 1,280 个（10.7%），并且在无运动数据上重建了相同的门控。仿真显示顺序排序具有相干条纹，但位反转具有各向同性点扩散函数。在体内，门控仅降低了顺序数据集。位反转保留了皮质下和深层白质细节。在有意点头期间，使用位反转的门控增强了髓磷脂对比度，优于从非门控数据重建的图像。 SI-navigator 加上位反转可实现有效的运动门控，无需硬件或时间损失，支持常规运动鲁棒性髓磷脂映射。</w:t>
      </w:r>
    </w:p>
    <w:p>
      <w:pPr>
        <w:spacing w:before="120"/>
      </w:pPr>
      <w:r>
        <w:rPr>
          <w:rFonts w:ascii="Times New Roman" w:hAnsi="Times New Roman" w:eastAsia="宋体"/>
          <w:b/>
          <w:sz w:val="21"/>
        </w:rPr>
        <w:t>English Abstract:</w:t>
      </w:r>
    </w:p>
    <w:p>
      <w:r>
        <w:rPr>
          <w:rFonts w:ascii="Times New Roman" w:hAnsi="Times New Roman" w:eastAsia="宋体"/>
          <w:sz w:val="21"/>
        </w:rPr>
        <w:t>Myelin-weighted imaging with inversion-recovery ultrashort-echo-time (IR-UTE) is highly motion-sensitive, yet extra hardware or longer scans are impractical. We evaluated whether a 1D superior–inferior (SI) navigator with bit-reversed spoke-angles mitigates motion artifacts without extending acquisition. Dual-echo IR-UTE was implemented at 3T. After an adiabatic inversion pulse, 21 spokes were acquired per segment around the white-matter null point, and dual-echo subtraction suppressed residual long-T2 signals. Adding SI-navigators at the end of each segment allows motion detection without lengthening TR. And bit-reversal is used to pseudo-randomize the spoke-angles. Bloch simulations of a 2D synthetic brain removed 10% of spokes to mimic gating. Three volunteers were scanned: (i) sequential-ordering, no-motion; (ii) bit-reversed, no-motion; (iii) bit-reversed with deliberate head nods. The navigator rejected 1,280 of 12,000 spokes (10.7%) during nodding, and the same gating was reconstructed on motion-free data. Simulation showed coherent streaks for sequential ordering but an isotropic point-spread function for bit-reversal. In vivo, gating degraded only the sequential dataset. bit-reversal preserved subcortical and deep-white-matter detail. During intentional nodding, gating with bit-reversal enhanced myelin contrast, outperforming the image reconstructed from the ungated data. The SI-navigator plus bit-reversal enables effective motion gating without hardware or time penalty, supporting routine motion-robust myelin mapping.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使用甜菜皮提取物环保合成星形锌纳米粒子并评估其抗菌、光催化和细胞毒活性</w:t>
      </w:r>
    </w:p>
    <w:p>
      <w:r>
        <w:rPr>
          <w:rFonts w:ascii="Times New Roman" w:hAnsi="Times New Roman" w:eastAsia="宋体"/>
          <w:b/>
          <w:color w:val="003264"/>
          <w:sz w:val="24"/>
        </w:rPr>
        <w:t>Eco-friendly synthesis of star-shaped Zn nanoparticles using Beta vulgaris peel extract and evaluation of their antibacterial, photocatalytic, and cytotoxic activities</w:t>
      </w:r>
    </w:p>
    <w:p>
      <w:r>
        <w:rPr>
          <w:rFonts w:ascii="Times New Roman" w:hAnsi="Times New Roman" w:eastAsia="宋体"/>
          <w:sz w:val="21"/>
        </w:rPr>
        <w:t>作者: Faeghe Sadat Mousavi Khatat, Zahra Sabouri, Majid Darroudi</w:t>
        <w:br/>
      </w:r>
      <w:r>
        <w:rPr>
          <w:rFonts w:ascii="Times New Roman" w:hAnsi="Times New Roman" w:eastAsia="宋体"/>
          <w:sz w:val="21"/>
        </w:rPr>
        <w:t xml:space="preserve">时间: 2026-02-16 | </w:t>
      </w:r>
      <w:r>
        <w:t xml:space="preserve">链接: </w:t>
      </w:r>
      <w:hyperlink r:id="rId13">
        <w:r>
          <w:rPr>
            <w:rFonts w:ascii="Times New Roman" w:hAnsi="Times New Roman" w:eastAsia="宋体"/>
            <w:color w:val="0000FF"/>
            <w:sz w:val="21"/>
            <w:u w:val="single"/>
          </w:rPr>
          <w:t>https://doi.org/10.1038/s41598-026-38842-8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在这项研究中，首次利用绿色方法利用甜菜根皮制备了纳米锌颗粒。合成的 Zn 纳米颗粒已通过 UV-Vis 光谱、Zeta 电位分析、XRD、FTIR、TEM 和 FESEM-EDX 技术进行了表征。通过光谱技术证实了锌基纳米粒子的合成。 UV-Vis 分析在 UV 区域呈现出宽吸收峰，中心位于 300 nm 附近。此外，- 21.6 mV 的 zeta 电位表征了颗粒的负表面电荷，表明具有中等的胶体稳定性。 Zn 纳米粒子的 XRD 图显示了晶体结构，Zn 纳米粒子的 FESEM 和 TEM 图像显示出星形形貌。在紫外光下研究了纳米粒子对罗丹明 B (RhB) 和亚甲基蓝 (MB) 染料颜色降解的光催化活性，结果显示分别降解 97% 和 98%。在浓度为 1 mg/mL 时，评估了 Zn 纳米颗粒对革兰氏阳性菌金黄色葡萄球菌（ATCC 1112 和临床分离株）、粪肠球菌（ATCC 和临床分离株）、革兰氏阴性菌大肠杆菌（ATCC 和临床分离株）和铜绿假单胞菌（PAO1 和 S7）的抗菌活性。在 7 至 500 µg/mL 的浓度范围内，评估了 Zn 纳米颗粒对正常 L929 成纤维细胞和 MCF-7 乳腺癌细胞的细胞毒性作用。孵育24小时后，MCF-7细胞系的IC50值为284μg/mL，而对L929细胞没有观察到明显的细胞毒性。据我们了解，这是利用普通芥子根皮作为环保还原剂​​和稳定剂合成星形锌纳米粒子的初步报告，凸显了其在环境和生物医学应用中的潜力。</w:t>
      </w:r>
    </w:p>
    <w:p>
      <w:pPr>
        <w:spacing w:before="120"/>
      </w:pPr>
      <w:r>
        <w:rPr>
          <w:rFonts w:ascii="Times New Roman" w:hAnsi="Times New Roman" w:eastAsia="宋体"/>
          <w:b/>
          <w:sz w:val="21"/>
        </w:rPr>
        <w:t>English Abstract:</w:t>
      </w:r>
    </w:p>
    <w:p>
      <w:r>
        <w:rPr>
          <w:rFonts w:ascii="Times New Roman" w:hAnsi="Times New Roman" w:eastAsia="宋体"/>
          <w:sz w:val="21"/>
        </w:rPr>
        <w:t>In this study, for the first time, Zn nanoparticles were created using the root peel of Beta vulgaris by a green method. Synthesized Zn nanoparticles have been characterized via UV–Vis spectroscopy, Zeta potential analysis, XRD, FTIR, TEM, and FESEM-EDX techniques. The synthesis of zinc-based nanoparticles was confirmed by spectroscopic techniques. UV-Vis analysis presented a broad absorption peak in the UV region, centered around 300 nm. Furthermore, a zeta potential of − 21.6 mV characterized the particles’ negative surface charge and suggested moderate colloidal stability. The XRD pattern of Zn nanoparticles revealed crystalline structures, and FESEM and TEM images of Zn nanoparticles displayed a star-shaped morphology. The photocatalytic activity of NPs for the color degradation of Rhodamine B (RhB) and Methylene Blue (MB) dyes has been investigated under UV light, and the results show 97% and 98% degradation, respectively. The antibacterial activity of the Zn nanoparticles was evaluated at a concentration of 1 mg/mL against the gram-positive bacterium Staphylococcus aureus (ATCC 1112 and clinical isolates), Enterococcus faecalis (ATCC and clinical isolates), and gram-negative bacterium Escherichia coli (ATCC and clinical isolates) and Pseudomonas aeruginosa (PAO1 and S7). The cytotoxic effects of Zn nanoparticles were assessed over a concentration range of 7 to 500 µg/mL on both normal L929 fibroblast cells and MCF-7 breast cancer cells. After 24 h of incubation, the IC₅₀ value for the MCF-7 cell line was determined to be 284 µg/mL, while no significant cytotoxicity was observed on L929 cells. To our understanding, this is the initial report synthesizing star-shaped Zn nanoparticles utilizing B. vulgaris root peel as an eco-friendly reducing and stabilizing agent, highlighting their potential for environmental and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使用自我注意增强 MLP 架构根据帕金森语音特征进行模拟抑郁症风险分类</w:t>
      </w:r>
    </w:p>
    <w:p>
      <w:r>
        <w:rPr>
          <w:rFonts w:ascii="Times New Roman" w:hAnsi="Times New Roman" w:eastAsia="宋体"/>
          <w:b/>
          <w:color w:val="003264"/>
          <w:sz w:val="24"/>
        </w:rPr>
        <w:t>Simulated depression risk classification from Parkinson’s voice features using a self-attention-enhanced MLP architecture</w:t>
      </w:r>
    </w:p>
    <w:p>
      <w:r>
        <w:rPr>
          <w:rFonts w:ascii="Times New Roman" w:hAnsi="Times New Roman" w:eastAsia="宋体"/>
          <w:sz w:val="21"/>
        </w:rPr>
        <w:t>作者: Nalineekumari Arasavali, Mohammed. Ashik, Vaddadi Nirmal, Mogadala Vinod Kumar, U Siddaraj</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https://doi.org/10.1038/s41598-026-37773-8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帕金森病会影响运动和非运动功能，包括可能表明抑郁等潜在心理健康状况的声音特征。这项工作提出了一种使用源自 UCI 帕金森数据集的声音生物标志物进行模拟抑郁症风险分类的新框架。自注意力增强型多层感知器 MLP 架构用于关键声学特征之间的交互模型，特别是谐波噪声比和抖动，它们是生成二元抑郁症风险标签的基础。所提出的模型优于传统和深度学习基准，包括支持向量机 (SVM)、k-近邻 (k-NN)、TabNet、CNN-LSTM、深度神经网络 (DNN) 和可解释增强机 (EBM)，准确度为 97%，F1 分数为 98%，召回率为 95%，特异性为 100%。虽然 EBM 提供了强大的可解释性，但注意力增强模型表现出最佳的预测能力。这些发现强调了基于语音的特征与注意力机制相结合对于早期、非侵入性识别 PD 患者抑郁风险的功效。</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affects both motor and non-motor functions, including vocal features that may indicate underlying mental health conditions such as depression. This work proposes a novel framework for simulated depression risk classification using vocal biomarkers derived from the UCI Parkinson’s dataset. A Self-Attention-Enhanced Multilayer Perceptron-MLP architecture is used model interactions between key acoustic features, particularly Harmonic-to-Noise Ratio and Jitter, which serve as the basis for generating binary depression risk labels. The proposed model outperforming traditional and deep learning benchmarks including Support Vector Machine (SVM), k-Nearest Neighbors (k-NN), TabNet, CNN-LSTM, Deep Neural Network (DNN), and Explainable Boosting Machine (EBM) with an accuracy of 97%, F1-score of 98%, recall of 95%, and specificity of 100%, While EBM offers strong interpretability, the attention-enhanced model demonstrates optimal predictive capability. These findings highlight the efficacy of voice-based features combined with attention mechanisms for early, non-invasive identification of depression risk in PD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伊朗不断增长的正畸人群中实际年龄、骨骼年龄和牙齿年龄（Demirjian 方法）的相关性——一项横断面研究</w:t>
      </w:r>
    </w:p>
    <w:p>
      <w:r>
        <w:rPr>
          <w:rFonts w:ascii="Times New Roman" w:hAnsi="Times New Roman" w:eastAsia="宋体"/>
          <w:b/>
          <w:color w:val="003264"/>
          <w:sz w:val="24"/>
        </w:rPr>
        <w:t>Correlation of chronological, skeletal and dental (Demirjian method) ages in an Iranian growing orthodontic population – a cross-sectional study</w:t>
      </w:r>
    </w:p>
    <w:p>
      <w:r>
        <w:rPr>
          <w:rFonts w:ascii="Times New Roman" w:hAnsi="Times New Roman" w:eastAsia="宋体"/>
          <w:sz w:val="21"/>
        </w:rPr>
        <w:t>作者: Mehraneh Mohammadian-Rastani, Fatemeh Gorjizadeh, Seyedeh Roghayeh Panahi, Ali Mousavizadeh</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https://doi.org/10.1038/s41598-026-39319-4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长调节治疗是一种用于仍在生长的患者的正畸治疗。这些干预措施的治疗计划和时间通常基于患者的实际年龄；然而，要实现最理想的结果，需要透彻了解儿童和青少年的身体发育情况。本研究的目的是探讨需要正畸治疗的儿童和青少年的实际年龄与身体发育之间的相关性。为了评估身体发育，评估了牙龄和骨骼年龄。从 Gachsaran 的一家牙科诊所随机抽取 194 名 7 至 17 岁正畸患者的全景和侧位头影测量 X 线照片。牙齿成熟度使用 Demirjian 方法评估，而骨骼成熟度使用 Baccetti 描述的颈椎成熟阶段 (CVMS) 方法评估。使用SPSS软件27版进行数据分析。使用Pearson相关系数和Spearman等级相关计算变量之间的相关性。研究发现，患者的平均牙科年龄高于实际年龄。值得注意的是，在第一颈椎成熟阶段（CVMS1）观察到男性和女性的牙齿年龄和实际年龄之间最强的相关性，突出了其对早期生长评估的潜在临床相关性。牙齿年龄与实际年龄之间的 Pearson 正相关性，男性为 0.894，女性为 0.876。此外，牙齿年龄和骨骼年龄之间存在强烈且显着的正相关性，男性的斯皮尔曼等级相关系数为0.779，女性的斯皮尔曼等级相关系数为0.785。此外，实足年龄与骨龄之间存在强烈且显着的正相关性，男性的 Spearman 等级相关系数为 0.783，女性的 Spearman 等级相关系数为 0.707。这项研究的结果表明，实际年龄与评估身体发育的两种方法（牙齿年龄和骨骼年龄）之间存在显着的正相关性。 Demirjian 方法似乎高估了研究人群的牙齿年龄，这表明需要重新评估其在伊朗人群中的有效性。此外，在两性的 CVMS1 中观察到实际年龄和牙龄之间最强的相关性。在规划生长调节治疗时应考虑这些见解。</w:t>
      </w:r>
    </w:p>
    <w:p>
      <w:pPr>
        <w:spacing w:before="120"/>
      </w:pPr>
      <w:r>
        <w:rPr>
          <w:rFonts w:ascii="Times New Roman" w:hAnsi="Times New Roman" w:eastAsia="宋体"/>
          <w:b/>
          <w:sz w:val="21"/>
        </w:rPr>
        <w:t>English Abstract:</w:t>
      </w:r>
    </w:p>
    <w:p>
      <w:r>
        <w:rPr>
          <w:rFonts w:ascii="Times New Roman" w:hAnsi="Times New Roman" w:eastAsia="宋体"/>
          <w:sz w:val="21"/>
        </w:rPr>
        <w:t>Growth modification treatments are a type of orthodontic treatment used for patients who are still growing. The treatment plan and timing for these interventions are generally based on the chronological age of patients; however, achieving the most desirable outcome requires a thorough understanding of the physical development of children and adolescents. The aim of this study is to examine the correlation between chronological age and physical development in children and adolescents requiring orthodontic treatment. To assess physical development, both dental age and skeletal age were evaluated. Panoramic and lateral cephalometric radiographs of 194 orthodontic patients aged 7 to 17 years were randomly selected from a dental clinic in Gachsaran. Dental maturity was assessed using the Demirjian method, while skeletal maturity was evaluated using the cervical vertebral maturation stage (CVMS) method described by Baccetti. Data analysis was conducted using SPSS software version 27. The correlation between variables was calculated using Pearson’s correlation coefficient and Spearman’s rank correlation. The mean dental age of patients was found to be higher than their chronological age. Notably, the strongest correlation between dental age and chronological age for both males and females were observed at the first cervical vertebral maturation stage (CVMS1) highlighting its potential clinical relevance for early growth assessment. The positive Pearson correlation between dental age and chronological age was 0.894 in males and 0.876 in females. Moreover, a strong and significant positive correlation was found between dental age and skeletal age, with a Spearman’s rank correlation coefficient of 0.779 in males and 0.785 in females. Additionally, a strong and significant positive correlation was observed between chronological age and skeletal age, with a Spearman’s rank correlation coefficient of 0.783 in males and 0.707 in females. The results of this study indicate a significant positive correlation between chronological age and both methods of assessing physical development (dental age and skeletal age). The Demirjian method appears to overestimate dental age in the study population, suggesting a need to reassess its validity in Iranian population. Furthermore, the strongest correlation between chronological age and dental age was observed at the CVMS1 for both genders. These insights should be taken into account when planning growth modification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长期使用苯二氮卓类药物的老年焦虑患者半球间功能连接增强：一项 fNIRS 研究</w:t>
      </w:r>
    </w:p>
    <w:p>
      <w:r>
        <w:rPr>
          <w:rFonts w:ascii="Times New Roman" w:hAnsi="Times New Roman" w:eastAsia="宋体"/>
          <w:b/>
          <w:color w:val="003264"/>
          <w:sz w:val="24"/>
        </w:rPr>
        <w:t>Enhanced interhemispheric functional connectivity in elderly anxiety patients with long-term benzodiazepine use: an fNIRS study</w:t>
      </w:r>
    </w:p>
    <w:p>
      <w:r>
        <w:rPr>
          <w:rFonts w:ascii="Times New Roman" w:hAnsi="Times New Roman" w:eastAsia="宋体"/>
          <w:sz w:val="21"/>
        </w:rPr>
        <w:t>作者: Yiheng Chang, Meichen Liu, Yudan Liu, Xueting Xie, Huimin Zhang</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https://doi.org/10.1038/s41598-026-39359-w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焦虑症患者临床上经常使用苯二氮卓类药物，尤其是长期使用的患者，但这些药物对认知功能的影响仍不确定。之前的研究主要集中在流行病学数据和代谢测量上，往往忽视了皮质激活和不同大脑区域之间的同步性。这项研究调查了长期服用苯二氮卓类药物和非服用苯二氮卓类药物的人在执行认知任务期间大脑神经元活动如何受到调节，从而深入了解认知功能背后的神经机制。 50 名患有焦虑症的老年人参与了这项研究，其中包括 31 名长期服用苯二氮卓类药物（BZD 组）和 19 名非服用者（对照组）。功能性近红外光谱用于评估言语流畅性任务期间的皮质激活和功能连接。我们的研究首次发现长期服用苯二氮卓类药物的人大脑半球间的功能连接性更强。然而，两组之间在行为表现、皮质激活或氧合血红蛋白浓度变化方面没有发现显着差异。此外，苯二氮卓类药物的累积剂量对背外侧前额叶皮层的激活没有显着影响。长期使用苯二氮卓类药物不会影响大脑激活，但会影响功能连接。半球间连接的增加可能有助于维持大脑网络的稳定性，并且这种增强的连接可能与 GABA 能神经传递的长期适应性去抑制有关。</w:t>
      </w:r>
    </w:p>
    <w:p>
      <w:pPr>
        <w:spacing w:before="120"/>
      </w:pPr>
      <w:r>
        <w:rPr>
          <w:rFonts w:ascii="Times New Roman" w:hAnsi="Times New Roman" w:eastAsia="宋体"/>
          <w:b/>
          <w:sz w:val="21"/>
        </w:rPr>
        <w:t>English Abstract:</w:t>
      </w:r>
    </w:p>
    <w:p>
      <w:r>
        <w:rPr>
          <w:rFonts w:ascii="Times New Roman" w:hAnsi="Times New Roman" w:eastAsia="宋体"/>
          <w:sz w:val="21"/>
        </w:rPr>
        <w:t>Individuals with anxiety exhibit high clinical usage of benzodiazepines, particularly among those with long-term use, yet the impact of these medications on cognitive function remains inconclusive. Previous research has predominantly focused on epidemiological data and metabolic measurements, often overlooking both cortical activation and the synchrony between different brain regions. This study investigates how brain neuronal activities are modulated in both long-term benzodiazepine users and nonusers during cognitive tasks, offering insights into the neural mechanisms underlying cognitive function. Fifty older adults with anxiety disorders participated in this study, including 31 long-term benzodiazepine users (BZD group) and 19 nonusers (control group). Functional near-infrared spectroscopy was used to assess cortical activation and functional connectivity during a verbal fluency task. Our study is the first to find a greater interhemispheric functional connectivity in chronic benzodiazepine users. However, no notable differences were detected between the two groups regarding behavioral performance, cortical activation, or changes in oxygenated hemoglobin concentration. Moreover, cumulative dosage of benzodiazepines use had no significant effect on dorsolateral prefrontal cortex activation. Long-term benzodiazepines use does not affect brain activation but impacts functional connectivity. The increased interhemispheric connectivity may serve to maintain the stability of brain networks, and this enhanced connectivity could be associated with the long-term adaptive disinhibition of GABAergic neurotransmission.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通过实验数据库、建模和统计验证构建 RCA 混凝土物理引导机器学习框架</w:t>
      </w:r>
    </w:p>
    <w:p>
      <w:r>
        <w:rPr>
          <w:rFonts w:ascii="Times New Roman" w:hAnsi="Times New Roman" w:eastAsia="宋体"/>
          <w:b/>
          <w:color w:val="003264"/>
          <w:sz w:val="24"/>
        </w:rPr>
        <w:t>Physics-guided machine learning framework for RCA concrete by experimental database, modelling, and statistical validation</w:t>
      </w:r>
    </w:p>
    <w:p>
      <w:r>
        <w:rPr>
          <w:rFonts w:ascii="Times New Roman" w:hAnsi="Times New Roman" w:eastAsia="宋体"/>
          <w:sz w:val="21"/>
        </w:rPr>
        <w:t>作者: Mohamed Abdikarin Mohamud, Muhannad Riyadh Alasiri, Nebi Özdöner, Sadık Alper Yıldızel, Yasin Onuralp Özkılıç</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https://doi.org/10.1038/s41598-026-38554-z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对可持续建筑材料的追求增加了再生混凝土骨料（RCA）的使用；然而，机械性能的可变性和缺乏准确的预测工具限制了其使用。完整的实验室计划使用来自六个母体强度等级 (C5–C50) 和三个粒径级分（0–4 毫米、5–11 毫米、12–22 毫米）的 RCA，替换水平为 10%–50%。掺有 RCA 的混凝土的机械性能受到上述参数的强烈影响。本研究提出了一种物理引导的机器学习 (ML) 框架来预测 RCA 混凝土的抗压强度 (CS) 和劈裂抗拉强度 (STS)，明确解决数据稀疏性和 RCA 引起的变异性问题。建立了涵盖多个 RCA 替代水平、粒度分数和母体混凝土强度等级的综合实验数据库，并使用物理引导的数据增强策略训练梯度增强模型（XGBoost 和 LightGBM），其中在源自实验可变性的物理允许范围内生成合成样本。使用 R²、RMSE 和 MAE 评估模型的性能，并在 RCA 体系中进行补充误差分层。结果表明，所提出的框架具有很强的预测准确性和稳定的性能，即使在较高的 RCA 替代水平下，RMSE 值仍保持在实验可接受的范围内。随附的统计分析证实，观察到的与 RCA 含量增加相关的强度降低既具有统计显着性，又具有物理意义。与传统的增强方法相比，物理引导策略提高了数据集稀疏区域中的模型鲁棒性，而无需引入非物理关系。因此，该框架为数据驱动的混合物设计和可持续混凝土系统的开发提供了一种透明的、物理一致的机器学习方法。</w:t>
      </w:r>
    </w:p>
    <w:p>
      <w:pPr>
        <w:spacing w:before="120"/>
      </w:pPr>
      <w:r>
        <w:rPr>
          <w:rFonts w:ascii="Times New Roman" w:hAnsi="Times New Roman" w:eastAsia="宋体"/>
          <w:b/>
          <w:sz w:val="21"/>
        </w:rPr>
        <w:t>English Abstract:</w:t>
      </w:r>
    </w:p>
    <w:p>
      <w:r>
        <w:rPr>
          <w:rFonts w:ascii="Times New Roman" w:hAnsi="Times New Roman" w:eastAsia="宋体"/>
          <w:sz w:val="21"/>
        </w:rPr>
        <w:t>The search for sustainable construction materials has increased the use of recycled concrete aggregate (RCA); however, variability in mechanical performance and the absence of accurate forecasting tools limit its utilization. A complete laboratory program utilized RCA from six parent strength classes (C5–C50) and three particle-size fractions (0–4 mm, 5–11 mm, 12–22 mm) at 10%–50% replacement levels. The mechanical performance of concrete incorporating RCA is strongly influenced by the aforementioned parameters. This study proposes a physics-guided machine learning (ML) framework to predict the compressive strength (CS) and splitting tensile strength (STS) of RCA concrete, explicitly addressing data sparsity and RCA-induced variability. A comprehensive experimental database covering multiple RCA replacement levels, particle-size fractions, and parent concrete strength classes was established, and gradient-boosting models (XGBoost and LightGBM) were trained using a physics-guided data augmentation strategy in which synthetic samples were generated within physically admissible bounds derived from experimental variability. The model’s performance was assessed using R², RMSE, and MAE, with supplementary error stratification across RCA regimes. The results show that the proposed framework achieves strong predictive accuracy and stable performance, with RMSE values remaining within ranges considered acceptable experimentally, even at higher RCA replacement levels. The accompanying statistical analyses confirm that the observed reductions in strength associated with increasing RCA content are both statistically significant and physically meaningful. Compared with conventional augmentation approaches, the physics-guided strategy improves model robustness in sparsely populated regions of the dataset without introducing non-physical relationships. As a result, the framework provides a transparent, physically consistent machine-learning approach for data-driven mixture design and the development of sustainable concrete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单一和混合金属暴露对印度比哈尔邦成年人神经认知健康和生活质量的影响</w:t>
      </w:r>
    </w:p>
    <w:p>
      <w:r>
        <w:rPr>
          <w:rFonts w:ascii="Times New Roman" w:hAnsi="Times New Roman" w:eastAsia="宋体"/>
          <w:b/>
          <w:color w:val="003264"/>
          <w:sz w:val="24"/>
        </w:rPr>
        <w:t>Effects of single and mixed metal exposure on neurocognitive health and quality of life among adults from Bihar India</w:t>
      </w:r>
    </w:p>
    <w:p>
      <w:r>
        <w:rPr>
          <w:rFonts w:ascii="Times New Roman" w:hAnsi="Times New Roman" w:eastAsia="宋体"/>
          <w:sz w:val="21"/>
        </w:rPr>
        <w:t>作者: V. Udaya Kumar, Krishna Pandey, Arun Kumar, Nitesh Kumar, Ruckmani Kandasamy, Krishna Murti</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https://doi.org/10.1038/s41598-026-39326-5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环境中接触金属和类金属而导致的认知能力下降是一个全球性的公共卫生问题，因为它们具有潜在的神经毒性作用。虽然单独的金属暴露与认知障碍有关，但同时和联合暴露的影响仍不确定。这项横断面研究是在比哈尔邦的成年人中进行的，旨在评估铍 (Be)、钒 (V)、铬 (Cr)、钴 (Co)、砷 (As)、硒 (Se)、锶 (Sr)、银 (Ag)、镉 (Cd)、铯 (Cs)、钡 (Ba)、铅 (Pb) 和铀的负担(U) 金属及其单独和混合组合。使用 MoCA 和 WHO-QoL Brief 问卷评估认知和生活质量评分。对数转换后的金属和类金属浓度与认知评分（ρ -0.29 至 -0.78）和 HR-QoL 评分（ρ &gt; -0.5；P &lt; 0.05）呈负相关。认知得分与生活质量直接相关（ρ &gt; 0.5；P &lt; 0.05）。金属 As、V、Co、Se、Cs 和 U 对认知得分有强烈的负面影响（β &gt; -2.5；P &lt; 0.05）。 AENT 模型显示，As、Co 和 Cr 是对认知评分影响最大的金属，其中多种金属和类金属对认知障碍的综合影响为 (β = -5.75 (-6.68, -4.81) (P &lt; 0.001)。这凸显了金属和类金属对认知能力下降和 HR-QoL 较差的个体和联合有害影响，强调了对金属暴露进行临床生物监测的必要性。</w:t>
      </w:r>
    </w:p>
    <w:p>
      <w:pPr>
        <w:spacing w:before="120"/>
      </w:pPr>
      <w:r>
        <w:rPr>
          <w:rFonts w:ascii="Times New Roman" w:hAnsi="Times New Roman" w:eastAsia="宋体"/>
          <w:b/>
          <w:sz w:val="21"/>
        </w:rPr>
        <w:t>English Abstract:</w:t>
      </w:r>
    </w:p>
    <w:p>
      <w:r>
        <w:rPr>
          <w:rFonts w:ascii="Times New Roman" w:hAnsi="Times New Roman" w:eastAsia="宋体"/>
          <w:sz w:val="21"/>
        </w:rPr>
        <w:t>Cognitive decline due to environmental exposure to metals and metalloids is a global public health concern because of their potential neurotoxic effects. While individual metal exposures have been linked to cognitive impairment, the effects of simultaneous and combined exposures remain inconclusive. This cross-sectional study was conducted among the adults residing in Bihar state to evaluate the burden of beryllium (Be), vanadium (V), chromium (Cr), cobalt (Co), arsenic (As), selenium (Se), strontium (Sr), silver (Ag), cadmium (Cd), caesium (Cs), barium (Ba), lead (Pb), and uranium (U) metals and their individual and mixed associations. Cognitive and quality of life scores were assessed using the MoCA and the WHO-QoL Brief questionnaire. The log-transformed metal and metalloid concentrations were inversely correlated with the cognitive scores (ρ -0.29 to -0.78) and HR-QoL scores (ρ &gt; -0.5; P &lt; 0.05). The cognitive scores were directly associated with the QoL domains (ρ &gt; 0.5; P &lt; 0.05). The metals As, V, Co, Se, Cs, and U had a strong negative influence on cognitive scores (β &gt; -2.5; P &lt; 0.05). The AENT model revealed As, Co, and Cr as the most influential metals on the cognitive score, where the combined effect of multiple metals and metalloids on cognitive impairment was (β = -5.75 (-6.68, -4.81) (P &lt; 0.001). This highlights the individual and joint detrimental impacts of metals and metalloids on cognitive decline and poor HR-QoL, emphasising the need for clinical biomonitoring of metal exposure.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CiCLoDS：单细胞空间转录组学的联合细胞聚类和基因选择</w:t>
      </w:r>
    </w:p>
    <w:p>
      <w:r>
        <w:rPr>
          <w:rFonts w:ascii="Times New Roman" w:hAnsi="Times New Roman" w:eastAsia="宋体"/>
          <w:b/>
          <w:color w:val="003264"/>
          <w:sz w:val="24"/>
        </w:rPr>
        <w:t>CiCLoDS: Joint cell clustering and gene selection for single-cell spatial transcriptomics</w:t>
      </w:r>
    </w:p>
    <w:p>
      <w:r>
        <w:rPr>
          <w:rFonts w:ascii="Times New Roman" w:hAnsi="Times New Roman" w:eastAsia="宋体"/>
          <w:sz w:val="21"/>
        </w:rPr>
        <w:t>作者: Nuozhou Wang, Yimeng He, Edward Ray, Kyoung Jae Won, Curtis L Cetrulo, Debiao Li, Jason H Moore, Shuzhong Zhang, Xiuzhen Huang</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https://doi.org/10.1038/s41598-026-39168-1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基于成像的空间转录组 (ST) 测定现在可以分析数十万个细胞的目标基因组，同时保留组织背景，但大多数下游分析仍然需要一个紧凑的、可解释的子集。我们引入了 CiCLoDS（关键和低维子空间聚类），这是一种适用于空间转录组学的无监督框架，可在严格的、用户定义的基因预算下联合优化聚类和特征选择。该方法返回与发现的分区对齐的显式特征子集，通过正弦余弦位置编码接受空间辅助信息，并在几分钟内在商用 CPU 上收敛。我们在三个不同的数据集上对 CiCLoDS 进行基准测试：Vizgen MERFISH 小鼠肝脏（1.27 M 细胞）、10x Xenium 人类结肠（23 K 细胞）和人类 DLPFC。在肝细胞分区方面，CiCLoDS 将调整后的 Rand 指数比 PCA 和 GeneBasis 提高了高达 +0.36，以 0.89 的 kNN 重叠 AUC 保留邻域结构，并以 92.8% F1 检测血管相关空隙。在人类 DLPFC (Visium) 上，CiCLoDS 表现出强大的泛化能力，平均调整兰德指数 (ARI) 达到 0.40，超过 BayesCafe (0.32)，并在基线失败的异质样本上保持高精度。此外，我们还揭示了一个协同实用程序：使用 CiCLoDS 初始化 BayesSpace 将平均 ARI 提高到 0.50，解决了局部最小值问题，其性能优于单独使用任何一种方法。这些结果表明，轻量级、联合优化的物镜可以实现有竞争力的准确性、强大的泛化性和协同效用，同时生成可用于分析的特征面板。</w:t>
      </w:r>
    </w:p>
    <w:p>
      <w:pPr>
        <w:spacing w:before="120"/>
      </w:pPr>
      <w:r>
        <w:rPr>
          <w:rFonts w:ascii="Times New Roman" w:hAnsi="Times New Roman" w:eastAsia="宋体"/>
          <w:b/>
          <w:sz w:val="21"/>
        </w:rPr>
        <w:t>English Abstract:</w:t>
      </w:r>
    </w:p>
    <w:p>
      <w:r>
        <w:rPr>
          <w:rFonts w:ascii="Times New Roman" w:hAnsi="Times New Roman" w:eastAsia="宋体"/>
          <w:sz w:val="21"/>
        </w:rPr>
        <w:t>Imaging-based spatial transcriptomic (ST) assays now profile targeted gene panels for hundreds of thousands of cells while preserving tissue context, yet most downstream analyses still need a compact, interpretable subset. We introduce CiCLoDS (Clustering in Critical &amp; Low-Dimensional Subspace), an unsupervised framework adapted for spatial transcriptomics to jointly optimize clustering and feature selection under a strict, user-defined gene budget. The method returns an explicit feature subset aligned with the discovered partitions, accepts spatial side information via sine–cosine positional encodings, and converges in minutes on commodity CPUs. We benchmark CiCLoDS on three diverse datasets: Vizgen MERFISH mouse liver (1.27 M cells), 10x Xenium human colon (23 K cells), and Human DLPFC. On hepatocyte zonation, CiCLoDS raises the adjusted Rand index by up to +0.36 over PCA and geneBasis, preserves neighborhood structure with a kNN-overlap AUC of 0.89, and detects vessel-associated voids at 92.8% F1. On Human DLPFC (Visium), CiCLoDS demonstrates robust generalization, achieving a mean Adjusted Rand Index (ARI) of 0.40—surpassing BayesCafe (0.32)—and maintaining high accuracy on heterogeneous samples where baselines fail. Furthermore, we reveal a synergistic utility: using CiCLoDS to initialize BayesSpace raises the mean ARI to 0.50, resolving local minima issues to outperform either method alone. These results show that a lightweight, jointly optimized objective can achieve competitive accuracy, robust generalization, and synergistic utility while producing assay-ready feature panels.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MWCNT 修饰的 TiO2/SiO2/g-C3N4 增强可见光光催化作用：有效去除纯水中和硬水中的四环素</w:t>
      </w:r>
    </w:p>
    <w:p>
      <w:r>
        <w:rPr>
          <w:rFonts w:ascii="Times New Roman" w:hAnsi="Times New Roman" w:eastAsia="宋体"/>
          <w:b/>
          <w:color w:val="003264"/>
          <w:sz w:val="24"/>
        </w:rPr>
        <w:t>Boosting visible-light photocatalysis with MWCNT-modified TiO2/SiO2/g-C3N4: efficient tetracycline removal in pure and hard water</w:t>
      </w:r>
    </w:p>
    <w:p>
      <w:r>
        <w:rPr>
          <w:rFonts w:ascii="Times New Roman" w:hAnsi="Times New Roman" w:eastAsia="宋体"/>
          <w:sz w:val="21"/>
        </w:rPr>
        <w:t>作者: Samira Mohammaddarvish, Amir Ali Masoudi, Zahra Sadat Hosseini</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https://doi.org/10.1038/s41598-026-39505-4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摘要：在本研究中，我们提出了一种简单合成的TiO 2 /SiO 2 /g-C 3 N 4 /MWCNT 复合材料，该复合材料具有光催化剂和吸附剂的双重功能，可有效消除水中的药物和染料污染物。使用 FESEM、EDX、XRD、BET、FTIR、PL 和 UV-Vis 光谱对复合材料进行了全面表征，以阐明其形貌、晶体结构和光学性能。结果揭示了分层的花状球/片结构，平均晶粒尺寸约为 21.3 nm。多壁碳纳米管（MWCNT）作为可见光光敏剂，提高光生电子空穴对的分离效率。系统研究了MWCNT含量对光催化活性的影响。含有 11 wt% CNT 的 TiO 2 /SiO 2 /g-C 3 N 4 /MWCNT 复合材料表现出优异的可见光降解性能，在 20 mg/L 亚甲基蓝 (MB) 水溶液中实现了 92% 的效率，明显优于不含 MWCNT 的对应物。此外，MWCNT 的存在显着改善了富含 CaCO 3 的水中四环素 (TC) 的去除（20 mg/L TC 与 300 mg/L CaCO 3 ）。高光催化活性归因于g-C 3 N 4 、TiO 2 /SiO 2 和MWCNT之间形成丰富的局部结，这有助于在可见光照射下通过直接Z型机制实现有效的电荷分离和迁移。</w:t>
      </w:r>
    </w:p>
    <w:p>
      <w:pPr>
        <w:spacing w:before="120"/>
      </w:pPr>
      <w:r>
        <w:rPr>
          <w:rFonts w:ascii="Times New Roman" w:hAnsi="Times New Roman" w:eastAsia="宋体"/>
          <w:b/>
          <w:sz w:val="21"/>
        </w:rPr>
        <w:t>English Abstract:</w:t>
      </w:r>
    </w:p>
    <w:p>
      <w:r>
        <w:rPr>
          <w:rFonts w:ascii="Times New Roman" w:hAnsi="Times New Roman" w:eastAsia="宋体"/>
          <w:sz w:val="21"/>
        </w:rPr>
        <w:t>Abstract In this study, we present a facile synthesis of a TiO 2 /SiO 2 /g-C 3 N 4 /MWCNT composite with dual functionality as both a photocatalyst and adsorbent for the effective elimination of pharmaceutical and dye pollutants from water. The composite was comprehensively characterized using FESEM, EDX, XRD, BET, FTIR, PL, and UV–Vis spectroscopy to elucidate its morphology, crystalline structure, and optical properties. The results revealed a hierarchical flower-like sphere/sheet architecture with an average crystallite size of about 21.3 nm. Multi-walled carbon nanotubes (MWCNTs) acted as visible-light photosensitizers, enhancing the separation efficiency of photogenerated electron–hole pairs. The influence of MWCNT content on photocatalytic activity was systematically investigated. The TiO 2 /SiO 2 /g-C 3 N 4 /MWCNT composite with 11 wt% CNT demonstrated superior visible-light degradation performance, achieving 92% efficiency for a 20 mg/L methylene blue (MB) aqueous solution significantly outperforming the MWCNT-free counterpart. Furthermore, the presence of MWCNTs remarkably improved tetracycline (TC) removal in CaCO 3 -rich water (20 mg/L TC with 300 mg/L CaCO 3 ). The high photocatalytic activity is attributed to the formation of abundant local junctions among g-C 3 N 4 , TiO 2 /SiO 2 , and MWCNTs, which facilitate efficient charge separation and migration through a direct Z-scheme mechanism under visible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谷氨酸棒杆菌中透明质酸的工程生物合成以及用于先进抗菌伤口敷料的HA-银纳米复合材料的绿色合成</w:t>
      </w:r>
    </w:p>
    <w:p>
      <w:r>
        <w:rPr>
          <w:rFonts w:ascii="Times New Roman" w:hAnsi="Times New Roman" w:eastAsia="宋体"/>
          <w:b/>
          <w:color w:val="003264"/>
          <w:sz w:val="24"/>
        </w:rPr>
        <w:t>Engineered biosynthesis of hyaluronic acid in Corynebacterium glutamicum and green synthesis of HA-silver nanocomposites for advanced antimicrobial wound dressings</w:t>
      </w:r>
    </w:p>
    <w:p>
      <w:r>
        <w:rPr>
          <w:rFonts w:ascii="Times New Roman" w:hAnsi="Times New Roman" w:eastAsia="宋体"/>
          <w:sz w:val="21"/>
        </w:rPr>
        <w:t>作者: Mahdieh Nadali Hazaveh, Saeed Salehi, Marjan Talebi, Rouzbeh Almasi Ghale, Hamid Zilouei, Fatemeh Tabandeh</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https://doi.org/10.1038/s41598-026-39148-5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生素耐药性是一个日益严峻的全球挑战，预计在不久的将来将导致数百万人死亡。创新的抗菌伤口敷料含有具有恢复作用的天然物质，可以作为传统药物的替代品。本研究旨在研究含有不同比例的壳聚糖、胶原蛋白和透明质酸-银纳米复合材料的静电纺纳米纤维的抗菌性能。以重组谷氨酸棒杆菌发酵获得的透明质酸（HA）作为天然还原剂，通过绿色、无溶剂的方法合成纳米银（Ag NPs）。采用全因子设计优化生产，在 10 g/L 酵母提取物、20 g/L 大豆蛋白和 400 mg/L MgSO₄ 的条件下，产量提高了 26%。通过傅里叶变换红外光谱测量微生物发酵获得的HA的纯度。 0.01、0.1 和 1 M 的硝酸银浓度被认为可合成纳米颗粒前体。分光光度法和动态光散射分析表明，0.1 M AgNO3 产生平均尺寸为 98.5 nm 的纳米颗粒。扫描电子显微镜显示纳米纤维具有连贯且均匀的结构。评估了对大肠杆菌和金黄色葡萄球菌的抗菌活性。比例为 1:1:1 和 0.5:1:1 的纳米纤维（HA-Ag：胶原蛋白：壳聚糖）可抑制金黄色葡萄球菌生长，分别产生 1.4 cm 和 1.0 cm 的抑制区，但对大肠杆菌没有效果。通过 MTT 测定使用 L929 成纤维细胞进行的细胞毒性评估表明，活性制剂的细胞活力约为 85% 和 70%，表明具有可接受的生物相容性。总体而言，所开发的纳米复合材料负载的纳米纤维显示出用于对抗革兰氏阳性菌引起的耐抗生素伤口感染的潜力。</w:t>
      </w:r>
    </w:p>
    <w:p>
      <w:pPr>
        <w:spacing w:before="120"/>
      </w:pPr>
      <w:r>
        <w:rPr>
          <w:rFonts w:ascii="Times New Roman" w:hAnsi="Times New Roman" w:eastAsia="宋体"/>
          <w:b/>
          <w:sz w:val="21"/>
        </w:rPr>
        <w:t>English Abstract:</w:t>
      </w:r>
    </w:p>
    <w:p>
      <w:r>
        <w:rPr>
          <w:rFonts w:ascii="Times New Roman" w:hAnsi="Times New Roman" w:eastAsia="宋体"/>
          <w:sz w:val="21"/>
        </w:rPr>
        <w:t>Antibiotic resistance, a growing global challenge, is predicted to cause millions of deaths in the near future. Innovative antibacterial wound dressings loaded with natural substances that have restorative effects can serve as alternatives conventional medicine. This research aims to investigate the antibacterial properties of electrospun nanofibers containing different proportions of chitosan, collagen, and hyaluronic acid-silver nanocomposite. Silver nanoparticles (Ag NPs) were synthesized via a green, solvent‑free method, with hyaluronic acid (HA) obtained from recombinant Corynebacterium glutamicum fermentation serving as the natural reducing agent. with its production optimized using a full factorial design, resulting in a 26% yield increase under conditions of 10 g/L yeast extract, 20 g/L soy protein, and 400 mg/L MgSO₄. The purity of HA obtained from microbial fermentation was measured by Fourier-Transform Infrared spectroscopy. Silver nitrate concentrations of 0.01, 0.1, and 1 M were considered to synthesize nanoparticle precursors. Spectrophotometry and Dynamic Light Scattering analyses showed that 0.1 M AgNO3 produced nanoparticles with an average size of 98.5 nm. Scanning Electron Microscopy revealed that the nanofibers had a coherent and uniform structure. Antibacterial activity was evaluated against Escherichia coli and Staphylococcus aureus. Nanofibers with 1:1:1 and 0.5:1:1 ratios (HA-Ag: collagen: chitosan) inhibited S. aureus growth, producing inhibition zones of 1.4 cm and 1.0 cm, respectively, but showed no effect against E. coli. Cytotoxicity assessment using L929 fibroblast cells through MTT assay indicated cell viabilities of approximately 85% and 70% for the active formulations, suggesting acceptable biocompatibility. Overall, the developed nanocomposite-loaded nanofibers show potential for application against antibiotic-resistant wound infections caused by Gram-positive bacteria.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Ziziphora clinopodioides Lam 的综合植物化学、解剖学和生物学评价。 （唇形科），用作土耳其的传统茶</w:t>
      </w:r>
    </w:p>
    <w:p>
      <w:r>
        <w:rPr>
          <w:rFonts w:ascii="Times New Roman" w:hAnsi="Times New Roman" w:eastAsia="宋体"/>
          <w:b/>
          <w:color w:val="003264"/>
          <w:sz w:val="24"/>
        </w:rPr>
        <w:t>Comprehensive phytochemical, anatomical and biological evaluation of Ziziphora clinopodioides Lam. (Lamiaceae), used as a traditional tea from Türkiye</w:t>
      </w:r>
    </w:p>
    <w:p>
      <w:r>
        <w:rPr>
          <w:rFonts w:ascii="Times New Roman" w:hAnsi="Times New Roman" w:eastAsia="宋体"/>
          <w:sz w:val="21"/>
        </w:rPr>
        <w:t>作者: Ömer Çeçen</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https://doi.org/10.1038/s41598-026-39578-1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 Ziziphora clinopodioides Lam 进行了全面调查。来自土耳其的唇形科植物，重点关注其植物化学成分、生物活性以及与其作为功能性食品成分潜力相关的解剖特征。根据植物材料的干重计算，甲醇和水提取的产率分别为 28.09% 和 30.91%。精油分析确定了 98.3% 的总成分，其中含氧单萜，特别是 1,8-桉树脑 (28.2%)、萜品烯-4-醇 (12.0%) 和胡薄荷酮 (7.9%) 为主要成分。酶抑制测定显示，根据测试样品浓度计算，精油对 α-淀粉酶的抑制率为 29.3%，甲醇提取物对胆碱酯酶的抑制率为中度；然而，所有活性均低于参考药物的活性。形态分析证实该植物是一种席状多年生植物，具有浓密的多毛和头状花序。叶子解剖结构显示出双生、双面结构，具有不同的毛状体类型和组织良好的维管系统。茎解剖结构呈现四边形结构，具有不同的腺毛和非腺毛、发达的厚角组织和明显的内皮层。这项研究的结果可以揭示 Z. clinopodioides 的药用价值，并为其在各种食品或治疗应用中的使用开辟新的可能性。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provides a comprehensive investigation of Ziziphora clinopodioides Lam. (Lamiaceae) from Türkiye, focusing on its phytochemical composition, biological activities, and anatomical characteristics relevant to its potential as a functional food ingredient. Methanol and aqueous extractions yielded 28.09% and 30.91%, respectively, calculated based on the dry weight of the plant material. Essential oil analysis identified 98.3% of the total composition, with oxygenated monoterpenes, particularly 1,8-cineole (28.2%), terpinen-4-ol (12.0%), and pulegone (7.9%), as dominant constituents. Enzyme inhibition assays revealed α-amylase inhibition of 29.3% by the essential oil, calculated based on the tested sample concentration, and moderate cholinesterase inhibition by the methanolic extract; however, all activities were lower than those of the reference drugs. Morphological analysis confirmed the plant as a mat-forming perennial with dense hirsuteness and capitate inflorescences. Leaf anatomy showed amphistomatic, bifacial structure with diverse trichome types and a well-organized vascular system. The stem anatomy exhibited a quadrangular structure with varied glandular and non-glandular trichomes, developed collenchyma, and a distinct endodermis. The findings of this research could shed light on the medicinal value of Z. clinopodioides , and open up new possibilities for its use in various food products or therapeutic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探索基因表达作为暴露于农药的伽马的亚致死终点：来自下一代测序的见解</w:t>
      </w:r>
    </w:p>
    <w:p>
      <w:r>
        <w:rPr>
          <w:rFonts w:ascii="Times New Roman" w:hAnsi="Times New Roman" w:eastAsia="宋体"/>
          <w:b/>
          <w:color w:val="003264"/>
          <w:sz w:val="24"/>
        </w:rPr>
        <w:t>Exploring gene expression as a sublethal endpoint in gammarids exposed to pesticides: insights from next-generation sequencing</w:t>
      </w:r>
    </w:p>
    <w:p>
      <w:r>
        <w:rPr>
          <w:rFonts w:ascii="Times New Roman" w:hAnsi="Times New Roman" w:eastAsia="宋体"/>
          <w:sz w:val="21"/>
        </w:rPr>
        <w:t>作者: Dominik Züger, Boris Kolvenbach, Timm Hettich, Miriam Langer, Verena Christen</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https://doi.org/10.1038/s41598-026-38052-2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表水中经常检测到农药残留，其中几种化合物已知会对水生生物产生不利影响。由于其高敏感性及其在淡水生态系统中的核心生态作用，伽马科动物是特别适合评估此类污染物的亚致死影响的指示生物。虽然行为终点和进食率通常用于评估亚致死农药效应，但基因表达变化相对较少受到关注，尽管它们在其他生态毒理学背景下已被证明具有价值。本研究调查了基因表达作为从自然种群中收集的伽马病毒中敏感的亚致死终点的潜力。使用模型农药嘧菌酯和啶虫脒进行了实验室暴露实验，这两种农药经常在地表水中检测到。从野外收集的伽马科动物在受控条件下暴露于亚致死浓度的测试物质。随后，进行 RNA 测序 (RNA-seq) 来表征全基因组转录反应。进行了两次独立的暴露和测序实验，当将暴露的动物与对照进行比较时，每个实验鉴定出 145 和 326 个差异表达的转录本。基因本体 (GO) 术语富集分析揭示了对代谢过程、细胞增殖和细胞分化的显着影响。值得注意的是，这两个实验运行产生了不同的转录谱，尽管使用来自同一群体的伽马并且实验之间的间隔很短（12天），但差异表达转录本的重叠最小。该研究证明了转录组分析在检测现场采集的伽马射线中亚致死农药效应的适用性，并为评估非模式生物中的 RNA-seq 数据提供了实用的工作流程。与此同时，它强调了重要的局限性，包括野生种群内的高遗传变异性和不完整的转录组注释，这些共同导致了重复实验的不一致。</w:t>
      </w:r>
    </w:p>
    <w:p>
      <w:pPr>
        <w:spacing w:before="120"/>
      </w:pPr>
      <w:r>
        <w:rPr>
          <w:rFonts w:ascii="Times New Roman" w:hAnsi="Times New Roman" w:eastAsia="宋体"/>
          <w:b/>
          <w:sz w:val="21"/>
        </w:rPr>
        <w:t>English Abstract:</w:t>
      </w:r>
    </w:p>
    <w:p>
      <w:r>
        <w:rPr>
          <w:rFonts w:ascii="Times New Roman" w:hAnsi="Times New Roman" w:eastAsia="宋体"/>
          <w:sz w:val="21"/>
        </w:rPr>
        <w:t>Pesticide residues are frequently detected in surface waters, with several compounds known to adversely affect aquatic organisms. Gammarids are particularly suitable indicator organisms for assessing the sublethal effects of such contaminants due to their high sensitivity and their central ecological role in freshwater ecosystems. While behavioral endpoints and feeding rates have been commonly used to evaluate sublethal pesticide effects, gene expression changes have received comparatively little attention, despite their proven value in other ecotoxicological contexts. This study investigates the potential of gene expression as a sensitive sublethal endpoint in gammarids collected from natural populations. A laboratory exposure experiment was conducted using the model pesticides azoxystrobin and acetamiprid, both of which are regularly detected in surface waters. Gammarids collected from the wild were exposed under controlled conditions to sublethal concentrations of the test substances. Subsequently, RNA sequencing (RNA-seq) was performed to characterize genome-wide transcriptional responses. Two independent exposure and sequencing experiments were carried out, resulting in the identification of 145 and 326 differentially expressed transcripts per experiment when comparing exposed animals to controls. Gene ontology (GO) term enrichment analyses revealed significant effects on metabolic processes, cell proliferation, and cell differentiation. Notably, the two experimental runs yielded distinct transcriptional profiles, with minimal overlap in differentially expressed transcripts despite the use of gammarids from the same population and the short interval (12 days) between experiments. The study demonstrates the applicability of transcriptomic analyses for detecting sublethal pesticide effects in field-collected gammarids and provides a practical workflow for the evaluation of RNA-seq data in non-model organisms. At the same time, it highlights important limitations, including high genetic variability within wild populations and incomplete transcriptome annotation, which together contribute to inconsistencies across repeated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哈茨木霉和巴西固氮螺菌对缺水灌溉下番茄生长、果实品质、产量和水分生产率的影响</w:t>
      </w:r>
    </w:p>
    <w:p>
      <w:r>
        <w:rPr>
          <w:rFonts w:ascii="Times New Roman" w:hAnsi="Times New Roman" w:eastAsia="宋体"/>
          <w:b/>
          <w:color w:val="003264"/>
          <w:sz w:val="24"/>
        </w:rPr>
        <w:t>Effects of Trichoderma harzianum and Azospirillum brasilense on tomato growth, fruit quality, yield, and water productivity under deficit irrigation</w:t>
      </w:r>
    </w:p>
    <w:p>
      <w:r>
        <w:rPr>
          <w:rFonts w:ascii="Times New Roman" w:hAnsi="Times New Roman" w:eastAsia="宋体"/>
          <w:sz w:val="21"/>
        </w:rPr>
        <w:t>作者: Ayoub Ghorbani Dehkordi, Kambiz Mashayekhi, Seyyed Javad Mousavizadeh, Kamran Rahnama</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https://doi.org/10.1038/s41598-026-39498-0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评估了哈茨木霉和巴西固氮螺菌对番茄植株生理生化变化的影响。本研究旨在确定在不同灌溉制度下，微生物接种哈茨木霉和巴西木霉是否可以缓解缺水胁迫并改善番茄生长、产量和作物水分生产率。灌溉方式分为四个级别：不灌溉、50%、75%和100%需水量（WR），并在四个处理中施用生物肥料：对照、木霉、固氮螺菌和木霉+固氮螺菌。该实验采用因子设计进行，灌溉制度和生物肥料处理的影响对于大多数测量的性状具有统计显着性。结果表明，在 100% WR 结合施用生物肥料（特别是木霉）的情况下，观察到最高的鲜根和干根重量以及叶面积。此外，在 100% WR 的生物肥料下，叶绿素含量更高。相比之下，在不灌溉条件下，叶子中类胡萝卜素（22％）、花青素（18％）、葡萄糖（79％）、蔗糖（96％）和总糖（121％）的含量最高。相反，对果实特性的评估表明，在100%WR结合施用生物肥料（尤其是木霉）下，鲜果重、干果重、鲜果产量和Wp达到最高。固氮螺菌处理以及木霉与固氮螺菌的组合在 100% WR 下实现了果实硬度、总可溶性固形物和花青素的最低水平。此外，木霉处理在 75% WR 条件下能够实现与对照处理在 100% WR 条件下相似的性能。总体而言，结果表明，木霉接种在不同灌溉方式下改善番茄生理性能和水生产率方面发挥着关键作用，对可持续水管理具有潜在影响。</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evaluated tomato plants’ physiological and biochemical changes influenced by the Trichoderma harzianum and the Azospirillum brasilense . This study aimed to determine whether microbial inoculation with T. harzianum and A. brasilense can mitigate water-deficit stress and improve tomato growth, yield, and crop water productivity under different irrigation regimes. The irrigation regime was applied at four levels: no irrigation, 50%, 75%, and 100% of the water requirement (WR), and biological fertilizer was applied in four treatments: control, Trichoderma, Azospirillum, and Trichoderma + Azospirillum. The experiment was conducted as a factorial design, and the effects of irrigation regime and biological fertilizer treatments were statistically significant for most measured traits. The results demonstrated that the highest fresh and dry root weights and leaf area, were observed under the 100% WR combined with the application of biological fertilizers, particularly Trichoderma . Additionally, chlorophyll content was higher under a 100% WR with biological fertilizers. In contrast, The highest contents of carotenoids (22%), anthocyanins (18%), glucose (79%), sucrose (96%), and total sugars (121%) in leaves were observed under no-irrigation conditions. Conversely, the assessment of fruit characteristics revealed that the highest fresh and dry fruit weights, fresh fruit yield and Wp were achieved under the 100% WR combined with applying biological fertilizers, particularly Trichoderma . Azospirillum treatment and combining Trichoderma with Azospirillum achieved the lowest levels of fruit firmness, total soluble solids, and anthocyanin in fruits under a 100% WR. Moreover, the Trichoderma treatment was able to achieve similar performance under 75% WR conditions as the control treatment under 100% WR. Overall, the results indicate that Trichoderma inoculation plays a key role in improving tomato physiological performance and water productivity under different irrigation regimes, with potential implications for sustainable water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同轴管真空管集热器太阳能空气采暖系统实验研究</w:t>
      </w:r>
    </w:p>
    <w:p>
      <w:r>
        <w:rPr>
          <w:rFonts w:ascii="Times New Roman" w:hAnsi="Times New Roman" w:eastAsia="宋体"/>
          <w:b/>
          <w:color w:val="003264"/>
          <w:sz w:val="24"/>
        </w:rPr>
        <w:t>Experimental investigation on solar air heating system using evacuated tube collector with coaxial tube</w:t>
      </w:r>
    </w:p>
    <w:p>
      <w:r>
        <w:rPr>
          <w:rFonts w:ascii="Times New Roman" w:hAnsi="Times New Roman" w:eastAsia="宋体"/>
          <w:sz w:val="21"/>
        </w:rPr>
        <w:t>作者: Venkatramanan Ravichandran, P. Manoj Kumar, Veerakumar Adaikalasamy, Dawit Tafesse Gebreyohannes</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https://doi.org/10.1038/s41598-026-39094-2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能是一种广泛使用、环保且可持续的方式，可以满足全球不断增长的能源需求。太阳能空气加热器用于各种太阳能应用，包括空间供暖、木材调味和农业干燥。目前的工作旨在通过在印度哥印拜陀的气候条件下改变空气的质量流量和同轴管的长度来评估具有同轴管的真空管太阳能空气加热器的性能。实验装置包括集管、20个真空管太阳能集热器和鼓风机。大气在强制对流下流过同轴低碳钢管。当我们以 50 kg/h 的速度运行时，1.5 m 同轴管将空气加热到最高 94 °C，实现了 26% 的有效热效率。与此同时，较短的 0.75 m 管在相同流量下达到 78 °C，但性能稍好，有效热效率为 28%。结论是，出口空气温度很大程度上取决于流量、同轴管长度和太阳强度。该太阳能空气加热器达到的温度范围适用于中小型工业中的许多太阳能热应用。</w:t>
      </w:r>
    </w:p>
    <w:p>
      <w:pPr>
        <w:spacing w:before="120"/>
      </w:pPr>
      <w:r>
        <w:rPr>
          <w:rFonts w:ascii="Times New Roman" w:hAnsi="Times New Roman" w:eastAsia="宋体"/>
          <w:b/>
          <w:sz w:val="21"/>
        </w:rPr>
        <w:t>English Abstract:</w:t>
      </w:r>
    </w:p>
    <w:p>
      <w:r>
        <w:rPr>
          <w:rFonts w:ascii="Times New Roman" w:hAnsi="Times New Roman" w:eastAsia="宋体"/>
          <w:sz w:val="21"/>
        </w:rPr>
        <w:t>Solar energy is a widely accessible, eco-friendly, and sustainable way to fulfil the global expanding energy needs. Solar air heaters are used in a variety of solar energy applications, including space heating, timber seasoning, and agricultural drying. The present work aimed to evaluate the performance of an evacuated tube solar air heater with coaxial tube by varying the mass flow rate of air and length of the coaxial tube at climatic conditions of Coimbatore, India. The experimental setup comprises of header, 20 evacuated tube solar collector and blower. Atmospheric air made to flow through the coaxial mild steel tubes under forced convection. The 1.5 m coaxial tube heated air to a maximum of 94 °C when we ran it at 50 kg/h, achieving 26% effective thermal efficiency. Meanwhile, the shorter 0.75 m tube reached 78 °C at the same flow rate but performed slightly better with effective thermal efficiency of 28%. It is concluded that the outlet air temperature is strongly dependent on the flow rate, coaxial tube length and solar intensity. Temperature range attained by this solar air heater is suitable for many solar thermal applications in small and medium scale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年轻和老年患者特异性主动脉模型中磁性药物靶向的年龄依赖性效率</w:t>
      </w:r>
    </w:p>
    <w:p>
      <w:r>
        <w:rPr>
          <w:rFonts w:ascii="Times New Roman" w:hAnsi="Times New Roman" w:eastAsia="宋体"/>
          <w:b/>
          <w:color w:val="003264"/>
          <w:sz w:val="24"/>
        </w:rPr>
        <w:t>Age-dependent efficiency of magnetic drug targeting in young and old patient-specific aortic models</w:t>
      </w:r>
    </w:p>
    <w:p>
      <w:r>
        <w:rPr>
          <w:rFonts w:ascii="Times New Roman" w:hAnsi="Times New Roman" w:eastAsia="宋体"/>
          <w:sz w:val="21"/>
        </w:rPr>
        <w:t>作者: Seyed Behzad Hosseini, Wala Almosawy, Rasoul Karimi Takrami, Negar Abdi, Saman Aminian</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https://doi.org/10.1038/s41598-026-39486-4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药物靶向（MDT）为改善血管疾病的治疗提供了一种非侵入性的局部方法，但其效率受到与年龄相关的血流动力学变化的强烈影响。在这项研究中，采用计算框架来比较从临床成像重建的年轻和老年患者特异性主动脉模型中的 MDT 性能。使用非牛顿 Carreau、幂律和 Casson-Papanastasiou 流变学对血液进行建模，同时在 0.5 至 1.5 T 的外部磁场下模拟纳米颗粒的运动。在所有流变模型中，捕获效率 (CE) 随着颗粒尺寸和磁场强度的增加而增加。重要的是，老年患者始终表现出比年轻患者略高的CE，这是由流速降低、主动脉腔扩大和壁剪切应力降低驱动的，这些因素共同延长了纳米颗粒的停留时间并减少了与磁捕获相反的流体动力阻力。例如，在使用 Carreau 模型的 1.5 T 场下，年轻患者和老年患者中 1000 nm 粒子的 CE 均达到 8.7%，但在中等强度（0.5-1.25 T）下，老年患者表现出更高的 CE（例如，0.5 T 时为 2.4% 与 2.1%，1.25 T 时为 7.3% 与 6.6%）。相对于非牛顿模型，牛顿流变学始终高估 CE。所有施加的磁场强度均保持在临床可接受的安全阈值内，并且场定位与感兴趣的目标区域一致。这些发现表明，血管老化可增强现实血流动力学条件下磁泳药物捕获，并强调在患者特异性 MDT 策略中进行年龄感知优化的必要性。</w:t>
      </w:r>
    </w:p>
    <w:p>
      <w:pPr>
        <w:spacing w:before="120"/>
      </w:pPr>
      <w:r>
        <w:rPr>
          <w:rFonts w:ascii="Times New Roman" w:hAnsi="Times New Roman" w:eastAsia="宋体"/>
          <w:b/>
          <w:sz w:val="21"/>
        </w:rPr>
        <w:t>English Abstract:</w:t>
      </w:r>
    </w:p>
    <w:p>
      <w:r>
        <w:rPr>
          <w:rFonts w:ascii="Times New Roman" w:hAnsi="Times New Roman" w:eastAsia="宋体"/>
          <w:sz w:val="21"/>
        </w:rPr>
        <w:t>Magnetic drug targeting (MDT) offers a non-invasive and localized approach for improving therapeutic delivery in vascular diseases, but its efficiency is strongly affected by age-related hemodynamic changes. In this study, a computational framework was employed to compare MDT performance in young and old patient-specific aortic models reconstructed from clinical imaging. Blood was modeled using non-Newtonian Carreau, Power-law, and Casson-Papanastasiou rheologies, while nanoparticle motion was simulated under external magnetic fields ranging from 0.5 to 1.5 T. Across all rheological models, capture efficiency (CE) increased with particle size and magnetic field intensity. Importantly, older patients consistently exhibited slightly higher CE than younger patients, a trend driven by their reduced flow velocity, enlarged aortic lumen, and lower wall shear stress, which collectively prolonged nanoparticle residence time and reduced hydrodynamic drag opposing magnetic capture. For example, under a 1.5 T field using the Carreau model, CE reached 8.7% for 1000 nm particles in both young and old patients, but at intermediate intensities (0.5–1.25 T), older patients showed higher CE (e.g., 2.4% vs. 2.1% at 0.5 T, and 7.3% vs. 6.6% at 1.25 T). Newtonian rheology consistently over-predicted CE relative to non-Newtonian models. All applied magnetic field strengths remained within clinically acceptable safety thresholds, and field localization coincided with the target region of interest. These findings demonstrate that vascular aging enhances magnetophoretic drug capture under realistic hemodynamic conditions and underscore the need for age-aware optimization in patient-specific MDT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用于基于血浆 miR-155 的乳腺癌检测的电化学生物传感器的人工神经网络建模和优化</w:t>
      </w:r>
    </w:p>
    <w:p>
      <w:r>
        <w:rPr>
          <w:rFonts w:ascii="Times New Roman" w:hAnsi="Times New Roman" w:eastAsia="宋体"/>
          <w:b/>
          <w:color w:val="003264"/>
          <w:sz w:val="24"/>
        </w:rPr>
        <w:t>Artificial neural network modeling and optimization of an electrochemical biosensor for plasma miR-155-based breast cancer detection</w:t>
      </w:r>
    </w:p>
    <w:p>
      <w:r>
        <w:rPr>
          <w:rFonts w:ascii="Times New Roman" w:hAnsi="Times New Roman" w:eastAsia="宋体"/>
          <w:sz w:val="21"/>
        </w:rPr>
        <w:t>作者: Aydin Imani, Soleiman Hosseinpour, Mostafa Azimzadeh, Amar Salehi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https://doi.org/10.1038/s41598-026-36466-6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MicroRNA-155 (miR-155) 是一种临床上重要的生物标志物，涉及癌症进展、免疫调节和炎症性疾病，凸显了对灵敏且可靠的检测方法的需求。传统的生物传感器制造通常依赖于劳动密集型的试错优化，这延迟了实用诊断工具的开发。与之前大多数专注于从生物传感器信号预测分析物浓度的研究相比，这项工作开发了一个数据驱动的框架，用于对制造参数和生物传感器输出之间的非线性关系进行建模。人工神经网络 (ANN) 和自适应神经模糊推理系统 (ANFIS) 被提议对用于血浆 miR-155 检测的伏安生物传感器进行建模。使用包含生物传感器输出电流和六个制造参数的数据集。使用遗传算法（GA）确定最佳参数值。结果表明，ANN 方法优于 ANFIS，$$R^2$$ 值为 0.9845。检测探针浓度、检测探针孵育时间、MCH孵育时间、杂交时间、OB浓度和OB孵育时间的最佳制作参数分别为7.12 nM、85.22 min、6.54 min、118.02 min、0.12 mM和93.39 min，输出电流为223 nA。 ANN-GA 框架通过减少实验迭代，为生物传感器开发提供了实用且高效的策略，从而降低材料消耗并实现快速参数优化。这些发现表明，ANN 辅助优化可以加速经济高效、高性能生物传感器的开发，支持将其转化为临床诊断，以实现早期准确的 miR-155 检测。</w:t>
      </w:r>
    </w:p>
    <w:p>
      <w:pPr>
        <w:spacing w:before="120"/>
      </w:pPr>
      <w:r>
        <w:rPr>
          <w:rFonts w:ascii="Times New Roman" w:hAnsi="Times New Roman" w:eastAsia="宋体"/>
          <w:b/>
          <w:sz w:val="21"/>
        </w:rPr>
        <w:t>English Abstract:</w:t>
      </w:r>
    </w:p>
    <w:p>
      <w:r>
        <w:rPr>
          <w:rFonts w:ascii="Times New Roman" w:hAnsi="Times New Roman" w:eastAsia="宋体"/>
          <w:sz w:val="21"/>
        </w:rPr>
        <w:t>MicroRNA-155 (miR-155) is a clinically important biomarker involved in cancer progression, immune regulation, and inflammatory diseases, highlighting the need for sensitive and reliable detection methods. Conventional biosensor fabrication often relies on labor-intensive trial-and-error optimization, which delays the development of practical diagnostic tools. In contrast to most previous studies that focus on predicting analyte concentration from biosensor signals, this work develops a data-driven framework for modeling the nonlinear relationships between fabrication parameters and biosensor output. Artificial neural networks (ANN) and adaptive neuro-fuzzy inference systems (ANFIS) were proposed to model a voltammetric biosensor for plasma miR-155 detection. A dataset containing the biosensor output current and six fabrication parameters was used. The optimal parameter values were determined using a genetic algorithm (GA). The results show that the ANN approach outperforms ANFIS, achieving an $$R^2$$ value of 0.9845. The optimal fabrication parameters were 7.12 nM, 85.22 min, 6.54 min, 118.02 min, 0.12 mM, and 93.39 min for detection probe concentration, detection probe incubation time, MCH incubation time, hybridization time, OB concentration, and OB incubation time, respectively, resulting in an output current of 223 nA. The ANN-GA framework offers a practical and efficient strategy for biosensor development by reducing experimental iterations, thereby lowering material consumption and enabling rapid parameter optimization. These findings demonstrate that ANN-assisted optimization can accelerate the development of cost-effective, high-performance biosensors, supporting their translation into clinical diagnostics for early and accurate miR-155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不同结构水中的光诱导质子转移：解决经典问题的 EPR 方法</w:t>
      </w:r>
    </w:p>
    <w:p>
      <w:r>
        <w:rPr>
          <w:rFonts w:ascii="Times New Roman" w:hAnsi="Times New Roman" w:eastAsia="宋体"/>
          <w:b/>
          <w:color w:val="003264"/>
          <w:sz w:val="24"/>
        </w:rPr>
        <w:t>Photoinduced proton transfer in differently structured water: an EPR approach to solving a classic problem</w:t>
      </w:r>
    </w:p>
    <w:p>
      <w:r>
        <w:rPr>
          <w:rFonts w:ascii="Times New Roman" w:hAnsi="Times New Roman" w:eastAsia="宋体"/>
          <w:sz w:val="21"/>
        </w:rPr>
        <w:t>作者: Antonio Barbon, Anton Savitsky, Igor A. Grigoriev, Vladimir A. Reznikov, Igor A. Kirilyuk, Sofya Lushchekina, Ilia B. Moroz, Tamar Eliash, Noga Friedman, Mordehai Sheves, Raanan Carmieli, Lev Weiner</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https://doi.org/10.1038/s41598-026-38650-0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质子转移（PT）的机制以及它如何受水结构的影响，是许多化学和生物过程中的一个基本问题。 Grotthuss 在 200 多年前提出了水介质中 PT 的可能模型，该模型仍在积极研究和争论。在这项研究中，我们利用电子顺磁共振来研究水溶液中的 PT。我们提出的方法采用 pH 敏感的稳定硝酰基自由基，并利用 2-硝基苯甲醛的光解在亚纳秒时间尺度内产生质子。该方法用于研究经典离液化合物对 PT 的影响，在各种水溶液中进行研究，即 8 M 尿素、6 M 盐酸胍 (Gdn·HCl) 和氯化钾 (KCl)。我们的研究结果证实了对 PT 率的显着影响。例如，在 6 M Gdn·HCl 中，PT 发生速度比在水中慢 40 倍。该方法对水结构的敏感性得到了证明，突出了其监测冰和蛋白质中 PT 动力学的潜力。</w:t>
      </w:r>
    </w:p>
    <w:p>
      <w:pPr>
        <w:spacing w:before="120"/>
      </w:pPr>
      <w:r>
        <w:rPr>
          <w:rFonts w:ascii="Times New Roman" w:hAnsi="Times New Roman" w:eastAsia="宋体"/>
          <w:b/>
          <w:sz w:val="21"/>
        </w:rPr>
        <w:t>English Abstract:</w:t>
      </w:r>
    </w:p>
    <w:p>
      <w:r>
        <w:rPr>
          <w:rFonts w:ascii="Times New Roman" w:hAnsi="Times New Roman" w:eastAsia="宋体"/>
          <w:sz w:val="21"/>
        </w:rPr>
        <w:t>The mechanism of proton transfer (PT), and how it is affected by water structure, is a fundamental issue in numerous chemical and biological processes. Formulated more than 200 years ago, a possible model for PT in aqueous media was proposed by Grotthuss, which continues to be actively studied and debated. In this study, we exploit electron paramagnetic resonance to investigate PT in aqueous solutions. Our proposed method employs pH-sensitive stable nitroxyl radicals and makes use of photolysis of 2-nitrobenzaldehyde to generate protons in the sub-nanosecond timescale. This approach was used to study the impact of classical chaotropic compounds on PT as studied in various aqueous solutions, i.e. 8 M urea, 6 M guanidine hydrochloride (Gdn·HCl), and potassium chloride (KCl). Our findings confirm significant impacts on PT rates. For instance, in 6 M Gdn·HCl, PT occurred 40-fold slower than in water. The method’s sensitivity to water structure is demonstrated, highlighting its potential for monitoring the kinetics of PT in ice and in proteins.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用于放射生物学模拟的间期细胞核的聚合物物理模型</w:t>
      </w:r>
    </w:p>
    <w:p>
      <w:r>
        <w:rPr>
          <w:rFonts w:ascii="Times New Roman" w:hAnsi="Times New Roman" w:eastAsia="宋体"/>
          <w:b/>
          <w:color w:val="003264"/>
          <w:sz w:val="24"/>
        </w:rPr>
        <w:t>A polymer physics model of the interphase cell nucleus for radiobiological simulations</w:t>
      </w:r>
    </w:p>
    <w:p>
      <w:r>
        <w:rPr>
          <w:rFonts w:ascii="Times New Roman" w:hAnsi="Times New Roman" w:eastAsia="宋体"/>
          <w:sz w:val="21"/>
        </w:rPr>
        <w:t>作者: Man Zhao, Guomin Huang, Zi Xu, Xiaoyan Huang, Ying Liang</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https://doi.org/10.1038/s41598-026-39234-8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超分辨率成像和高通量染色体构象捕获（Hi-C）技术实现的染色质结构的进步仍有待整合到放射生物学的建模框架中。在这项研究中，通过聚合物物理原理描述了间期细胞核中染色体和染色质的相互作用。为了克服高昂的计算成本，采用多阶段松弛策略来解耦不同结构级别的松弛过程。采用距离相关的 DNA 末端重新连接模型和基于图论的连通分量分析算法来模拟染色体畸变。选择暴露于 γ 射线和 α 粒子的人类皮肤成纤维细胞染色体畸变的实验测量来衡量性能。该模型有效地再现了 3D 染色质结构，包括染色体区域和子区室、染色质结构域和环。预测的接触图和接触概率与 Hi-C 测量结果一致。模型预测的双着丝粒、间质缺失和总像差与 γ 射线和 α 粒子的实验数据一致，误差在 20% 以内，与之前的报告相比，显示出显着的改进。所提出的基于聚合物物理的模型将结构生物学和放射生物学模拟联系起来，展示了准确预测 DNA 损伤和染色体畸变的强大潜力。未来的改进将整合时空修复动力学和全基因组测序数据，以增强高 LET 放射生物学效应预测。</w:t>
      </w:r>
    </w:p>
    <w:p>
      <w:pPr>
        <w:spacing w:before="120"/>
      </w:pPr>
      <w:r>
        <w:rPr>
          <w:rFonts w:ascii="Times New Roman" w:hAnsi="Times New Roman" w:eastAsia="宋体"/>
          <w:b/>
          <w:sz w:val="21"/>
        </w:rPr>
        <w:t>English Abstract:</w:t>
      </w:r>
    </w:p>
    <w:p>
      <w:r>
        <w:rPr>
          <w:rFonts w:ascii="Times New Roman" w:hAnsi="Times New Roman" w:eastAsia="宋体"/>
          <w:sz w:val="21"/>
        </w:rPr>
        <w:t>Advances in chromatin architectures achieved through super-resolution imaging and high-throughput chromosome conformation capture (Hi-C) techniques remain to be integrated into the modeling framework of radiobiology. In this study, the chromosomal and chromatin interactions in an interphase cell nucleus were described by polymer physics principles. To overcome the prohibitive computational cost, a multi-stage relaxation strategy was employed to decouple the relaxation processes of different structural levels. A distance-dependent DNA end rejoining model and a graph theory-based connected component analysis algorithm were implemented to simulate chromosome aberrations. Experimental measurements of chromosome aberrations in human skin fibroblasts exposed to both γ-rays and α particles were selected to benchmark the performance. The model efficiently reproduced 3D chromatin architectures, including chromosome territories and subcompartments, chromatin domains and loops. The predicted contact map and contact probability were consistent with Hi-C measurements. Model predicted dicentrics, interstitial deletions, and total aberrations aligned with experimental data within 20% for γ-rays and α particles, showing substantial improvement over previous reports. The proposed polymer physics-based model bridges structural biology and radiobiological simulations, demonstrating strong potential for accurate prediction of DNA damage and chromosome aberrations. Future refinements will integrate spatio-temporal repair dynamics and whole-genome sequencing data to enhance high-LET radiobiological effect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HIV 感染者对芬太尼使用的单细胞 RNA 转录组反应</w:t>
      </w:r>
    </w:p>
    <w:p>
      <w:r>
        <w:rPr>
          <w:rFonts w:ascii="Times New Roman" w:hAnsi="Times New Roman" w:eastAsia="宋体"/>
          <w:b/>
          <w:color w:val="003264"/>
          <w:sz w:val="24"/>
        </w:rPr>
        <w:t>Single cell RNA transcriptome response to fentanyl use in persons with HIV infection</w:t>
      </w:r>
    </w:p>
    <w:p>
      <w:r>
        <w:rPr>
          <w:rFonts w:ascii="Times New Roman" w:hAnsi="Times New Roman" w:eastAsia="宋体"/>
          <w:sz w:val="21"/>
        </w:rPr>
        <w:t>作者: Krishna M. Roskin, Heidi L. Meeds, Janani Madhuravasal Krishnan, Matthew Juhascik, John M. Cafardi, Jennifer L. Brown, Caroline Freiermuth, Michael S. Lyons, Kenneth E. Sherman, Jason T. Blackard</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https://doi.org/10.1038/s41598-026-38854-4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美国正在经历一场严重的毒品流行，很大程度上归因于包括芬太尼在内的合成阿片类药物。我们考虑了艾滋病毒感染者非法使用芬太尼如何影响外周血中的基因表达谱。从 10 名诊断为阿片类药物使用障碍 (OUD) 的 HIV 阳性成人和 7 名使用非阿片类药物的 HIV 阳性对照患者中采集全血。 OUD+ 组的平均 HIV 病毒载量较高，但这种差异未达到统计学显着性（2.44 对比 1.00 log10 拷贝/mL；p = 0.12；双样本 T 检验）。通过单细胞 RNAseq 评估了 216,641 个细胞。除 NK 细胞外，阿片类药物状态的细胞频率没有差异（阿片类药物使用较低；p = 0.0045）。对于 CD4+ T 淋巴细胞，阿片类药物阳性者中有 10 个差异表达基因 (DEG) 较高，8 个较低。在 CD8+ T 淋巴细胞中，阿片类药物阳性研究参与者有 15 个较高 DEG 和 13 个较低 DEG。在单核细胞中，阿片类药物阳性参与者的 72 DEG 较高，37 DEG 较低。在 B 淋巴细胞中，阿片类药物阳性参与者与阿片类药物阴性参与者相比，17 个 DEG 较高，10 个 DEG 较低。这些发现强调了阿片类药物的使用可能导致艾滋病毒发病机制的多种途径。对艾滋病毒、阿片类药物和宿主细胞之间相互作用的严格表征可以改善临床管理范式，促进合理的公共卫生政策，并揭示新的针对特定目标的治疗干预措施的其他途径。</w:t>
      </w:r>
    </w:p>
    <w:p>
      <w:pPr>
        <w:spacing w:before="120"/>
      </w:pPr>
      <w:r>
        <w:rPr>
          <w:rFonts w:ascii="Times New Roman" w:hAnsi="Times New Roman" w:eastAsia="宋体"/>
          <w:b/>
          <w:sz w:val="21"/>
        </w:rPr>
        <w:t>English Abstract:</w:t>
      </w:r>
    </w:p>
    <w:p>
      <w:r>
        <w:rPr>
          <w:rFonts w:ascii="Times New Roman" w:hAnsi="Times New Roman" w:eastAsia="宋体"/>
          <w:sz w:val="21"/>
        </w:rPr>
        <w:t>The US is experiencing a major drug epidemic largely attributed to synthetic opioids including fentanyl. We considered how illicit fentanyl use in persons living with HIV impacted gene expression profiles in the peripheral blood. Whole blood was collected from 10 HIV-positive adults with a diagnosis of opioid use disorder (OUD) and 7 HIV-positive non-opioid using controls. Mean HIV viral loads were higher for the OUD+ group, although this difference did not reach statistical significance (2.44 versus 1.00 log10 copies/mL; p = 0.12; two-sample T test). 216,641 cells were evaluated by single cell RNAseq. Cell frequencies were not different by opioid status except for NK cells (lower for opioid use; p = 0.0045). For CD4+ T lymphocytes, 10 differentially expressed genes (DEGs) were higher and 8 were lower in opioid-positive persons. In CD8+ T lymphocytes, there were 15 higher and 13 lower DEGs for opioid-positive study participants. In monocytes, 72 DEGs were higher and 37 DEGs were lower in opioid-positive participants. In B lymphocytes, 17 DEGs were higher and 10 were lower in opioid-positive versus opioid-negative participants. These findings highlight multiple pathways by which opioid use may contribute to HIV pathogenesis. Rigorous characterization of the interactions among HIV, opioids, and host cells can improve clinical management paradigms, facilitate rational public health policies, and reveal additional pathways for novel target-specific therapeutic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工作满意度作为一种催化机制，将知识能力和内在动机转化为高等教育中讲师的持续表现</w:t>
      </w:r>
    </w:p>
    <w:p>
      <w:r>
        <w:rPr>
          <w:rFonts w:ascii="Times New Roman" w:hAnsi="Times New Roman" w:eastAsia="宋体"/>
          <w:b/>
          <w:color w:val="003264"/>
          <w:sz w:val="24"/>
        </w:rPr>
        <w:t>Job satisfaction as a catalyst mechanism transforming knowledge competence and intrinsic motivation into sustained lecturer performance in higher education</w:t>
      </w:r>
    </w:p>
    <w:p>
      <w:r>
        <w:rPr>
          <w:rFonts w:ascii="Times New Roman" w:hAnsi="Times New Roman" w:eastAsia="宋体"/>
          <w:sz w:val="21"/>
        </w:rPr>
        <w:t>作者: Peirong He, Rajanikanth Aluvalu, Ghanshyam G. Tejani</w:t>
        <w:br/>
      </w:r>
      <w:r>
        <w:rPr>
          <w:rFonts w:ascii="Times New Roman" w:hAnsi="Times New Roman" w:eastAsia="宋体"/>
          <w:sz w:val="21"/>
        </w:rPr>
        <w:t xml:space="preserve">时间: 2026-02-09 | </w:t>
      </w:r>
      <w:r>
        <w:t xml:space="preserve">链接: </w:t>
      </w:r>
      <w:hyperlink r:id="rId47">
        <w:r>
          <w:rPr>
            <w:rFonts w:ascii="Times New Roman" w:hAnsi="Times New Roman" w:eastAsia="宋体"/>
            <w:color w:val="0000FF"/>
            <w:sz w:val="21"/>
            <w:u w:val="single"/>
          </w:rPr>
          <w:t>https://doi.org/10.1038/s41598-026-38488-6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不断增长的工作量要求、竞争和教学期望的变化，全球各地的大学都面临着保持讲师质量的越来越大的压力。尽管有足够多的文献探讨了工作满意度、知识能力和动机作为讲师绩效的独立预测因素，但仍未解决的关键差距包括这三个变量对长期卓越绩效的动态相互作用和总体催化影响。本文将通过假设并实证证实一个综合三重中介模型来填补这些空白，该模型将工作满意度置于内在动机和外显知识能力交互影响讲师绩效的中间。我们使用结构方程模型和偏最小二乘估计对三个私立高等教育国家的 468 名讲师的横截面数据进行了检验，以检验基于两条中介路径的两个假设，每一个假设都是：知识能力 → 工作满意度 → 绩效，以及内在动机 → 工作满意度 → 绩效。研究结果表明，工作满意度完全介导知识能力与绩效之间的相关性（β = 0.64，p &lt; 0.001），并部分介导内在动机与绩效的相关性（β = 0.58，p &lt; 0.001）。该模型显示出非常高的拟合指数（CFI = 0.96、RMSEA = 0.048、SRMR = 0.052），并且能够解释讲师表现变化的 71%。重要的是，交互分析表明，当高知识能力和高内在动机同时存在而不是彼此独立时，工作满意度的催化作用会因高知识能力和高内在动机而增强34倍，这意味着乘法而不是加法动力。这些结果为工作满意度作为将知识资源和动机转化为绩效结果的心理过程的关键作用提供了第一个实证支持，这在制度化干预措施中充当了可操作的信息，旨在根据以满意度为中心的人力资源政策实现可持续的讲师卓越。</w:t>
      </w:r>
    </w:p>
    <w:p>
      <w:pPr>
        <w:spacing w:before="120"/>
      </w:pPr>
      <w:r>
        <w:rPr>
          <w:rFonts w:ascii="Times New Roman" w:hAnsi="Times New Roman" w:eastAsia="宋体"/>
          <w:b/>
          <w:sz w:val="21"/>
        </w:rPr>
        <w:t>English Abstract:</w:t>
      </w:r>
    </w:p>
    <w:p>
      <w:r>
        <w:rPr>
          <w:rFonts w:ascii="Times New Roman" w:hAnsi="Times New Roman" w:eastAsia="宋体"/>
          <w:sz w:val="21"/>
        </w:rPr>
        <w:t>Universities around the globe are faced with the growing pressure of maintaining lecturer quality because of the growing workload requirements, competition, and changes in pedagogical expectations. Despite sufficient literature that has explored job satisfaction, knowledge competence and motivation as independent predictors of lecturer performance, the key gaps that remain unaddressed include dynamic interactions and overall catalytic influences of the three variables on long-term performance excellence. This paper will fill these gaps by hypothesizing and empirically confirming an integrative triple-mediation model that puts job satisfaction in the middle where intrinsic motivation and explicit knowledge competence interactively influence lecturer performance. We used structural equation modelling with partial least squares estimation of cross-sectional data of 468 lecturers in three countries of private higher education to test two hypotheses based on two mediating pathways, each one being: knowledge competence → job satisfaction → performance, and intrinsic motivation → job satisfaction → performance. Findings indicated that job satisfaction has been found to completely mediate the correlation between knowledge competence and performance (β = 0.64, p &lt; 0.001) and partially mediate the intrinsic motivation-performance correlation (β = 0.58, p &lt; 0.001). The model had shown very high fit indices (CFI = 0.96, RMSEA = 0.048, SRMR = 0.052) and it was able to account 71% of the variation in lecturer performance. Importantly, the interaction analysis revealed that job satisfaction has a catalyzing effect augmented by high knowledge competence and high intrinsic motivation by a factor of 34 when present simultaneously as opposed to independent of each other, which implies multiplicative and not additive dynamics. Such results offer the first empirical support on the key role of job satisfaction as the psychological process that converts knowledge resources and motivation to performance results, which act as actionable information in institutionalizing interventions aimed to achieve sustainable lecturer excellence in the light of satisfaction-focused human resource policies.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PCSA-Net：使用 CT 图像进行多类肾脏疾病诊断的金字塔通道和空间注意网络</w:t>
      </w:r>
    </w:p>
    <w:p>
      <w:r>
        <w:rPr>
          <w:rFonts w:ascii="Times New Roman" w:hAnsi="Times New Roman" w:eastAsia="宋体"/>
          <w:b/>
          <w:color w:val="003264"/>
          <w:sz w:val="24"/>
        </w:rPr>
        <w:t>PCSA-Net: pyramid channel and spatial attention network for multiclass renal disease diagnosis using CT images</w:t>
      </w:r>
    </w:p>
    <w:p>
      <w:r>
        <w:rPr>
          <w:rFonts w:ascii="Times New Roman" w:hAnsi="Times New Roman" w:eastAsia="宋体"/>
          <w:sz w:val="21"/>
        </w:rPr>
        <w:t>作者: Nahed Tawfik, Heba M. Emara, Walid El-Shafai, Naglaa F. Soliman, Abeer D. Algarni, Fathi E. Abd El-Samie</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https://doi.org/10.1038/s41598-025-12335-6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肾衰竭是一个紧迫的全球健康问题，而肾病专家的普遍短缺进一步加剧了这一问题，因此需要开发人工智能 (AI) 驱动的系统来自动诊断肾病。这项研究的重点是三种主要肾脏疾病的诊断：肾结石、肿瘤和囊肿。深度学习 (DL) 的最新进展凸显了注意力机制在增强卷积神经网络 (CNN) 性能方面的潜力，特别是在医学图像分析方面。在这种情况下，我们提出了一种称为金字塔通道和空间注意力（PCSA）的新方法，它依靠金字塔多尺度卷积通过提取空间和通道注意力权重来重建特征表示。这种双权重提取有助于多尺度上下文信息的精确集成，从而提高模型定位和聚焦医学图像中复杂区域的能力。 PCSA 模块被设计为即插即用组件，可以无缝集成到各种 CNN 主干架构中，以提高诊断准确性。为了验证其有效性，我们将 PCSA 模块合并到多个骨干网络中并评估其性能。实验结果表明，PCSA 增强的网络优于多种最先进的图像分类方法，在肾脏疾病分类方面实现了卓越的准确性。尽管目前的研究重点是三种特定的肾脏疾病，但 PCSA-Net 的模块化架构允许未来适应更广泛的肾脏病理。这些发现强调了所提出的 PCSA 模块在支持临床环境中自动化、准确和可扩展的肾脏疾病诊断方面的潜力。模块化设计还增强了模型对实际部署的适用性，从而能够集成到不同的诊断工作流程中。</w:t>
      </w:r>
    </w:p>
    <w:p>
      <w:pPr>
        <w:spacing w:before="120"/>
      </w:pPr>
      <w:r>
        <w:rPr>
          <w:rFonts w:ascii="Times New Roman" w:hAnsi="Times New Roman" w:eastAsia="宋体"/>
          <w:b/>
          <w:sz w:val="21"/>
        </w:rPr>
        <w:t>English Abstract:</w:t>
      </w:r>
    </w:p>
    <w:p>
      <w:r>
        <w:rPr>
          <w:rFonts w:ascii="Times New Roman" w:hAnsi="Times New Roman" w:eastAsia="宋体"/>
          <w:sz w:val="21"/>
        </w:rPr>
        <w:t>Kidney failure represents a pressing global health concern, further exacerbated by the widespread shortage of nephrologists, thereby necessitating the development of ِِِArtificial Intelligence (AI)-driven systems for automated renal disease diagnosis. This study focuses on the diagnosis of three major renal conditions: kidney stones, tumors, and cysts. Recent advancements in Deep Learning (DL) have highlighted the potential of attention mechanisms in enhancing the performance of Convolutional Neural Networks (CNNs), particularly in medical image analysis. In this context, we propose a novel method termed Pyramid Channel and Spatial Attention (PCSA), which depends on pyramidal multiscale convolution to reconstruct feature representations by extracting both spatial and channel attention weights. This dual-weight extraction facilitates the precise integration of multiscale contextual information, thereby improving the model capability to localize and focus on complex regions within medical images. The PCSA module is designed as a plug-and-play component that can be seamlessly integrated into various CNN backbone architectures to enhance diagnostic accuracy. To validate its effectiveness, we incorporate the PCSA module into several backbone networks and evaluate its performance. Experimental results demonstrate that PCSA-enhanced networks outperform multiple state-of-the-art image classification methods, achieving superior accuracy in renal disease classification. Although the current study focuses on three specific renal conditions, the modular architecture of PCSA-Net allows for future adaptation to a broader spectrum of renal pathologies. These findings underscore the potential of the proposed PCSA module to support automated, accurate, and scalable kidney disease diagnosis in clinical settings. The modular design also enhances the model suitability for real-world deployment, enabling integration into diverse diagnostic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 Syagrus romanzoffiana 纤维生物复合材料的钻孔性能：通过 RSM 和 ANN 建模最大限度地减少分层</w:t>
      </w:r>
    </w:p>
    <w:p>
      <w:r>
        <w:rPr>
          <w:rFonts w:ascii="Times New Roman" w:hAnsi="Times New Roman" w:eastAsia="宋体"/>
          <w:b/>
          <w:color w:val="003264"/>
          <w:sz w:val="24"/>
        </w:rPr>
        <w:t>Optimizing the drilling performance of Syagrus romanzoffiana fiber biocomposites: minimizing delamination with RSM and ANN modeling</w:t>
      </w:r>
    </w:p>
    <w:p>
      <w:r>
        <w:rPr>
          <w:rFonts w:ascii="Times New Roman" w:hAnsi="Times New Roman" w:eastAsia="宋体"/>
          <w:sz w:val="21"/>
        </w:rPr>
        <w:t>作者: Oussama Ferfari, Ahmed Belaadi, Prabu Krishnasamy, Djamel Ghernaout, Herbert Mukalazi</w:t>
        <w:br/>
      </w:r>
      <w:r>
        <w:rPr>
          <w:rFonts w:ascii="Times New Roman" w:hAnsi="Times New Roman" w:eastAsia="宋体"/>
          <w:sz w:val="21"/>
        </w:rPr>
        <w:t xml:space="preserve">时间: 2026-02-09 | </w:t>
      </w:r>
      <w:r>
        <w:t xml:space="preserve">链接: </w:t>
      </w:r>
      <w:hyperlink r:id="rId55">
        <w:r>
          <w:rPr>
            <w:rFonts w:ascii="Times New Roman" w:hAnsi="Times New Roman" w:eastAsia="宋体"/>
            <w:color w:val="0000FF"/>
            <w:sz w:val="21"/>
            <w:u w:val="single"/>
          </w:rPr>
          <w:t>https://doi.org/10.1038/s41598-026-38618-0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Syagrus romanzoffiana 纤维增强生物环氧生物复合材料的钻孔性能，重点是减少分层以更好地工业用途。对纤维含量为 30% 的手糊复合材料层压板进行了钻孔实验研究。该研究研究了各种因素——钻头类型（高速钢（HSS）和氮化钛涂层高速钢（HSS-TiN））、钻头直径（d，5-10毫米）、主轴转速（N，800-1600转/分钟）和进给速度（f，50-150毫米/分钟）——如何影响分层损坏，并通过数字图像分析通过分层系数（Fd）进行测量。 Fd 的预测模型是使用响应面方法 (RSM) 和人工神经网络 (ANN) 创建的。结果表明，ANN模型比二次RSM模型具有更高的预测精度（R2&gt;0.966，均方根误差（RMSE）&lt;0.032）。分析确定 f 是对分层影响最大的因素，其次是 d。此外，HSS-TiN 刀具的性能优于标准 HSS 钻头。使用意愿函数进行优化，在 f 为 50 mm/min、N 为 1419.49 rpm、d 为 10 mm 时，HSS-TiN 的最小 Fd 值为 1.02319，HSS 的最小 Fd 值为 1.03199。通过方差分析（p &lt; 0.0001）证实 RSM 模型具有统计显着性，这也揭示了 f 和 N 之间的显着相互作用。这些结果表明，在可比较的干钻条件下，该生物复合材料可实现的孔质量与碳纤维增强聚合物和玻璃纤维增​​强聚合物的孔质量相当或超过。这一证据支持了其在汽车、体育用品和非关键航空航天零部件等行业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drilling performance of Syagrus romanzoffiana fiber-reinforced bio-epoxy biocomposites, focusing on reducing delamination for better industrial use. An experimental investigation was conducted on drilling composite laminates made by hand lay-up with 30% fiber content. The research examined how various factors—drill bit type (high-speed steel (HSS) and HSS coated with titanium nitride (HSS-TiN)), drill diameter (d, 5–10 mm), spindle speed (N, 800–1600 rpm), and feed rate (f, 50–150 mm/min)—influenced delamination damage, measured by the delamination factor (Fd) through digital image analysis. Predictive models for Fd were created using Response Surface Methodology (RSM) and an Artificial Neural Network (ANN). Results showed that the ANN model had higher predictive accuracy (R2 &gt; 0.966, root mean square error (RMSE) &lt; 0.032) than the quadratic RSM model. The analysis identified f as the most influential factor on delamination, followed by d. Additionally, HSS-TiN tools outperformed standard HSS bits. Optimization using a desirability function produced minimum Fd values of 1.02319 for HSS-TiN and 1.03199 for HSS at an f of 50 mm/min, N of 1419.49 rpm, and d of 10 mm. The RSM model was confirmed to be statistically significant through analysis of variance (p &lt; 0.0001), which also revealed a notable interaction between f and N. These results indicate that the hole quality achievable in this biocomposite matches or surpasses that of carbon fiber-reinforced polymer and glass fiber-reinforced polymer under comparable dry drilling conditions. This evidence supports its potential for use in industries such as automotive, sporting goods, and non-critical aerospace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苯扎氯铵离子液体碳钢缓蚀剂的合成与评价</w:t>
      </w:r>
    </w:p>
    <w:p>
      <w:r>
        <w:rPr>
          <w:rFonts w:ascii="Times New Roman" w:hAnsi="Times New Roman" w:eastAsia="宋体"/>
          <w:b/>
          <w:color w:val="003264"/>
          <w:sz w:val="24"/>
        </w:rPr>
        <w:t>Synthesis and assessment of ionic liquid derived from benzalkonium chloride as corrosion inhibitor for carbon steel</w:t>
      </w:r>
    </w:p>
    <w:p>
      <w:r>
        <w:rPr>
          <w:rFonts w:ascii="Times New Roman" w:hAnsi="Times New Roman" w:eastAsia="宋体"/>
          <w:sz w:val="21"/>
        </w:rPr>
        <w:t>作者: Ashraf M. Ashmawy, Reda Abdel-Hameed, Odeh A. O. Alshammari, Maher I. Nessim, Modather F. Hussein, Abdalrahman G. Al-Gamal</w:t>
        <w:br/>
      </w:r>
      <w:r>
        <w:rPr>
          <w:rFonts w:ascii="Times New Roman" w:hAnsi="Times New Roman" w:eastAsia="宋体"/>
          <w:sz w:val="21"/>
        </w:rPr>
        <w:t xml:space="preserve">时间: 2026-02-09 | </w:t>
      </w:r>
      <w:r>
        <w:t xml:space="preserve">链接: </w:t>
      </w:r>
      <w:hyperlink r:id="rId56">
        <w:r>
          <w:rPr>
            <w:rFonts w:ascii="Times New Roman" w:hAnsi="Times New Roman" w:eastAsia="宋体"/>
            <w:color w:val="0000FF"/>
            <w:sz w:val="21"/>
            <w:u w:val="single"/>
          </w:rPr>
          <w:t>https://doi.org/10.1038/s41598-025-14549-0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腐蚀给材料行业带来了重大挑战，特别是当碳钢（C 钢）处于 1 M HCl 等高腐蚀性环境中时。在本研究中，使用光谱技术合成并表征了四种离子液体（IL）-1-苄基-1-甲基哌啶-1-氯化鎓（ILI）、1-苄基-2-甲基吡啶-1-氯化鎓（ILII）、1-苄基-3-甲基吡啶-1-氯化鎓（ILIII）和1-苄基-4-甲基吡啶-1-氯化鎓（ILIV），包括FT-IR 和 1HNMR。动电位极化 (PP)、电化学阻抗谱 (EIS) 和电化学调频 (EFM) 等电化学分析表明，碳钢在 1 M HCl 中具有优异的保护性能，在最佳浓度 100 ppm 时最大抑制率达到 97%。极化和阻抗分析的见解证实，这些化合物通过粘附在钢表面上而充当混合型抑制剂。吸附行为遵循 Langmuir 等温线模型，ΔG0 ads 值表明物理吸附和化学吸附的结合。量子化学评估验证了实验结果，表明ILII-ILIV由于具有两个芳香环，由于其HOMO-LUMO能隙减小而表现出优异的表面相互作用和抑制效率。这些发现证实了所测试的 IL 在酸性介质中具有强大的抑制潜力。</w:t>
      </w:r>
    </w:p>
    <w:p>
      <w:pPr>
        <w:spacing w:before="120"/>
      </w:pPr>
      <w:r>
        <w:rPr>
          <w:rFonts w:ascii="Times New Roman" w:hAnsi="Times New Roman" w:eastAsia="宋体"/>
          <w:b/>
          <w:sz w:val="21"/>
        </w:rPr>
        <w:t>English Abstract:</w:t>
      </w:r>
    </w:p>
    <w:p>
      <w:r>
        <w:rPr>
          <w:rFonts w:ascii="Times New Roman" w:hAnsi="Times New Roman" w:eastAsia="宋体"/>
          <w:sz w:val="21"/>
        </w:rPr>
        <w:t>Corrosion poses a significant challenge in the materials industry, especially when carbon steel (C-steel) is subjected to highly corrosive environments such as 1 M HCl. In this study, four ionic liquids (ILs)-1-benzyl-1-methylpiperidin-1-ium chloride (ILI), 1-benzyl-2-methylpyridin-1-ium chloride (ILII), 1-benzyl-3-methylpyridin-1-ium chloride (ILIII), and 1-benzyl-4-methylpyridin-1-ium chloride (ILIV) were synthesized and characterized using spectroscopic techniques, including FT-IR and 1HNMR. Electrochemical analyses such as potentiodynamic polarization (PP), electrochemical impedance spectroscopy (EIS), and electrochemical frequency modulation (EFM) demonstrated excellent protective performance for C-steel in 1 M HCl, reaching a maximum inhibition of 97% at an optimum concentration of 100 ppm. Insights from polarization and impedance analyses confirmed that these compounds act as mixed-type inhibitors by adhering to the steel surface. The adsorption behavior followed the Langmuir isotherm model, with ΔG0 ads values suggesting a combination of physisorption and chemisorption. Quantum chemical assessments validated the experimental results, indicating that ILII–ILIV, due to their two aromatic rings, exhibited superior surface interaction and inhibition efficiency because of their reduced HOMO-LUMO energy gaps. These findings affirm the strong inhibitory potential of the tested ILs in acidic media.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用于自适应旋转深度映射和衍射限制成像的毫秒级电切换超透镜</w:t>
      </w:r>
    </w:p>
    <w:p>
      <w:r>
        <w:rPr>
          <w:rFonts w:ascii="Times New Roman" w:hAnsi="Times New Roman" w:eastAsia="宋体"/>
          <w:b/>
          <w:color w:val="003264"/>
          <w:sz w:val="24"/>
        </w:rPr>
        <w:t>Millisecond-level electrically switchable metalens for adaptive rotational depth mapping and diffraction-limited imaging</w:t>
      </w:r>
    </w:p>
    <w:p>
      <w:r>
        <w:rPr>
          <w:rFonts w:ascii="Times New Roman" w:hAnsi="Times New Roman" w:eastAsia="宋体"/>
          <w:sz w:val="21"/>
        </w:rPr>
        <w:t>作者: Yeseul Kim, Jihae Lee, Won-Sik Kim, Hyeonsu Heo, Dongmin Jeon, Beomha Yang, Xiaotong Li, Harit Keawmuang, Shiqi Hu, Young-Ki Kim, Trevon Badloe, Junsuk Rho</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https://doi.org/10.29026/oea.2026.250216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我们展示了一种电可调双模超透镜，能够进行偏振敏感焦点控制，将高分辨率成像和深度传感功能结合到一个紧凑的设备中。通过将氢化非晶硅 (a-Si:H) 超原子与液晶 (LC) 调制器集成，所提出的超表面独立操纵左旋和右旋圆偏振 (LCP/RCP) 入射光，为 LCP 生成旋转双螺旋焦点分布，并为 RCP 照明生成扩展焦深 (DOF)。使用传播和几何相位对超原子进行了严格优化，实现了精确的相位控制和 635 nm 波长下的高透射率。实验表征证实了接近衍射极限的横向和轴向分辨率，与理论预测紧密一致。集成的 LC 单元有助于在深度敏感双螺旋和高分辨率 DOF 成像模式之间进行毫秒级偏振切换。我们通过分析混合偏振照明下双图像​​焦点的旋转角度进一步验证了深度提取能力。橡胶树叶、骨骼肌横截面和活涡虫的深度分辨成像检索了颜色编码的深度，证明了对复杂生物组织的有效性。因此，这种偏振驱动的电可调超透镜提供了一个多功能且有效的光学平台，适用于生物医学成像、三维传感、自适应光学和紧凑型成像系统中的高级应用。</w:t>
      </w:r>
    </w:p>
    <w:p>
      <w:pPr>
        <w:spacing w:before="120"/>
      </w:pPr>
      <w:r>
        <w:rPr>
          <w:rFonts w:ascii="Times New Roman" w:hAnsi="Times New Roman" w:eastAsia="宋体"/>
          <w:b/>
          <w:sz w:val="21"/>
        </w:rPr>
        <w:t>English Abstract:</w:t>
      </w:r>
    </w:p>
    <w:p>
      <w:r>
        <w:rPr>
          <w:rFonts w:ascii="Times New Roman" w:hAnsi="Times New Roman" w:eastAsia="宋体"/>
          <w:sz w:val="21"/>
        </w:rPr>
        <w:t>We demonstrate an electrically tunable dual-mode metalens capable of polarization-sensitive focal control, combining high-resolution imaging and depth-sensing functionalities into a single compact device. By integrating hydrogenated amorphous silicon ( a -Si:H) meta-atoms with a liquid crystal (LC) modulator, the proposed metasurface independently manipulates left- and right-circularly polarized (LCP/RCP) incident light, generating a rotating double-helix focal distribution for LCP and an extended depth-of-focus (DOF) for RCP illumination. The meta-atoms were rigorously optimized using propagation and geometric phases, enabling precise phase control and high transmittance at a wavelength of 635 nm. Experimental characterization confirmed near-diffraction-limited lateral and axial resolutions, closely aligning with theoretical predictions. The integrated LC cell facilitates milliseconds polarizationswitching between depth-sensitive double-helix and high-resolution DOF imaging modes. We further verified depth-extraction capabilities by analyzing rotation angles from dual-image focal spots under mixed-polarization illumination. Depth-resolved imaging of a rubber-tree leaf, a skeletal-muscle cross-section, and a live planarian retrieved color-coded depths, demonstrating the effectiveness on complex biological tissues. This polarization-driven, electrically tunable metalens thus provides a versatile and effective optical platform suitable for advanced applications in biomedical imaging, three-dimensional sensing, adaptive optics, and compact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基于1T'-MoTe 2 /2H-MoTe 2 范德华异质结构的超灵敏多波段红外偏振光电探测器</w:t>
      </w:r>
    </w:p>
    <w:p>
      <w:r>
        <w:rPr>
          <w:rFonts w:ascii="Times New Roman" w:hAnsi="Times New Roman" w:eastAsia="宋体"/>
          <w:b/>
          <w:color w:val="003264"/>
          <w:sz w:val="24"/>
        </w:rPr>
        <w:t>Ultra-sensitive multi-band infrared polarization photodetector based on 1T'-MoTe&lt;sub&gt;2&lt;/sub&gt;/2H-MoTe&lt;sub&gt;2&lt;/sub&gt; van der Waals heterostructure</w:t>
      </w:r>
    </w:p>
    <w:p>
      <w:r>
        <w:rPr>
          <w:rFonts w:ascii="Times New Roman" w:hAnsi="Times New Roman" w:eastAsia="宋体"/>
          <w:sz w:val="21"/>
        </w:rPr>
        <w:t>作者: Yuting Pan, Lidan Lu, Bofei Zhu, Chunhua An, Jing Yu, Guanghui Ren, Jian Zhen Ou, Mingli Dong, Zheng You, Lianqing Zhu</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https://doi.org/10.29026/oea.2026.250260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偏振光电探测器应用广泛，基于过渡金属二硫化物的范德华异质结构是器件研究和应用的重要平台。同系多晶型二维硫族化物是指化学组成相同但晶体结构不同的二维硫族化物。同源多晶型二维硫属化物由于其独特的带隙特性、激子效应和可控光电特性，在近红外探测中显示出巨大的潜力。本文研究了一种基于1T'-MoTe 2 /2H-MoTe 2 结构的近红外偏振光电探测器，其中半金属1T'-MoTe 2 因其低功函数和优异的电性能而引起人们的关注。 1T'-MoTe 2 和2H-MoTe 2 形成异质结后形成良好的带隙结构，提高载流子分离效率和光电响应。该器件在宽带区域（532-2200 nm）表现出优异的高灵敏度光电探测性能，例如在1310 nm激光下显着高响应率（3.06 A·W –1 ）、比探测率（3.2 × 10 9 Jones）、良好的外量子效率（289%）以及10.56 ms/6.26 ms的快速上升和衰减响应时间。此外，该器件还具有偏振检测能力，实现了20.1的高偏振灵敏度。该器件成功实现了从可见光到近红外光的成像，凸显了1T'-MoTe 2 /2H-MoTe 2 异质结作为偏振敏感探测器的潜力。</w:t>
      </w:r>
    </w:p>
    <w:p>
      <w:pPr>
        <w:spacing w:before="120"/>
      </w:pPr>
      <w:r>
        <w:rPr>
          <w:rFonts w:ascii="Times New Roman" w:hAnsi="Times New Roman" w:eastAsia="宋体"/>
          <w:b/>
          <w:sz w:val="21"/>
        </w:rPr>
        <w:t>English Abstract:</w:t>
      </w:r>
    </w:p>
    <w:p>
      <w:r>
        <w:rPr>
          <w:rFonts w:ascii="Times New Roman" w:hAnsi="Times New Roman" w:eastAsia="宋体"/>
          <w:sz w:val="21"/>
        </w:rPr>
        <w:t>Near infrared polarized photodetectors are widely used, and van der Waals heterostructures based on transition metal dichalcogenides are important platforms for device research and application. Homologous polymorphic two-dimensional chalcogenides refer to two-dimensional chalcogenides with the same chemical composition but different crystal structures. Homologous polymorphic two-dimensional chalcogenides have shown great potential in near-infrared detection due to their unique bandgap characteristics, exciton effects, and controllable optoelectronic properties. This paper studies a near-infrared polarized photodetector based on 1T'-MoTe 2 /2H-MoTe 2 structure, in which the semimetallic 1T'-MoTe 2 has attracted attention due to its low work function and excellent electrical performance. 1T'-MoTe 2 and 2H-MoTe 2 form a favorable bandgap structure after forming a heterojunction, which improves carrier separation efficiency and photoelectric response. This device exhibits excellent high-sensitivity optoelectronic detection performance in the wideband region (532–2200 nm), such as significant high responsivity (3.06 A·W –1 ) under 1310 nm laser, specific detectivity (3.2 × 10 9 Jones), good external quantum efficiency (289%), and fast rise and decay response times of 10.56 ms/6.26 ms. In addition, the device has polarization detection capability, achieving a high polarization sensitivity of 20.1. The device has successfully achieved imaging from visible light to near-infrared light, highlighting the potential of 1T'-MoTe 2 /2H-MoTe 2 heterojunction as a polarization sensitive detector.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具有同轴透镜对透镜小眼的可调谐复眼，用于协作双焦成像</w:t>
      </w:r>
    </w:p>
    <w:p>
      <w:r>
        <w:rPr>
          <w:rFonts w:ascii="Times New Roman" w:hAnsi="Times New Roman" w:eastAsia="宋体"/>
          <w:b/>
          <w:color w:val="003264"/>
          <w:sz w:val="24"/>
        </w:rPr>
        <w:t>Tunable compound eyes with coaxial lens-on-lens ommatidia for cooperative bi-focal imaging</w:t>
      </w:r>
    </w:p>
    <w:p>
      <w:r>
        <w:rPr>
          <w:rFonts w:ascii="Times New Roman" w:hAnsi="Times New Roman" w:eastAsia="宋体"/>
          <w:sz w:val="21"/>
        </w:rPr>
        <w:t>作者: Zhi-Juan Sun, Wei-Jian Zhong, Qing Cai, Yi-Fan Lu, Chang-Xu Li, Dong-Dong Han, Yong-Lai Zhang</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https://doi.org/10.29026/oea.2026.250197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复眼（CE）为开发人工微光学系统提供了独特的设计范例。然而，目前的仿生CE在性能方面仍明显低于昆虫同类，特别是在小眼空间排列、尺寸分布、视野适应性和环境感知方面。受 Sympetrum freques 的 CE 启发，我们通过将灵活的透镜叠加透镜 (LoL) 阵列与微流体集成，开发了一种具有双焦点小眼的可调谐仿生 CE，从而实现同时双焦点成像。聚二甲基硅氧烷 (PDMS) LoL 阵列是通过连续的处理步骤制造的，包括石英玻璃的飞秒激光双重改性、两步湿法蚀刻以及使用所得玻璃模板的软光刻。这种灵活的 LoL 阵列与微流控芯片的集成产生了具有双焦点小眼的可调 CE，允许对 CE 配置进行液压调制。我们系统地研究了 LoL 小眼和集成 CE 的光学性能，包括双焦聚焦/成像特性、可调视场 (FOV)、大 FOV 成像和运动目标监控。这种具有 LoL 小眼的可调 CE 展示了尖端应用的巨大潜力。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Compound eyes (CEs) offer a unique design paradigm for developing artificial micro-optical systems. However, current bionic CEs still fall significantly short of their insect counterparts in performance, particularly regarding ommatidial spatial arrangement, size distribution, visual field adaptability and environmental perception. Inspired by the CEs of Sympetrum frequens, we developed a tunable bionic CE with bi-focal ommatidia by integrating a flexible lens-on-lens (LoL) array with microfluidics, enabling simultaneous bi-focal imaging. The polydimethylsiloxane (PDMS) LoL array was fabricated through sequential processing steps, including femtosecond laser dual-modification of quartz glass, two-step wet etching, and soft lithography using the resulting glass template. Integration of this flexible LoL array with a microfluidic chip produced a tunable CE with bi-focal ommatidia, allowing liquid-pressure modulation of CE configurations. We systematically investigated the optical performance of both LoL ommatidia and the integrated CE, including bi-focal focusing/imaging properties, tunable field-of-view (FOV), large-FOV imaging, and moving target monitoring. This tunable CE with LoL ommatidia demonstrates significant potential for cutting-edge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用于太赫兹集成传感和成像的像素化 BIC 超表面</w:t>
      </w:r>
    </w:p>
    <w:p>
      <w:r>
        <w:rPr>
          <w:rFonts w:ascii="Times New Roman" w:hAnsi="Times New Roman" w:eastAsia="宋体"/>
          <w:b/>
          <w:color w:val="003264"/>
          <w:sz w:val="24"/>
        </w:rPr>
        <w:t>Pixelated BIC metasurfaces for terahertz integrated sensing and imaging</w:t>
      </w:r>
    </w:p>
    <w:p>
      <w:r>
        <w:rPr>
          <w:rFonts w:ascii="Times New Roman" w:hAnsi="Times New Roman" w:eastAsia="宋体"/>
          <w:sz w:val="21"/>
        </w:rPr>
        <w:t>作者: Zhanqiang Xue, Guizhen Xu, Junliang Chen, Junxing Fan, Hongyang Xing, Ye Zhou, Longqing Cong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太赫兹（THz）单像素成像依赖于涉及压缩传感的顺序过程，这需要空间调制器并且通常非常耗时。在这里，我们提出了一种新的太赫兹单像素成像方案，以像素化超表面的并行方式运行，并在标准太赫兹时域光谱系统中进行了演示。这种方法通过基于连续体 (BIC) 物理中的束缚态的多个窄线宽共振对空间信息进行编码，并且支持 BIC 的像素化超表面通过局部场增强促进近场分布式传感。我们在概念验证实验中使用 2×2 超表面阵列验证了这种集成成像和传感功能，并可扩展至更大的阵列。该方法通过单个太赫兹脉冲实现了 100% 的二元成像重建精度，并实现了灵敏度高于 14.39 GHz/RIU 的折射率传感。利用太赫兹辐射的固有穿透能力，该技术为下一代非侵入性应用（例如半导体芯片和药品的安全检查和缺陷检测）提供了巨大的前景。</w:t>
      </w:r>
    </w:p>
    <w:p>
      <w:pPr>
        <w:spacing w:before="120"/>
      </w:pPr>
      <w:r>
        <w:rPr>
          <w:rFonts w:ascii="Times New Roman" w:hAnsi="Times New Roman" w:eastAsia="宋体"/>
          <w:b/>
          <w:sz w:val="21"/>
        </w:rPr>
        <w:t>English Abstract:</w:t>
      </w:r>
    </w:p>
    <w:p>
      <w:r>
        <w:rPr>
          <w:rFonts w:ascii="Times New Roman" w:hAnsi="Times New Roman" w:eastAsia="宋体"/>
          <w:sz w:val="21"/>
        </w:rPr>
        <w:t>Conventional terahertz (THz) single-pixel imaging relies on a sequential process involving compressed sensing, which requires a spatial modulator and is often time-intensive. Here, we propose a new THz single-pixel imaging scheme operating in a parallelized fashion with a pixelated metasurface, demonstrated within a standard THz time-domain spectroscopy system. This approach encodes spatial information through multiple narrow linewidth resonances based on bound states in the continuum (BIC) physics, and the BIC-enabled pixelated metasurface facilitates the near-field distributed sensing through local field enhancement. We validate this integrated imaging and sensing capability using a 2×2 metasurface array in a proof-of-concept experiment, with scalability to larger arrays. The approach achieves 100% accuracy in binary imaging reconstruction from a single THz pulse and enables refractive index sensing with a sensitivity higher than 14.39 GHz/RIU. Leveraging the intrinsic penetration capability of THz radiation, this technique offers significant promise for next-generation noninvasive applications such as security inspection and defect detection in semiconductor chips and pharmaceutical products.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作为其中之一运行：用于多模态检索的基于 CLIP 的语义融合哈希</w:t>
      </w:r>
    </w:p>
    <w:p>
      <w:r>
        <w:rPr>
          <w:rFonts w:ascii="Times New Roman" w:hAnsi="Times New Roman" w:eastAsia="宋体"/>
          <w:b/>
          <w:color w:val="003264"/>
          <w:sz w:val="24"/>
        </w:rPr>
        <w:t>Run as one: CLIP-based semantic fusion hashing for multi-modal retrieval</w:t>
      </w:r>
    </w:p>
    <w:p>
      <w:r>
        <w:rPr>
          <w:rFonts w:ascii="Times New Roman" w:hAnsi="Times New Roman" w:eastAsia="宋体"/>
          <w:sz w:val="21"/>
        </w:rPr>
        <w:t>作者: Yanpu Zhao, Faming Gong, Chengze Du, Xiaofeng Ji, Dongxu Li, Xing Yan, Junjie Xu</w:t>
        <w:br/>
      </w:r>
      <w:r>
        <w:rPr>
          <w:rFonts w:ascii="Times New Roman" w:hAnsi="Times New Roman" w:eastAsia="宋体"/>
          <w:sz w:val="21"/>
        </w:rPr>
        <w:t xml:space="preserve">时间: 2026-02-01 | </w:t>
      </w:r>
      <w:r>
        <w:t xml:space="preserve">链接: </w:t>
      </w:r>
      <w:hyperlink r:id="rId35">
        <w:r>
          <w:rPr>
            <w:rFonts w:ascii="Times New Roman" w:hAnsi="Times New Roman" w:eastAsia="宋体"/>
            <w:color w:val="0000FF"/>
            <w:sz w:val="21"/>
            <w:u w:val="single"/>
          </w:rPr>
          <w:t>https://doi.org/10.1016/j.displa.2026.103383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结构光和运动学 MVPS 的协同集成用于动态镜面的 3D 测量</w:t>
      </w:r>
    </w:p>
    <w:p>
      <w:r>
        <w:rPr>
          <w:rFonts w:ascii="Times New Roman" w:hAnsi="Times New Roman" w:eastAsia="宋体"/>
          <w:b/>
          <w:color w:val="003264"/>
          <w:sz w:val="24"/>
        </w:rPr>
        <w:t>Synergistic Integration of Structured Light and Kinematic MVPS for 3D Measurement of Dynamic Specular Surfaces</w:t>
      </w:r>
    </w:p>
    <w:p>
      <w:r>
        <w:rPr>
          <w:rFonts w:ascii="Times New Roman" w:hAnsi="Times New Roman" w:eastAsia="宋体"/>
          <w:sz w:val="21"/>
        </w:rPr>
        <w:t>作者: Jiajun Song, Qinghui Zhang, Lei Lu, Chenxia Wan, Cheng Yuan</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使用一步 CVD 制造的 SnS/SnS 2 异质结构薄膜进行高性能光电检测</w:t>
      </w:r>
    </w:p>
    <w:p>
      <w:r>
        <w:rPr>
          <w:rFonts w:ascii="Times New Roman" w:hAnsi="Times New Roman" w:eastAsia="宋体"/>
          <w:b/>
          <w:color w:val="003264"/>
          <w:sz w:val="24"/>
        </w:rPr>
        <w:t>High-performance photodetection using one-step CVD-fabricated SnS/SnS 2 heterostructure film</w:t>
      </w:r>
    </w:p>
    <w:p>
      <w:r>
        <w:rPr>
          <w:rFonts w:ascii="Times New Roman" w:hAnsi="Times New Roman" w:eastAsia="宋体"/>
          <w:sz w:val="21"/>
        </w:rPr>
        <w:t>作者: Jiaxin Guo, Xinyu Li, Xiao Zhang, Sihan Liu, Xiaoning Guan, Pengfei Lu, Chengwei Gao, Ying Xie, Changgui Lin, Xiang Shen, Haohai Yu, Huaijin Zhang</w:t>
        <w:br/>
      </w:r>
      <w:r>
        <w:rPr>
          <w:rFonts w:ascii="Times New Roman" w:hAnsi="Times New Roman" w:eastAsia="宋体"/>
          <w:sz w:val="21"/>
        </w:rPr>
        <w:t xml:space="preserve">时间: 2026-01-26 | </w:t>
      </w:r>
      <w:r>
        <w:t xml:space="preserve">链接: </w:t>
      </w:r>
      <w:hyperlink r:id="rId37">
        <w:r>
          <w:rPr>
            <w:rFonts w:ascii="Times New Roman" w:hAnsi="Times New Roman" w:eastAsia="宋体"/>
            <w:color w:val="0000FF"/>
            <w:sz w:val="21"/>
            <w:u w:val="single"/>
          </w:rPr>
          <w:t>https://doi.org/10.1364/oe.587479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独特的能带结构和界面特性，二维异质结在光电应用中具有广阔的前景。然而，传统的制造技术存在界面污染、规模化生产困难和工艺控制差等问题，导致器件性能下降和不稳定。在这项工作中，我们开发了一种一步式原位化学气相沉积策略，用于控制合成高质量的 SnS/SnS 2 异质结构。这种方法利用固有的过程控制来实现干净的界面和可扩展的生产。所设计的Au-SnS/SnS 2 -Au三明治异质结构光电探测器由块状SnS和超薄SnS 2 组成，表现出主要的空间电荷限制电流机制。应用双向偏压后，光电流显示出超线性增加，这归因于有效的载流子管理行为。因此，该器件实现了优异的光响应：光响应率为119.1 mA/W，探测灵敏度为5.73 × 10 11 Jones，响应速度为16.8 ms。该研究不仅为合成高质量二维异质结提供了一条简便的途径，而且还通过有效的相互作用材料合成和器件物理展示了它们在高性能光电子学方面的巨大潜力。</w:t>
      </w:r>
    </w:p>
    <w:p>
      <w:pPr>
        <w:spacing w:before="120"/>
      </w:pPr>
      <w:r>
        <w:rPr>
          <w:rFonts w:ascii="Times New Roman" w:hAnsi="Times New Roman" w:eastAsia="宋体"/>
          <w:b/>
          <w:sz w:val="21"/>
        </w:rPr>
        <w:t>English Abstract:</w:t>
      </w:r>
    </w:p>
    <w:p>
      <w:r>
        <w:rPr>
          <w:rFonts w:ascii="Times New Roman" w:hAnsi="Times New Roman" w:eastAsia="宋体"/>
          <w:sz w:val="21"/>
        </w:rPr>
        <w:t>Two-dimensional heterojunctions hold great promise for optoelectronic applications since the unique band structures and interfacial properties. However, conventional fabrication techniques suffer from problems like interface contamination, difficulties in scaling production, and poor process control, leading to degraded and unstable device performance. In this work, we develop a one-step in-situ chemical vapor deposition strategy for the controlled synthesis of high-quality SnS/SnS 2 heterostructures. This approach leverages the inherent process control to achieve clean interfaces and scalable production. The designed Au-SnS/SnS 2 -Au sandwich heterostructure photodetector, comprising bulk SnS and ultrathin SnS 2 , exhibits a dominant space-charge-limited current mechanism. With bidirectional bias applied, the photocurrent shows a superlinear increase, which is attributed to efficient carrier management behavior. Consequently, this device achieves superior photoresponse: the photoresponsivity of 119.1 mA/W, the detectivity of 5.73 × 10 11 Jones, and fast response speed of 16.8 ms. The study not only provides a facile pathway for synthesizing high-quality 2D heterojunctions, but also demonstrates their significant potential for high-performance optoelectronics through the effective interplay material synthesis and device physics.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基于场-热-应力耦合模型的复合多波长辐照激光损伤预测</w:t>
      </w:r>
    </w:p>
    <w:p>
      <w:r>
        <w:rPr>
          <w:rFonts w:ascii="Times New Roman" w:hAnsi="Times New Roman" w:eastAsia="宋体"/>
          <w:b/>
          <w:color w:val="003264"/>
          <w:sz w:val="24"/>
        </w:rPr>
        <w:t>Laser damage prediction under composite multi-wavelength irradiation based on field-thermal-stress coupled model</w:t>
      </w:r>
    </w:p>
    <w:p>
      <w:r>
        <w:rPr>
          <w:rFonts w:ascii="Times New Roman" w:hAnsi="Times New Roman" w:eastAsia="宋体"/>
          <w:sz w:val="21"/>
        </w:rPr>
        <w:t>作者: Zhen Wang, Xinda Zhou, Yinbo Zheng, Jie Li, Rongzhu Zhang</w:t>
        <w:br/>
      </w:r>
      <w:r>
        <w:rPr>
          <w:rFonts w:ascii="Times New Roman" w:hAnsi="Times New Roman" w:eastAsia="宋体"/>
          <w:sz w:val="21"/>
        </w:rPr>
        <w:t xml:space="preserve">时间: 2026-01-26 | </w:t>
      </w:r>
      <w:r>
        <w:t xml:space="preserve">链接: </w:t>
      </w:r>
      <w:hyperlink r:id="rId38">
        <w:r>
          <w:rPr>
            <w:rFonts w:ascii="Times New Roman" w:hAnsi="Times New Roman" w:eastAsia="宋体"/>
            <w:color w:val="0000FF"/>
            <w:sz w:val="21"/>
            <w:u w:val="single"/>
          </w:rPr>
          <w:t>https://doi.org/10.1364/oe.582434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建立了多层薄膜复合双/多波长辐照下激光损伤的分析模型。它是一个场-热-应力耦合模型，可以预测基波 (1ω) 能量及其互补三次谐波 (3ω) 能量不同比率下的损伤类型。理论和实验结果都表明，薄膜损伤在前后表面上是不对称的。在激光总能量固定的情况下，当1ω能量比达到95%时，前表面主要表现出场致损伤。然而，当这一比例下降到92%或以下时，前表面损伤演变成以场应力耦合为主的纳米级断裂型损伤。相比之下，无论能量比如何，后表面的损伤部位始终表现为微米级重熔结构，以热应力耦合为主。理论预测与实验观察到的损伤形貌和拉曼光谱变化吻合良好，验证了模型的适用性和可靠性。</w:t>
      </w:r>
    </w:p>
    <w:p>
      <w:pPr>
        <w:spacing w:before="120"/>
      </w:pPr>
      <w:r>
        <w:rPr>
          <w:rFonts w:ascii="Times New Roman" w:hAnsi="Times New Roman" w:eastAsia="宋体"/>
          <w:b/>
          <w:sz w:val="21"/>
        </w:rPr>
        <w:t>English Abstract:</w:t>
      </w:r>
    </w:p>
    <w:p>
      <w:r>
        <w:rPr>
          <w:rFonts w:ascii="Times New Roman" w:hAnsi="Times New Roman" w:eastAsia="宋体"/>
          <w:sz w:val="21"/>
        </w:rPr>
        <w:t>An analytical model for laser-induced damage under composite dual/multi-wavelength irradiation is established for a multilayer film. It is a field-thermal-stress coupled model that can predict the damage types under varying ratios of the fundamental harmonic (1ω) energy and its complementary third harmonic (3ω). Both the theoretical and experimental results revealed that the film damage is asymmetric on the front and rear surfaces. At a fixed total laser energy, the front surface primarily exhibited field-induced damage when the 1ω energy ratio reached 95%. However, as this ratio decreased to 92% or below, the front surface damage evolved into nanoscale fracture-type damage, dominated by field-stress coupling. In contrast, regardless of the energy ratio, damage sites on the rear surface consistently manifested as micrometer-scale remelted structures, dominated by thermal-stress coupling. The theoretical predictions agree well with experimentally observed damage morphologies and Raman spectral changes, validating the applicability and reliability of the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药物胶囊的快速太赫兹无损检测</w:t>
      </w:r>
    </w:p>
    <w:p>
      <w:r>
        <w:rPr>
          <w:rFonts w:ascii="Times New Roman" w:hAnsi="Times New Roman" w:eastAsia="宋体"/>
          <w:b/>
          <w:color w:val="003264"/>
          <w:sz w:val="24"/>
        </w:rPr>
        <w:t>Rapid THz nondestructive inspection of medicine capsules</w:t>
      </w:r>
    </w:p>
    <w:p>
      <w:r>
        <w:rPr>
          <w:rFonts w:ascii="Times New Roman" w:hAnsi="Times New Roman" w:eastAsia="宋体"/>
          <w:sz w:val="21"/>
        </w:rPr>
        <w:t>作者: T. H. Jeong, Hyeong-Ryeol Park, Y. H. Ahn</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https://doi.org/10.1364/oe.577130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在这项研究中，我们开发了一种快速识别两片式药物胶囊缺陷的筛查工具。我们通过结合电动橡胶辊来使用太赫兹飞行时间 (ToF) 成像，这样可以沿着胶囊的圆柱形表面快速检查胶囊。我们获得了具有横截面信息（包括折叠区域）的 3D 图像。特别是，THz-ToF 图像可用于以非破坏性方式识别由湿气、异物和孔洞引起的缺陷。沿胶囊表面的层厚度统计数据可以对胶囊质量进行快速质量评估，同时可以通过分析 3D 成像数据来确定缺陷类型的详细信息。</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developed a screening tool for the rapid identification of defects in two-piece medicine capsules. We used THz time-of-flight (ToF) imaging by incorporating motorized rubber rollers, which allows rapid inspection of the capsules along their cylindrical surface. We obtained 3D images with the cross-sectional information, including the folded area. In particular, THz-ToF images are useful for identifying defects induced by moisture, alien substances, and holes in a nondestructive manner. The statistics for the layer thickness along capsule surfaces enable the rapid quality assessment of capsule quality, while the details on the types of defects can be determined by analyzing the 3D imaging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海洋中颗粒光反向散射的光谱变化：解析精细尺度光学特征及其生物地球化学意义</w:t>
      </w:r>
    </w:p>
    <w:p>
      <w:r>
        <w:rPr>
          <w:rFonts w:ascii="Times New Roman" w:hAnsi="Times New Roman" w:eastAsia="宋体"/>
          <w:b/>
          <w:color w:val="003264"/>
          <w:sz w:val="24"/>
        </w:rPr>
        <w:t>Spectral variability in particulate light backscattering in the sea: resolving fine-scale optical features and their biogeochemical significance</w:t>
      </w:r>
    </w:p>
    <w:p>
      <w:r>
        <w:rPr>
          <w:rFonts w:ascii="Times New Roman" w:hAnsi="Times New Roman" w:eastAsia="宋体"/>
          <w:sz w:val="21"/>
        </w:rPr>
        <w:t>作者: Michael G. Novak, Rüdiger Röttgers</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https://doi.org/10.1364/oe.579542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水域中光后向散射的准确表征对于解释遥感反射率和反演海洋生物地球化学特性至关重要。虽然光吸收已被广泛测量，但由于仪器的限制，解决颗粒光反向散射的精细光谱变化仍然具有挑战性。在这里，我们展示了新开发的 HyFi-bb 仪器在波罗的海和德国湾的野外活动期间进行的高光谱反向散射测量。高光谱分辨率（∼2 nm，350–850 nm）揭示了独特的生物光学特征，包括颜料特异性特征和颜料吸收带附近的异常色散，这些在多光谱测量中无法解决。跨区域比较表明，以成矿颗粒为主的德国湾的后向散射比高于浮游植物丰富的波罗的海水域，后向散射比的光谱斜率反映了底层颗粒的组成。研究发现，&lt;0.2 µm 颗粒的贡献很小，这表明它们在沿海水域总后向散射中的作用有限。我们的结果表明，高光谱反向散射为光学变异性的生物地球化学驱动因素提供了新的见解。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light backscattering in natural waters is critical for interpreting remote sensing reflectance and retrieving marine biogeochemical properties. While light absorption has been extensively measured, resolving fine-scale spectral variability in particulate light backscattering has remained challenging due to instrumental limitations. Here, we present hyperspectral backscattering measurements from the newly developed HyFi-bb instrument during field campaigns in the Baltic Sea and German Bight. The high spectral resolution (∼2 nm, 350–850 nm) reveals distinct bio-optical features, including pigment-specific signatures and anomalous dispersion near the pigment absorption bands, which are not resolved in multispectral measurements. Comparisons across regions show that backscattering ratios are higher in the minerogenic particle–dominated German Bight than in phytoplankton-rich Baltic waters, with spectral slopes of the backscattering ratios reflecting underlying particle composition. Contributions from particles &lt;0.2 µm were found to be minor, suggesting their limited role in total backscattering in coastal waters. Our results demonstrate that hyperspectral backscattering provides new insights into the biogeochemical drivers of optical variability.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激光二极管耦合腔系统中的双模自注入锁定</w:t>
      </w:r>
    </w:p>
    <w:p>
      <w:r>
        <w:rPr>
          <w:rFonts w:ascii="Times New Roman" w:hAnsi="Times New Roman" w:eastAsia="宋体"/>
          <w:b/>
          <w:color w:val="003264"/>
          <w:sz w:val="24"/>
        </w:rPr>
        <w:t>Dual-mode self-injection locking in a laser diode-coupled-cavity system</w:t>
      </w:r>
    </w:p>
    <w:p>
      <w:r>
        <w:rPr>
          <w:rFonts w:ascii="Times New Roman" w:hAnsi="Times New Roman" w:eastAsia="宋体"/>
          <w:sz w:val="21"/>
        </w:rPr>
        <w:t>作者: Wen-Qi Shi, Kai-Rong Chen, Zun-Hao Hu, Jin-Long Xiao, You-Ling Chen, Yong-Zhen Huang, Yue-De Yang</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https://doi.org/10.1364/oe.575815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自注入锁定的稳定窄线宽激光源和孤子微梳推动了从计量到天文学应用的革命性进步。最近，耦合腔在光学频率梳生成中显示出至关重要的意义，特别是在实现高转换效率和实现超宽带孤子微梳的形成方面。在这项工作中，我们开发了一种研究具有瑞利反向散射的激光二极管耦合腔系统中的自注入锁定的方法。我们推导了一组速率方程来描述系统，获得了有效失谐的解析表达式，并分析了耦合腔的临界耦合条件和锁定范围。分析和数值模拟结果表明，当耦合腔结构引起模式分裂时，自注入锁定系统表现出双模锁定行为。此外，辅助腔向耦合腔引入了额外的相位和损耗，并且谐振分裂的物理解释源于泵失谐对附加相位的相位平衡效应。另一方面，通过调节波导与主腔之间的耦合强度，可以有效补偿辅助腔引入的损耗。因此，我们还推导了此类激光二极管耦合腔系统中临界耦合系数的解析表达式。该方法可以扩展到研究多耦合腔系统中的自注入锁定，并为实现稳定的多频窄线宽激光源和高效宽带孤子微梳提供理论基础。</w:t>
      </w:r>
    </w:p>
    <w:p>
      <w:pPr>
        <w:spacing w:before="120"/>
      </w:pPr>
      <w:r>
        <w:rPr>
          <w:rFonts w:ascii="Times New Roman" w:hAnsi="Times New Roman" w:eastAsia="宋体"/>
          <w:b/>
          <w:sz w:val="21"/>
        </w:rPr>
        <w:t>English Abstract:</w:t>
      </w:r>
    </w:p>
    <w:p>
      <w:r>
        <w:rPr>
          <w:rFonts w:ascii="Times New Roman" w:hAnsi="Times New Roman" w:eastAsia="宋体"/>
          <w:sz w:val="21"/>
        </w:rPr>
        <w:t>Stabilized narrow-linewidth laser sources and soliton microcombs based on self-injection locking have driven revolutionary advancements from metrological to astronomical applications. Recently, coupled cavities have shown critical significance in optical frequency comb generation, particularly in achieving high conversion efficiency and enabling the formation of ultra-broadband soliton microcombs. In this work, we have developed a methodology for investigating self-injection locking in a laser diode-coupled-cavity system with Rayleigh backscattering. We have derived a set of rate equations to describe the system, obtained the analytical expression for effective detuning, and analyzed the critical coupling conditions and locking range for the coupled cavities. The analytical and numerical simulation results demonstrate that when the coupled-cavity structures induce mode splitting, the self-injection locking system exhibits dual-mode locking behavior. Furthermore, the auxiliary cavity introduces additional phase and losses to the coupled cavity, and the physical explanation for resonance splitting arises from the phase-balancing effect of pump detuning on the additional phase. On the other hand, the losses introduced by the auxiliary cavity can be effectively compensated by tuning the coupling strength between the waveguide and the main cavity. Therefore, we have also derived an analytical expression for the critical coupling coefficient in such laser diode-coupled-cavity systems. The proposed method can be extended to investigate self-injection locking in multi-coupled-cavity systems and provides a theoretical foundation for the realization of stabilized multi-frequency narrow-linewidth laser sources and high-efficiency, broadband soliton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基于碳化硅散热器的连续波 600 W Yb:Y 2 O 3 陶瓷薄盘激光器</w:t>
      </w:r>
    </w:p>
    <w:p>
      <w:r>
        <w:rPr>
          <w:rFonts w:ascii="Times New Roman" w:hAnsi="Times New Roman" w:eastAsia="宋体"/>
          <w:b/>
          <w:color w:val="003264"/>
          <w:sz w:val="24"/>
        </w:rPr>
        <w:t>Continuous-wave 600 W Yb:Y 2 O 3 ceramic thin-disk laser based on a silicon carbide heat sink</w:t>
      </w:r>
    </w:p>
    <w:p>
      <w:r>
        <w:rPr>
          <w:rFonts w:ascii="Times New Roman" w:hAnsi="Times New Roman" w:eastAsia="宋体"/>
          <w:sz w:val="21"/>
        </w:rPr>
        <w:t>作者: Dongliang Xing, Jie Ma, Jun Wang, Naijie Zhang, Xiaohui Zhao, Wenlan Gao, Jian Zhang, Zhan Sui, Deyuan Shen, Dingyuan Tang</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https://doi.org/10.1364/oe.587571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我们报告了一种带有单晶碳化硅（SiC）散热器的连续波高功率 Yb:Y 2 O 3 透明陶瓷薄盘激光器。该薄盘激光器以 976 nm 泵浦，在 1031.7 nm 处提供 600 W 的最大输出功率，光光效率为 60.5%。据我们所知，这项工作首次实现了采用 SiC 衬底的数百瓦 Yb:Y 2 O 3 陶瓷薄盘激光器。所取得的结果验证了将 Yb:三氧化物陶瓷与 SiC 散热器集成用于高功率薄盘激光器操作的潜力。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continuous-wave high-power Yb:Y 2 O 3 transparent ceramics thin-disk laser with a single-crystal silicon carbide (SiC) heat sink. Pumped at 976 nm, the thin-disk laser delivered a maximum output power of 600 W at 1031.7 nm with an optical-to-optical efficiency of 60.5%. To the best of our knowledge, this work reports the first realization of a multi-hundred-watt Yb:Y 2 O 3 ceramic thin-disk laser employing a SiC substrate. The achieved results validate the potential of integrating Yb:sesquioxide ceramics with SiC heat sinks for high-power thin-disk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用于人造指腹皮肤触觉感知的时间深层神经网络</w:t>
      </w:r>
    </w:p>
    <w:p>
      <w:r>
        <w:rPr>
          <w:rFonts w:ascii="Times New Roman" w:hAnsi="Times New Roman" w:eastAsia="宋体"/>
          <w:b/>
          <w:color w:val="003264"/>
          <w:sz w:val="24"/>
        </w:rPr>
        <w:t>Temporal deep neural network for tactile sensing in artificial finger pulp skin</w:t>
      </w:r>
    </w:p>
    <w:p>
      <w:r>
        <w:rPr>
          <w:rFonts w:ascii="Times New Roman" w:hAnsi="Times New Roman" w:eastAsia="宋体"/>
          <w:sz w:val="21"/>
        </w:rPr>
        <w:t>作者: Zhiyuan Xu, Hongye Wang, Youxing Li, Taolue Yang, Donghui Wang, Hongwei Li, Libo Yuan</w:t>
        <w:br/>
      </w:r>
      <w:r>
        <w:rPr>
          <w:rFonts w:ascii="Times New Roman" w:hAnsi="Times New Roman" w:eastAsia="宋体"/>
          <w:sz w:val="21"/>
        </w:rPr>
        <w:t xml:space="preserve">时间: 2026-01-26 | </w:t>
      </w:r>
      <w:r>
        <w:t xml:space="preserve">链接: </w:t>
      </w:r>
      <w:hyperlink r:id="rId43">
        <w:r>
          <w:rPr>
            <w:rFonts w:ascii="Times New Roman" w:hAnsi="Times New Roman" w:eastAsia="宋体"/>
            <w:color w:val="0000FF"/>
            <w:sz w:val="21"/>
            <w:u w:val="single"/>
          </w:rPr>
          <w:t>https://doi.org/10.1364/oe.584154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感知在人造指腹皮肤中起着至关重要的作用，特别是在负责抓握和触摸任务的区域，精确感知变形位置和施加的力至关重要。传统的解调方法往往无法充分利用按压过程中数据的时间相关性，从而限制了触觉解调的准确性。为了解决这个问题，我们提出了一种基于集成到人造指腹皮肤中的准分布式光纤布拉格光栅（FBG）的触觉传感系统，以及两级混合 LSTM-Transformer 神经网络（TSH-LTNN）来共同重建按压位置和力量。该网络通过在三个连续时间步长上构建可能的数据变化来训练时间解调模型，其中 LSTM 捕获短期连续性，Transformer 提取长期依赖性，自适应融合模块集成它们的互补特征。实验结果表明，所提出的模型优于现有方法。在 0–30 mm 压力范围和 0–14.71 N 力范围内，位置预测的平均绝对误差 (MAE) 为 0.2331 mm (R 2 = 0.9971)，力预测的平均绝对误差 (MAE) 为 0.303 N (R 2 = 0.9829)。与随机森林模型相比，TSH-LTNN 的位置 R 2 提高了 2.34%，MAE 降低了 66.06%。对于力预测，R 2 提高了 2.48%，MAE 降低了 31.94%。这些结果证实了所提出的系统提供了精确、稳定和实时的压力状态解调，在高精度触觉反馈应用中具有强大的潜力。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Tactile perception plays a vital role in artificial finger pulp skin, especially in regions responsible for grasping and touching tasks, where precise sensing of deformation position and applied force is critical. Conventional demodulation methods often fail to fully leverage temporal correlations in data during the pressing process, limiting the accuracy of tactile demodulation. To address this, we propose a tactile sensing system based on quasi-distributed Fiber Bragg Gratings (FBGs) integrated into artificial finger pulp skin, along with a two-stage hybrid LSTM–Transformer neural network (TSH-LTNN) to jointly reconstruct pressing position and force. The network trains a temporal demodulation model by constructing possible data variations over three consecutive time steps, where the LSTM captures short-term continuity, the Transformer extracts long-range dependencies, and an adaptive fusion module integrates their complementary features. Experimental results show that the proposed model outperforms existing methods. In the 0–30 mm pressing range and 0–14.71 N force range, the mean absolute error (MAE) for position prediction is 0.2331 mm (R 2 = 0.9971), and for force prediction, it is 0.303 N (R 2 = 0.9829). Compared to the Random Forest model, the TSH-LTNN achieves a 2.34% improvement in position R 2 and a 66.06% reduction in MAE. For force prediction, it demonstrates a 2.48% improvement in R 2 and a 31.94% reduction in MAE. These results confirm that the proposed system offers precise, stable, and real-time pressure-state demodulation, with strong potential for high-precision haptic feedback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基于超紧凑和宽带任意模式到单模式功率分配器的架构，可实现灵活的片上模式转换和路由</w:t>
      </w:r>
    </w:p>
    <w:p>
      <w:r>
        <w:rPr>
          <w:rFonts w:ascii="Times New Roman" w:hAnsi="Times New Roman" w:eastAsia="宋体"/>
          <w:b/>
          <w:color w:val="003264"/>
          <w:sz w:val="24"/>
        </w:rPr>
        <w:t>Ultra-compact and broadband arbitrary-to-single-mode power divider-based architecture for flexible on-chip mode conversion and routing</w:t>
      </w:r>
    </w:p>
    <w:p>
      <w:r>
        <w:rPr>
          <w:rFonts w:ascii="Times New Roman" w:hAnsi="Times New Roman" w:eastAsia="宋体"/>
          <w:sz w:val="21"/>
        </w:rPr>
        <w:t>作者: Lei Zhang, Jun Feng, Zhenzhao Guo, Chen Zhang, Jinbiao Xiao, X. Steve Yao, Shengbao Wu</w:t>
        <w:br/>
      </w:r>
      <w:r>
        <w:rPr>
          <w:rFonts w:ascii="Times New Roman" w:hAnsi="Times New Roman" w:eastAsia="宋体"/>
          <w:sz w:val="21"/>
        </w:rPr>
        <w:t xml:space="preserve">时间: 2026-01-26 | </w:t>
      </w:r>
      <w:r>
        <w:t xml:space="preserve">链接: </w:t>
      </w:r>
      <w:hyperlink r:id="rId44">
        <w:r>
          <w:rPr>
            <w:rFonts w:ascii="Times New Roman" w:hAnsi="Times New Roman" w:eastAsia="宋体"/>
            <w:color w:val="0000FF"/>
            <w:sz w:val="21"/>
            <w:u w:val="single"/>
          </w:rPr>
          <w:t>https://doi.org/10.1364/oe.585950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我们提出了一种基于任意到单模功率分配器（ASPD）的多功能片上模式操纵架构，可在多模光子系统中实现灵活的模式转换和路由。该架构由两个反向级联的 ASPD 单元组成，以类似马赫-曾德尔干涉仪的配置排列，利用移相器和模式路由器等标准单模组件来实现高度灵活的多模操作。这种方法具有两个关键优势：仅基于 ASPD 单元和标准单模组件的紧凑、可扩展设计，以及将高阶模式直接分解为基本模式，从而简化布线并消除对复杂多模元件的需求。作为概念验证，使用通过智能算法优化的亚波长光栅结构设计了几种超紧凑 ASPD。对于常用的低阶模式 (TE 0 –TE 3 )，这些器件的封装尺寸低于 9.5 µm，并在 300 nm 带宽 (1400–1700nm) 范围内保持超额损耗 (EL) 低于 0.35 dB。值得注意的是，TE 0 /TE 1 ASPD 在创纪录的 500 nm 范围 (1300–1800nm) 内实现了 &lt; 0.15 dB EL。基于这些 ASPD，我们通过实验证明了灵活的模式转换和切换，证实了它们对于多模式信号控制的有效性。此外，数值结果表明，该方案可以扩展到高阶模式（TE 4 –TE 7 ），同时保持优异的性能和紧凑的占位面积（8 µm），并且可以与标准单模交叉相结合以实现灵活的多模互连。这些结果验证了所提出的基于 ASPD 的平台的可行性和可扩展性，为可重构多模光子集成电路提供了一条有前途的途径。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versatile on-chip mode manipulation architecture based on arbitrary-to-single-mode power dividers (ASPDs), enabling flexible mode conversion and routing in multimode photonic systems. The architecture comprises two oppositely cascaded ASPD units arranged in a Mach–Zehnder–interferometer-like configuration, leveraging standard single-mode components such as phase shifters and mode routers to achieve highly flexible multimode manipulation. This approach offers two key advantages: a compact, scalable design based solely on ASPD units and standard single-mode components, and direct decomposition of higher-order modes into the fundamental mode, simplifying routing and removing the need for complex multimode elements. As a proof of concept, several ultra-compact ASPDs were designed using subwavelength grating structures optimized via intelligent algorithms. For commonly used low-order modes (TE 0 –TE 3 ), the devices exhibit footprints below 9.5 µm and maintain excess losses (ELs) below 0.35 dB across a 300 nm bandwidth (1400–1700nm). Notably, TE 0 /TE 1 ASPDs achieve ELs &lt; 0.15 dB over a record-wide 500 nm range (1300–1800nm). Based on these ASPDs, we experimentally demonstrate flexible mode conversion and switching, confirming their effectiveness for multimode signal control. Furthermore, numerical results show that the scheme can be extended to higher-order modes (TE 4 –TE 7 ) while maintaining excellent performance and compact footprints (8 µm), and can be combined with standard single-mode crossings for flexible multimode interconnections. These results validate the feasibility and scalability of the proposed ASPD-based platform, offering a promising route toward reconfigurable multimode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用于紧凑型量子传感器的焦点和景深可调检测系统</w:t>
      </w:r>
    </w:p>
    <w:p>
      <w:r>
        <w:rPr>
          <w:rFonts w:ascii="Times New Roman" w:hAnsi="Times New Roman" w:eastAsia="宋体"/>
          <w:b/>
          <w:color w:val="003264"/>
          <w:sz w:val="24"/>
        </w:rPr>
        <w:t>Focus and depth of field tunable detection system for compact quantum sensors</w:t>
      </w:r>
    </w:p>
    <w:p>
      <w:r>
        <w:rPr>
          <w:rFonts w:ascii="Times New Roman" w:hAnsi="Times New Roman" w:eastAsia="宋体"/>
          <w:sz w:val="21"/>
        </w:rPr>
        <w:t>作者: Kai Frye-Arndt, Arne Wacker, Patrick Brunssen, Til Dralle, Holger Ahlers, Waldemar Herr, Ernst Rasel, Christian Schubert</w:t>
        <w:br/>
      </w:r>
      <w:r>
        <w:rPr>
          <w:rFonts w:ascii="Times New Roman" w:hAnsi="Times New Roman" w:eastAsia="宋体"/>
          <w:sz w:val="21"/>
        </w:rPr>
        <w:t xml:space="preserve">时间: 2026-01-26 | </w:t>
      </w:r>
      <w:r>
        <w:t xml:space="preserve">链接: </w:t>
      </w:r>
      <w:hyperlink r:id="rId45">
        <w:r>
          <w:rPr>
            <w:rFonts w:ascii="Times New Roman" w:hAnsi="Times New Roman" w:eastAsia="宋体"/>
            <w:color w:val="0000FF"/>
            <w:sz w:val="21"/>
            <w:u w:val="single"/>
          </w:rPr>
          <w:t>https://doi.org/10.1364/oe.582238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收成像是一种确定原子系综的原子数和空间分布的成熟方法，传统上仅限于单个焦平面和固定景深。然而，随着原子光学实验变得越来越复杂，原子云可能会超出景深或离开焦平面，如大型原子阵列或气泡玻色-爱因斯坦凝聚体 (BEC) 中所见。在这里，我们提出了一种吸收成像系统，可以将 88.9 mm 的物距调整 ±5 mm，并将景深从 26 µm 调整到 203 µm。我们确定与原子实验相关的性能指标，例如分辨率和光学畸变。</w:t>
      </w:r>
    </w:p>
    <w:p>
      <w:pPr>
        <w:spacing w:before="120"/>
      </w:pPr>
      <w:r>
        <w:rPr>
          <w:rFonts w:ascii="Times New Roman" w:hAnsi="Times New Roman" w:eastAsia="宋体"/>
          <w:b/>
          <w:sz w:val="21"/>
        </w:rPr>
        <w:t>English Abstract:</w:t>
      </w:r>
    </w:p>
    <w:p>
      <w:r>
        <w:rPr>
          <w:rFonts w:ascii="Times New Roman" w:hAnsi="Times New Roman" w:eastAsia="宋体"/>
          <w:sz w:val="21"/>
        </w:rPr>
        <w:t>Absorption imaging is a well-established method for determining both the atom number and spatial distribution of atomic ensembles, traditionally limited to a single focal plane and a fixed depth of field. However, as atom optics experiments grow more complex, atomic clouds can exceed the depth of field or leave the focal plane, as seen in large atomic arrays or bubble Bose-Einstein condensates (BECs). Here, we present an absorption imaging system that allows for tuning the object distance of 88.9 mm by ±5 mm and the depth of field from 26 µm to 203 µm. We determine performance metrics relevant for atomic experiments, such as the resolution and the optical distortion.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基于链嵌入掩码的高安全性浮动概率加密方法</w:t>
      </w:r>
    </w:p>
    <w:p>
      <w:r>
        <w:rPr>
          <w:rFonts w:ascii="Times New Roman" w:hAnsi="Times New Roman" w:eastAsia="宋体"/>
          <w:b/>
          <w:color w:val="003264"/>
          <w:sz w:val="24"/>
        </w:rPr>
        <w:t>High-security floating probabilistic encryption methods based on chain-embedded masking</w:t>
      </w:r>
    </w:p>
    <w:p>
      <w:r>
        <w:rPr>
          <w:rFonts w:ascii="Times New Roman" w:hAnsi="Times New Roman" w:eastAsia="宋体"/>
          <w:sz w:val="21"/>
        </w:rPr>
        <w:t>作者: Haisu Qian, Bo Liu, Jianxin Ren, Yaya Mao, Shuaidong Chen, Jianye Zhao, Xiumin Song, Lei Zhu, Qinghua Tian, Rahat Ullah, Dongxu Zhu, Weiming Chen, Jiyuan Wang</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https://doi.org/10.1364/oe.584530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接入网络对传输性能和安全性的要求不断提高，提出一种基于链式嵌入掩码的高安全性浮动概率加密方法。这种链式结构的星座点以链状图案分布在同心圆上。核心六边形由原点周围第一层上的点形成。然后使用外部三角形将第二层扩展为星形结构，而其余点则固定在最外层的环中。它有效降低了平均传输功率和峰值功率，同时保持最小欧几里德距离为1，从而使星座品质因数（CFM）值为0.444。基于该结构，进一步提出了浮动链嵌入加密方案。采用洛伦兹混沌模型根据“0保持、1移动一步、2移动两步”规则生成动态扰动链状结构内外环星座点位置的序列。在七芯光纤传输系统上进行了实验验证。结果表明，在误码率为 3.8 × 10 -3 时，所提出的分层三角失真六边形 (HTDH) 16 正交幅度调制 (16QAM) 星座与传统 16QAM 相比，接收器灵敏度提高了 0.48 dB。与未加密信号相比，加密信号的灵敏度额外提高了 0.33 dB。这表明该加密机制不仅增强了安全性，而且与星座的能量集中特性相协同，最终实现传输安全性和系统灵敏度的协同优化。</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demands for transmission performance and security in optical access networks, this paper proposes a high-security floating probabilistic encryption method based on chain-embedded masking. The constellation points of this chained structure are distributed in a chain-like pattern across concentric circles. A core hexagon is formed by the points on the first layer around the origin. The second layer is then expanded into a star-shaped structure using external triangles, while the remaining points are fixed in the outermost ring. It effectively reduces both the average transmission power and the peak power while maintaining a minimum Euclidean distance of 1, resulting in a constellation figure of merit (CFM) value of 0.444. Based on this structure, a floating chain-embedded encryption scheme is further proposed. A Lorenz chaotic model is employed to generate sequences that dynamically perturb the positions of the outer-ring constellation points within the chain-like structure according to a “0-hold, 1-shift one step, 2-shift two steps” rule. Experimental validation was performed on a seven-core fiber transmission system. The results demonstrate that at a bit error rate of 3.8 × 10 −3 , the proposed Hierarchical Triangular-Distorted Hexagonal (HTDH) 16 Quadrature Amplitude Modulation (16QAM) constellation achieves a 0.48 dB improvement in receiver sensitivity compared with conventional 16QAM. The encrypted signals exhibit an additional 0.33 dB sensitivity enhancement over unencrypted signals. This indicates that the encryption mechanism not only enhances security but also synergizes with the energy concentration characteristics of the constellation, ultimately achieving co-optimization of transmission security and system sensitivity.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06:30 ---</w:t>
      </w:r>
    </w:p>
    <w:p>
      <w:pPr>
        <w:pStyle w:val="Heading2"/>
      </w:pPr>
      <w:r/>
      <w:r>
        <w:rPr>
          <w:rFonts w:ascii="Times New Roman" w:hAnsi="Times New Roman" w:eastAsia="宋体"/>
          <w:b/>
          <w:color w:val="000000"/>
          <w:sz w:val="24"/>
        </w:rPr>
        <w:t>量子极限的场镜检查</w:t>
      </w:r>
    </w:p>
    <w:p>
      <w:r>
        <w:rPr>
          <w:rFonts w:ascii="Times New Roman" w:hAnsi="Times New Roman" w:eastAsia="宋体"/>
          <w:b/>
          <w:color w:val="003264"/>
          <w:sz w:val="24"/>
        </w:rPr>
        <w:t>Fieldoscopy at the quantum limit</w:t>
      </w:r>
    </w:p>
    <w:p>
      <w:r>
        <w:rPr>
          <w:rFonts w:ascii="Times New Roman" w:hAnsi="Times New Roman" w:eastAsia="宋体"/>
          <w:sz w:val="21"/>
        </w:rPr>
        <w:t>作者: Dmitry A. Zimin, Arjun Ashoka, Florentin Reiter, Akshay Rao</w:t>
        <w:br/>
      </w:r>
      <w:r>
        <w:rPr>
          <w:rFonts w:ascii="Times New Roman" w:hAnsi="Times New Roman" w:eastAsia="宋体"/>
          <w:sz w:val="21"/>
        </w:rPr>
        <w:t xml:space="preserve">时间: 2026-02-09 | </w:t>
      </w:r>
      <w:r>
        <w:t xml:space="preserve">链接: </w:t>
      </w:r>
      <w:hyperlink r:id="rId46">
        <w:r>
          <w:rPr>
            <w:rFonts w:ascii="Times New Roman" w:hAnsi="Times New Roman" w:eastAsia="宋体"/>
            <w:color w:val="0000FF"/>
            <w:sz w:val="21"/>
            <w:u w:val="single"/>
          </w:rPr>
          <w:t>https://doi.org/10.1038/s41377-025-02066-8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摘要：我们展示了一种测量从太赫兹级光子到单光子状态的时变电场瞬变的新概念。我们观察到与我们的蒙特卡洛模型一致的经典制度的明显崩溃。我们达到了前所未有的约焦耳级 (10⁻²⁴ J) 灵敏度和超过 90 分贝的动态范围。我们利用这种能力来测量脉冲内光相干性——这是传统的时间平均光谱无法实现的机制。这为量子信息、密码学和亚周期时间尺度上的量子光与物质相互作用开辟了新的途径，具有阿秒精度。</w:t>
      </w:r>
    </w:p>
    <w:p>
      <w:pPr>
        <w:spacing w:before="120"/>
      </w:pPr>
      <w:r>
        <w:rPr>
          <w:rFonts w:ascii="Times New Roman" w:hAnsi="Times New Roman" w:eastAsia="宋体"/>
          <w:b/>
          <w:sz w:val="21"/>
        </w:rPr>
        <w:t>English Abstract:</w:t>
      </w:r>
    </w:p>
    <w:p>
      <w:r>
        <w:rPr>
          <w:rFonts w:ascii="Times New Roman" w:hAnsi="Times New Roman" w:eastAsia="宋体"/>
          <w:sz w:val="21"/>
        </w:rPr>
        <w:t>Abstract We demonstrate a novel concept for measuring time-varying electric field transients of petahertz-scale photons down to a single-photon regime. We observe a clear breakdown of the classical regime consistent with our Monte Carlo model. We reach unprecedented yoctojoule-level (10⁻²⁴ J) sensitivity and a dynamic range exceeding 90 decibels. We utilize this capability to measure intrapulse light coherence - a regime inaccessible to conventional, time-averaged spectroscopy. This opens new avenues for quantum information, cryptography, and quantum light-matter interactions on sub-cycle time scales with attosecond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非互易光相互作用中异常的冲量-动量关系</w:t>
      </w:r>
    </w:p>
    <w:p>
      <w:r>
        <w:rPr>
          <w:rFonts w:ascii="Times New Roman" w:hAnsi="Times New Roman" w:eastAsia="宋体"/>
          <w:b/>
          <w:color w:val="003264"/>
          <w:sz w:val="24"/>
        </w:rPr>
        <w:t>Unusual impulse-momentum relationship in non-reciprocal light interactions</w:t>
      </w:r>
    </w:p>
    <w:p>
      <w:r>
        <w:rPr>
          <w:rFonts w:ascii="Times New Roman" w:hAnsi="Times New Roman" w:eastAsia="宋体"/>
          <w:sz w:val="21"/>
        </w:rPr>
        <w:t>作者: Yuhui Zhuang, Juan Wu, Siyu Li, Yi Hu, Zhigang Chen, Jingjun Xu</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https://doi.org/10.1038/s41377-025-02139-8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互惠相互作用以作用和反应之间的不对称关系为特征，是生命和人工系统中奇异现象的基础。尽管进行了广泛的研究，但它们在波的非线性相互作用中的研究还很有限。在这项工作中，我们报告了光学孤立波的不寻常的脉冲动量关系，其内部相互作用是不可逆的。相对于施加到其两个分量之一的脉冲，孤立波获得增强的动量或反向的动量。在孤立波未被击穿的情况下，冲量-动量关系被发现是线性的，但其斜率却很不寻常——要么超过1，要么甚至为负。我们的结果可能引发与非互易波相互作用相关的更基本的考虑，这对于设计新颖的非厄米设备非常有用。</w:t>
      </w:r>
    </w:p>
    <w:p>
      <w:pPr>
        <w:spacing w:before="120"/>
      </w:pPr>
      <w:r>
        <w:rPr>
          <w:rFonts w:ascii="Times New Roman" w:hAnsi="Times New Roman" w:eastAsia="宋体"/>
          <w:b/>
          <w:sz w:val="21"/>
        </w:rPr>
        <w:t>English Abstract:</w:t>
      </w:r>
    </w:p>
    <w:p>
      <w:r>
        <w:rPr>
          <w:rFonts w:ascii="Times New Roman" w:hAnsi="Times New Roman" w:eastAsia="宋体"/>
          <w:sz w:val="21"/>
        </w:rPr>
        <w:t>Abstract Non-reciprocal interactions, featured with an asymmetric relation between action and reaction, underpin exotic phenomena across living and artificial systems. Albeit extensively studied, they have been largely underexplored in nonlinear interactions of waves. In this work, we report an unusual impulse-momentum relationship for an optical solitary wave whose internal interactions are non-reciprocal. The solitary wave gains either an enhanced or a reversed momentum relative to an impulse that is applied to one of its two components. In the regime where the solitary wave is not broken down, the impulse-momentum relationship is found to be linear, yet its slope is unusual - either exceeding one or even being negative. Our results may initiate more fundamental considerations related to non-reciprocal wave interactions that are useful for designing novel non-Hermitian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08:27 ---</w:t>
      </w:r>
    </w:p>
    <w:p>
      <w:pPr>
        <w:pStyle w:val="Heading2"/>
      </w:pPr>
      <w:r/>
      <w:r>
        <w:rPr>
          <w:rFonts w:ascii="Times New Roman" w:hAnsi="Times New Roman" w:eastAsia="宋体"/>
          <w:b/>
          <w:color w:val="000000"/>
          <w:sz w:val="24"/>
        </w:rPr>
        <w:t>用于单次全斯托克斯映射的反射式元光栅旋光计：迈向数字组织病理学</w:t>
      </w:r>
    </w:p>
    <w:p>
      <w:r>
        <w:rPr>
          <w:rFonts w:ascii="Times New Roman" w:hAnsi="Times New Roman" w:eastAsia="宋体"/>
          <w:b/>
          <w:color w:val="003264"/>
          <w:sz w:val="24"/>
        </w:rPr>
        <w:t>Reflective metagrating polarimeter for single-shot full stokes mapping: toward digital histopathology</w:t>
      </w:r>
    </w:p>
    <w:p>
      <w:r>
        <w:rPr>
          <w:rFonts w:ascii="Times New Roman" w:hAnsi="Times New Roman" w:eastAsia="宋体"/>
          <w:sz w:val="21"/>
        </w:rPr>
        <w:t>作者: Paul Thrane, Chao Meng, Alexander Bykov, Oleksii Sieryi, Fei Ding, Igor Meglinski, Christopher A. Dirdal, Sergey I. Bozhevolnyi</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https://doi.org/10.37188/lam.2026.030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用于集成光学衍射器件的石英上支持激光纳米打印的多级纳米级相位编码</w:t>
      </w:r>
    </w:p>
    <w:p>
      <w:r>
        <w:rPr>
          <w:rFonts w:ascii="Times New Roman" w:hAnsi="Times New Roman" w:eastAsia="宋体"/>
          <w:b/>
          <w:color w:val="003264"/>
          <w:sz w:val="24"/>
        </w:rPr>
        <w:t>Laser-nanoprinting-enabled multilevel nanoscale phase encoding on quartz for integrated optical diffractive devices</w:t>
      </w:r>
    </w:p>
    <w:p>
      <w:r>
        <w:rPr>
          <w:rFonts w:ascii="Times New Roman" w:hAnsi="Times New Roman" w:eastAsia="宋体"/>
          <w:sz w:val="21"/>
        </w:rPr>
        <w:t>作者: Haitao Luan, Youtao Xing, Yuchi Bai, Yibo Dong, Min Gu</w:t>
        <w:br/>
      </w:r>
      <w:r>
        <w:rPr>
          <w:rFonts w:ascii="Times New Roman" w:hAnsi="Times New Roman" w:eastAsia="宋体"/>
          <w:sz w:val="21"/>
        </w:rPr>
        <w:t xml:space="preserve">时间: 2026 | </w:t>
      </w:r>
      <w:r>
        <w:t xml:space="preserve">链接: </w:t>
      </w:r>
      <w:hyperlink r:id="rId57">
        <w:r>
          <w:rPr>
            <w:rFonts w:ascii="Times New Roman" w:hAnsi="Times New Roman" w:eastAsia="宋体"/>
            <w:color w:val="0000FF"/>
            <w:sz w:val="21"/>
            <w:u w:val="single"/>
          </w:rPr>
          <w:t>https://doi.org/10.37188/lam.2026.031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08:28 ---</w:t>
      </w:r>
    </w:p>
    <w:p>
      <w:pPr>
        <w:pStyle w:val="Heading2"/>
      </w:pPr>
      <w:r/>
      <w:r>
        <w:rPr>
          <w:rFonts w:ascii="Times New Roman" w:hAnsi="Times New Roman" w:eastAsia="宋体"/>
          <w:b/>
          <w:color w:val="000000"/>
          <w:sz w:val="24"/>
        </w:rPr>
        <w:t>用于评估药物-细胞相互作用的高光谱相干反斯托克斯拉曼散射体积投影显微镜</w:t>
      </w:r>
    </w:p>
    <w:p>
      <w:r>
        <w:rPr>
          <w:rFonts w:ascii="Times New Roman" w:hAnsi="Times New Roman" w:eastAsia="宋体"/>
          <w:b/>
          <w:color w:val="003264"/>
          <w:sz w:val="24"/>
        </w:rPr>
        <w:t>Hyperspectral coherent anti-Stokes Raman scattering volumetric projection microscopy for assessing drug–cell interaction</w:t>
      </w:r>
    </w:p>
    <w:p>
      <w:r>
        <w:rPr>
          <w:rFonts w:ascii="Times New Roman" w:hAnsi="Times New Roman" w:eastAsia="宋体"/>
          <w:sz w:val="21"/>
        </w:rPr>
        <w:t>作者: Chao Zhang, Yanping Li, Qianglong Yang, Ye Fang, Guangbo Zhang, Sisi Zhou, Rui Hu, Junle Qu, Liwei Liu</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https://doi.org/10.1364/boe.584061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滴作为反映细胞生理状态的动态细胞器，不仅为细胞生命活动提供必需物质，而且其定量分析对于评价药效至关重要。相干反斯托克斯拉曼散射（CARS）显微镜具有免标记、非侵入性、高灵敏度、亚微米分辨率等成像优势，是药效评估的理想工具。然而，传统的高斯光束激发的CARS显微镜需要长时间聚焦进行3D断层扫描，耗时长，造成明显的光损伤，并且容易改变细胞微环境，影响脂滴比例定量分析的准确性。我们采用双贝塞尔光束激发CARS信号，将景深提高5倍，分辨率提高1.17倍，从而能够通过单次2D扫描获取3D信息和体积拉曼光谱。通过光谱相量分割检测用盐酸阿霉素梯度浓度处理的 HeLa 细胞，发现与药物作用相关的脂滴积累减少，支持脂滴的快速定量可视化和药物-细胞相互作用的研究。</w:t>
      </w:r>
    </w:p>
    <w:p>
      <w:pPr>
        <w:spacing w:before="120"/>
      </w:pPr>
      <w:r>
        <w:rPr>
          <w:rFonts w:ascii="Times New Roman" w:hAnsi="Times New Roman" w:eastAsia="宋体"/>
          <w:b/>
          <w:sz w:val="21"/>
        </w:rPr>
        <w:t>English Abstract:</w:t>
      </w:r>
    </w:p>
    <w:p>
      <w:r>
        <w:rPr>
          <w:rFonts w:ascii="Times New Roman" w:hAnsi="Times New Roman" w:eastAsia="宋体"/>
          <w:sz w:val="21"/>
        </w:rPr>
        <w:t>As dynamic organelles reflecting cellular physiological states, lipid droplets not only provide essential substances for cellular life activities, but also their quantitative analysis is crucial for evaluating drug efficacy. Coherent anti-Stokes Raman scattering (CARS) microscopy, with imaging advantages including label-free, non-invasive, high sensitivity, and submicron resolution, is an ideal tool for drug efficacy assessment. However, traditional CARS microscopy excited by Gaussian beams requires prolonged focusing for 3D tomography, which is time-consuming, causes significant photodamage, and easily alters the cellular microenvironment, affecting the accuracy of quantitative analysis of lipid droplet proportion. We adopted dual Bessel beams to excite CARS signals, increasing the depth of field by 5 times and resolution by 1.17 times, enabling 3D information and volumetric Raman spectra acquisition with a single 2D scan. Detecting HeLa cells treated with gradient concentrations of doxorubicin hydrochloride via spectral phasor segmentation revealed reduced lipid droplet accumulation correlated with drug effect, supporting rapid quantitative visualization of lipid droplets and research on drug-cell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在多发性硬化症小鼠模型中使用三次谐波发生显微镜对体内皮层下白质降解进行无标记跟踪</w:t>
      </w:r>
    </w:p>
    <w:p>
      <w:r>
        <w:rPr>
          <w:rFonts w:ascii="Times New Roman" w:hAnsi="Times New Roman" w:eastAsia="宋体"/>
          <w:b/>
          <w:color w:val="003264"/>
          <w:sz w:val="24"/>
        </w:rPr>
        <w:t>Label-free tracking of subcortical white matter degradation in vivo using third harmonic generation microscopy in a mouse model of multiple sclerosis</w:t>
      </w:r>
    </w:p>
    <w:p>
      <w:r>
        <w:rPr>
          <w:rFonts w:ascii="Times New Roman" w:hAnsi="Times New Roman" w:eastAsia="宋体"/>
          <w:sz w:val="21"/>
        </w:rPr>
        <w:t>作者: Nicole E. Chernavsky, Nuri Hong, Lianne J. Trigiani, Nozomi Nishimura, Chris B. Schaffer</w:t>
        <w:br/>
      </w:r>
      <w:r>
        <w:rPr>
          <w:rFonts w:ascii="Times New Roman" w:hAnsi="Times New Roman" w:eastAsia="宋体"/>
          <w:sz w:val="21"/>
        </w:rPr>
        <w:t xml:space="preserve">时间: 2026-01-29 | </w:t>
      </w:r>
      <w:r>
        <w:t xml:space="preserve">链接: </w:t>
      </w:r>
      <w:hyperlink r:id="rId59">
        <w:r>
          <w:rPr>
            <w:rFonts w:ascii="Times New Roman" w:hAnsi="Times New Roman" w:eastAsia="宋体"/>
            <w:color w:val="0000FF"/>
            <w:sz w:val="21"/>
            <w:u w:val="single"/>
          </w:rPr>
          <w:t>https://doi.org/10.1364/boe.576538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 (WM) 中髓磷脂降解的表征对于理解神经变性非常重要。我们使用三次谐波发生 (THG) 显微镜在 1320 nm 激发下，通过完整的皮质，展示了小鼠 WM 中髓磷脂结构的无标记体内成像。多发性硬化症小鼠模型中相同轴突的纵向 THG 成像揭示了髓磷脂起泡的动态。此外，我们测量了 Ranvier 体内节点的结内距离，并根据最亮 THG 信号的空间浓度开发了一种新的髓磷脂结构变化指标。我们还通过与 THG 显微镜并行成像 WM 中的 GFP 标记的小胶质细胞，证明了与三光子激发荧光显微镜的兼容性，从而能够详细跟踪神经退行性疾病模型中的皮层下髓磷脂和其他细胞动力学。</w:t>
      </w:r>
    </w:p>
    <w:p>
      <w:pPr>
        <w:spacing w:before="120"/>
      </w:pPr>
      <w:r>
        <w:rPr>
          <w:rFonts w:ascii="Times New Roman" w:hAnsi="Times New Roman" w:eastAsia="宋体"/>
          <w:b/>
          <w:sz w:val="21"/>
        </w:rPr>
        <w:t>English Abstract:</w:t>
      </w:r>
    </w:p>
    <w:p>
      <w:r>
        <w:rPr>
          <w:rFonts w:ascii="Times New Roman" w:hAnsi="Times New Roman" w:eastAsia="宋体"/>
          <w:sz w:val="21"/>
        </w:rPr>
        <w:t>Characterization of myelin degradation in the white matter (WM) is important for understanding neurodegeneration. We demonstrate label-free in vivo imaging of myelin structure in the WM of mice, through intact cortex, using third harmonic generation (THG) microscopy at 1320-nm excitation. Longitudinal THG imaging of the same axons in the cuprizone mouse model of multiple sclerosis revealed dynamics of myelin blistering. Further, we measured intranodal distance at nodes of Ranvier in vivo and developed a novel metric of myelin structural change based on spatial concentration of the brightest THG signal. We also demonstrated compatibility with three-photon excited fluorescence microscopy by imaging GFP-labeled microglia in the WM in parallel with THG microscopy, thereby enabling detailed tracking of subcortical myelin and other cellular dynamics in neurodegenerative disease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用于软样品同步相位和弹性映射的在线机械振动全息术</w:t>
      </w:r>
    </w:p>
    <w:p>
      <w:r>
        <w:rPr>
          <w:rFonts w:ascii="Times New Roman" w:hAnsi="Times New Roman" w:eastAsia="宋体"/>
          <w:b/>
          <w:color w:val="003264"/>
          <w:sz w:val="24"/>
        </w:rPr>
        <w:t>Inline mechano-vibration holography for simultaneous phase and elasticity mapping of soft samples</w:t>
      </w:r>
    </w:p>
    <w:p>
      <w:r>
        <w:rPr>
          <w:rFonts w:ascii="Times New Roman" w:hAnsi="Times New Roman" w:eastAsia="宋体"/>
          <w:sz w:val="21"/>
        </w:rPr>
        <w:t>作者: Hasan Berkay Abdioglu, Yagmur Isik, Merve Sevgi, Esmahan Caglar, Gokhan Bora Esmer, Huseyin Uvet, Ali Anil Demircali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https://doi.org/10.1364/boe.584264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离轴全息术可以实现单次相位检索，但会减少空间带宽，而内联相移干涉测量法可以保留带宽，但需要参考路径步进，并且对漂移敏感，从而限制了动态测量。此外，粘弹性映射很少能从相同的全息测量中获得。我们提出了振动编码在线马赫-曾德尔全息术，用于同时绘制软样品的厚度和粘弹性图。使用基于贝塞尔的谐波反演和鲁棒回归分析在一个振动周期内获取的十二张全息图，以恢复静态相位、调制深度和相位滞后、屈服厚度以及开尔文-沃伊特存储和损耗模量图（E '，E ''）。模拟在较宽的 E ''/ E ' 范围内将 E ' 和 E '' 恢复到 ~2% 以内，并在 20-45 μm 珠子上实现亚微米厚度误差。校准聚丙烯酰胺珠的实验显示亚微米厚度重复性（40 次重复的中位数~0.57 μm）和刚度估计通常在地面真实值的 10% 以内，我们进一步在贴壁 MCF-7 细胞上证明了该方法。</w:t>
      </w:r>
    </w:p>
    <w:p>
      <w:pPr>
        <w:spacing w:before="120"/>
      </w:pPr>
      <w:r>
        <w:rPr>
          <w:rFonts w:ascii="Times New Roman" w:hAnsi="Times New Roman" w:eastAsia="宋体"/>
          <w:b/>
          <w:sz w:val="21"/>
        </w:rPr>
        <w:t>English Abstract:</w:t>
      </w:r>
    </w:p>
    <w:p>
      <w:r>
        <w:rPr>
          <w:rFonts w:ascii="Times New Roman" w:hAnsi="Times New Roman" w:eastAsia="宋体"/>
          <w:sz w:val="21"/>
        </w:rPr>
        <w:t>Off-axis holography enables single-shot phase retrieval but reduces spatial bandwidth, while in-line phase-shifting interferometry preserves bandwidth yet requires reference-path stepping and is sensitive to drift, limiting dynamic measurements. Moreover, viscoelastic mapping is rarely available from the same holographic measurement. We propose vibration-encoded in-line Mach-Zehnder holography for simultaneous thickness and viscoelasticity mapping of soft samples. Twelve holograms acquired over one vibration cycle are analyzed using Bessel-based harmonic inversion and robust regression to recover the static phase, modulation depth, and phase lag, yielding thickness and Kelvin-Voigt storage and loss modulus maps ( E ′, E ″). Simulations recover E ′ and E ′′ to within ∼2% across a wide E ′′/ E ′ range and achieve sub-micron thickness error over 20-45 μ m beads. Experiments on calibrated polyacrylamide beads show sub-micron thickness repeatability (median ∼0.57 μ m over 40 repeats) and stiffness estimates typically within 10% of ground truth, and we further demonstrate the approach on adherent MCF-7 cells.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通过近红外快照高光谱成像实时监测蒸散动态</w:t>
      </w:r>
    </w:p>
    <w:p>
      <w:r>
        <w:rPr>
          <w:rFonts w:ascii="Times New Roman" w:hAnsi="Times New Roman" w:eastAsia="宋体"/>
          <w:b/>
          <w:color w:val="003264"/>
          <w:sz w:val="24"/>
        </w:rPr>
        <w:t>Real-time monitoring of evapotranspiration dynamics through snapshot hyperspectral imaging at near-infrared</w:t>
      </w:r>
    </w:p>
    <w:p>
      <w:r>
        <w:rPr>
          <w:rFonts w:ascii="Times New Roman" w:hAnsi="Times New Roman" w:eastAsia="宋体"/>
          <w:sz w:val="21"/>
        </w:rPr>
        <w:t>作者: Desheng Zheng, Roger McNichols, Haimu Cao, Christopher Flynn, Razvan I. Stoian, Jiawei Lu, Bruce C. Kindel, Ethan Gutmann, David Alexander, Tomasz S. Tkaczyk</w:t>
        <w:br/>
      </w:r>
      <w:r>
        <w:rPr>
          <w:rFonts w:ascii="Times New Roman" w:hAnsi="Times New Roman" w:eastAsia="宋体"/>
          <w:sz w:val="21"/>
        </w:rPr>
        <w:t xml:space="preserve">时间: 2026-01-12 | </w:t>
      </w:r>
      <w:r>
        <w:t xml:space="preserve">链接: </w:t>
      </w:r>
      <w:hyperlink r:id="rId51">
        <w:r>
          <w:rPr>
            <w:rFonts w:ascii="Times New Roman" w:hAnsi="Times New Roman" w:eastAsia="宋体"/>
            <w:color w:val="0000FF"/>
            <w:sz w:val="21"/>
            <w:u w:val="single"/>
          </w:rPr>
          <w:t>https://doi.org/10.1364/optcon.580185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监测大气水蒸气动态对于许多大气和水文应用非常重要，从天气预报和农业实践到气候影响和洪水防备。为了提高监测水蒸气动力学的传统方法的时空分辨率，我们开发了一种在近红外范围（跨度 1100 nm 至 1300 nm）运行的快照光谱成像仪。该成像仪采用定制设计的光纤束重新映射和棱镜色散技术。通过覆盖 1140 nm 处的水蒸气敏感波段和 1260 nm 处的水蒸气不敏感波段，我们的系统有望在挑战传统测量技术的许多异质环境中跟踪水蒸气动态。通过细致的光机械设计，当前的加固配置保持便携性，同时保持约 35,000 个位置的自适应空间采样和 20 多个自适应光谱采样通道。实验室测试验证了其灵敏度，能够检测小至 70 微米的可沉淀水蒸气的变化。在各种植被类型上进行的现场实验展示了成像仪的功效，并证明了成像仪监测不同景观中水蒸气的时间和空间波动的能力。水指数变化的实时绘图为大气、环境、农业和太阳能研究等多种应用带来了希望。此处描述的仪器实现的实时测量提供了监测水蒸气的新功能。</w:t>
      </w:r>
    </w:p>
    <w:p>
      <w:pPr>
        <w:spacing w:before="120"/>
      </w:pPr>
      <w:r>
        <w:rPr>
          <w:rFonts w:ascii="Times New Roman" w:hAnsi="Times New Roman" w:eastAsia="宋体"/>
          <w:b/>
          <w:sz w:val="21"/>
        </w:rPr>
        <w:t>English Abstract:</w:t>
      </w:r>
    </w:p>
    <w:p>
      <w:r>
        <w:rPr>
          <w:rFonts w:ascii="Times New Roman" w:hAnsi="Times New Roman" w:eastAsia="宋体"/>
          <w:sz w:val="21"/>
        </w:rPr>
        <w:t>Monitoring atmospheric water vapor dynamics is important for many atmospheric and hydrologic applications, ranging from weather forecasting and agricultural practices to climate impacts and flood preparedness. To improve the spatiotemporal resolution of conventional methods for monitoring water vapor dynamics, we have developed a snapshot spectral imager operating in the near-infrared range, spanning 1100 nm to 1300 nm. This imager utilizes a custom-designed fiber bundle remapping and prism dispersion technique. By covering the vapor-sensitive band at 1140 nm and the water vapor-insensitive shoulder at 1260 nm, our system holds promise for tracking water vapor dynamics across many heterogeneous environments that challenge traditional measurement techniques. Through meticulous optomechanical design, the current ruggedized configuration remains portable while maintaining an adaptive spatial sampling of approximately 35,000 locations and over 20 adaptive spectral sampling channels. Laboratory tests have validated its sensitivity, capable of detecting changes as small as 70 micrometers of precipitable water vapor. Field experiments conducted across various vegetation types have showcased the imager's efficacy and demonstrated the imager's ability to monitor temporal and spatial fluctuations in water vapor across different landscapes. Real-time mapping of water index variations holds promise for diverse applications, including atmospheric, environmental, agricultural, and solar energy research. The real-time measurements enabled by the instrument described here provide new capabilities to monitor water vapor.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基于掺镱光纤和非线性光纤的全光纤类噪声脉冲生成，工作波长约为 1040–1060 nm</w:t>
      </w:r>
    </w:p>
    <w:p>
      <w:r>
        <w:rPr>
          <w:rFonts w:ascii="Times New Roman" w:hAnsi="Times New Roman" w:eastAsia="宋体"/>
          <w:b/>
          <w:color w:val="003264"/>
          <w:sz w:val="24"/>
        </w:rPr>
        <w:t>All-fiber noise-like pulse generation based on Yb-doped fiber and nonlinear fibers operating around 1040–1060 nm wavelengths</w:t>
      </w:r>
    </w:p>
    <w:p>
      <w:r>
        <w:rPr>
          <w:rFonts w:ascii="Times New Roman" w:hAnsi="Times New Roman" w:eastAsia="宋体"/>
          <w:sz w:val="21"/>
        </w:rPr>
        <w:t>作者: Yu-Fang Su, Pei-Ying Tsai, Jia-Ming Liu</w:t>
        <w:br/>
      </w:r>
      <w:r>
        <w:rPr>
          <w:rFonts w:ascii="Times New Roman" w:hAnsi="Times New Roman" w:eastAsia="宋体"/>
          <w:sz w:val="21"/>
        </w:rPr>
        <w:t xml:space="preserve">时间: 2026-01-06 | </w:t>
      </w:r>
      <w:r>
        <w:t xml:space="preserve">链接: </w:t>
      </w:r>
      <w:hyperlink r:id="rId61">
        <w:r>
          <w:rPr>
            <w:rFonts w:ascii="Times New Roman" w:hAnsi="Times New Roman" w:eastAsia="宋体"/>
            <w:color w:val="0000FF"/>
            <w:sz w:val="21"/>
            <w:u w:val="single"/>
          </w:rPr>
          <w:t>https://doi.org/10.1364/optcon.580971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我们展示了一种紧凑型全光纤被动锁模掺镱光纤（YDF）激光器，它通过非线性偏振旋转产生高质量的类噪声脉冲（NLP）。该系统采用 976 nm 激光二极管进行泵浦，并具有完全熔接腔，消除了对对准敏感的自由空间组件。为了增强非线性效应并确保稳定的 NLP 生成，我们探索了几种高度非线性的光纤配置，包括超高数值孔径（UHNA3）光纤和零色散波长为 760 nm 的光子晶体光纤（PCF）。该激光器的发射波长范围为 1040–1060 nm，平均输出功率可在 20 mW 至 35 mW 范围内调节，具体取决于腔体配置。最佳性能是通过混合配置实现的，该混合配置由夹在两个 10 cm UHNA3 光纤段之间的 20 cm PCF 段组成，在 1042.8 nm 处产生稳定的锁模，平均输出功率为 31.5 mW，脉冲具有 23.05 ps 包络和 105.1 fs 子结构。与之前报道的基于非线性偏振旋转的系统相比，我们的设计实现了显着更短的脉冲持续时间和更对称的光谱，同时保持了稳健的免对准架构。这些结果凸显了非线性增强和色散管理在高效脉冲整形和宽带频谱生成中的重要性。由于其稳定性、紧凑性和优异的脉冲质量，所提出的激光器在超连续谱产生、超快计量、光通信和量子光子学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all-fiber passively mode-locked ytterbium-doped fiber (YDF) laser that generates high-quality noise-like pulses (NLPs) via nonlinear polarization rotation. The system employs a 976 nm laser diode for pumping and features a fully fusion-spliced cavity, eliminating alignment-sensitive free-space components. To enhance nonlinear effects and ensure stable NLP generation, we explored several highly nonlinear fiber configurations, including ultra-high numerical aperture (UHNA3) fiber and photonic crystal fiber (PCF) with a zero-dispersion wavelength at 760 nm. The laser exhibits emission in the 1040–1060 nm wavelength range, with an average output power tunable from 20 mW to 35 mW depending on the cavity configuration. The best performance was achieved with a hybrid configuration consisting of a 20-cm PCF segment sandwiched between two 10-cm UHNA3 fiber segments, producing stable mode-locking at 1042.8 nm with a 31.5 mW average output power and pulses featuring a 23.05 ps envelope with 105.1 fs substructures. Compared to previously reported systems based on nonlinear polarization rotation, our design achieves significantly shorter pulse durations and more symmetric spectra, all while maintaining a robust, alignment-free architecture. These results highlight the importance of nonlinear enhancement and dispersion management in efficient pulse shaping and broadband spectral generation. Owing to its stability, compactness, and superior pulse quality, the proposed laser shows strong potential for applications in supercontinuum generation, ultrafast metrology, optical communications, and quantum photonics.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08:28 ---</w:t>
      </w:r>
    </w:p>
    <w:p>
      <w:pPr>
        <w:pStyle w:val="Heading2"/>
      </w:pPr>
      <w:r/>
      <w:r>
        <w:rPr>
          <w:rFonts w:ascii="Times New Roman" w:hAnsi="Times New Roman" w:eastAsia="宋体"/>
          <w:b/>
          <w:color w:val="000000"/>
          <w:sz w:val="24"/>
        </w:rPr>
        <w:t>用于高对比度结构照明显微镜的幅度和相位可编程双色光子芯片</w:t>
      </w:r>
    </w:p>
    <w:p>
      <w:r>
        <w:rPr>
          <w:rFonts w:ascii="Times New Roman" w:hAnsi="Times New Roman" w:eastAsia="宋体"/>
          <w:b/>
          <w:color w:val="003264"/>
          <w:sz w:val="24"/>
        </w:rPr>
        <w:t>Amplitude- and Phase-Programmable Dual-Color Photonic Chip for High-Contrast Structured Illumination Microscopy</w:t>
      </w:r>
    </w:p>
    <w:p>
      <w:r>
        <w:rPr>
          <w:rFonts w:ascii="Times New Roman" w:hAnsi="Times New Roman" w:eastAsia="宋体"/>
          <w:sz w:val="21"/>
        </w:rPr>
        <w:t>作者: Paolo Maran, Abhiram Rajan, Francesco Ceccarelli, Roberto Osellame, Petra Paiè, Alessia Candeo, Francesca Bragheri, Andrea Bassi</w:t>
        <w:br/>
      </w:r>
      <w:r>
        <w:rPr>
          <w:rFonts w:ascii="Times New Roman" w:hAnsi="Times New Roman" w:eastAsia="宋体"/>
          <w:sz w:val="21"/>
        </w:rPr>
        <w:t xml:space="preserve">时间: 2026-02-08 | </w:t>
      </w:r>
      <w:r>
        <w:t xml:space="preserve">链接: </w:t>
      </w:r>
      <w:hyperlink r:id="rId52">
        <w:r>
          <w:rPr>
            <w:rFonts w:ascii="Times New Roman" w:hAnsi="Times New Roman" w:eastAsia="宋体"/>
            <w:color w:val="0000FF"/>
            <w:sz w:val="21"/>
            <w:u w:val="single"/>
          </w:rPr>
          <w:t>https://doi.org/10.1021/acsphotonics.5c02733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基于聚焦表面等离子体场和空间光谱融合方法的片上太赫兹干涉传感</w:t>
      </w:r>
    </w:p>
    <w:p>
      <w:r>
        <w:rPr>
          <w:rFonts w:ascii="Times New Roman" w:hAnsi="Times New Roman" w:eastAsia="宋体"/>
          <w:b/>
          <w:color w:val="003264"/>
          <w:sz w:val="24"/>
        </w:rPr>
        <w:t>On-Chip Terahertz Interferometric Sensing Based on Focused Surface Plasmonic Field and Spatial Spectral Fusion Methodology</w:t>
      </w:r>
    </w:p>
    <w:p>
      <w:r>
        <w:rPr>
          <w:rFonts w:ascii="Times New Roman" w:hAnsi="Times New Roman" w:eastAsia="宋体"/>
          <w:sz w:val="21"/>
        </w:rPr>
        <w:t>作者: Chengwei Song, Yiming Wang, Yunyun Ji, Peng Shen, Shiqiang Zhao, Liang Ma, Xianghui Wang, Shengjiang Chang, Fei Fan</w:t>
        <w:br/>
      </w:r>
      <w:r>
        <w:rPr>
          <w:rFonts w:ascii="Times New Roman" w:hAnsi="Times New Roman" w:eastAsia="宋体"/>
          <w:sz w:val="21"/>
        </w:rPr>
        <w:t xml:space="preserve">时间: 2026-02-09 | </w:t>
      </w:r>
      <w:r>
        <w:t xml:space="preserve">链接: </w:t>
      </w:r>
      <w:hyperlink r:id="rId53">
        <w:r>
          <w:rPr>
            <w:rFonts w:ascii="Times New Roman" w:hAnsi="Times New Roman" w:eastAsia="宋体"/>
            <w:color w:val="0000FF"/>
            <w:sz w:val="21"/>
            <w:u w:val="single"/>
          </w:rPr>
          <w:t>https://doi.org/10.1021/acsphotonics.5c03087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11:28 ---</w:t>
      </w:r>
    </w:p>
    <w:p>
      <w:pPr>
        <w:pStyle w:val="Heading2"/>
      </w:pPr>
      <w:r/>
      <w:r>
        <w:rPr>
          <w:rFonts w:ascii="Times New Roman" w:hAnsi="Times New Roman" w:eastAsia="宋体"/>
          <w:b/>
          <w:color w:val="000000"/>
          <w:sz w:val="24"/>
        </w:rPr>
        <w:t>通过调制和加权微环谐振器实现紧凑、可重构和可扩展的光子神经元</w:t>
      </w:r>
    </w:p>
    <w:p>
      <w:r>
        <w:rPr>
          <w:rFonts w:ascii="Times New Roman" w:hAnsi="Times New Roman" w:eastAsia="宋体"/>
          <w:b/>
          <w:color w:val="003264"/>
          <w:sz w:val="24"/>
        </w:rPr>
        <w:t>Compact, reconfigurable, and scalable photonic neurons by modulation-and-weighting microring resonators</w:t>
      </w:r>
    </w:p>
    <w:p>
      <w:r>
        <w:rPr>
          <w:rFonts w:ascii="Times New Roman" w:hAnsi="Times New Roman" w:eastAsia="宋体"/>
          <w:sz w:val="21"/>
        </w:rPr>
        <w:t>作者: Weipeng Zhang, Yuxin Wang, Joshua C. Lederman, Bhavin J. Shastri, Paul R. Prucnal</w:t>
        <w:br/>
      </w:r>
      <w:r>
        <w:rPr>
          <w:rFonts w:ascii="Times New Roman" w:hAnsi="Times New Roman" w:eastAsia="宋体"/>
          <w:sz w:val="21"/>
        </w:rPr>
        <w:t xml:space="preserve">时间: 2026-02-09 | </w:t>
      </w:r>
      <w:r>
        <w:t xml:space="preserve">链接: </w:t>
      </w:r>
      <w:hyperlink r:id="rId58">
        <w:r>
          <w:rPr>
            <w:rFonts w:ascii="Times New Roman" w:hAnsi="Times New Roman" w:eastAsia="宋体"/>
            <w:color w:val="0000FF"/>
            <w:sz w:val="21"/>
            <w:u w:val="single"/>
          </w:rPr>
          <w:t>https://doi.org/10.1186/s43593-026-00122-3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神经形态光子学有望实现亚纳秒延迟、超宽带宽和高并行性，但实际的可扩展性受到制造公差、光谱对准和调谐能量的限制。在这里，我们提出了一种大规模、紧凑且可重构的光子神经元，其中每个微环同时执行调制和加权。通过在单个器件内利用载流子和热调谐，该架构减少了占地面积，放宽了对两个光学元件的光谱对准要求，并产生陡峭的传输响应，从而降低了调谐能量。所提出的神经元支持多种操作配置，使其动态行为能够适应不同的计算任务。特别是，短的电反馈路径可以实现循环操作，为时间处理提供可调的短期和长期记忆。使用 10 微环谐振器阵列，我们演示了空间和时间计算，包括用于图像处理的 3 $$\times$$ × 3 卷积，误差 &lt;5% 和高频金融时间序列预测。每个调制加权元素占用 80 $$\times$$ × 45 $$\upmu$$ μ m $$^2$$ 2 ，平均消耗 0.186 mW ，对应于 4.67 TOPS/s/mm $$^2$$ 2 的计算密度。不计电子功率，片上调谐效率达到约 105 TOPs/W，与最先进的实现相当。这些结果表明，调制和加权微环谐振器组为大规模神经形态光子系统提供了可扩展的构建块，提供了紧凑的占地面积、低功耗和功能灵活性的有利组合。</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photonics promises sub-nanosecond latency, ultrawide bandwidth, and high parallelism, but practical scalability is constrained by fabrication tolerances, spectral alignment, and tuning energy. Here, we present a large-scale, compact, and reconfigurable photonic neuron in which each microring performs modulation and weighting simultaneously. By exploiting both carrier and thermal tuning within a single device, this architecture reduces footprint, relaxes spectral alignment requirements to just two optical components, and yields a steep transfer response that lowers tuning energy. The proposed neuron supports multiple operating configurations, allowing its dynamical behavior to be adapted to different computational tasks. In particular, a short electrical feedback path enables recurrent operation, providing tunable short- and long-term memory for temporal processing. Using a 10-microring resonator array, we demonstrate both spatial and temporal computing, including a 3 $$\times$$ × 3 convolution for image processing with an error of &lt;5% and high-frequency financial time-series prediction. Each modulation-weighting element occupies 80 $$\times$$ × 45 $$\upmu$$ μ m $$^2$$ 2 and consumes an average of 0.186 mW, corresponding to a compute density of 4.67 TOPS/s/mm $$^2$$ 2 . Excluding electronic power, the on-chip tuning efficiency reaches approximately 105 TOPs/W, which is comparable to state-of-the-art implementations. These results indicate that modulation-and-weighting microring resonator banks provide a scalable building block for large-scale neuromorphic photonic systems, offering a favorable combination of compact footprint, low power consumption, and functional flexibility.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11:28 ---</w:t>
      </w:r>
    </w:p>
    <w:p>
      <w:pPr>
        <w:pStyle w:val="Heading2"/>
      </w:pPr>
      <w:r/>
      <w:r>
        <w:rPr>
          <w:rFonts w:ascii="Times New Roman" w:hAnsi="Times New Roman" w:eastAsia="宋体"/>
          <w:b/>
          <w:color w:val="000000"/>
          <w:sz w:val="24"/>
        </w:rPr>
        <w:t>具有光电倍增功能的可调谐可见光/近红外双窄带有机光电探测器，用于抗干扰光通信</w:t>
      </w:r>
    </w:p>
    <w:p>
      <w:r>
        <w:rPr>
          <w:rFonts w:ascii="Times New Roman" w:hAnsi="Times New Roman" w:eastAsia="宋体"/>
          <w:b/>
          <w:color w:val="003264"/>
          <w:sz w:val="24"/>
        </w:rPr>
        <w:t>Tunable Visible/NIR Dual‐Narrowband Organic Photodetectors with Photomultiplication for Interference‐Resistant Optical Communication</w:t>
      </w:r>
    </w:p>
    <w:p>
      <w:r>
        <w:rPr>
          <w:rFonts w:ascii="Times New Roman" w:hAnsi="Times New Roman" w:eastAsia="宋体"/>
          <w:sz w:val="21"/>
        </w:rPr>
        <w:t>作者: Xi Luo, Xin Hu, Ying Lu, Yifan Ji, Lu Lu, Guangyu Zhou, Dongdong Chu, Ning Li, Xiubao Sui, Qian Chen</w:t>
        <w:br/>
      </w:r>
      <w:r>
        <w:rPr>
          <w:rFonts w:ascii="Times New Roman" w:hAnsi="Times New Roman" w:eastAsia="宋体"/>
          <w:sz w:val="21"/>
        </w:rPr>
        <w:t xml:space="preserve">时间: 2026-02-09 | </w:t>
      </w:r>
      <w:r>
        <w:t xml:space="preserve">链接: </w:t>
      </w:r>
      <w:hyperlink r:id="rId62">
        <w:r>
          <w:rPr>
            <w:rFonts w:ascii="Times New Roman" w:hAnsi="Times New Roman" w:eastAsia="宋体"/>
            <w:color w:val="0000FF"/>
            <w:sz w:val="21"/>
            <w:u w:val="single"/>
          </w:rPr>
          <w:t>https://doi.org/10.1002/lpor.202502956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窄带光信号检测能力在光通信、精确目标识别等方面具有重要意义。本研究提出了一种基于单个器件光电特性协同调节的增益实现​​双窄带可见光/近红外检测的方法。该器件以背对背配置集成了两个不同的体异质结 (BHJ)，一个具有可见光，另一个具有近红外吸收。该设计可通过光电倍增实现偏置可切换的可见光/近红外双波段检测，这是通过调节外部电路的载流子注入来控制的。此外，通过结合光学微腔来调制光场分布，实现了可调谐可见光/近红外双窄带光电探测，并能够通过改变偏置极性来切换两个波长。例如，实现了 450 和 810 nm 的窄带响应，其中可以通过改变偏置极性来切换两种模式。在 450 nm 处获得 1050% 的峰值外量子效率 (EQE)，半峰全宽 (FWHM) 为 50 nm。在 810 nm 处观察到峰值 EQE 为 130%，FWHM 为 75 nm。值得注意的是，该器件在抗干扰光通信方面表现出优异的性能，无需额外的光滤波器即可运行。</w:t>
      </w:r>
    </w:p>
    <w:p>
      <w:pPr>
        <w:spacing w:before="120"/>
      </w:pPr>
      <w:r>
        <w:rPr>
          <w:rFonts w:ascii="Times New Roman" w:hAnsi="Times New Roman" w:eastAsia="宋体"/>
          <w:b/>
          <w:sz w:val="21"/>
        </w:rPr>
        <w:t>English Abstract:</w:t>
      </w:r>
    </w:p>
    <w:p>
      <w:r>
        <w:rPr>
          <w:rFonts w:ascii="Times New Roman" w:hAnsi="Times New Roman" w:eastAsia="宋体"/>
          <w:sz w:val="21"/>
        </w:rPr>
        <w:t>ABSTRACT The ability to detect narrowband optical signals is important in optical communication, precise target identification, etc. This study proposes a method to achieve dual‐narrowband visible/NIR detection with gain based on the synergistic regulation of optical and electrical properties of a single device. The device integrates two distinct bulk‐heterojunctions (BHJs), one with visible and the other with NIR absorption, in a back‐to‐back configuration. This design enables bias‐switchable visible/NIR dual‐band detection with photomultiplication, which is controlled by regulating carrier injection from the external circuit. Furthermore, by incorporating an optical microcavity to modulate the light field distribution, tunable visible/NIR dual‐narrowband photodetection is achieved, with a capability to switch the two wavelengths by changing the polarity of bias. For example, narrowband responses at 450 and 810 nm are achieved, where the two modes can be switched by changing the bias polarity. A peak external quantum efficiency (EQE) of 1050% is obtained at 450 nm with a full width at half maximum (FWHM) of 50 nm. A peak EQE of 130% with an FWHM of 75 nm is observed at 810 nm. Notably, this device demonstrates excellent performance in anti‐interference optical communication, operating without the need for additional optical filters.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598-026-36344-1" TargetMode="External"/><Relationship Id="rId11" Type="http://schemas.openxmlformats.org/officeDocument/2006/relationships/hyperlink" Target="https://doi.org/10.1038/s41598-026-38722-1" TargetMode="External"/><Relationship Id="rId12" Type="http://schemas.openxmlformats.org/officeDocument/2006/relationships/hyperlink" Target="https://doi.org/10.1038/s41598-026-39238-4" TargetMode="External"/><Relationship Id="rId13" Type="http://schemas.openxmlformats.org/officeDocument/2006/relationships/hyperlink" Target="https://doi.org/10.1038/s41598-026-38842-8" TargetMode="External"/><Relationship Id="rId14" Type="http://schemas.openxmlformats.org/officeDocument/2006/relationships/hyperlink" Target="https://doi.org/10.1038/s41598-026-37773-8" TargetMode="External"/><Relationship Id="rId15" Type="http://schemas.openxmlformats.org/officeDocument/2006/relationships/hyperlink" Target="https://doi.org/10.1038/s41598-026-39319-4" TargetMode="External"/><Relationship Id="rId16" Type="http://schemas.openxmlformats.org/officeDocument/2006/relationships/hyperlink" Target="https://doi.org/10.1038/s41598-026-39359-w" TargetMode="External"/><Relationship Id="rId17" Type="http://schemas.openxmlformats.org/officeDocument/2006/relationships/hyperlink" Target="https://doi.org/10.1038/s41598-026-38554-z" TargetMode="External"/><Relationship Id="rId18" Type="http://schemas.openxmlformats.org/officeDocument/2006/relationships/hyperlink" Target="https://doi.org/10.1038/s41598-026-39326-5" TargetMode="External"/><Relationship Id="rId19" Type="http://schemas.openxmlformats.org/officeDocument/2006/relationships/hyperlink" Target="https://doi.org/10.1038/s41598-026-39168-1" TargetMode="External"/><Relationship Id="rId20" Type="http://schemas.openxmlformats.org/officeDocument/2006/relationships/hyperlink" Target="https://doi.org/10.1038/s41598-026-39505-4" TargetMode="External"/><Relationship Id="rId21" Type="http://schemas.openxmlformats.org/officeDocument/2006/relationships/hyperlink" Target="https://doi.org/10.1038/s41598-026-39148-5" TargetMode="External"/><Relationship Id="rId22" Type="http://schemas.openxmlformats.org/officeDocument/2006/relationships/hyperlink" Target="https://doi.org/10.1038/s41598-026-39578-1" TargetMode="External"/><Relationship Id="rId23" Type="http://schemas.openxmlformats.org/officeDocument/2006/relationships/hyperlink" Target="https://doi.org/10.1038/s41598-026-38052-2" TargetMode="External"/><Relationship Id="rId24" Type="http://schemas.openxmlformats.org/officeDocument/2006/relationships/hyperlink" Target="https://doi.org/10.1038/s41598-026-39498-0" TargetMode="External"/><Relationship Id="rId25" Type="http://schemas.openxmlformats.org/officeDocument/2006/relationships/hyperlink" Target="https://doi.org/10.1038/s41598-026-39094-2" TargetMode="External"/><Relationship Id="rId26" Type="http://schemas.openxmlformats.org/officeDocument/2006/relationships/hyperlink" Target="https://doi.org/10.1038/s41598-026-39486-4" TargetMode="External"/><Relationship Id="rId27" Type="http://schemas.openxmlformats.org/officeDocument/2006/relationships/hyperlink" Target="https://doi.org/10.1038/s41598-026-36466-6" TargetMode="External"/><Relationship Id="rId28" Type="http://schemas.openxmlformats.org/officeDocument/2006/relationships/hyperlink" Target="https://doi.org/10.1038/s41598-026-38650-0" TargetMode="External"/><Relationship Id="rId29" Type="http://schemas.openxmlformats.org/officeDocument/2006/relationships/hyperlink" Target="https://doi.org/10.1038/s41598-026-39234-8" TargetMode="External"/><Relationship Id="rId30" Type="http://schemas.openxmlformats.org/officeDocument/2006/relationships/hyperlink" Target="https://doi.org/10.1038/s41598-026-38854-4" TargetMode="External"/><Relationship Id="rId31" Type="http://schemas.openxmlformats.org/officeDocument/2006/relationships/hyperlink" Target="https://doi.org/10.29026/oea.2026.250216" TargetMode="External"/><Relationship Id="rId32" Type="http://schemas.openxmlformats.org/officeDocument/2006/relationships/hyperlink" Target="https://doi.org/10.29026/oea.2026.250260" TargetMode="External"/><Relationship Id="rId33" Type="http://schemas.openxmlformats.org/officeDocument/2006/relationships/hyperlink" Target="https://doi.org/10.29026/oea.2026.250197" TargetMode="External"/><Relationship Id="rId34" Type="http://schemas.openxmlformats.org/officeDocument/2006/relationships/hyperlink" Target="https://doi.org/10.29026/oea.2026.250211" TargetMode="External"/><Relationship Id="rId35" Type="http://schemas.openxmlformats.org/officeDocument/2006/relationships/hyperlink" Target="https://doi.org/10.1016/j.displa.2026.103383" TargetMode="External"/><Relationship Id="rId36" Type="http://schemas.openxmlformats.org/officeDocument/2006/relationships/hyperlink" Target="https://doi.org/10.1016/j.optcom.2026.133007" TargetMode="External"/><Relationship Id="rId37" Type="http://schemas.openxmlformats.org/officeDocument/2006/relationships/hyperlink" Target="https://doi.org/10.1364/oe.587479" TargetMode="External"/><Relationship Id="rId38" Type="http://schemas.openxmlformats.org/officeDocument/2006/relationships/hyperlink" Target="https://doi.org/10.1364/oe.582434" TargetMode="External"/><Relationship Id="rId39" Type="http://schemas.openxmlformats.org/officeDocument/2006/relationships/hyperlink" Target="https://doi.org/10.1364/oe.577130" TargetMode="External"/><Relationship Id="rId40" Type="http://schemas.openxmlformats.org/officeDocument/2006/relationships/hyperlink" Target="https://doi.org/10.1364/oe.579542" TargetMode="External"/><Relationship Id="rId41" Type="http://schemas.openxmlformats.org/officeDocument/2006/relationships/hyperlink" Target="https://doi.org/10.1364/oe.575815" TargetMode="External"/><Relationship Id="rId42" Type="http://schemas.openxmlformats.org/officeDocument/2006/relationships/hyperlink" Target="https://doi.org/10.1364/oe.587571" TargetMode="External"/><Relationship Id="rId43" Type="http://schemas.openxmlformats.org/officeDocument/2006/relationships/hyperlink" Target="https://doi.org/10.1364/oe.584154" TargetMode="External"/><Relationship Id="rId44" Type="http://schemas.openxmlformats.org/officeDocument/2006/relationships/hyperlink" Target="https://doi.org/10.1364/oe.585950" TargetMode="External"/><Relationship Id="rId45" Type="http://schemas.openxmlformats.org/officeDocument/2006/relationships/hyperlink" Target="https://doi.org/10.1364/oe.582238" TargetMode="External"/><Relationship Id="rId46" Type="http://schemas.openxmlformats.org/officeDocument/2006/relationships/hyperlink" Target="https://doi.org/10.1038/s41377-025-02066-8" TargetMode="External"/><Relationship Id="rId47" Type="http://schemas.openxmlformats.org/officeDocument/2006/relationships/hyperlink" Target="https://doi.org/10.1038/s41598-026-38488-6" TargetMode="External"/><Relationship Id="rId48" Type="http://schemas.openxmlformats.org/officeDocument/2006/relationships/hyperlink" Target="https://doi.org/10.37188/lam.2026.030" TargetMode="External"/><Relationship Id="rId49" Type="http://schemas.openxmlformats.org/officeDocument/2006/relationships/hyperlink" Target="https://doi.org/10.1364/oe.584530" TargetMode="External"/><Relationship Id="rId50" Type="http://schemas.openxmlformats.org/officeDocument/2006/relationships/hyperlink" Target="https://doi.org/10.1364/boe.584061" TargetMode="External"/><Relationship Id="rId51" Type="http://schemas.openxmlformats.org/officeDocument/2006/relationships/hyperlink" Target="https://doi.org/10.1364/optcon.580185" TargetMode="External"/><Relationship Id="rId52" Type="http://schemas.openxmlformats.org/officeDocument/2006/relationships/hyperlink" Target="https://doi.org/10.1021/acsphotonics.5c02733" TargetMode="External"/><Relationship Id="rId53" Type="http://schemas.openxmlformats.org/officeDocument/2006/relationships/hyperlink" Target="https://doi.org/10.1021/acsphotonics.5c03087" TargetMode="External"/><Relationship Id="rId54" Type="http://schemas.openxmlformats.org/officeDocument/2006/relationships/hyperlink" Target="https://doi.org/10.1038/s41598-025-12335-6" TargetMode="External"/><Relationship Id="rId55" Type="http://schemas.openxmlformats.org/officeDocument/2006/relationships/hyperlink" Target="https://doi.org/10.1038/s41598-026-38618-0" TargetMode="External"/><Relationship Id="rId56" Type="http://schemas.openxmlformats.org/officeDocument/2006/relationships/hyperlink" Target="https://doi.org/10.1038/s41598-025-14549-0" TargetMode="External"/><Relationship Id="rId57" Type="http://schemas.openxmlformats.org/officeDocument/2006/relationships/hyperlink" Target="https://doi.org/10.37188/lam.2026.031" TargetMode="External"/><Relationship Id="rId58" Type="http://schemas.openxmlformats.org/officeDocument/2006/relationships/hyperlink" Target="https://doi.org/10.1186/s43593-026-00122-3" TargetMode="External"/><Relationship Id="rId59" Type="http://schemas.openxmlformats.org/officeDocument/2006/relationships/hyperlink" Target="https://doi.org/10.1364/boe.576538" TargetMode="External"/><Relationship Id="rId60" Type="http://schemas.openxmlformats.org/officeDocument/2006/relationships/hyperlink" Target="https://doi.org/10.1364/boe.584264" TargetMode="External"/><Relationship Id="rId61" Type="http://schemas.openxmlformats.org/officeDocument/2006/relationships/hyperlink" Target="https://doi.org/10.1364/optcon.580971" TargetMode="External"/><Relationship Id="rId62" Type="http://schemas.openxmlformats.org/officeDocument/2006/relationships/hyperlink" Target="https://doi.org/10.1002/lpor.202502956" TargetMode="External"/><Relationship Id="rId63" Type="http://schemas.openxmlformats.org/officeDocument/2006/relationships/hyperlink" Target="https://doi.org/10.1038/s41377-025-0213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