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通过跨层度量和 ℓ 2 , 0-范数稀疏重建进行结构化剪枝</w:t>
      </w:r>
    </w:p>
    <w:p>
      <w:r>
        <w:rPr>
          <w:rFonts w:ascii="Times New Roman" w:hAnsi="Times New Roman" w:eastAsia="宋体"/>
          <w:b/>
          <w:color w:val="003264"/>
          <w:sz w:val="24"/>
        </w:rPr>
        <w:t>Structured pruning via cross-layer metric and ℓ 2 , 0 -norm sparse reconstruction</w:t>
      </w:r>
    </w:p>
    <w:p>
      <w:r>
        <w:rPr>
          <w:rFonts w:ascii="Times New Roman" w:hAnsi="Times New Roman" w:eastAsia="宋体"/>
          <w:sz w:val="21"/>
        </w:rPr>
        <w:t>作者: Huoxiang Yang, Shuangyan Yi, Fanyang Meng, Wei Liu, Yongsheng Liang</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通过颜色通道恢复和双通道先验以及对比度约束进行去雾的水下图像恢复</w:t>
      </w:r>
    </w:p>
    <w:p>
      <w:r>
        <w:rPr>
          <w:rFonts w:ascii="Times New Roman" w:hAnsi="Times New Roman" w:eastAsia="宋体"/>
          <w:b/>
          <w:color w:val="003264"/>
          <w:sz w:val="24"/>
        </w:rPr>
        <w:t>Underwater Image Restoration via Color Channel Recovery and Dual-Channel Priors with Contrast Constraints for Dehazing</w:t>
      </w:r>
    </w:p>
    <w:p>
      <w:r>
        <w:rPr>
          <w:rFonts w:ascii="Times New Roman" w:hAnsi="Times New Roman" w:eastAsia="宋体"/>
          <w:sz w:val="21"/>
        </w:rPr>
        <w:t>作者: Huipu Xu, Xiuting Feng</w:t>
        <w:br/>
      </w:r>
      <w:r>
        <w:rPr>
          <w:rFonts w:ascii="Times New Roman" w:hAnsi="Times New Roman" w:eastAsia="宋体"/>
          <w:sz w:val="21"/>
        </w:rPr>
        <w:t xml:space="preserve">时间: 2026-01-01 | </w:t>
      </w:r>
      <w:r>
        <w:t xml:space="preserve">链接: </w:t>
      </w:r>
      <w:hyperlink r:id="rId11">
        <w:r>
          <w:rPr>
            <w:rFonts w:ascii="Times New Roman" w:hAnsi="Times New Roman" w:eastAsia="宋体"/>
            <w:color w:val="0000FF"/>
            <w:sz w:val="21"/>
            <w:u w:val="single"/>
          </w:rPr>
          <w:t>https://doi.org/10.1016/j.optcom.2026.132977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混合纳米棒-裂环谐振器系统中法诺共振的等离激元相移时间延长。</w:t>
      </w:r>
    </w:p>
    <w:p>
      <w:r>
        <w:rPr>
          <w:rFonts w:ascii="Times New Roman" w:hAnsi="Times New Roman" w:eastAsia="宋体"/>
          <w:b/>
          <w:color w:val="003264"/>
          <w:sz w:val="24"/>
        </w:rPr>
        <w:t>Extended plasmon dephasing time of Fano resonance in hybrid nanorod- split ring resonator system.</w:t>
      </w:r>
    </w:p>
    <w:p>
      <w:r>
        <w:rPr>
          <w:rFonts w:ascii="Times New Roman" w:hAnsi="Times New Roman" w:eastAsia="宋体"/>
          <w:sz w:val="21"/>
        </w:rPr>
        <w:t>作者: Merneh Mandado Mana, Boyu Ji, Zhenlong Zhao, Bereket Dalga Dana, Alemayehu Nana Koya, Jingquan Lin</w:t>
        <w:br/>
      </w:r>
      <w:r>
        <w:rPr>
          <w:rFonts w:ascii="Times New Roman" w:hAnsi="Times New Roman" w:eastAsia="宋体"/>
          <w:sz w:val="21"/>
        </w:rPr>
        <w:t xml:space="preserve">时间: 2026-01-01 | </w:t>
      </w:r>
      <w:r>
        <w:t xml:space="preserve">链接: </w:t>
      </w:r>
      <w:hyperlink r:id="rId12">
        <w:r>
          <w:rPr>
            <w:rFonts w:ascii="Times New Roman" w:hAnsi="Times New Roman" w:eastAsia="宋体"/>
            <w:color w:val="0000FF"/>
            <w:sz w:val="21"/>
            <w:u w:val="single"/>
          </w:rPr>
          <w:t>https://doi.org/10.1016/j.optcom.2026.132974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具有可控接枝拓扑电荷的太赫兹接枝完美涡旋光束</w:t>
      </w:r>
    </w:p>
    <w:p>
      <w:r>
        <w:rPr>
          <w:rFonts w:ascii="Times New Roman" w:hAnsi="Times New Roman" w:eastAsia="宋体"/>
          <w:b/>
          <w:color w:val="003264"/>
          <w:sz w:val="24"/>
        </w:rPr>
        <w:t>Terahertz grafted perfect vortex beams with controllable grafted topological charges</w:t>
      </w:r>
    </w:p>
    <w:p>
      <w:r>
        <w:rPr>
          <w:rFonts w:ascii="Times New Roman" w:hAnsi="Times New Roman" w:eastAsia="宋体"/>
          <w:sz w:val="21"/>
        </w:rPr>
        <w:t>作者: Yongqiang Yang, Menghao Li, Baolin Wei, Wenbing Zhang, Chengyao Peng, Tianyi Wang, Zongqiang Sheng, Hongwei Wu</w:t>
        <w:br/>
      </w:r>
      <w:r>
        <w:rPr>
          <w:rFonts w:ascii="Times New Roman" w:hAnsi="Times New Roman" w:eastAsia="宋体"/>
          <w:sz w:val="21"/>
        </w:rPr>
        <w:t xml:space="preserve">时间: 2026-01-16 | </w:t>
      </w:r>
      <w:r>
        <w:t xml:space="preserve">链接: </w:t>
      </w:r>
      <w:hyperlink r:id="rId13">
        <w:r>
          <w:rPr>
            <w:rFonts w:ascii="Times New Roman" w:hAnsi="Times New Roman" w:eastAsia="宋体"/>
            <w:color w:val="0000FF"/>
            <w:sz w:val="21"/>
            <w:u w:val="single"/>
          </w:rPr>
          <w:t>https://doi.org/10.1364/oe.585439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我们展示了一种新型太赫兹（THz）接枝完美涡旋光束（PVB），其中接枝的拓扑电荷（TC）可以任意组合为整数或分数，并且TC的接枝比例也可以独立控制。使用改进的双约束 Gerchberg-Saxton 算法生成太赫兹嫁接 PVB 的纯相位全息图。相位全息图板是通过 3D 打印制造的，用于实验验证。模拟和实验结果表明，太赫兹接枝PVB的环半径、接枝TC、接枝比例和间隙位置可以通过调整设计参数来控制。这些结果增加了PVB中轨道角动量分布的多样性，从而为多维光场工程提供了额外的自由度。</w:t>
      </w:r>
    </w:p>
    <w:p>
      <w:pPr>
        <w:spacing w:before="120"/>
      </w:pPr>
      <w:r>
        <w:rPr>
          <w:rFonts w:ascii="Times New Roman" w:hAnsi="Times New Roman" w:eastAsia="宋体"/>
          <w:b/>
          <w:sz w:val="21"/>
        </w:rPr>
        <w:t>English Abstract:</w:t>
      </w:r>
    </w:p>
    <w:p>
      <w:r>
        <w:rPr>
          <w:rFonts w:ascii="Times New Roman" w:hAnsi="Times New Roman" w:eastAsia="宋体"/>
          <w:sz w:val="21"/>
        </w:rPr>
        <w:t>We demonstrate what we believe to be a novel terahertz (THz) grafted perfect vortex beam (PVB), in which the grafted topological charges (TCs) can be arbitrarily combined as integers or fractions, and the grafted proportion of TCs can also be independently controlled. Pure-phase holograms of the THz grafted PVBs are generated using a modified dual-constraint Gerchberg-Saxton algorithm. The phase hologram plates are fabricated via 3D-printing for experimental validation. Simulated and experimental results show that the ring radius, grafted TCs, grafted proportion, and gap position of the THz grafted PVBs can be controlled by adjusting design parameters. These results increase the diversity of orbital angular momentum distributions in PVBs, thereby offering additional degrees of freedom for multidimensional light-field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偏振旋转估计辅助的双偏振 QAM 信号的无载波相位恢复</w:t>
      </w:r>
    </w:p>
    <w:p>
      <w:r>
        <w:rPr>
          <w:rFonts w:ascii="Times New Roman" w:hAnsi="Times New Roman" w:eastAsia="宋体"/>
          <w:b/>
          <w:color w:val="003264"/>
          <w:sz w:val="24"/>
        </w:rPr>
        <w:t>Carrier-free phase retrieval of dual-polarization QAM signals aided by polarization rotation estimation</w:t>
      </w:r>
    </w:p>
    <w:p>
      <w:r>
        <w:rPr>
          <w:rFonts w:ascii="Times New Roman" w:hAnsi="Times New Roman" w:eastAsia="宋体"/>
          <w:sz w:val="21"/>
        </w:rPr>
        <w:t>作者: Xiaoxue Gan, Meng Xiang, Jie Xu, Gai Zhou, Songnian Fu, Yuwen Qin</w:t>
        <w:br/>
      </w:r>
      <w:r>
        <w:rPr>
          <w:rFonts w:ascii="Times New Roman" w:hAnsi="Times New Roman" w:eastAsia="宋体"/>
          <w:sz w:val="21"/>
        </w:rPr>
        <w:t xml:space="preserve">时间: 2026-01-22 | </w:t>
      </w:r>
      <w:r>
        <w:t xml:space="preserve">链接: </w:t>
      </w:r>
      <w:hyperlink r:id="rId37">
        <w:r>
          <w:rPr>
            <w:rFonts w:ascii="Times New Roman" w:hAnsi="Times New Roman" w:eastAsia="宋体"/>
            <w:color w:val="0000FF"/>
            <w:sz w:val="21"/>
            <w:u w:val="single"/>
          </w:rPr>
          <w:t>https://doi.org/10.1364/oe.583629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通过无载波相位恢复 (CF-PR) 恢复偏振复用 QAM 信号仍然是一项重大挑战，因为它需要基于唯一的强度测量来准确估计标准单模光纤 (SSMF) 的 2 × 2 传输矩阵。在本文中，我们提出并通过实验演示了一种双偏振 CF-PR (DP-CF-PR) 接收器，该接收器仅基于强度检测来重建 DP-QAM 信号。通过将迭代场重建与训练序列辅助偏振旋转矩阵估计相结合，该方案有效地减轻了交叉偏振耦合，并实现了 DP-QAM 信号的全场恢复。数值模拟显示，在可变光信噪比 (OSNR) 值和各种调制格式下，偏振旋转角和相位差估计误差低于 0.18 rad。基于超过 80 km SSMF 的 32GBaud DP-QPSK/16QAM 信号传输的实验验证保持了出色的相位重建精度和 BER 性能，在 OSNR 值分别为 17.4 dB 和 27.5 dB 时实现了 20% 软判决 FEC (20% SD-FEC) 阈值。因此，所提出的DP-CF-PR架构为基于直接检测的双偏振光场恢复提供了一种实用且经济高效的解决方案，显示出短距离和节能光互连的强大潜力。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Recovering polarization-multiplexed QAM signals through carrier-free phase retrieval (CF-PR) remains a significant challenge, as it requires accurate estimation of the 2 × 2 transfer matrix of standard single mode fiber (SSMF) based on the only intensity measurements. In this paper, we propose and experimentally demonstrate a dual-polarization CF-PR (DP-CF-PR) receiver that reconstructs DP-QAM signals based solely on intensity detection. By integrating iterative field reconstruction with training-sequence assisted polarization rotation matrix estimation, the proposed scheme effectively mitigates cross-polarization coupling and enables the full-field recovery of DP-QAM signals. Numerical simulations show the polarization rotation angle and phase difference estimation errors below 0.18 rad under the variable optical signal-to-noise (OSNR) values and various modulation formats. Experimental validation based on 32GBaud DP-QPSK/16QAM signals transmission over 80 km SSMF holds excellent accuracy of phase reconstruction and BER performance, achieving the 20% soft-decision FEC (20% SD-FEC) threshold at OSNR values of 17.4 dB and 27.5 dB, respectively. The proposed DP-CF-PR architecture therefore, offers a practical and cost-efficient solution for dual-polarization optical field recovery based on direct detection, showing strong potential for short-reach and energy-efficient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氧化石墨烯功能化侧面抛光采样光纤光栅生物传感器，用于高灵敏检测 SARS-CoV-2 刺突蛋白</w:t>
      </w:r>
    </w:p>
    <w:p>
      <w:r>
        <w:rPr>
          <w:rFonts w:ascii="Times New Roman" w:hAnsi="Times New Roman" w:eastAsia="宋体"/>
          <w:b/>
          <w:color w:val="003264"/>
          <w:sz w:val="24"/>
        </w:rPr>
        <w:t>Graphene oxide functionalized side-polished sampled fiber grating biosensor for highly sensitive detection of SARS-CoV-2 spike protein</w:t>
      </w:r>
    </w:p>
    <w:p>
      <w:r>
        <w:rPr>
          <w:rFonts w:ascii="Times New Roman" w:hAnsi="Times New Roman" w:eastAsia="宋体"/>
          <w:sz w:val="21"/>
        </w:rPr>
        <w:t>作者: Bo Wang, Jinshuo Li, Shanren Liu, Mengmeng Gao, Qianhua Li, Qi Guo, Yongsen Yu</w:t>
        <w:br/>
      </w:r>
      <w:r>
        <w:rPr>
          <w:rFonts w:ascii="Times New Roman" w:hAnsi="Times New Roman" w:eastAsia="宋体"/>
          <w:sz w:val="21"/>
        </w:rPr>
        <w:t xml:space="preserve">时间: 2026-01-16 | </w:t>
      </w:r>
      <w:r>
        <w:t xml:space="preserve">链接: </w:t>
      </w:r>
      <w:hyperlink r:id="rId38">
        <w:r>
          <w:rPr>
            <w:rFonts w:ascii="Times New Roman" w:hAnsi="Times New Roman" w:eastAsia="宋体"/>
            <w:color w:val="0000FF"/>
            <w:sz w:val="21"/>
            <w:u w:val="single"/>
          </w:rPr>
          <w:t>https://doi.org/10.1364/oe.584834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氧化石墨烯功能化侧面抛光采样光纤光栅（GO-SPSFG）生物传感器，用于高灵敏度检测严重急性呼吸综合征冠状病毒2（SARS-CoV-2）。该传感结构是通过飞秒激光逐行扫描技术和精密机械侧面抛光相结合获得的。所制作的采样光栅表现出布拉格光栅和长周期光栅的特性，可有效解耦传感测量中的温度。通过对光栅区域周围的包层进行不对称抛光并形成具有优化的残余包层厚度的D形光纤结构，可以进一步增强所产生的倏逝场。侧面抛光的纤维表面进一步用氧化石墨烯进行修饰，由于其丰富的含氧官能团以及较大的比表面积，可为生物分子固定化提供有效的结合位点。这种方法不仅显着提高了灵敏度，而且成功消除了生物分子检测的温度干扰。事实证明，当侧面抛光光纤的剩余厚度为 70 μm 时，传感器对 SARS-CoV-2 刺突蛋白的检测限可低至 0.055 nM。该生物传感器在医疗诊断、环境病毒监测、生物医学研究、食品安全筛查和生物安全预警系统等方面具有广泛的应用潜力。</w:t>
      </w:r>
    </w:p>
    <w:p>
      <w:pPr>
        <w:spacing w:before="120"/>
      </w:pPr>
      <w:r>
        <w:rPr>
          <w:rFonts w:ascii="Times New Roman" w:hAnsi="Times New Roman" w:eastAsia="宋体"/>
          <w:b/>
          <w:sz w:val="21"/>
        </w:rPr>
        <w:t>English Abstract:</w:t>
      </w:r>
    </w:p>
    <w:p>
      <w:r>
        <w:rPr>
          <w:rFonts w:ascii="Times New Roman" w:hAnsi="Times New Roman" w:eastAsia="宋体"/>
          <w:sz w:val="21"/>
        </w:rPr>
        <w:t>A graphene oxide functionalized side-polished sampled fiber grating (GO-SPSFG) biosensor is proposed for highly sensitive detection of the severe acute respiratory syndrome coronavirus 2 (SARS-CoV-2). The sensing structure is obtained by combining femtosecond laser line-by-line scanning technology and precise mechanical side-polishing. The fabricated sampled grating exhibits characteristics of both Bragg gratings and long-period gratings for effectively decoupling temperature in the sensing measurement. The generated evanescent field can be further enhanced by asymmetrically polishing the cladding surrounding the grating region and forming a D-shaped fiber structure with optimized residual cladding thickness. The side-polished fiber surface is further modified with graphene oxide, which can provide effective binding sites for biomolecule immobilization due to its abundant oxygen-containing functional groups as well as a large specific surface area. This approach not only significantly improves the sensitivity but also successfully eliminates temperature interference for biomolecule detection. It has been demonstrated that when the residual thickness of the side polished fiber is 70 μm, the sensor achieves a detection limit as low as 0.055 nM for the SARS-CoV-2 spike protein. This biosensor holds broad application potential in medical diagnostics, environmental virus monitoring, biomedical research, food safety screening, and biosecurity warning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PaCMAP 算法对矢量涡旋光束进行偏振状态分类</w:t>
      </w:r>
    </w:p>
    <w:p>
      <w:r>
        <w:rPr>
          <w:rFonts w:ascii="Times New Roman" w:hAnsi="Times New Roman" w:eastAsia="宋体"/>
          <w:b/>
          <w:color w:val="003264"/>
          <w:sz w:val="24"/>
        </w:rPr>
        <w:t>Polarization state classification of vector vortex beams using the PaCMAP algorithm</w:t>
      </w:r>
    </w:p>
    <w:p>
      <w:r>
        <w:rPr>
          <w:rFonts w:ascii="Times New Roman" w:hAnsi="Times New Roman" w:eastAsia="宋体"/>
          <w:sz w:val="21"/>
        </w:rPr>
        <w:t>作者: Feng Zhang, Zhi Liu, Qiaochu Yang, Peng Lin, Wanzhuo Ma, Liben He, Huanyu Qian, Keyan Dong, Shiming Gao</w:t>
        <w:br/>
      </w:r>
      <w:r>
        <w:rPr>
          <w:rFonts w:ascii="Times New Roman" w:hAnsi="Times New Roman" w:eastAsia="宋体"/>
          <w:sz w:val="21"/>
        </w:rPr>
        <w:t xml:space="preserve">时间: 2026-01-29 | </w:t>
      </w:r>
      <w:r>
        <w:t xml:space="preserve">链接: </w:t>
      </w:r>
      <w:hyperlink r:id="rId39">
        <w:r>
          <w:rPr>
            <w:rFonts w:ascii="Times New Roman" w:hAnsi="Times New Roman" w:eastAsia="宋体"/>
            <w:color w:val="0000FF"/>
            <w:sz w:val="21"/>
            <w:u w:val="single"/>
          </w:rPr>
          <w:t>https://doi.org/10.1364/oe.582330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矢量涡旋光束 (VVB) 以其各向异性波前和偏振分布为特征，提供多种光场自由度。这些特性赋予VVB在光通信、量子技术、高分辨率成像、光镊等领域的巨大应用潜力。准确识别 VVB 的模式和偏振分布对其成功应用至关重要。然而，现有的用于对 VVB 状态进行分类的主成分分析 (PCA) 方法的性能在受干扰的环境中显着恶化。为了应对这一挑战，本文提出了一种基于成对控制流形逼近投影（PaCMAP）的联合算法，用于在复杂噪声环境中对 VVB 进行分类和识别。实验验证了该算法对VVB状态的分类性能。结果表明，基于PaCMAP的联合算法显着增强了VVB偏振态的分类，从而为矢量涡旋光的开发和应用提供了可靠的方法。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Vector vortex beams (VVBs), characterized by their anisotropic wavefront and polarization distributions, offer a multitude of optical field degrees of freedom. These properties endow VVBs with significant potential for applications in optical communication, quantum technology, high-resolution imaging, optical tweezers, and other fields. Accurate identification of the modes and polarization distributions of VVBs is crucial for their successful application. However, the performance of existing principal component analysis (PCA) methods for classifying the states of VVBs deteriorates markedly in disturbed environments. To address this challenge, this paper proposes a joint algorithm based on pairwise controlled manifold approximation projection (PaCMAP) for classifying and recognizing VVBs in complex noise environments. The classification performance of this algorithm on the states of VVBs is experimentally verified. Results indicate that the PaCMAP-based joint algorithm significantly enhances the classification of VVBs’ polarization states, thereby providing a reliable method for the development and application of vector vortex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掺杂对全无机CsGeBr 3-x I x电子和光学性能的影响</w:t>
      </w:r>
    </w:p>
    <w:p>
      <w:r>
        <w:rPr>
          <w:rFonts w:ascii="Times New Roman" w:hAnsi="Times New Roman" w:eastAsia="宋体"/>
          <w:b/>
          <w:color w:val="003264"/>
          <w:sz w:val="24"/>
        </w:rPr>
        <w:t>Doping effect on the electronic and optical properties of all-inorganic CsGeBr 3-x I x</w:t>
      </w:r>
    </w:p>
    <w:p>
      <w:r>
        <w:rPr>
          <w:rFonts w:ascii="Times New Roman" w:hAnsi="Times New Roman" w:eastAsia="宋体"/>
          <w:sz w:val="21"/>
        </w:rPr>
        <w:t>作者: Youming Huang, Xinyu Wang, Xu Li, Zhihao Liu, Fengfei Wang, Wenjing Yu, Yuemei Sun, Liangjun Zhai</w:t>
        <w:br/>
      </w:r>
      <w:r>
        <w:rPr>
          <w:rFonts w:ascii="Times New Roman" w:hAnsi="Times New Roman" w:eastAsia="宋体"/>
          <w:sz w:val="21"/>
        </w:rPr>
        <w:t xml:space="preserve">时间: 2026-01-21 | </w:t>
      </w:r>
      <w:r>
        <w:t xml:space="preserve">链接: </w:t>
      </w:r>
      <w:hyperlink r:id="rId40">
        <w:r>
          <w:rPr>
            <w:rFonts w:ascii="Times New Roman" w:hAnsi="Times New Roman" w:eastAsia="宋体"/>
            <w:color w:val="0000FF"/>
            <w:sz w:val="21"/>
            <w:u w:val="single"/>
          </w:rPr>
          <w:t>https://doi.org/10.1364/oe.582440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金属卤化物钙钛矿的激子效应作为其光电和光伏特性的重要指标已被广泛研究。在这里，我们通过第一原理方法研究了掺杂对 CsGeBr 3- x I x ( x = 0,1, 2, 3) 电子和光学性质的影响。观察到计算出的带隙和带边电子有效质量随着掺杂比例的增加而减小，这表明高效太阳能电池的电荷传输特性得到增强。考虑到卤化物钙钛矿的激子效应，我们进一步研究了 CsGeBr 3- x I x 的吸收光谱，包括电子-空穴相互作用。我们的结果表明混合卤化物钙钛矿具有明显的激子共振和低激子结合能。这项研究将掺杂铁电卤化物钙钛矿确立为一类新型功能材料，其特点是理想的带隙、低激子结合能和强光吸收，为先进的光电和光伏应用提供了平台。</w:t>
      </w:r>
    </w:p>
    <w:p>
      <w:pPr>
        <w:spacing w:before="120"/>
      </w:pPr>
      <w:r>
        <w:rPr>
          <w:rFonts w:ascii="Times New Roman" w:hAnsi="Times New Roman" w:eastAsia="宋体"/>
          <w:b/>
          <w:sz w:val="21"/>
        </w:rPr>
        <w:t>English Abstract:</w:t>
      </w:r>
    </w:p>
    <w:p>
      <w:r>
        <w:rPr>
          <w:rFonts w:ascii="Times New Roman" w:hAnsi="Times New Roman" w:eastAsia="宋体"/>
          <w:sz w:val="21"/>
        </w:rPr>
        <w:t>The excitonic effect of metal halide perovskites as an important indicator on their optoelectronic and photovoltaic characteristics has been widely studied. Here, we investigate doping effects on the electronic and optical properties of CsGeBr 3- x I x ( x = 0,1, 2, 3) by first-principles methods. The calculated band gap and electron effective mass at the band-edge are observed to decrease with increasing doping proportion, suggesting enhanced charge transport properties for efficient solar cells. Considering the excitonic effect in halide perovskites, we further investigate the absorption spectra of CsGeBr 3- x I x , including the electron–hole interactions. Our results show the pronounced excitonic resonances and low exciton binding energies in mixed halide perovskites. This study establishes doped ferroelectric halide perovskites as a novel class of functional materials, characterized by an ideal band gap, low exciton binding energy, and strong optical absorption, providing a platform for advanced optoelectronic and photovoltaic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基于偏振表示和稀疏自注意力的偏振形状</w:t>
      </w:r>
    </w:p>
    <w:p>
      <w:r>
        <w:rPr>
          <w:rFonts w:ascii="Times New Roman" w:hAnsi="Times New Roman" w:eastAsia="宋体"/>
          <w:b/>
          <w:color w:val="003264"/>
          <w:sz w:val="24"/>
        </w:rPr>
        <w:t>Shape from polarization based on a polarization representation and sparse self-attention</w:t>
      </w:r>
    </w:p>
    <w:p>
      <w:r>
        <w:rPr>
          <w:rFonts w:ascii="Times New Roman" w:hAnsi="Times New Roman" w:eastAsia="宋体"/>
          <w:sz w:val="21"/>
        </w:rPr>
        <w:t>作者: Zhenhua Wan, Jiayue Wu, Kaiang Li, Zhichao Yu, Kaichun Zhao</w:t>
        <w:br/>
      </w:r>
      <w:r>
        <w:rPr>
          <w:rFonts w:ascii="Times New Roman" w:hAnsi="Times New Roman" w:eastAsia="宋体"/>
          <w:sz w:val="21"/>
        </w:rPr>
        <w:t xml:space="preserve">时间: 2026-01-22 | </w:t>
      </w:r>
      <w:r>
        <w:t xml:space="preserve">链接: </w:t>
      </w:r>
      <w:hyperlink r:id="rId41">
        <w:r>
          <w:rPr>
            <w:rFonts w:ascii="Times New Roman" w:hAnsi="Times New Roman" w:eastAsia="宋体"/>
            <w:color w:val="0000FF"/>
            <w:sz w:val="21"/>
            <w:u w:val="single"/>
          </w:rPr>
          <w:t>https://doi.org/10.1364/oe.584588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表面法线的准确估计在 3D 重建任务中起着至关重要的作用。基于物理的偏振形状 (SfP) 方法面临许多限制，例如难以处理混合反射和局部模糊性。相比之下，基于深度学习的 SfP 方法在准确性和适用性方面都优于基于物理的方法。然而，基于学习的 SfP 方法在利用全局上下文信息和物理先验知识方面仍然存在缺陷。为了进一步提高形状恢复的准确性，我们提出了一种新颖的基于学习的极化方法形状，该方法将物理先验与稀疏自注意力相结合。首先，我们引入基于斯托克斯向量的偏振信息表示，以增强物理先验的有效利用。随后，我们将稀疏自注意力机制与双层路由结合起来，以改善我们的网络对全局上下文信息的感知，并更好地解决局部极化模糊性。进一步采用空间和通道注意机制来优化特征融合，增强捕获高频细节的能力。最后，在公共 DeepSfP 数据集和自建数据集上进行的实验表明，我们的方法在所有评估指标上都优于最先进的 SfP 方法，并在 DeepSfP 数据集上实现了 12.06 ∘ 的平均角度误差。通过引入一种假设的新颖的偏振表示、稀疏自注意力和特征融合技术，我们的方法显着提高了正常估计的准确性，为 SfP 任务提供了有前景的技术支持。</w:t>
      </w:r>
    </w:p>
    <w:p>
      <w:pPr>
        <w:spacing w:before="120"/>
      </w:pPr>
      <w:r>
        <w:rPr>
          <w:rFonts w:ascii="Times New Roman" w:hAnsi="Times New Roman" w:eastAsia="宋体"/>
          <w:b/>
          <w:sz w:val="21"/>
        </w:rPr>
        <w:t>English Abstract:</w:t>
      </w:r>
    </w:p>
    <w:p>
      <w:r>
        <w:rPr>
          <w:rFonts w:ascii="Times New Roman" w:hAnsi="Times New Roman" w:eastAsia="宋体"/>
          <w:sz w:val="21"/>
        </w:rPr>
        <w:t>Accurate estimation of surface normals plays a crucial role in 3D reconstruction tasks. Physics-based shape from polarization (SfP) methods face numerous limitations, such as difficulty in handling mixed reflections and local ambiguities. In contrast, deep learning-based SfP methods surpass physics-based approaches in both accuracy and applicability. However, learning-based SfP methods still exhibit deficiencies in leveraging global context information and physical prior knowledge. To further enhance the accuracy of shape recovery, we propose what is believed to be a novel learning-based shape from polarization method that combines physical priors with sparse self-attention. First, we introduce the representation of polarization information based on Stokes vectors to enhance the efficient utilization of physical priors. Subsequently, we incorporate a sparse self-attention mechanism with bi-level routing to improve our network’s perception of global contextual information and better resolve local polarization ambiguities. Spatial and channel attention mechanisms are further employed to optimize feature fusion, enhancing the ability to capture high-frequency details. Finally, experiments conducted on the public DeepSfP dataset and the self-built dataset demonstrate that our method outperforms state-of-the-art SfP methods on all evaluation metrics and achieves a mean angular error of 12.06 ∘ on the DeepSfP dataset. By introducing a supposed novel polarization representation, sparse self-attention, and feature fusion techniques, our method significantly enhances the accuracy of normal estimation, providing promising technical support for the SfP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KXe 准分子中间态光学泵浦的近红外（769–770 nm）K 原子激光</w:t>
      </w:r>
    </w:p>
    <w:p>
      <w:r>
        <w:rPr>
          <w:rFonts w:ascii="Times New Roman" w:hAnsi="Times New Roman" w:eastAsia="宋体"/>
          <w:b/>
          <w:color w:val="003264"/>
          <w:sz w:val="24"/>
        </w:rPr>
        <w:t>Near-infrared (769–770 nm) K atomic laser optically pumped through KXe excimer intermediate states</w:t>
      </w:r>
    </w:p>
    <w:p>
      <w:r>
        <w:rPr>
          <w:rFonts w:ascii="Times New Roman" w:hAnsi="Times New Roman" w:eastAsia="宋体"/>
          <w:sz w:val="21"/>
        </w:rPr>
        <w:t>作者: Kavita Desai Kabelitz, Andrey E. Mironov, J. Gary Eden</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https://doi.org/10.1364/oe.583458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通过填充 KXe 准分子的离解 B 2 Σ 1/2 + 或弱结合 A 2 Π 3/2 态，在宽度 &gt;1.2 THz (&gt;40 cm -1 ) 的连续光谱区域内对 K/Xe 蒸气混合物进行光泵浦，可在原子钾的 D 1 线上 (4 p 2 P 1/2 → 4 s 2 S 1/2 ) 产生激光。随后受激分子的解离填充了 K 原子的 4 p 2 P 3/2 和 4 p 2 P 1/2 能级，后者是 769.9 nm 共振线激光器的上能级。已经实现了自旋轨道分裂 4 p 2 P 3/2 − 4 p 2 P 1/2 态之间 57.7 cm -1 间隙的~60%的激光发射，并且当在谐振器的单程泵浦配置中在 D 2 线（766.5 nm）附近泵浦 K/Xe 混合物时，获得了高达~35 µJ 的单脉冲能量。 KXe 准分子提供的量子效率 (&gt;99%) 和宽泵浦接受带宽使这种混合原子/分子光解离激光器能够通过自由运行的半导体激光器阵列进行泵浦。</w:t>
      </w:r>
    </w:p>
    <w:p>
      <w:pPr>
        <w:spacing w:before="120"/>
      </w:pPr>
      <w:r>
        <w:rPr>
          <w:rFonts w:ascii="Times New Roman" w:hAnsi="Times New Roman" w:eastAsia="宋体"/>
          <w:b/>
          <w:sz w:val="21"/>
        </w:rPr>
        <w:t>English Abstract:</w:t>
      </w:r>
    </w:p>
    <w:p>
      <w:r>
        <w:rPr>
          <w:rFonts w:ascii="Times New Roman" w:hAnsi="Times New Roman" w:eastAsia="宋体"/>
          <w:sz w:val="21"/>
        </w:rPr>
        <w:t>Photopumping of K/Xe vapor mixtures over a continuous spectral region &gt;1.2 THz (&gt;40 cm −1 ) in breadth yields lasing on the D 1 line of atomic potassium (4 p 2 P 1/2 → 4 s 2 S 1/2 ) by populating the dissociative B 2 Σ 1/2 + or weakly bound A 2 Π 3/2 states of the KXe excimer molecule. Subsequent dissociation of the excited molecule populates the 4 p 2 P 3/2 and 4 p 2 P 1/2 levels of the K atom, the latter of which is the upper level for the 769.9 nm resonance line laser. Lasing over ∼60% of the 57.7 cm −1 gap lying between the spin-orbit split 4 p 2 P 3/2 − 4 p 2 P 1/2 states has been achieved, and single-pulse energies up to ∼35 µJ have been obtained when pumping the K/Xe mixture in the vicinity of the D 2 line (766.5 nm) in a single-pass pumping configuration of the resonator. The quantum efficiency (&gt;99%) and broad pump-acceptance bandwidth afforded by the KXe excimer lend this hybrid atomic/molecular photodissociation laser to pumping with free-running semiconductor laser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基于超表面的斜入射波耦合表面波</w:t>
      </w:r>
    </w:p>
    <w:p>
      <w:r>
        <w:rPr>
          <w:rFonts w:ascii="Times New Roman" w:hAnsi="Times New Roman" w:eastAsia="宋体"/>
          <w:b/>
          <w:color w:val="003264"/>
          <w:sz w:val="24"/>
        </w:rPr>
        <w:t>Coupling surface waves from an oblique incident wave based on a metasurface</w:t>
      </w:r>
    </w:p>
    <w:p>
      <w:r>
        <w:rPr>
          <w:rFonts w:ascii="Times New Roman" w:hAnsi="Times New Roman" w:eastAsia="宋体"/>
          <w:sz w:val="21"/>
        </w:rPr>
        <w:t>作者: Guoxiang Dong, Bo Xiao, Hongyang Qu, Anxue Zhang, Xiaoming Chen</w:t>
        <w:br/>
      </w:r>
      <w:r>
        <w:rPr>
          <w:rFonts w:ascii="Times New Roman" w:hAnsi="Times New Roman" w:eastAsia="宋体"/>
          <w:sz w:val="21"/>
        </w:rPr>
        <w:t xml:space="preserve">时间: 2026-01-29 | </w:t>
      </w:r>
      <w:r>
        <w:t xml:space="preserve">链接: </w:t>
      </w:r>
      <w:hyperlink r:id="rId43">
        <w:r>
          <w:rPr>
            <w:rFonts w:ascii="Times New Roman" w:hAnsi="Times New Roman" w:eastAsia="宋体"/>
            <w:color w:val="0000FF"/>
            <w:sz w:val="21"/>
            <w:u w:val="single"/>
          </w:rPr>
          <w:t>https://doi.org/10.1364/oe.583376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实现了一种将入射斜波完全转换为表面波的方法。通过控制耦合表面波的幅度，可以灵活设计表面波在超表面上的方向和功率分布。首先，以+40°和–40°入射的TE偏振高斯波作为设计实例，展示了对耦合表面波的方向和功率的精确控制，从而验证了所提出的斜入射下表面波耦合超表面的设计方法。其次，通过使用以 0°、+20° 和 +50° 入射的 TE 偏振高斯波，我们进一步证明了超表面在广泛的入射角范围内耦合表面波的能力。最后，利用亚波长晶胞实现了超表面的阻抗分布，并制作了表面波耦合超表面的物理原型。数值模拟和实验测量都证实了该设计方法在同时控制斜入射下耦合表面波的方向和功率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work, we achieve a method for the complete conversion of incident oblique waves into surface waves. By controlling the amplitudes of the coupled surface waves, both the direction and power distribution of the surface waves on the metasurface can be flexibly designed. First, using TE-polarized Gaussian waves incident at +40° and –40° as design examples, we demonstrate precise control over the direction and power of the coupled surface waves, thereby validating the proposed method for designing surface wave coupling metasurfaces under oblique incidence. Second, by using TE-polarized Gaussian waves incident at 0°, +20°, and +50°, we further demonstrate the capability of the metasurface to couple surface waves across a broad range of incidence angles. Finally, the impedance profile of the metasurface is implemented using subwavelength unit cells, and a physical prototype of the surface wave coupling metasurface is fabricated. Both numerical simulations and experimental measurements confirm the effectiveness of the design approach in simultaneously controlling the direction and power of coupled surface waves under oblique incidence.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SBS 抑制 2.82 kW、10.34 GHz 光纤放大器，通过并行 LFSR 结构使用实时 p 可调相位调制</w:t>
      </w:r>
    </w:p>
    <w:p>
      <w:r>
        <w:rPr>
          <w:rFonts w:ascii="Times New Roman" w:hAnsi="Times New Roman" w:eastAsia="宋体"/>
          <w:b/>
          <w:color w:val="003264"/>
          <w:sz w:val="24"/>
        </w:rPr>
        <w:t>SBS suppressed 2.82 kW, 10.34 GHz fiber amplifier using real-time p-tunable phase modulation via parallel LFSR structures</w:t>
      </w:r>
    </w:p>
    <w:p>
      <w:r>
        <w:rPr>
          <w:rFonts w:ascii="Times New Roman" w:hAnsi="Times New Roman" w:eastAsia="宋体"/>
          <w:sz w:val="21"/>
        </w:rPr>
        <w:t>作者: Qianhe Shao, Yifeng Yang, He Wang, Qingyu Liang, Jun Zhou, Junqing Meng</w:t>
        <w:br/>
      </w:r>
      <w:r>
        <w:rPr>
          <w:rFonts w:ascii="Times New Roman" w:hAnsi="Times New Roman" w:eastAsia="宋体"/>
          <w:sz w:val="21"/>
        </w:rPr>
        <w:t xml:space="preserve">时间: 2026-01-23 | </w:t>
      </w:r>
      <w:r>
        <w:t xml:space="preserve">链接: </w:t>
      </w:r>
      <w:hyperlink r:id="rId44">
        <w:r>
          <w:rPr>
            <w:rFonts w:ascii="Times New Roman" w:hAnsi="Times New Roman" w:eastAsia="宋体"/>
            <w:color w:val="0000FF"/>
            <w:sz w:val="21"/>
            <w:u w:val="single"/>
          </w:rPr>
          <w:t>https://doi.org/10.1364/oe.582832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高功率窄线宽连续波光纤激光器的功率缩放受到受激布里渊散射（SBS）的限制。虽然反演概率可调（p 可调）序列调制提供动态频谱控制以增强 SBS 抑制，但其实际实现却因依赖于复杂、昂贵的任意波形发生器 (AWG) 或基于传统现场可编程门阵列 (FPGA) 的传统实现的显着硬件复杂性（特别是苛刻的逻辑资源要求）而受到阻碍。这项工作介绍了我们认为是一种新颖的、硬件高效的方法来克服这些限制。我们提出了一种具有比较器概率调整功能的硬件高效并行线性反馈移位寄存器 (LFSR) 架构，可在 10 GHz 时钟速率下实现实时、精确的 p 值控制，从而显着降低成本和复杂性。同时，我们建立了基于时变三波耦合方程的定量声光子动力学模型，求解p可调调制下信号激光光子、声子和斯托克斯波之间的非线性相互作用。该模型可实现系统优化，从理论上预测并通过实验确认 p = 0.58 时的最大 SBS 阈值增强。利用这一优化参数，我们的系统实现了 2.82 kW 输出功率和 10.34 GHz FWHM 线宽。与使用伪随机二进制序列 (PRBS) 调制的系统（在 ∼10 GHz FWHM 线宽下实现 2.46 kW）相比，输出功率增加了 13%。这种集成的硬件理论解决方案为高功率窄线宽光纤激光器中的SBS抑制提供了一种实用且有效的方法，从而实现更高的功率缩放和稳定的运行。</w:t>
      </w:r>
    </w:p>
    <w:p>
      <w:pPr>
        <w:spacing w:before="120"/>
      </w:pPr>
      <w:r>
        <w:rPr>
          <w:rFonts w:ascii="Times New Roman" w:hAnsi="Times New Roman" w:eastAsia="宋体"/>
          <w:b/>
          <w:sz w:val="21"/>
        </w:rPr>
        <w:t>English Abstract:</w:t>
      </w:r>
    </w:p>
    <w:p>
      <w:r>
        <w:rPr>
          <w:rFonts w:ascii="Times New Roman" w:hAnsi="Times New Roman" w:eastAsia="宋体"/>
          <w:sz w:val="21"/>
        </w:rPr>
        <w:t>Power scaling of high-power narrow-linewidth continuous-wave fiber lasers is limited by stimulated Brillouin scattering (SBS). While inversion probability-tunable (p-tunable) sequence modulation offers dynamic spectral control for enhanced SBS suppression, its practical implementation has been hindered by reliance on complex, expensive arbitrary waveform generators (AWG) or significant hardware complexity (particularly demanding logic resource requirements) of conventional field-programmable gate array (FPGA)-based implementations. This work introduces what we believe to be a novel, hardware-efficient approach to overcome these limitations. We present a hardware-efficient parallel linear feedback shift register (LFSR) architecture with comparator probability adjustment, enabling real-time, precise p-value control at 10 GHz clock rates, significantly reducing cost and complexity. Concurrently, we establish a quantitative acoustic-photonic dynamics model based on a time-dependent three-wave coupled equation, solving the nonlinear interactions among signal laser photons, phonons, and Stokes waves under p-tunable modulation. This model enables systematic optimization, theoretically predicting and experimentally confirming maximal SBS threshold enhancement at p = 0.58. Leveraging this optimized parameter, our system achieves 2.82 kW output power with a 10.34 GHz FWHM linewidth. Compared to systems using pseudo-random binary sequence (PRBS) modulation (achieving 2.46 kW at ∼10 GHz FWHM linewidth), this represents a 13% increase in output power. This integrated hardware-theory solution provides a practical and effective approach for SBS suppression in high-power narrow-linewidth fiber lasers, enabling higher power scaling and stable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探索无隔离器光子集成电路的量子点激光器的反馈限制</w:t>
      </w:r>
    </w:p>
    <w:p>
      <w:r>
        <w:rPr>
          <w:rFonts w:ascii="Times New Roman" w:hAnsi="Times New Roman" w:eastAsia="宋体"/>
          <w:b/>
          <w:color w:val="003264"/>
          <w:sz w:val="24"/>
        </w:rPr>
        <w:t>Exploring the feedback limits of quantum dot lasers for isolator-free photonic integrated circuits</w:t>
      </w:r>
    </w:p>
    <w:p>
      <w:r>
        <w:rPr>
          <w:rFonts w:ascii="Times New Roman" w:hAnsi="Times New Roman" w:eastAsia="宋体"/>
          <w:sz w:val="21"/>
        </w:rPr>
        <w:t>作者: Ying Shi, Bozhang Dong, Xiangpeng Ou, Artem Prokoshin, Chen Shang, John E. Bowers, Yating Wan</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https://doi.org/10.1038/s41377-026-02185-w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片上元件的反射对光子集成电路 (PIC) 中激光器的稳定运行提出了重大挑战。量子点 (QD) 激光器具有低线宽增强因子和高阻尼率，有望实现无隔离器集成，但早期的反馈研究仅限于 -10 dB 反馈，从未达到相干崩溃 (CC)。因此，人们只能得出这样的结论：QD 激光器可以承受高达 –10 dB 的反馈，但它们在实际 PIC 中是否仍然可靠尚待确定，因为较低的耦合损耗允许更强的反馈。在这里，我们通过先进的外延生长和制造优化了 QD 激光器，并开发了一种可提供高达 0 dB 反馈的装置。在这些条件下，我们观察到 CC 为 -6.7 dB（21.4% 反馈），将反馈容差超出量子阱 (QW) 激光器数十分贝。我们进一步展示了无损失的 10 Gbps 运行、在 15–45 °C 范围内具有 ±0.5 dB 漂移的强大热稳定性、&gt;100 小时的连续测试以及跨器件 ~±0.3 dB 的再现性。建模表明在实际 PIC 腔中具有更强的耐受性，基准测试表明我们的器件可与混合 DFB 谐振器平台相媲美，同时优于其他 QW、QD 和 VCSEL 激光器。总之，这项工作提供了迄今为止最全面的 QD 激光反馈容差评估，并为无隔离器 PIC 建立了实用的设计规则。</w:t>
      </w:r>
    </w:p>
    <w:p>
      <w:pPr>
        <w:spacing w:before="120"/>
      </w:pPr>
      <w:r>
        <w:rPr>
          <w:rFonts w:ascii="Times New Roman" w:hAnsi="Times New Roman" w:eastAsia="宋体"/>
          <w:b/>
          <w:sz w:val="21"/>
        </w:rPr>
        <w:t>English Abstract:</w:t>
      </w:r>
    </w:p>
    <w:p>
      <w:r>
        <w:rPr>
          <w:rFonts w:ascii="Times New Roman" w:hAnsi="Times New Roman" w:eastAsia="宋体"/>
          <w:sz w:val="21"/>
        </w:rPr>
        <w:t>Abstract Reflections from on-chip components pose significant challenges to stable laser operation in photonic integrated circuits (PICs). Quantum dot (QD) lasers, with low linewidth enhancement factors and high damping rates, are promising for isolator-free integration, yet earlier feedback studies were capped near −10 dB feedback and never reached coherence collapse (CC). As a result, one could only conclude that QD lasers tolerate feedback up to –10 dB, leaving open whether they remain reliable in practical PICs where lower coupling losses allow much stronger feedback. Here, we optimized QD lasers through advanced epitaxial growth and fabrication and developed a setup that delivers feedback up to 0 dB. Under these conditions, we observed CC at −6.7 dB (21.4% feedback), extending the feedback tolerance by tens of decibels beyond quantum-well (QW) lasers. We further demonstrated penalty-free 10 Gbps operation, robust thermal stability with ±0.5 dB drift across 15–45 °C, &gt;100 h continuous testing, and ~±0.3 dB reproducibility across devices. Modeling indicates even stronger tolerance in realistic PIC cavities, and benchmarking shows our device rivals hybrid DFB–resonator platforms while outperforming other QW, QD, and VCSEL lasers. Together, this work provides the most comprehensive assessment of QD laser feedback tolerance to date and establishes practical design rules for isolator-free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太赫兹光子晶体光纤中拓扑狄拉克涡旋模式的实验观察</w:t>
      </w:r>
    </w:p>
    <w:p>
      <w:r>
        <w:rPr>
          <w:rFonts w:ascii="Times New Roman" w:hAnsi="Times New Roman" w:eastAsia="宋体"/>
          <w:b/>
          <w:color w:val="003264"/>
          <w:sz w:val="24"/>
        </w:rPr>
        <w:t>Experimental observation of topological Dirac vortex mode in terahertz photonic crystal fibers</w:t>
      </w:r>
    </w:p>
    <w:p>
      <w:r>
        <w:rPr>
          <w:rFonts w:ascii="Times New Roman" w:hAnsi="Times New Roman" w:eastAsia="宋体"/>
          <w:sz w:val="21"/>
        </w:rPr>
        <w:t>作者: Hongyang Xing, Zhanqiang Xue, Perry Ping Shum, Longqing Cong</w:t>
        <w:br/>
      </w:r>
      <w:r>
        <w:rPr>
          <w:rFonts w:ascii="Times New Roman" w:hAnsi="Times New Roman" w:eastAsia="宋体"/>
          <w:sz w:val="21"/>
        </w:rPr>
        <w:t xml:space="preserve">时间: 2026-01-30 | </w:t>
      </w:r>
      <w:r>
        <w:t xml:space="preserve">链接: </w:t>
      </w:r>
      <w:hyperlink r:id="rId53">
        <w:r>
          <w:rPr>
            <w:rFonts w:ascii="Times New Roman" w:hAnsi="Times New Roman" w:eastAsia="宋体"/>
            <w:color w:val="0000FF"/>
            <w:sz w:val="21"/>
            <w:u w:val="single"/>
          </w:rPr>
          <w:t>https://doi.org/10.1038/s41377-026-02197-6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晶体光纤具有显着先进的光电学特性，可实现从通信到传感和成像的广泛应用。这些领域长期面临的挑战是实现纯单偏振单模（SPSM）波导以实现高质量信息传输。然而，传统方法不可避免地引入偏振色散并且在窄带宽内运行。尽管实验演示仍然很少，但拓扑相的最新进展为获得以前无法实现的模式属性提供了一个有希望的机会。在这项工作中，我们首次对拓扑保护的光子狄拉克涡旋模式进行了实验观察，该模式支持太赫兹光纤中的纯 SPSM 传播。利用太赫兹扫描近场显微光谱，我们绘制了拓扑模式的时间、光谱和空间特征，从而深入了解其模式轮廓、色散、有效面积和数值孔径。我们展示了具有单一涡旋偏振和宽 85.7% 分数带宽的单一线性分散狄拉克涡旋模式。这一突破填补了 SPSM 光纤发展的关键空白，并引入了探索模式特性的综合方法，为太赫兹光电子学、拓扑光子学和特种光纤的进步铺平了道路。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Photonic crystal fibers have significantly advanced optoelectronics, enabling a wide range of applications from communications to sensing and imaging. A long-standing challenge in these areas has been achieving pure single-polarization single-mode (SPSM) waveguiding for high-quality information transmission. Traditional approaches, however, inevitably introduce polarization dispersion and operate within a narrow bandwidth. Recent advancements in topological phases offer a promising opportunity to access previously unattainable mode properties, though experimental demonstrations remain scarce. In this work, we present the first experimental observation of a topologically protected photonic Dirac vortex mode that supports pure SPSM propagation in terahertz fibers. Utilizing terahertz scanning near-field microscopic spectroscopy, we map the temporal, spectral, and spatial characteristics of the topological mode, providing insights into its mode profile, dispersion, effective area, and numerical aperture. We demonstrate a single linearly dispersed Dirac vortex mode with a single vortex polarization and a broad 85.7% fractional bandwidth. This breakthrough fills a crucial gap in the development of SPSM fibers and introduces a comprehensive methodology for exploring mode properties, paving the way for advancements in terahertz optoelectronics, topological photonics, and specialty optical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使用选择性横向异质外延的 SOI 上的单片 III-V 膜光子晶体激光器</w:t>
      </w:r>
    </w:p>
    <w:p>
      <w:r>
        <w:rPr>
          <w:rFonts w:ascii="Times New Roman" w:hAnsi="Times New Roman" w:eastAsia="宋体"/>
          <w:b/>
          <w:color w:val="003264"/>
          <w:sz w:val="24"/>
        </w:rPr>
        <w:t>Monolithic III–V membrane photonic crystal lasers on SOI using selective lateral heteroepitaxy</w:t>
      </w:r>
    </w:p>
    <w:p>
      <w:r>
        <w:rPr>
          <w:rFonts w:ascii="Times New Roman" w:hAnsi="Times New Roman" w:eastAsia="宋体"/>
          <w:sz w:val="21"/>
        </w:rPr>
        <w:t>作者: Cong Zeng, Zhaojie Ren, Zili Lei, Donghui Fu, Yingzhi Zhao, Ying Yu, Yu Han, Siyuan Yu</w:t>
        <w:br/>
      </w:r>
      <w:r>
        <w:rPr>
          <w:rFonts w:ascii="Times New Roman" w:hAnsi="Times New Roman" w:eastAsia="宋体"/>
          <w:sz w:val="21"/>
        </w:rPr>
        <w:t xml:space="preserve">时间: 2026-01-30 | </w:t>
      </w:r>
      <w:r>
        <w:t xml:space="preserve">链接: </w:t>
      </w:r>
      <w:hyperlink r:id="rId54">
        <w:r>
          <w:rPr>
            <w:rFonts w:ascii="Times New Roman" w:hAnsi="Times New Roman" w:eastAsia="宋体"/>
            <w:color w:val="0000FF"/>
            <w:sz w:val="21"/>
            <w:u w:val="single"/>
          </w:rPr>
          <w:t>https://doi.org/10.1038/s41377-025-02074-8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具有小尺寸和低功耗的 III-V 光子晶体 (PhC) 激光器是未来片上光学互连潜在的超紧凑和高能效光源。通过垂直外延制造的传统 PhC 激光器需要悬浮空气桥结构和通过增益介质蚀刻的气孔，严重影响了对外部冲击的机械抵抗力和泵浦效率。虽然键合和再生长可以缓解这些问题，但它们的制造复杂性大大增加了工艺成本并阻碍了大规模生产。在这里，我们使用选择性横向异质外延来解决这些问题，并展示了 (001) 绝缘体上硅 (SOI) 上的单片集成 III-V 膜 PhC 激光器。通过利用选择性横向异质外延和金属有机化学气相沉积 (MOCVD)，我们在硅光子铸造厂图案化的 SOI 晶圆上实现了无位错 InP 膜的生长。独特的 III-V 绝缘体避免了空气悬浮结构的形成，并显着增强了器件的机械稳定性。我们还将横向生长的 InGaAs/InP 量子阱 (QW) 精确定位在 InP 膜的中心，以避免通过增益介质蚀刻气孔，从而消除表面复合并大幅提高泵浦效率。我们使用横向生长的 III-V 膜制造了近红外和电信 PhC 激光器，并在 910 nm 和 1430 nm 处实现了室温激光发射，阈值分别为 17.5 μJ/cm2 和 5.7 μJ/cm2。我们的研究结果建立了一种制造 PhC 激光器的新颖方法，并为下一代光学互连中的单片集成 PhC 激光器提供了优雅的解决方案。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III–V photonic crystal (PhC) lasers with small footprints and low power consumption are potential ultra-compact and power-efficient light sources for future on-chip optical interconnects. Conventional PhC lasers fabricated by vertical epitaxy require suspended air-bridge structures and air holes etched through the gain medium, severely compromising mechanical resistance to external impacts and pumping efficiency. While bonding and regrowth can mitigate these issues, their fabrication complexity substantially increases process costs and hinders mass production. Here, we address these issues using selective lateral heteroepitaxy and demonstrate monolithically integrated III–V membrane PhC lasers on (001) silicon-on-insulator (SOI). By leveraging selective lateral heteroepitaxy and metal organic chemical vapor deposition (MOCVD), we achieved the growth of dislocation-free InP membranes on SOI wafers patterned in Si-photonics foundries. The unique III-V-on-insulator avoids the formation of air-suspended structures and significantly enhances the mechanical stability of the devices. We also precisely positioned the laterally grown InGaAs/InP quantum wells (QWs) at the center of the InP membrane to avoid etching air holes through the gain medium, thus eliminating surface recombination and drastically improving pumping efficiency. We fabricated near-infrared and telecom PhC lasers using laterally grown III–V membranes, and achieved room-temperature lasing at 910 nm and 1430 nm with low thresholds of 17.5 μJ/cm² and 5.7 μJ/cm², respectively. Our results establish a novel approach for fabricating PhC lasers and provide an elegant solution for monolithically integrated PhC lasers in next-generation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沉浸式虚拟现实中的人工面部模仿</w:t>
      </w:r>
    </w:p>
    <w:p>
      <w:r>
        <w:rPr>
          <w:rFonts w:ascii="Times New Roman" w:hAnsi="Times New Roman" w:eastAsia="宋体"/>
          <w:b/>
          <w:color w:val="003264"/>
          <w:sz w:val="24"/>
        </w:rPr>
        <w:t>Artificial Facial Mimicry in Immersive Virtual Reality</w:t>
      </w:r>
    </w:p>
    <w:p>
      <w:r>
        <w:rPr>
          <w:rFonts w:ascii="Times New Roman" w:hAnsi="Times New Roman" w:eastAsia="宋体"/>
          <w:sz w:val="21"/>
        </w:rPr>
        <w:t>作者: Elena Piscopo</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https://doi.org/10.1109/tvcg.2026.3656848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人工面部模仿（AFM）越来越多地用于增强沉浸式虚拟现实中与虚拟代理的社交互动。然而，其心理和伦理影响仍未得到充分探讨。本文将 AFM 概念化为一种有效且具体的干预措施，研究了情感一致性、个体差异和临床脆弱性在塑造用户反应中的作用。我们进一步概述了涉及生理测量和体现协调的方法论方向。通过在情感计算和具身认知中构建 AFM，这项工作有助于情感自适应虚拟代理的负责任设计。</w:t>
      </w:r>
    </w:p>
    <w:p>
      <w:pPr>
        <w:spacing w:before="120"/>
      </w:pPr>
      <w:r>
        <w:rPr>
          <w:rFonts w:ascii="Times New Roman" w:hAnsi="Times New Roman" w:eastAsia="宋体"/>
          <w:b/>
          <w:sz w:val="21"/>
        </w:rPr>
        <w:t>English Abstract:</w:t>
      </w:r>
    </w:p>
    <w:p>
      <w:r>
        <w:rPr>
          <w:rFonts w:ascii="Times New Roman" w:hAnsi="Times New Roman" w:eastAsia="宋体"/>
          <w:sz w:val="21"/>
        </w:rPr>
        <w:t>Artificial facial mimicry (AFM) is increasingly used to enhance social interaction with virtual agents in immersive virtual reality. However, its psychological and ethical implications remain insufficiently explored. This article conceptualizes AFM as an effective and embodied intervention, examining the role of emotional congruence, individual differences, and clinical vulnerability in shaping user responses. We further outline methodological directions involving physiological measures and embodied coordination. By framing AFM within affective computing and embodied cognition, this work contributes to the responsible design of emotionally adaptive virtual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00:28 ---</w:t>
      </w:r>
    </w:p>
    <w:p>
      <w:pPr>
        <w:pStyle w:val="Heading2"/>
      </w:pPr>
      <w:r/>
      <w:r>
        <w:rPr>
          <w:rFonts w:ascii="Times New Roman" w:hAnsi="Times New Roman" w:eastAsia="宋体"/>
          <w:b/>
          <w:color w:val="000000"/>
          <w:sz w:val="24"/>
        </w:rPr>
        <w:t>前视声纳图像的无参考增强：通过可变形小波散射变换和多帧融合弥合跨模态退化差距</w:t>
      </w:r>
    </w:p>
    <w:p>
      <w:r>
        <w:rPr>
          <w:rFonts w:ascii="Times New Roman" w:hAnsi="Times New Roman" w:eastAsia="宋体"/>
          <w:b/>
          <w:color w:val="003264"/>
          <w:sz w:val="24"/>
        </w:rPr>
        <w:t>Reference-Free Enhancement of Forward-Looking Sonar Images: Bridging Cross-Modal Degradation Gaps Through Deformable Wavelet Scattering Transform and Multi-Frame Fusion</w:t>
      </w:r>
    </w:p>
    <w:p>
      <w:r>
        <w:rPr>
          <w:rFonts w:ascii="Times New Roman" w:hAnsi="Times New Roman" w:eastAsia="宋体"/>
          <w:sz w:val="21"/>
        </w:rPr>
        <w:t>作者: Zhisheng Zhang, Peng Zhang, Fengxiang Wang, Liangli Ma, Fuchun Sun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https://doi.org/10.1109/tci.2026.3658954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增强前视声纳 (FLS) 图像对于水下目标检测至关重要。现有的深度学习方法通​​常依赖于模拟数据的监督训练，但它们的泛化受到现实世界配对数据集稀缺的限制。最近的无参考方法可以对单个帧进行去噪，但它们对局部统计数据的依赖使得它们在低信噪比（SNR）下很脆弱，并且容易失去全局结构一致性。多光谱/高光谱遥感 (RS) 和 FLS 图像共享散斑状纹理和范围相关对比度，因此大规模监督 RS 先验是传输的自然候选者；然而，跨模态退化差距仍然会导致幼稚的特征转移到过度平滑的目标并压缩亮度。为了安全地利用这些先验，我们遵循基于可变形小波散射变换（DWST）特征桥的跨模式使用前对齐策略。该桥学习小的、规则化的尺度方向偏移，并将声纳图像映射到与受监督的高分辨率/低分辨率 RS 模型对齐的稳定、平移不变的特征空间中。在此空间之上，HighRes-Net 式多帧融合主干以完全无参考的方式对噪声声纳序列进行端到端微调，利用帧间互补性实现散斑抑制和对比度/分辨率增益，同时保留关键的声纳成像特性。在内部C900-II池数据集、公共DEBRIS前瞻声纳基准和UATD水声目标检测数据集上的实验表明，所提出的DWST增强融合框架在噪声抑制、边缘保留和亮度增强方面大大优于现有的无参考方法，并且持续改进了下游目标检测，强调了其在水下应用中的实际有效性。</w:t>
      </w:r>
    </w:p>
    <w:p>
      <w:pPr>
        <w:spacing w:before="120"/>
      </w:pPr>
      <w:r>
        <w:rPr>
          <w:rFonts w:ascii="Times New Roman" w:hAnsi="Times New Roman" w:eastAsia="宋体"/>
          <w:b/>
          <w:sz w:val="21"/>
        </w:rPr>
        <w:t>English Abstract:</w:t>
      </w:r>
    </w:p>
    <w:p>
      <w:r>
        <w:rPr>
          <w:rFonts w:ascii="Times New Roman" w:hAnsi="Times New Roman" w:eastAsia="宋体"/>
          <w:sz w:val="21"/>
        </w:rPr>
        <w:t>Enhancing forward-looking sonar (FLS) imagery is crucial for underwater target detection. Existing deep learning approaches typically rely on supervised training with simulated data, but their generalization is constrained by the scarcity of real-world paired datasets. Recent reference-free methods can denoise single frames, yet their reliance on local statistics makes them fragile at low signal-to-noise ratios (SNRs) and prone to losing global structural consistency. Multispectral/hyperspectral remote-sensing (RS) and FLS imagery share speckle-like textures and range-dependent contrast, so large-scale supervised RS priors are a natural candidate for transfer; however, the cross-modal degradation gap still causes naïve feature transfer to over-smooth targets and compress brightness. To exploit these priors safely, we follow a cross-modal align-before-use strategy based on a Deformable Wavelet Scattering Transform (DWST) Feature Bridge. The bridge learns small, regularized scale-orientation offsets and maps sonar images into a stable, translation-invariant feature space aligned with supervised high-/low-resolution RS models. On top of this space, a HighRes-Net-style multi-frame fusion backbone is fine-tuned end-to-end in a fully reference-free manner on noisy sonar sequences, leveraging inter-frame complementarity for speckle suppression and contrast/resolution gains while preserving key sonar imaging characteristics. Experiments on an in-house C900-II pool dataset, the public DEBRIS forward-looking sonar benchmark, and the UATD underwater acoustic target detection dataset show that the proposed DWST-augmented fusion framework substantially outperforms existing reference-free methods in noise suppression, edge preservation, and brightness enhancement, and consistently improves downstream object detection, underscoring its practical effectiveness for underwater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主成分最大化：一种无需系统参数的原始数据SAR图像恢复新方法</w:t>
      </w:r>
    </w:p>
    <w:p>
      <w:r>
        <w:rPr>
          <w:rFonts w:ascii="Times New Roman" w:hAnsi="Times New Roman" w:eastAsia="宋体"/>
          <w:b/>
          <w:color w:val="003264"/>
          <w:sz w:val="24"/>
        </w:rPr>
        <w:t>Principal Component Maximization: A Novel Method for SAR Image Recovery from Raw Data without System Parameters</w:t>
      </w:r>
    </w:p>
    <w:p>
      <w:r>
        <w:rPr>
          <w:rFonts w:ascii="Times New Roman" w:hAnsi="Times New Roman" w:eastAsia="宋体"/>
          <w:sz w:val="21"/>
        </w:rPr>
        <w:t>作者: Huizhang Yang, Liyuan Chen, Shao-Shan Zuo, Zhong Liu, Jian Yang</w:t>
        <w:br/>
      </w:r>
      <w:r>
        <w:rPr>
          <w:rFonts w:ascii="Times New Roman" w:hAnsi="Times New Roman" w:eastAsia="宋体"/>
          <w:sz w:val="21"/>
        </w:rPr>
        <w:t xml:space="preserve">时间: 2026 | </w:t>
      </w:r>
      <w:r>
        <w:t xml:space="preserve">链接: </w:t>
      </w:r>
      <w:hyperlink r:id="rId17">
        <w:r>
          <w:rPr>
            <w:rFonts w:ascii="Times New Roman" w:hAnsi="Times New Roman" w:eastAsia="宋体"/>
            <w:color w:val="0000FF"/>
            <w:sz w:val="21"/>
            <w:u w:val="single"/>
          </w:rPr>
          <w:t>https://doi.org/10.1109/tip.2026.3657165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 (SAR) 成像依赖于使用聚焦算法将原始测量数据转换为雷达图像。这些算法需要了解 SAR 系统参数，例如波长、中心倾斜范围、快速时间采样率、脉冲重复间隔、波形和平台速度。然而，在非合作场景或元数据损坏时，这些参数不可用，导致传统算法失效。为了应对这一挑战，本文提出了一种新颖的无参数方法，用于从原始数据中恢复 SAR 图像，而不需要任何 SAR 系统参数。首先，我们引入了一种近似匹配滤波模型，该模型利用 SAR 回波的平移不变性特性，通过将原始数据与未知参考回波进行卷积来形成图像。其次，我们开发了一种主成分最大化（PCM）方法，利用 SAR 信号的低维结构来估计参考回波。 PCM 方法采用三阶段过程：1）将原始数据分割成块，2）标准化每个块的能量，3）最大化所有块的主成分能量，从而能够在非平稳杂波下稳健地估计参考回波。在各种SAR数据集上的实验结果表明，我们的方法可以在没有任何系统参数的情况下有效地从原始数据中恢复SAR图像。为了促进重现性，matlab 程序可从 https://github.com/huizhangyang/pcm 获取。</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imaging relies on using focusing algorithms to transform raw measurement data into radar images. These algorithms require knowledge of SAR system parameters, such as wavelength, center slant range, fast time sampling rate, pulse repetition interval, waveform, and platform speed. However, in non-cooperative scenarios or when metadata is corrupted, these parameters are unavailable, rendering traditional algorithms ineffective. To address this challenge, this paper presents a novel parameter-free method for recovering SAR images from raw data without the requirement of any SAR system parameters. Firstly, we introduce an approximated matched filtering model that leverages the shift-invariance properties of SAR echoes, enabling image formation via convolving the raw data with an unknown reference echo. Secondly, we develop a Principal Component Maximization (PCM) method that exploits the low-dimensional structure of SAR signals to estimate the reference echo. The PCM method employs a three-stage procedure: 1) segment raw data into blocks, 2) normalize the energy of each block, and 3) maximize the principal component’s energy across all blocks, enabling robust estimation of the reference echo under non-stationary clutter. Experimental results on various SAR datasets demonstrate that our method can effectively recover SAR images from raw data without any system parameters. To facilitate reproducibility, the matlab program is available at https://github.com/huizhangyang/pcm.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IHDCP：使用倒置雾度密度校正先验进行单图像去雾</w:t>
      </w:r>
    </w:p>
    <w:p>
      <w:r>
        <w:rPr>
          <w:rFonts w:ascii="Times New Roman" w:hAnsi="Times New Roman" w:eastAsia="宋体"/>
          <w:b/>
          <w:color w:val="003264"/>
          <w:sz w:val="24"/>
        </w:rPr>
        <w:t>IHDCP: Single Image Dehazing Using Inverted Haze Density Correction Prior</w:t>
      </w:r>
    </w:p>
    <w:p>
      <w:r>
        <w:rPr>
          <w:rFonts w:ascii="Times New Roman" w:hAnsi="Times New Roman" w:eastAsia="宋体"/>
          <w:sz w:val="21"/>
        </w:rPr>
        <w:t>作者: Yun Liu, Tao Li, Chunping Tan, Wenqi Ren, Cosmin Ancuti, Weisi Lin</w:t>
        <w:br/>
      </w:r>
      <w:r>
        <w:rPr>
          <w:rFonts w:ascii="Times New Roman" w:hAnsi="Times New Roman" w:eastAsia="宋体"/>
          <w:sz w:val="21"/>
        </w:rPr>
        <w:t xml:space="preserve">时间: 2026 | </w:t>
      </w:r>
      <w:r>
        <w:t xml:space="preserve">链接: </w:t>
      </w:r>
      <w:hyperlink r:id="rId18">
        <w:r>
          <w:rPr>
            <w:rFonts w:ascii="Times New Roman" w:hAnsi="Times New Roman" w:eastAsia="宋体"/>
            <w:color w:val="0000FF"/>
            <w:sz w:val="21"/>
            <w:u w:val="single"/>
          </w:rPr>
          <w:t>https://doi.org/10.1109/tip.2026.3657636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图像去雾是低级视觉中的一项关键任务，支持许多实际应用，例如自动驾驶、遥感和监控。本文提出了 IHDCP，一种新颖的倒置雾度密度校正先验，用于高效的单图像去雾。据观察，可以使用具有各种伽玛系数的校正函数从倒转的雾度密度图有效地对介质透射率进行建模。基于这一观察，引入了逐像素伽马校正系数来将透射率公式化为反转雾度密度图的函数。为了估计传输率，IHDCP 首先被纳入经典的大气散射模型 (ASM)，从而产生超越方程，随后使用泰勒展开将其简化为具有单个未知参数的二次形式。然后，设计边界约束来估计该模型参数，并通过Vieta定理导出伽玛校正系数图。最后通过ASM反演恢复无雾结果。在各种合成和真实数据集上的实验结果验证了我们的算法不仅提供了视觉上吸引人的去雾性能和高计算效率，而且在主观和客观评估方面都优于几种最先进的去雾方法。此外，我们的 IHDCP 可以很好地推广到各种类型的退化场景。我们的代码可在 https://github.com/TaoLi-TL/IHDCP 获取。</w:t>
      </w:r>
    </w:p>
    <w:p>
      <w:pPr>
        <w:spacing w:before="120"/>
      </w:pPr>
      <w:r>
        <w:rPr>
          <w:rFonts w:ascii="Times New Roman" w:hAnsi="Times New Roman" w:eastAsia="宋体"/>
          <w:b/>
          <w:sz w:val="21"/>
        </w:rPr>
        <w:t>English Abstract:</w:t>
      </w:r>
    </w:p>
    <w:p>
      <w:r>
        <w:rPr>
          <w:rFonts w:ascii="Times New Roman" w:hAnsi="Times New Roman" w:eastAsia="宋体"/>
          <w:sz w:val="21"/>
        </w:rPr>
        <w:t>Image dehazing, a crucial task in low-level vision, supports numerous practical applications, such as autonomous driving, remote sensing, and surveillance. This paper proposes IHDCP, a novel Inverted Haze Density Correction Prior for efficient single image dehazing. It is observed that the medium transmission can be effectively modeled from the inverted haze density map using correction functions with various gamma coefficients. Based on this observation, a pixel-wise gamma correction coefficient is introduced to formulate the transmission as a function of the inverted haze density map. To estimate the transmission, IHDCP is first incorporated into the classic atmospheric scattering model (ASM), leading to a transcendental equation that is subsequently simplified to a quadratic form with a single unknown parameter using the Taylor expansion. Then, boundary constraints are designed to estimate this model parameter, and the gamma correction coefficient map is derived via the Vieta theorem. Finally, the haze-free result is recovered through ASM inversion. Experimental results on diverse synthetic and real-world datasets verify that our algorithm not only provides visually appealing dehazing performance with high computational efficiency, but also outperforms several state-of-the-art dehazing approaches in both subjective and objective evaluations. Moreover, our IHDCP generalizes well to various types of degraded scenes. Our code is available at https://github.com/TaoLi-TL/IHDCP.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SACMark：光场图像版权保护的空间角度一致性水印网络</w:t>
      </w:r>
    </w:p>
    <w:p>
      <w:r>
        <w:rPr>
          <w:rFonts w:ascii="Times New Roman" w:hAnsi="Times New Roman" w:eastAsia="宋体"/>
          <w:b/>
          <w:color w:val="003264"/>
          <w:sz w:val="24"/>
        </w:rPr>
        <w:t>SACMark: Spatial-Angle Consistency Watermarking Network for Light Field Image Copyright Protection</w:t>
      </w:r>
    </w:p>
    <w:p>
      <w:r>
        <w:rPr>
          <w:rFonts w:ascii="Times New Roman" w:hAnsi="Times New Roman" w:eastAsia="宋体"/>
          <w:sz w:val="21"/>
        </w:rPr>
        <w:t>作者: Junfeng Guo, Hui Wang, Shouxin Liu, Yushu Zhang, Zhongyun Hua, Seok-Tae Kim, Xiaowei Li</w:t>
        <w:br/>
      </w:r>
      <w:r>
        <w:rPr>
          <w:rFonts w:ascii="Times New Roman" w:hAnsi="Times New Roman" w:eastAsia="宋体"/>
          <w:sz w:val="21"/>
        </w:rPr>
        <w:t xml:space="preserve">时间: 2026 | </w:t>
      </w:r>
      <w:r>
        <w:t xml:space="preserve">链接: </w:t>
      </w:r>
      <w:hyperlink r:id="rId19">
        <w:r>
          <w:rPr>
            <w:rFonts w:ascii="Times New Roman" w:hAnsi="Times New Roman" w:eastAsia="宋体"/>
            <w:color w:val="0000FF"/>
            <w:sz w:val="21"/>
            <w:u w:val="single"/>
          </w:rPr>
          <w:t>https://doi.org/10.1109/tip.2026.3657635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基于深度学习的大规模彩色点云联合几何和属性上采样</w:t>
      </w:r>
    </w:p>
    <w:p>
      <w:r>
        <w:rPr>
          <w:rFonts w:ascii="Times New Roman" w:hAnsi="Times New Roman" w:eastAsia="宋体"/>
          <w:b/>
          <w:color w:val="003264"/>
          <w:sz w:val="24"/>
        </w:rPr>
        <w:t>Deep Learning based Joint Geometry and Attribute Up-sampling for Large-Scale Colored Point Clouds</w:t>
      </w:r>
    </w:p>
    <w:p>
      <w:r>
        <w:rPr>
          <w:rFonts w:ascii="Times New Roman" w:hAnsi="Times New Roman" w:eastAsia="宋体"/>
          <w:sz w:val="21"/>
        </w:rPr>
        <w:t>作者: Yun Zhang, Feifan Chen, Na Li, Zhiwei Guo, Xu Wang, Fen Miao, Sam Kwong</w:t>
        <w:br/>
      </w:r>
      <w:r>
        <w:rPr>
          <w:rFonts w:ascii="Times New Roman" w:hAnsi="Times New Roman" w:eastAsia="宋体"/>
          <w:sz w:val="21"/>
        </w:rPr>
        <w:t xml:space="preserve">时间: 2026 | </w:t>
      </w:r>
      <w:r>
        <w:t xml:space="preserve">链接: </w:t>
      </w:r>
      <w:hyperlink r:id="rId20">
        <w:r>
          <w:rPr>
            <w:rFonts w:ascii="Times New Roman" w:hAnsi="Times New Roman" w:eastAsia="宋体"/>
            <w:color w:val="0000FF"/>
            <w:sz w:val="21"/>
            <w:u w:val="single"/>
          </w:rPr>
          <w:t>https://doi.org/10.1109/tip.2026.3657214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由几何和属性组件组成的彩色点云是实现逼真和沉浸式 3D 应用的主流表示形式之一。为了生成大规模且更密集的彩色点云，我们提出了一种基于深度学习的联合几何和属性上采样（JGAU）方法，该方法学习对几何和属性模式进行建模并利用空间属性相关性。首先，我们建立并发布了一个用于彩色点云上采样的大型数据集，名为SYSU-PCUD，该数据集具有六大类和四种采样率的121个具有不同几何形状和属性复杂性的大型彩色点云。其次，为了提高上采样点云的质量，我们提出了一种基于深度学习的 JGAU 框架来联合对几何和属性进行上采样。它由几何上采样网络和属性上采样网络组成，其中属性上采样网络利用上采样的辅助几何来对属性的邻域相关性进行建模。第三，我们提出了两种粗略属性上采样方法，几何距离加权属性插值（GDWAI）和基于深度学习的属性插值（DLAI），为每个点生成粗略上采样属性。然后，我们提出了一个属性增强模块，通过进一步利用内在属性和几何模式来细化上采样属性并生成高质量点云。大量实验表明，当上采样率为 4×、8×、12×和 16×时，所提出的 JGAU 实现的峰值信噪比（PSNR）分别为 33.90 dB、32.10 dB、31.10 dB 和 30.39 dB。与最先进的方案相比，JGAU 在四种上采样率下分别实现了平均 2.32 dB、2.47 dB、2.28 dB 和 2.11 dB PSNR 增益，这是显着的。</w:t>
      </w:r>
    </w:p>
    <w:p>
      <w:pPr>
        <w:spacing w:before="120"/>
      </w:pPr>
      <w:r>
        <w:rPr>
          <w:rFonts w:ascii="Times New Roman" w:hAnsi="Times New Roman" w:eastAsia="宋体"/>
          <w:b/>
          <w:sz w:val="21"/>
        </w:rPr>
        <w:t>English Abstract:</w:t>
      </w:r>
    </w:p>
    <w:p>
      <w:r>
        <w:rPr>
          <w:rFonts w:ascii="Times New Roman" w:hAnsi="Times New Roman" w:eastAsia="宋体"/>
          <w:sz w:val="21"/>
        </w:rPr>
        <w:t>Colored point cloud comprising geometry and attribute components is one of the mainstream representations enabling realistic and immersive 3D applications. To generate large-scale and denser colored point clouds, we propose a deep learning-based Joint Geometry and Attribute Up-sampling (JGAU) method, which learns to model both geometry and attribute patterns and leverages the spatial attribute correlation. Firstly, we establish and release a large-scale dataset for colored point cloud up-sampling, named SYSU-PCUD, which has 121 large-scale colored point clouds with diverse geometry and attribute complexities in six categories and four sampling rates. Secondly, to improve the quality of up-sampled point clouds, we propose a deep learning-based JGAU framework to up-sample the geometry and attribute jointly. It consists of a geometry upsampling network and an attribute up-sampling network, where the latter leverages the up-sampled auxiliary geometry to model neighborhood correlations of the attributes. Thirdly, we propose two coarse attribute up-sampling methods, Geometric Distance Weighted Attribute Interpolation (GDWAI) and Deep Learning-based Attribute Interpolation (DLAI), to generate coarsely upsampled attributes for each point. Then, we propose an attribute enhancement module to refine the up-sampled attributes and generate high quality point clouds by further exploiting intrinsic attribute and geometry patterns. Extensive experiments show that Peak Signal-to-Noise Ratio (PSNR) achieved by the proposed JGAU are 33.90 dB, 32.10 dB, 31.10 dB, and 30.39 dB when upsampling rates are 4×, 8×, 12×, and 16×, respectively. Compared to the state-of-the-art schemes, the JGAU achieves an average of 2.32 dB, 2.47 dB, 2.28 dB and 2.11 dB PSNR gains at four upsampling rates, respectively, which are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广播门控注意力与身份自适应集成，实现高效图像超分辨率</w:t>
      </w:r>
    </w:p>
    <w:p>
      <w:r>
        <w:rPr>
          <w:rFonts w:ascii="Times New Roman" w:hAnsi="Times New Roman" w:eastAsia="宋体"/>
          <w:b/>
          <w:color w:val="003264"/>
          <w:sz w:val="24"/>
        </w:rPr>
        <w:t>Broadcast-Gated Attention with Identity Adaptive Integration for Efficient Image Super-Resolution</w:t>
      </w:r>
    </w:p>
    <w:p>
      <w:r>
        <w:rPr>
          <w:rFonts w:ascii="Times New Roman" w:hAnsi="Times New Roman" w:eastAsia="宋体"/>
          <w:sz w:val="21"/>
        </w:rPr>
        <w:t>作者: Qian Wang, Yanyu Mao, Ruilong Guo, Mengyang Wang, Jing Wei, Han Pan</w:t>
        <w:br/>
      </w:r>
      <w:r>
        <w:rPr>
          <w:rFonts w:ascii="Times New Roman" w:hAnsi="Times New Roman" w:eastAsia="宋体"/>
          <w:sz w:val="21"/>
        </w:rPr>
        <w:t xml:space="preserve">时间: 2026 | </w:t>
      </w:r>
      <w:r>
        <w:t xml:space="preserve">链接: </w:t>
      </w:r>
      <w:hyperlink r:id="rId21">
        <w:r>
          <w:rPr>
            <w:rFonts w:ascii="Times New Roman" w:hAnsi="Times New Roman" w:eastAsia="宋体"/>
            <w:color w:val="0000FF"/>
            <w:sz w:val="21"/>
            <w:u w:val="single"/>
          </w:rPr>
          <w:t>https://doi.org/10.1109/tip.2026.3657640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图像超分辨率（SR）模型对于在降低计算复杂性的情况下实现高质量图像重建至关重要，特别是在资源有限的环境中。在本文中，我们介绍了一种新颖的自注意力机制，带有身份自适应集成的广播门控注意力（BGAI）。然后，基于这种机制，我们设计了一个轻量级的超分辨率网络，以最小的计算成本实现了最先进的性能。通过观察自注意力的稀疏性和收敛特性，BGAI 通过跨注意力头和网络层有效广播有意义的特征来优化计算资源利用率。 BGAI 的一项关键创新是广播门控多头自注意力（BGMSA）机制，该机制采用专用头来捕获和集成远程依赖性，并将更广泛的上下文信息广播到本地注意力头。这种设计增强了远程交互建模，同时最大限度地减少了冗余计算。此外，身份注意力自适应集成（IAAI）机制通过利用跨层依赖关系的连续性来促进高效的特征传播，重点关注动态变化以提高表示效率并加速收敛。标准基准的综合实验表明，BGAI 实现了高保真超分辨率，同时与现有轻量级方法相比，参数数量和 FLOP 减少高达 35%。这些结果使 BGAI 成为一种强大且可扩展的资源高效型 SR 解决方案，在现实世界的高分辨率图像处理应用中具有巨大的部署潜力。代码和经过训练的模型可在 https://github.com/bbbolt/BGAI 上公开获取。</w:t>
      </w:r>
    </w:p>
    <w:p>
      <w:pPr>
        <w:spacing w:before="120"/>
      </w:pPr>
      <w:r>
        <w:rPr>
          <w:rFonts w:ascii="Times New Roman" w:hAnsi="Times New Roman" w:eastAsia="宋体"/>
          <w:b/>
          <w:sz w:val="21"/>
        </w:rPr>
        <w:t>English Abstract:</w:t>
      </w:r>
    </w:p>
    <w:p>
      <w:r>
        <w:rPr>
          <w:rFonts w:ascii="Times New Roman" w:hAnsi="Times New Roman" w:eastAsia="宋体"/>
          <w:sz w:val="21"/>
        </w:rPr>
        <w:t>Efficient image super-resolution (SR) models are essential for achieving high-quality image reconstruction with reduced computational complexity, particularly in resource-constrained environments. In this paper, we introduce a novel self-attention mechanism, Broadcast-Gated Attention with Identity Adaptive Integration (BGAI). Then, based on this mechanism, we design a lightweight super-resolution network that achieves state-of-the-art performance with minimal computational cost. By observing the sparsity and convergence properties of self-attention, BGAI optimizes computational resource utilization through the effective broadcasting of meaningful features across attention heads and network layers. A key innovation in BGAI is the Broadcast-Gated Multi-head Self-Attention (BGMSA) mechanism, which employs a dedicated head to capture and integrate long-range dependencies, broadcasting this broader contextual information to local attention heads. This design enhances long-range interaction modeling while minimizing redundant computations. Additionally, the Identity Attention Adaptive Integration (IAAI) mechanism facilitates efficient feature propagation by leveraging the continuity in dependencies across layers, with a focus on dynamic variations to improve representational efficiency and accelerate convergence. Comprehensive experiments on standard benchmarks demonstrate that BGAI achieves high-fidelity super-resolution while reducing the number of parameters and FLOPs by up to 35% compared with existing lightweight methods. These results establish BGAI as a robust and scalable solution for resource-efficient SR, with significant potential for deployment in real-world, high-resolution image processing applications. The code and trained models are publicly available at https://github.com/bbbolt/BGAI.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SEGA：针对无参考图像质量评估模型的可转移签名集成高斯黑盒攻击</w:t>
      </w:r>
    </w:p>
    <w:p>
      <w:r>
        <w:rPr>
          <w:rFonts w:ascii="Times New Roman" w:hAnsi="Times New Roman" w:eastAsia="宋体"/>
          <w:b/>
          <w:color w:val="003264"/>
          <w:sz w:val="24"/>
        </w:rPr>
        <w:t>SEGA: A Transferable S igned E nsemble G aussian Black-Box A ttack Against No-Reference Image Quality Assessment Models</w:t>
      </w:r>
    </w:p>
    <w:p>
      <w:r>
        <w:rPr>
          <w:rFonts w:ascii="Times New Roman" w:hAnsi="Times New Roman" w:eastAsia="宋体"/>
          <w:sz w:val="21"/>
        </w:rPr>
        <w:t>作者: Yujia Liu, Dingquan Li, Zhixuan Li, Tiejun Huang</w:t>
        <w:br/>
      </w:r>
      <w:r>
        <w:rPr>
          <w:rFonts w:ascii="Times New Roman" w:hAnsi="Times New Roman" w:eastAsia="宋体"/>
          <w:sz w:val="21"/>
        </w:rPr>
        <w:t xml:space="preserve">时间: 2026 | </w:t>
      </w:r>
      <w:r>
        <w:t xml:space="preserve">链接: </w:t>
      </w:r>
      <w:hyperlink r:id="rId22">
        <w:r>
          <w:rPr>
            <w:rFonts w:ascii="Times New Roman" w:hAnsi="Times New Roman" w:eastAsia="宋体"/>
            <w:color w:val="0000FF"/>
            <w:sz w:val="21"/>
            <w:u w:val="single"/>
          </w:rPr>
          <w:t>https://doi.org/10.1109/tpami.2026.3659164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无参考图像质量评估 (NR-IQA) 模型在各种实际应用中发挥着重要作用。最近，针对 NR-IQA 模型的对抗性攻击引起了越来越多的关注，因为它们为揭示模型漏洞和指导稳健的系统设计提供了宝贵的见解。在白盒设置中，针对 NR-IQA 模型提出了一些有效的攻击，其中攻击者可以完全访问目标模型。然而，在更现实的黑盒场景中，这些攻击通常难以转移到未知目标模型，而目标模型是不可访问的。这项工作首次尝试通过提出可转移的签名集成高斯黑盒攻击（SEGA）来解决攻击 NR-IQA 模型时可转移性低的挑战。主要思想是通过对源模型应用高斯平滑并集成其平滑梯度来近似目标模型的梯度。为了确保对抗性扰动的不可察觉性，SEGA 使用专门设计的扰动过滤器掩模进一步消除了不适当的扰动。实验结果证明了 SEGA 卓越的可转移性，验证了其在成功针对 NR-IQA 模型进行基于转移的黑盒攻击方面的有效性。本文的代码可在 https://github.com/YogaLYJ/SEGA_IQA 获取。</w:t>
      </w:r>
    </w:p>
    <w:p>
      <w:pPr>
        <w:spacing w:before="120"/>
      </w:pPr>
      <w:r>
        <w:rPr>
          <w:rFonts w:ascii="Times New Roman" w:hAnsi="Times New Roman" w:eastAsia="宋体"/>
          <w:b/>
          <w:sz w:val="21"/>
        </w:rPr>
        <w:t>English Abstract:</w:t>
      </w:r>
    </w:p>
    <w:p>
      <w:r>
        <w:rPr>
          <w:rFonts w:ascii="Times New Roman" w:hAnsi="Times New Roman" w:eastAsia="宋体"/>
          <w:sz w:val="21"/>
        </w:rPr>
        <w:t>No-Reference Image Quality Assessment (NR-IQA) models play an important role in various real-world applications. Recently, adversarial attacks against NR-IQA models have attracted increasing attention, as they provide valuable insights for revealing model vulnerabilities and guiding robust system design. Some effective attacks have been proposed against NR-IQA models in white-box settings, where the attacker has full access to the target model. However, these attacks often suffer from poor transferability to unknown target models in more realistic black-box scenarios, where the target model is inaccessible. This work makes the first attempt to address the challenge of low transferability in attacking NR-IQA models by proposing a transferable Signed Ensemble Gaussian black-box Attack (SEGA). The main idea is to approximate the gradient of the target model by applying Gaussian smoothing to source models and ensembling their smoothed gradients. To ensure the imperceptibility of adversarial perturbations, SEGA further removes inappropriate perturbations using a specially designed perturbation filter mask. Experimental results demonstrate the superior transferability of SEGA, validating its effectiveness in enabling successful transfer-based black-box attacks against NR-IQA models. Code for this paper is available at https://github.com/YogaLYJ/SEGA_IQA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扩散模型和表征学习：一项调查</w:t>
      </w:r>
    </w:p>
    <w:p>
      <w:r>
        <w:rPr>
          <w:rFonts w:ascii="Times New Roman" w:hAnsi="Times New Roman" w:eastAsia="宋体"/>
          <w:b/>
          <w:color w:val="003264"/>
          <w:sz w:val="24"/>
        </w:rPr>
        <w:t>Diffusion Models and Representation Learning: A Survey</w:t>
      </w:r>
    </w:p>
    <w:p>
      <w:r>
        <w:rPr>
          <w:rFonts w:ascii="Times New Roman" w:hAnsi="Times New Roman" w:eastAsia="宋体"/>
          <w:sz w:val="21"/>
        </w:rPr>
        <w:t>作者: Michael Fuest, Pingchuan Ma, Ming Gui, Johannes Schusterbauer, Vincent Tao Hu, Björn Ommer</w:t>
        <w:br/>
      </w:r>
      <w:r>
        <w:rPr>
          <w:rFonts w:ascii="Times New Roman" w:hAnsi="Times New Roman" w:eastAsia="宋体"/>
          <w:sz w:val="21"/>
        </w:rPr>
        <w:t xml:space="preserve">时间: 2026 | </w:t>
      </w:r>
      <w:r>
        <w:t xml:space="preserve">链接: </w:t>
      </w:r>
      <w:hyperlink r:id="rId23">
        <w:r>
          <w:rPr>
            <w:rFonts w:ascii="Times New Roman" w:hAnsi="Times New Roman" w:eastAsia="宋体"/>
            <w:color w:val="0000FF"/>
            <w:sz w:val="21"/>
            <w:u w:val="single"/>
          </w:rPr>
          <w:t>https://doi.org/10.1109/tpami.2026.3658965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各种视觉任务中流行的生成建模方法，引起了广泛的关注。由于它们独立于标签注释，因此可以被认为是自监督学习方法的独特实例。这项调查探讨了扩散模型和表征学习之间的相互作用。它概述了扩散模型的基本方面，包括数学基础、流行的去噪网络架构和指导方法。详细介绍了与扩散模型和表示学习相关的各种方法。其中包括利用从预先训练的扩散模型中学习的表示来执行后续识别任务的框架，以及利用表示和自我监督学习的进步来增强扩散模型的方法。这项调查旨在全面概述扩散模型和表征学习之间的分类，确定现有关注和潜在探索的关键领域。 Github链接：https://github.com/dongzhuoyao/Diffusion-Representation-Learning-Survey-Taxonomy。</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popular generative modeling methods in various vision tasks, attracting significant attention. They can be considered a unique instance of self-supervised learning methods due to their independence from label annotation. This survey explores the interplay between diffusion models and representation learning. It provides an overview of diffusion models' essential aspects, including mathematical foundations, popular denoising network architectures, and guidance methods. Various approaches related to diffusion models and representation learning are detailed. These include frameworks that leverage representations learned from pre-trained diffusion models for subsequent recognition tasks and methods that utilize advancements in representation and self-supervised learning to enhance diffusion models. This survey aims to offer a comprehensive overview of the taxonomy between diffusion models and representation learning, identifying key areas of existing concerns and potential exploration. Github link: https://github.com/dongzhuoyao/Diffusion-Representation-Learning-Survey-Taxonomy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通过凸优化进行确定性采样的鲁棒矩阵补全</w:t>
      </w:r>
    </w:p>
    <w:p>
      <w:r>
        <w:rPr>
          <w:rFonts w:ascii="Times New Roman" w:hAnsi="Times New Roman" w:eastAsia="宋体"/>
          <w:b/>
          <w:color w:val="003264"/>
          <w:sz w:val="24"/>
        </w:rPr>
        <w:t>Robust Matrix Completion With Deterministic Sampling Via Convex Optimization</w:t>
      </w:r>
    </w:p>
    <w:p>
      <w:r>
        <w:rPr>
          <w:rFonts w:ascii="Times New Roman" w:hAnsi="Times New Roman" w:eastAsia="宋体"/>
          <w:sz w:val="21"/>
        </w:rPr>
        <w:t>作者: Yinjian Wang, Wei Li, James E. Fowler, Gemine Vivone</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https://doi.org/10.1109/tpami.2026.3659200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的问题——从低秩矩阵和稀疏矩阵的叠加采样中恢复——已经在先前的文献中得到了广泛的解决。然而，这项工作的大部分内容都专门关注随机进行矩阵采样的情况，因为这种情况适合理论分析。相比之下，使用任意确定性模式进行采样通常更适合硬件实现；因此，考虑了确定性采样下的鲁棒矩阵补全问题。为此，提出并使用受限的近似等距性质，以及改进的高尔夫方案和稍微增强的不相干条件，以证明潜在的低秩稀疏矩阵可以通过凸优化以渐近高概率唯一地恢复，为任意确定性采样的鲁棒矩阵补全提供了第一个精确恢复理论。开发了由传统核范数驱动的相应凸优化算法，然后通过替换卷积核范数进行推广，以覆盖更广泛的应用场景。合成数据的实证实验验证了所提出的理论，而现实世界图像的一系列结果证明了稳健矩阵恢复的广义算法的实际功效。</w:t>
      </w:r>
    </w:p>
    <w:p>
      <w:pPr>
        <w:spacing w:before="120"/>
      </w:pPr>
      <w:r>
        <w:rPr>
          <w:rFonts w:ascii="Times New Roman" w:hAnsi="Times New Roman" w:eastAsia="宋体"/>
          <w:b/>
          <w:sz w:val="21"/>
        </w:rPr>
        <w:t>English Abstract:</w:t>
      </w:r>
    </w:p>
    <w:p>
      <w:r>
        <w:rPr>
          <w:rFonts w:ascii="Times New Roman" w:hAnsi="Times New Roman" w:eastAsia="宋体"/>
          <w:sz w:val="21"/>
        </w:rPr>
        <w:t>The problem of robust matrix completion—the recovery of a low-rank matrix and a sparse matrix from a sampling of their superposition—has been addressed extensively in prior literature. Yet, much of this work has focused exclusively on the case in which the matrix sampling is done at random, as this scenario is amenable to theoretical analysis. In contrast, sampling with an arbitrary deterministic pattern is often more accommodating to hardware implementation; consequently, the problem of robust matrix completion under deterministic sampling is considered. To this end, a restricted approximate isometry property is proposed and used, along with a modified golfing scheme and a slightly strengthened incoherence condition, to prove that the latent low-rank and sparse matrices are uniquely recoverable via convex optimization with asymptotically high probability, providing the first exact-recovery theory for robust matrix completion with arbitrary deterministic sampling. A corresponding convex-optimization algorithm, driven by a traditional nuclear norm, is developed and then subsequently generalized by substituting a convolutional nuclear norm in order to cover a broader range of application scenarios. Empirical experiments on synthetic data verify the proposed theory while a battery of results on real-world images demonstrate the practical efficacy of the generalized algorithm for robust matrix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视觉和语言导航中的细粒度对齐监督很重要</w:t>
      </w:r>
    </w:p>
    <w:p>
      <w:r>
        <w:rPr>
          <w:rFonts w:ascii="Times New Roman" w:hAnsi="Times New Roman" w:eastAsia="宋体"/>
          <w:b/>
          <w:color w:val="003264"/>
          <w:sz w:val="24"/>
        </w:rPr>
        <w:t>Fine-Grained Alignment Supervision Matters in Vision-and-Language Navigation</w:t>
      </w:r>
    </w:p>
    <w:p>
      <w:r>
        <w:rPr>
          <w:rFonts w:ascii="Times New Roman" w:hAnsi="Times New Roman" w:eastAsia="宋体"/>
          <w:sz w:val="21"/>
        </w:rPr>
        <w:t>作者: Keji He, Yan Huang, Ya Jing, Qi Wu, Liang Wang</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https://doi.org/10.1109/tpami.2026.3658949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视觉和语言导航 (VLN) 任务涉及代理根据提供的指令在 3D 室内环境中进行导航。实现跨模式对齐是 VLN 中最关键的挑战之一，因为预测的轨迹需要与给定的指令精确对齐。本文重点从细粒度的角度解决 VLN 中的跨模式对齐问题。首先，为了解决粗粒度数据产生的跨模态对齐监督弱的问题，我们引入了一个人工注释的细粒度 VLN 数据集，称为 Landmark-RxR。该数据集旨在为 VLN 提供精确、细粒度的监督。其次，为了全面展示Landmark-RxR细粒度数据的潜力和优势，我们探索了依赖于训练数据特征的训练过程的核心组成部分。这些组件包括数据增强、训练范式、奖励塑造和导航损失设计。利用我们的细粒度数据，我们精心设计了处理它们的方法，并引入了一种新颖的评估机制。实验结果表明，细粒度数据可以有效提高智能体的跨模态对准能力。可以从 https://github.com/hekj/Landmark-RxR 获取对 Landmark-RxR 数据集的访问。</w:t>
      </w:r>
    </w:p>
    <w:p>
      <w:pPr>
        <w:spacing w:before="120"/>
      </w:pPr>
      <w:r>
        <w:rPr>
          <w:rFonts w:ascii="Times New Roman" w:hAnsi="Times New Roman" w:eastAsia="宋体"/>
          <w:b/>
          <w:sz w:val="21"/>
        </w:rPr>
        <w:t>English Abstract:</w:t>
      </w:r>
    </w:p>
    <w:p>
      <w:r>
        <w:rPr>
          <w:rFonts w:ascii="Times New Roman" w:hAnsi="Times New Roman" w:eastAsia="宋体"/>
          <w:sz w:val="21"/>
        </w:rPr>
        <w:t>The Vision-and-Language Navigation (VLN) task involves an agent navigating within 3D indoor environments based on provided instructions. Achieving cross-modal alignment presents one of the most critical challenges in VLN, as the predicted trajectory needs to precisely align with the given instruction. This paper focuses on addressing cross-modal alignment in VLN from a fine-grained perspective. Firstly, to address the issue of weak cross-modal alignment supervision arising from coarse-grained data, we introduce a human-annotated fine-grained VLN dataset called Landmark-RxR. This dataset aims to offer precise, fine-grained supervision for VLN. Secondly, in order to comprehensively demonstrate the potential and advantage of the fine-grained data from Landmark-RxR, we explore the core components of the training process that depend on the characteristics of the training data. These components include data augmentation, training paradigm, reward shaping, and navigation loss design. Leveraging our fine-grained data, we carefully design methods for handling them and introduce a novel evaluation mechanism. The experimental results demonstrate that the fine-grained data can effectively improve the agent's cross-modal alignment ability. Access to the Landmark-RxR dataset can be obtained from https://github.com/hekj/Landmark-RxR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具有差异隐私合成蒸馏的隐私保护模型转录</w:t>
      </w:r>
    </w:p>
    <w:p>
      <w:r>
        <w:rPr>
          <w:rFonts w:ascii="Times New Roman" w:hAnsi="Times New Roman" w:eastAsia="宋体"/>
          <w:b/>
          <w:color w:val="003264"/>
          <w:sz w:val="24"/>
        </w:rPr>
        <w:t>Privacy-Preserving Model Transcription With Differentially Private Synthetic Distillation</w:t>
      </w:r>
    </w:p>
    <w:p>
      <w:r>
        <w:rPr>
          <w:rFonts w:ascii="Times New Roman" w:hAnsi="Times New Roman" w:eastAsia="宋体"/>
          <w:sz w:val="21"/>
        </w:rPr>
        <w:t>作者: Bochao Liu, Shiming Ge, Pengju Wang, Shikun Li, Tongliang Liu</w:t>
        <w:br/>
      </w:r>
      <w:r>
        <w:rPr>
          <w:rFonts w:ascii="Times New Roman" w:hAnsi="Times New Roman" w:eastAsia="宋体"/>
          <w:sz w:val="21"/>
        </w:rPr>
        <w:t xml:space="preserve">时间: 2026 | </w:t>
      </w:r>
      <w:r>
        <w:t xml:space="preserve">链接: </w:t>
      </w:r>
      <w:hyperlink r:id="rId26">
        <w:r>
          <w:rPr>
            <w:rFonts w:ascii="Times New Roman" w:hAnsi="Times New Roman" w:eastAsia="宋体"/>
            <w:color w:val="0000FF"/>
            <w:sz w:val="21"/>
            <w:u w:val="single"/>
          </w:rPr>
          <w:t>https://doi.org/10.1109/tpami.2026.3659110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许多在私有数据集上训练的深度学习模型已部署在各种实际任务中，但它们可能会带来隐私泄露风险，因为攻击者可以从模型中恢复信息数据或标记知识。在这项工作中，我们提出了隐私保护模型转录，这是一种无数据的模型到模型转换解决方案，可在隐私保证的情况下促进模型部署。为此，我们提出了一种称为差分隐私合成蒸馏的合作竞争学习方法，该方法学习通过可训练生成器将预训练模型（教师）转换为其隐私保护模型（学生），而无需访问私有数据。该学习在统一框架中与三个参与者协作并执行交替优化：i）生成器被学习生成合成数据，ii）教师和学生接受合成数据并通过灵活数据或标签噪声扰动计算差异私人标签，以及iii）用噪声标签更新学生，并通过将学生作为对抗训练的判别器来更新生成器。我们从理论上证明我们的方法可以保证差异隐私和收敛。转录的学生具有良好的性能和隐私保护，而生成的生成器可以为下游任务生成私有合成数据。大量实验清楚地表明我们的方法优于 26 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While many deep learning models trained on private datasets have been deployed in various practical tasks, they may pose a privacy leakage risk as attackers could recover informative data or label knowledge from models. In this work, we present privacy-preserving model transcription , a data-free model-to-model conversion solution to facilitate model deployment with a privacy guarantee. To this end, we propose a cooperative-competitive learning approach termed differentially private synthetic distillation that learns to convert a pretrained model (teacher) into its privacy-preserving counterpart (student) via a trainable generator without access to private data. The learning collaborates with three players in a unified framework and performs alternate optimization: i) the generator is learned to generate synthetic data, ii) the teacher and student accept the synthetic data and compute differential private labels by flexible data or label noisy perturbation, and iii) the student is updated with noisy labels and the generator is updated by taking the student as a discriminator for adversarial training. We theoretically prove that our approach can guarantee differential privacy and convergence. The transcribed student has good performance and privacy protection, while the resulting generator can generate private synthetic data for downstream tasks. Extensive experiments clearly demonstrate that our approach outperforms 26 state-of-the-arts.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用于大规模低秩数据恢复的深度学习的鲁棒矩阵补全</w:t>
      </w:r>
    </w:p>
    <w:p>
      <w:r>
        <w:rPr>
          <w:rFonts w:ascii="Times New Roman" w:hAnsi="Times New Roman" w:eastAsia="宋体"/>
          <w:b/>
          <w:color w:val="003264"/>
          <w:sz w:val="24"/>
        </w:rPr>
        <w:t>Deeply Learned Robust Matrix Completion for Large-scale Low-rank Data Recovery</w:t>
      </w:r>
    </w:p>
    <w:p>
      <w:r>
        <w:rPr>
          <w:rFonts w:ascii="Times New Roman" w:hAnsi="Times New Roman" w:eastAsia="宋体"/>
          <w:sz w:val="21"/>
        </w:rPr>
        <w:t>作者: HanQin Cai, Chandra Kundu, Jialin Liu, Wotao Yin</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https://doi.org/10.1109/tpami.2026.3659041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鲁棒矩阵补全（RMC）是一种广泛使用的机器学习工具，它同时解决低秩数据分析中的两个关键问题：缺失数据条目和极端异常值。本文针对大规模 RMC 问题提出了一种新颖的可扩展且可学习的非凸方法，称为学习鲁棒矩阵补全（LRMC）。 LRMC 具有低计算复杂度和线性收敛性。在所提出的定理的推动下，可以通过深度展开有效地学习 LRMC 的自由参数，以实现最佳性能。此外，本文提出了一种灵活的前馈循环混合神经网络框架，将深度展开从固定次数迭代扩展到无限迭代。 LRMC 的卓越经验性能通过针对最先进的合成数据集和实际应用的大量实验得到验证，包括视频背景扣除、超声成像、面部建模和卫星图像云去除。</w:t>
      </w:r>
    </w:p>
    <w:p>
      <w:pPr>
        <w:spacing w:before="120"/>
      </w:pPr>
      <w:r>
        <w:rPr>
          <w:rFonts w:ascii="Times New Roman" w:hAnsi="Times New Roman" w:eastAsia="宋体"/>
          <w:b/>
          <w:sz w:val="21"/>
        </w:rPr>
        <w:t>English Abstract:</w:t>
      </w:r>
    </w:p>
    <w:p>
      <w:r>
        <w:rPr>
          <w:rFonts w:ascii="Times New Roman" w:hAnsi="Times New Roman" w:eastAsia="宋体"/>
          <w:sz w:val="21"/>
        </w:rPr>
        <w:t>Robust matrix completion (RMC) is a widely used machine learning tool that simultaneously tackles two critical issues in low-rank data analysis: missing data entries and extreme outliers. This paper proposes a novel scalable and learnable non-convex approach, coined Learned Robust Matrix Completion (LRMC), for large-scale RMC problems. LRMC enjoys low computational complexity with linear convergence. Motivated by the proposed theorem, the free parameters of LRMC can be effectively learned via deep unfolding to achieve optimum performance. Furthermore, this paper proposes a flexible feedforward-recurrent-mixed neural network framework that extends deep unfolding from fix-number iterations to infinite iterations. The superior empirical performance of LRMC is verified with extensive experiments against state-of-the-art on synthetic datasets and real applications, including video background subtraction, ultrasound imaging, face modeling, and cloud removal from satellite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用适定可逆网络解决可逆图像转换的不适定问题</w:t>
      </w:r>
    </w:p>
    <w:p>
      <w:r>
        <w:rPr>
          <w:rFonts w:ascii="Times New Roman" w:hAnsi="Times New Roman" w:eastAsia="宋体"/>
          <w:b/>
          <w:color w:val="003264"/>
          <w:sz w:val="24"/>
        </w:rPr>
        <w:t>Tackling Ill-Posedness of Reversible Image Conversion With Well-Posed Invertible Network</w:t>
      </w:r>
    </w:p>
    <w:p>
      <w:r>
        <w:rPr>
          <w:rFonts w:ascii="Times New Roman" w:hAnsi="Times New Roman" w:eastAsia="宋体"/>
          <w:sz w:val="21"/>
        </w:rPr>
        <w:t>作者: Yuanfei Huang, Hua Huang</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https://doi.org/10.1109/tpami.2026.3659125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可逆图像转换（RIC）由于其前向转换过程被认为是一个欠定系统而遭受不适定性问题。尽管采用可逆神经网络 (INN)，但现有的 RIC 方法本质上仍然不适定，因为通过合并随机采样变量不可避免地引入不确定性。为了解决不适定困境，我们专注于通过构造具有非零 Gram 行列式的超定系统，为欠定系统开发可靠的近似左逆，从而确保适定解。基于这一原理，我们提出了一种适定可逆$1\times 1$卷积（WIC），它消除了对随机变量采样的依赖，并使得适定可逆网络的开发成为可能。此外，我们设计了两个创新网络，WIN-Naïve 和 WIN，后者结合了先进的跳跃连接来增强长期记忆。我们的方法在不同的 RIC 任务中进行评估，包括可逆图像隐藏、图像重新缩放和图像去色，始终实现最先进的性能。大量的实验验证了我们方法的有效性，证明了其克服现有 RIC 解决方案瓶颈的能力，并在该领域树立了新的基准。代码可在 https://github.com/BNU-ERC-ITEA/WIN 中找到。</w:t>
      </w:r>
    </w:p>
    <w:p>
      <w:pPr>
        <w:spacing w:before="120"/>
      </w:pPr>
      <w:r>
        <w:rPr>
          <w:rFonts w:ascii="Times New Roman" w:hAnsi="Times New Roman" w:eastAsia="宋体"/>
          <w:b/>
          <w:sz w:val="21"/>
        </w:rPr>
        <w:t>English Abstract:</w:t>
      </w:r>
    </w:p>
    <w:p>
      <w:r>
        <w:rPr>
          <w:rFonts w:ascii="Times New Roman" w:hAnsi="Times New Roman" w:eastAsia="宋体"/>
          <w:sz w:val="21"/>
        </w:rPr>
        <w:t>Reversible image conversion (RIC) suffers from ill-posedness issues due to its forward conversion process being considered an underdetermined system. Despite employing invertible neural networks (INN), existing RIC methods intrinsically remain ill-posed as inevitably introducing uncertainty by incorporating randomly sampled variables. To tackle the ill-posedness dilemma, we focus on developing a reliable approximate left inverse for the underdetermined system by constructing an overdetermined system with a non-zero Gram determinant, thus ensuring a well-posed solution. Based on this principle, we propose a well-posed invertible $1\times 1$ convolution (WIC), which eliminates the reliance on random variable sampling and enables the development of well-posed invertible networks. Furthermore, we design two innovative networks, WIN-Naïve and WIN, with the latter incorporating advanced skip-connections to enhance long-term memory. Our methods are evaluated across diverse RIC tasks, including reversible image hiding, image rescaling, and image decolorization, consistently achieving state-of-the-art performance. Extensive experiments validate the effectiveness of our approach, demonstrating its ability to overcome the bottlenecks of existing RIC solutions and setting a new benchmark in the field. Codes are available in https://github.com/BNU-ERC-ITEA/WIN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CUR 分解的大规模超图匹配混合顺序框架</w:t>
      </w:r>
    </w:p>
    <w:p>
      <w:r>
        <w:rPr>
          <w:rFonts w:ascii="Times New Roman" w:hAnsi="Times New Roman" w:eastAsia="宋体"/>
          <w:b/>
          <w:color w:val="003264"/>
          <w:sz w:val="24"/>
        </w:rPr>
        <w:t>A CUR Decomposition-Based Mix-Order Framework for Large-Scale Hypergraph Matching</w:t>
      </w:r>
    </w:p>
    <w:p>
      <w:r>
        <w:rPr>
          <w:rFonts w:ascii="Times New Roman" w:hAnsi="Times New Roman" w:eastAsia="宋体"/>
          <w:sz w:val="21"/>
        </w:rPr>
        <w:t>作者: Qixuan Zheng, Ming Zhang, Hong Yan</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https://doi.org/10.1109/tpami.2026.3659463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个超图的超边之间的兼容性可以表示为稀疏张量，以避免超图匹配中的计算成本呈指数级增加。基于Kd树的近似最近邻（ANN）方法已被广泛采用来获得稀疏兼容性张量，并且通常需要相对较高的密度来保证更高的精度，而无需先验了解一对特征点集之间的对应关系。对于大规模问题，它们需要详尽的计算。这项工作引入了一种新颖的级联二阶和三阶框架，用于高效的超图匹配。其核心是一种基于CUR分解的稀疏相容张量生成方法。首先通过基于 CUR 的成对匹配过程计算粗略的节点分配，该过程在二阶中具有较低的计算成本。使用该中间分配作为先验知识，可以计算具有更高稀疏性的兼容性张量，并且通过基于概率松弛标签（PRL）的新型超图匹配算法显着减少内存占用。 “可靠性”一词用于描述张量如何影响匹配性能，并提出了一种新的测量方法——可靠性率来量化稀疏兼容性张量的可靠性。大规模合成数据集和广泛采用的基准的实验结果表明，所提出的框架优于现有方法，创建了稀疏十倍以上但更可靠的兼容性张量。这种基于 CUR 的张量生成方法可以集成到现有的超图匹配算法中，并将以较低的计算成本显着提高其性能。</w:t>
      </w:r>
    </w:p>
    <w:p>
      <w:pPr>
        <w:spacing w:before="120"/>
      </w:pPr>
      <w:r>
        <w:rPr>
          <w:rFonts w:ascii="Times New Roman" w:hAnsi="Times New Roman" w:eastAsia="宋体"/>
          <w:b/>
          <w:sz w:val="21"/>
        </w:rPr>
        <w:t>English Abstract:</w:t>
      </w:r>
    </w:p>
    <w:p>
      <w:r>
        <w:rPr>
          <w:rFonts w:ascii="Times New Roman" w:hAnsi="Times New Roman" w:eastAsia="宋体"/>
          <w:sz w:val="21"/>
        </w:rPr>
        <w:t>Compatibilities between the hyperedges of two hy-pergraphs can be represented as a sparse tensor to avoid expo-nentially increasing computational costs in hypergraph matching. Kd-tree-based approximate nearest neighbor (ANN) methods have been widely adopted to obtain the sparse compatibility tensor and usually need a relatively high density to guarantee greater accuracy without prior knowledge of the correspondences between a pair of feature point sets. For large scale problems, they require exhaustive computations. This work introduces a novel cascaded second and third-order framework for efficient hypergraph matching. Its core is a CUR decomposition-based sparse compatibility tensor generation method. A rough node assignment is calculated first by a CUR-based pairwise matching process that has a lower computational cost in the second order. Using that intermediate assignment as prior knowledge, a compatibility tensor with higher sparsity can be calculated, with a significantly decreased memory footprint by a novel probability relaxation labeling (PRL)-based hypergraph matching algorithm. The term “reliability” was used to describe how the tensor affects the matching performance and a new measurement, the reliability rate, was proposed to quantify the reliability of a sparse compatibility tensor. Experiment results on large-scale synthetic datasets, and widely adopted benchmarks, demonstrated that the proposed framework outperformed existing methods, creating a more than ten times sparser, but more reliable, compatibility tensor. This proposed CUR-based tensor generation method can be integrated into existing hypergraph matching algorithms and will significantly increase their performance with lower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GCL-MIH：一种基于生成的无覆盖多图像隐藏方法</w:t>
      </w:r>
    </w:p>
    <w:p>
      <w:r>
        <w:rPr>
          <w:rFonts w:ascii="Times New Roman" w:hAnsi="Times New Roman" w:eastAsia="宋体"/>
          <w:b/>
          <w:color w:val="003264"/>
          <w:sz w:val="24"/>
        </w:rPr>
        <w:t>GCL-MIH: A Generative-Based Coverless Multi-Image Hiding Method</w:t>
      </w:r>
    </w:p>
    <w:p>
      <w:r>
        <w:rPr>
          <w:rFonts w:ascii="Times New Roman" w:hAnsi="Times New Roman" w:eastAsia="宋体"/>
          <w:sz w:val="21"/>
        </w:rPr>
        <w:t>作者: Liang Chen, Xianquan Zhang, Chunqiang Yu, Xinpeng Zhang, Ching-Nung Yang, Zhenjun Tang</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https://doi.org/10.1109/tpami.2026.3658731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全、大容量的秘密信息传输是图像隐藏研究的重要任务。现有的图像隐藏方法面临一些关键问题：基于覆盖的方法提供高容量，但会引入图像失真和安全风险，而安全的无覆盖方法容量较低。为了解决这些问题，本文提出了一种新型的基于生成的无覆盖多图像隐藏方法，称为 GCL-MIH，该方法可以实现高容量和高安全性。 GCL-MIH首先利用特征反转模块将多个秘密图像压缩为多个特征向量，然后将其归一化生成符合标准正态分布的向量，最后将该向量输入到可逆生成网络（Flow-GAN）中生成人脸图像，从而无需预定义封面图像即可实现无覆盖多图像隐藏。实验结果表明，GCL-MIH 在单个生成的人脸图像中成功隐藏了多达四张图像，实现了 32 bpp 的最大嵌入率。这一容量远远超过了现有的无盖方法。在COCO测试集上，GCL-MIH生成的隐写图像高度真实（FID分数：11.98），恢复的秘密图像表现出令人满意的保真度（四张恢复的秘密图像的平均PSNR和SSIM分别为33.18 dB和0.9412）</w:t>
      </w:r>
    </w:p>
    <w:p>
      <w:pPr>
        <w:spacing w:before="120"/>
      </w:pPr>
      <w:r>
        <w:rPr>
          <w:rFonts w:ascii="Times New Roman" w:hAnsi="Times New Roman" w:eastAsia="宋体"/>
          <w:b/>
          <w:sz w:val="21"/>
        </w:rPr>
        <w:t>English Abstract:</w:t>
      </w:r>
    </w:p>
    <w:p>
      <w:r>
        <w:rPr>
          <w:rFonts w:ascii="Times New Roman" w:hAnsi="Times New Roman" w:eastAsia="宋体"/>
          <w:sz w:val="21"/>
        </w:rPr>
        <w:t>Secure and high-capacity secret information transmission is an important task of the image hiding research. The existing image hiding methods face some critical issues: cover-based methods offer high capacity but introduce image distortion and security risks, whereas secure coverless methods have low capacity. To address these issues, this paper proposes a novel generative-based coverless multi-image hiding method called GCL-MIH, which can achieve high capacity and high security. The GCL-MIH first utilizes a feature reverse module to compress multiple secret images into multiple feature vectors and then normalizes them to generate a vector that conforms to a standard normal distribution, and finally inputs this vector into an invertible generative network (Flow-GAN) to generate a face image, enabling coverless multiple-image hiding without a predefined cover image. Experimental results demonstrate that the GCL-MIH successfully hides up to four images within a single generated face image, achieving a maximum embedding rate of 32 bpp. This capacity far exceeds those of the existing coverless methods. On the COCO test set, the generated stego images of the GCL-MIH are highly realistic (FID score: 11.98), and the recovered secret images exhibit satisfactory fidelity (the average PSNR and SSIM of four recovered secret images are 33.18 dB and 0.9412)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特定任务的方向：参数高效微调的定义、探索和利用</w:t>
      </w:r>
    </w:p>
    <w:p>
      <w:r>
        <w:rPr>
          <w:rFonts w:ascii="Times New Roman" w:hAnsi="Times New Roman" w:eastAsia="宋体"/>
          <w:b/>
          <w:color w:val="003264"/>
          <w:sz w:val="24"/>
        </w:rPr>
        <w:t>Task-Specific Directions: Definition, Exploration, and Utilization in Parameter Efficient Fine-Tuning</w:t>
      </w:r>
    </w:p>
    <w:p>
      <w:r>
        <w:rPr>
          <w:rFonts w:ascii="Times New Roman" w:hAnsi="Times New Roman" w:eastAsia="宋体"/>
          <w:sz w:val="21"/>
        </w:rPr>
        <w:t>作者: Chongjie Si, Zhiyi Shi, Shifan Zhang, Xiaokang Yang, Hanspeter Pfister, Wei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https://doi.org/10.1109/tpami.2026.3659168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大型语言模型在下游任务上表现出令人印象深刻的性能，但在完全微调所有参数时需要大量资源消耗。为了缓解这一问题，人们开发了 LoRA 等参数高效微调 (PEFT) 策略。在本文中，我们深入研究了任务特定方向 (TSD) 的概念，这对于将大型模型从预训练状态过渡到 PEFT 中的任务特定增强至关重要。我们提出了一个框架来明确定义这些方向并探索它们的属性以及实际应用的挑战。然后，我们引入了一种新颖的方法 LoRA-Dash，其目的是在微调过程中最大限度地发挥 TSD 的影响，从而提高模型在目标任务上的性能。此外，基于我们对 TSD 的探索，我们关注 PEFT 中的一个重要问题：LoRA 的初始化。虽然一些工作指出了初始化对于 LoRA 性能的重要性并提出了各种策略，但这些方法通常是经验性的，而不是特定于任务的。为了解决这个问题，我们提出了LoRA-Init。从TSD开始，我们找出下游任务微调时最需要调整的方向。通过使用这些方向初始化 LoRA 中的矩阵，LoRA-Init 显着增强了 LoRA 的性能。此外，我们可以结合 LoRA-Dash 和 LoRA-Init 来创建基于 TSD 的 LoRA 最终版本，我们将其称为 LoRA-TSD。大量的实验最终证明了这些方法的有效性，深入的分析进一步揭示了这些方法的潜在机制。代码可在 https://github.com/Chongjie-Si/Subspace-Tuning 获取。</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demonstrate impressive performance on downstream tasks, yet requiring extensive resource consumption when fully fine-tuning all parameters. To mitigate this, Parameter Efficient Fine-Tuning (PEFT) strategies, such as LoRA, have been developed. In this paper, we delve into the concept of task-specific directions (TSDs)—critical for transitioning large models from pretrained states to task-specific enhancements in PEFT. We propose a framework to clearly define these directions and explore their properties, and practical utilization challenges. We then introduce a novel approach, LoRA-Dash, which aims to maximize the impact of TSDs during the fine-tuning process, thereby enhancing model performance on targeted tasks. Additionally, based on our exploration of TSD, we focus on an important issue in PEFT: the initialization of LoRA. While some works have pointed out the significance of initialization for LoRA's performance and proposed various strategies, these methods are often empirical and not task-specific. To address this issue, we propose LoRA-Init. Starting from TSD, we identify the directions that require the most adjustment during fine-tuning for downstream tasks. By initializing the matrices in LoRA with these directions, LoRA-Init significantly enhances LoRA's performance. Moreover, we can combine LoRA-Dash and LoRA-Init to create the final version of LoRA based on TSDs, which we refer to as LoRA-TSD. Extensive experiments have conclusively demonstrated the effectiveness of these methods, and in-depth analyses further reveal the underlying mechanisms of these methods. The codes are available at https://github.com/Chongjie-Si/Subspace-Tuning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ZUMA：免训练零样本统一多模态异常检测</w:t>
      </w:r>
    </w:p>
    <w:p>
      <w:r>
        <w:rPr>
          <w:rFonts w:ascii="Times New Roman" w:hAnsi="Times New Roman" w:eastAsia="宋体"/>
          <w:b/>
          <w:color w:val="003264"/>
          <w:sz w:val="24"/>
        </w:rPr>
        <w:t>ZUMA: Training-free Zero-shot Unified Multimodal Anomaly Detection</w:t>
      </w:r>
    </w:p>
    <w:p>
      <w:r>
        <w:rPr>
          <w:rFonts w:ascii="Times New Roman" w:hAnsi="Times New Roman" w:eastAsia="宋体"/>
          <w:sz w:val="21"/>
        </w:rPr>
        <w:t>作者: Yunfeng Ma, Min Liu, Shuai Jiang, Jingyu Zhou, Yuan Bian, Xueping Wang, Yaonan Wang</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https://doi.org/10.1109/tpami.2026.3658856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多模态异常检测（MAD）旨在利用纹理和空间属性来识别复杂场景中与正常模式的偏差。然而，由于隐私问题或保密性限制而产生的零样本（ZS）设置对现有的 MAD 方法提出了重大挑战。为了解决这个问题，我们引入了 ZUMA，这是一种免训练、零样本统一多模态异常检测框架，可释放 CLIP 的跨模态潜力来执行 ZS MAD。为了缩小 CLIP 预训练空间和点云之间的域差距，我们提出了跨域校准（CDC），它通过源域语义转移有效地弥合流形错位，并建立混合语义空间，从而实现 2D 和 3D 表示的联合嵌入。随后，ZUMA​​ 执行动态语义交互（DSI），以实现 CDC 构建的高维嵌入空间中异常区域的结构解耦，其中自然语言作为语义锚，帮助 DSI 在混合模态表示中建立判别超平面。在此框架内，ZUMA​​ 能够即插即用地检测 2D、3D 或多模态异常，即使对于跨数据集或不完整模态场景也无需训练或微调。此外，为了进一步研究免训练 ZUMA 在基于训练的范式中的潜力，我们开发了 ZUMA-FT，这是一种经过微调的变体，可以通过最小的参数权衡实现显着的改进。在两个 MAD 基准测试 MVTec 3D-AD 和 Eyecandies 上进行了大量实验。值得注意的是，免训练 ZUMA 在两个数据集上都实现了最先进的 (SOTA) 性能，优于现有的 ZS MAD 方法，包括基于训练的方法。此外，ZUMA​​-FT 进一步扩展了 ZUMA 的性能边界，仅 6.75 M 可学习参数。代码位于：https://github.com/yif-ma/ZUMA</w:t>
      </w:r>
    </w:p>
    <w:p>
      <w:pPr>
        <w:spacing w:before="120"/>
      </w:pPr>
      <w:r>
        <w:rPr>
          <w:rFonts w:ascii="Times New Roman" w:hAnsi="Times New Roman" w:eastAsia="宋体"/>
          <w:b/>
          <w:sz w:val="21"/>
        </w:rPr>
        <w:t>English Abstract:</w:t>
      </w:r>
    </w:p>
    <w:p>
      <w:r>
        <w:rPr>
          <w:rFonts w:ascii="Times New Roman" w:hAnsi="Times New Roman" w:eastAsia="宋体"/>
          <w:sz w:val="21"/>
        </w:rPr>
        <w:t>Multimodal anomaly detection (MAD) aims to exploit both texture and spatial attributes to identify deviations from normal patterns in complex scenarios. However, zero-shot (ZS) settings arising from privacy concerns or confidentiality constraints present significant challenges to existing MAD methods. To address this issue, we introduce ZUMA, a training-free, Zero-shot Unified Multimodal Anomaly detection framework that unleashes CLIP's cross-modal potential to perform ZS MAD. To mitigate the domain gap between CLIP's pretraining space and point clouds, we propose cross-domain calibration (CDC), which efficiently bridges the manifold misalignment through source-domain semantic transfer and establishes a hybrid semantic space, enabling a joint embedding of 2D and 3D representations. Subsequently, ZUMA performs dynamic semantic interaction (DSI) to enable structural decoupling of anomaly regions in the high-dimensional embedding space constructed by CDC, where natural languages serve as semantic anchors to help DSI establish discriminative hyperplanes within hybrid modality representations. Within this framework, ZUMA enables plug-and-play detection of 2D, 3D or multimodal anomalies, without training or fine-tuning even for cross-dataset or incomplete-modality scenarios. Additionally, to further investigate the potential of the training-free ZUMA within the training-based paradigm, we develop ZUMA-FT, a fine-tuned variant that achieves notable improvements with minimal parameter trade-off. Extensive experiments are conducted on two MAD benchmarks, MVTec 3D-AD and Eyecandies. Notably, the training-free ZUMA achieves state-of-the-art (SOTA) performance on both datasets, outperforming existing ZS MAD methods, including training-based approaches. Moreover, ZUMA-FT further extends the performance boundary of ZUMA with only 6.75 M learnable parameters. Code is available at: https://github.com/yif-ma/ZUMA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通过毛细管自组装实现量子点发光二极管的超高分辨率纳米压印图案</w:t>
      </w:r>
    </w:p>
    <w:p>
      <w:r>
        <w:rPr>
          <w:rFonts w:ascii="Times New Roman" w:hAnsi="Times New Roman" w:eastAsia="宋体"/>
          <w:b/>
          <w:color w:val="003264"/>
          <w:sz w:val="24"/>
        </w:rPr>
        <w:t>Ultrahigh-resolution nanoimprint patterning of quantum-dot light-emitting diodes via capillary self-assembly</w:t>
      </w:r>
    </w:p>
    <w:p>
      <w:r>
        <w:rPr>
          <w:rFonts w:ascii="Times New Roman" w:hAnsi="Times New Roman" w:eastAsia="宋体"/>
          <w:sz w:val="21"/>
        </w:rPr>
        <w:t>作者: Wei Cao, Sen Tian, Chao Zhong, Li Qiu, Pan Zeng, Zhiming Chen, Xiancheng Zhang, Haitao Liu, Kaitao Liu, Jian Li, Tao Sun, Pingfan Ning, Delin Zhang, Wenhong Wang, Yong Jiang, An Cao, Liang Li, Dilong Liu, Zhihong Nie, Fan Yang, Fushan Li, Yue Li</w:t>
        <w:br/>
      </w:r>
      <w:r>
        <w:rPr>
          <w:rFonts w:ascii="Times New Roman" w:hAnsi="Times New Roman" w:eastAsia="宋体"/>
          <w:sz w:val="21"/>
        </w:rPr>
        <w:t xml:space="preserve">时间: 2026-01-30 | </w:t>
      </w:r>
      <w:r>
        <w:t xml:space="preserve">链接: </w:t>
      </w:r>
      <w:hyperlink r:id="rId33">
        <w:r>
          <w:rPr>
            <w:rFonts w:ascii="Times New Roman" w:hAnsi="Times New Roman" w:eastAsia="宋体"/>
            <w:color w:val="0000FF"/>
            <w:sz w:val="21"/>
            <w:u w:val="single"/>
          </w:rPr>
          <w:t>https://doi.org/10.1038/s41566-025-01836-5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利用纳米孔阵列中的毛细管力的纳米压印技术能够以每英寸近 170,000 像素的分辨率对基于 CdSe 的量子点 LED 进行图案化，同时保持红色、绿色和蓝色发射像素分别为 17.0%、10.5% 和 5.7% 的高平均外部量子效率。</w:t>
      </w:r>
    </w:p>
    <w:p>
      <w:pPr>
        <w:spacing w:before="120"/>
      </w:pPr>
      <w:r>
        <w:rPr>
          <w:rFonts w:ascii="Times New Roman" w:hAnsi="Times New Roman" w:eastAsia="宋体"/>
          <w:b/>
          <w:sz w:val="21"/>
        </w:rPr>
        <w:t>English Abstract:</w:t>
      </w:r>
    </w:p>
    <w:p>
      <w:r>
        <w:rPr>
          <w:rFonts w:ascii="Times New Roman" w:hAnsi="Times New Roman" w:eastAsia="宋体"/>
          <w:sz w:val="21"/>
        </w:rPr>
        <w:t>A nanoimprint technique exploiting capillary forces in nanohole arrays enables patterning CdSe-based quantum-dot LEDs with a resolution of nearly 170,000 pixels per inch while maintaining high average external quantum efficiencies of 17.0%, 10.5% and 5.7% for red-, green- and blue-emitting pixels,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06:27 ---</w:t>
      </w:r>
    </w:p>
    <w:p>
      <w:pPr>
        <w:pStyle w:val="Heading2"/>
      </w:pPr>
      <w:r/>
      <w:r>
        <w:rPr>
          <w:rFonts w:ascii="Times New Roman" w:hAnsi="Times New Roman" w:eastAsia="宋体"/>
          <w:b/>
          <w:color w:val="000000"/>
          <w:sz w:val="24"/>
        </w:rPr>
        <w:t>连续体中准束缚态赋能的非线性硅超表面的高效红外上转换成像</w:t>
      </w:r>
    </w:p>
    <w:p>
      <w:r>
        <w:rPr>
          <w:rFonts w:ascii="Times New Roman" w:hAnsi="Times New Roman" w:eastAsia="宋体"/>
          <w:b/>
          <w:color w:val="003264"/>
          <w:sz w:val="24"/>
        </w:rPr>
        <w:t>High-efficiency infrared upconversion imaging with nonlinear silicon metasurfaces empowered by quasi-bound states in the continuum</w:t>
      </w:r>
    </w:p>
    <w:p>
      <w:r>
        <w:rPr>
          <w:rFonts w:ascii="Times New Roman" w:hAnsi="Times New Roman" w:eastAsia="宋体"/>
          <w:sz w:val="21"/>
        </w:rPr>
        <w:t>作者: Tingting Liu, Jumin Qiu, Meibao Qin, Xu Tu, Huifu Qiu, Feng Wu, Tianbao Yu, Qiegen Liu, Shuyuan Xiao</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因其穿透遮蔽物和可视化热特征的能力而不可或缺，但其实际应用却受到传统探测器固有局限性的阻碍。非线性上转换可将红外光转换为可见光波段，为解决这些挑战提供了一条有前途的途径。在这里，我们展示了使用非线性硅超表面的高效红外上转换成像。通过策略性地打破面内对称性，超表面在连续共振中支持高Q准束缚态，从而导致三次谐波产生（THG）的强烈增强，在泵浦强度为10 GW/cm 2 时转换效率为3×10 -5 。通过这种 THG 过程，超表面能够将任意红外图像高保真上转换到可见光范围，并使用分辨率目标和各种定制图案进行验证，实现约 6 μm 的空间分辨率。这项工作为高效非线性转换和成像建立了一个强大的平台，凸显了 CMOS 兼容硅超表面在高性能红外传感应用中的潜力，同时降低了系统复杂性。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Infrared imaging is indispensable for its ability to penetrate obscurants and visualize thermal signatures, yet its practical use is hindered by the intrinsic limitations of conventional detectors. Nonlinear upconversion, which converts infrared light into the visible band, offers a promising pathway to address these challenges. Here, we demonstrate high-efficiency infrared upconversion imaging using nonlinear silicon metasurfaces. By strategically breaking in-plane symmetry, the metasurface supports a high- Q quasi-bound states in the continuum resonance, leading to strongly enhanced third-harmonic generation (THG) with a conversion efficiency of 3×10 −5 at a pump intensity of 10 GW/cm 2 . Through this THG process, the metasurface enables high-fidelity upconversion of arbitrary infrared images into the visible range, achieving a spatial resolution of ~6 μm as verified using a resolution target and various customized patterns. This work establishes a robust platform for efficient nonlinear conversion and imaging, highlighting the potential of CMOS-compatible silicon metasurfaces for high-performance infrared sensing applications with reduced system complexity.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06:27 ---</w:t>
      </w:r>
    </w:p>
    <w:p>
      <w:pPr>
        <w:pStyle w:val="Heading2"/>
      </w:pPr>
      <w:r/>
      <w:r>
        <w:rPr>
          <w:rFonts w:ascii="Times New Roman" w:hAnsi="Times New Roman" w:eastAsia="宋体"/>
          <w:b/>
          <w:color w:val="000000"/>
          <w:sz w:val="24"/>
        </w:rPr>
        <w:t>干涉式光纤振动传感的无硬件低频漂移补偿方法</w:t>
      </w:r>
    </w:p>
    <w:p>
      <w:r>
        <w:rPr>
          <w:rFonts w:ascii="Times New Roman" w:hAnsi="Times New Roman" w:eastAsia="宋体"/>
          <w:b/>
          <w:color w:val="003264"/>
          <w:sz w:val="24"/>
        </w:rPr>
        <w:t>Hardware-free low-frequency drift compensation method for interferometric fiber-optic vibration sensing</w:t>
      </w:r>
    </w:p>
    <w:p>
      <w:r>
        <w:rPr>
          <w:rFonts w:ascii="Times New Roman" w:hAnsi="Times New Roman" w:eastAsia="宋体"/>
          <w:sz w:val="21"/>
        </w:rPr>
        <w:t>作者: Ke Ai, Cunzheng Fan, Shuolong Zhu, Bin Lu, Wenqi Ren, Junfeng Chen, Zhan Chen, Hao Li, Zhijun Yan, Qizhen Sun</w:t>
        <w:br/>
      </w:r>
      <w:r>
        <w:rPr>
          <w:rFonts w:ascii="Times New Roman" w:hAnsi="Times New Roman" w:eastAsia="宋体"/>
          <w:sz w:val="21"/>
        </w:rPr>
        <w:t xml:space="preserve">时间: 2026-05-01 | </w:t>
      </w:r>
      <w:r>
        <w:t xml:space="preserve">链接: </w:t>
      </w:r>
      <w:hyperlink r:id="rId35">
        <w:r>
          <w:rPr>
            <w:rFonts w:ascii="Times New Roman" w:hAnsi="Times New Roman" w:eastAsia="宋体"/>
            <w:color w:val="0000FF"/>
            <w:sz w:val="21"/>
            <w:u w:val="single"/>
          </w:rPr>
          <w:t>https://doi.org/10.1016/j.optlastec.2026.114830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PMN-PT单晶超快激光微加工数值模拟与实验研究</w:t>
      </w:r>
    </w:p>
    <w:p>
      <w:r>
        <w:rPr>
          <w:rFonts w:ascii="Times New Roman" w:hAnsi="Times New Roman" w:eastAsia="宋体"/>
          <w:b/>
          <w:color w:val="003264"/>
          <w:sz w:val="24"/>
        </w:rPr>
        <w:t>Numerical simulation and experimental study of ultrafast laser micromachining of PMN-PT single crystals</w:t>
      </w:r>
    </w:p>
    <w:p>
      <w:r>
        <w:rPr>
          <w:rFonts w:ascii="Times New Roman" w:hAnsi="Times New Roman" w:eastAsia="宋体"/>
          <w:sz w:val="21"/>
        </w:rPr>
        <w:t>作者: Chao Wang, Zhongwen Cheng, Yan Chen, Haocong He, Zhongliang Zou, Xuanrong Ji</w:t>
        <w:br/>
      </w:r>
      <w:r>
        <w:rPr>
          <w:rFonts w:ascii="Times New Roman" w:hAnsi="Times New Roman" w:eastAsia="宋体"/>
          <w:sz w:val="21"/>
        </w:rPr>
        <w:t xml:space="preserve">时间: 2026-05-01 | </w:t>
      </w:r>
      <w:r>
        <w:t xml:space="preserve">链接: </w:t>
      </w:r>
      <w:hyperlink r:id="rId36">
        <w:r>
          <w:rPr>
            <w:rFonts w:ascii="Times New Roman" w:hAnsi="Times New Roman" w:eastAsia="宋体"/>
            <w:color w:val="0000FF"/>
            <w:sz w:val="21"/>
            <w:u w:val="single"/>
          </w:rPr>
          <w:t>https://doi.org/10.1016/j.optlastec.2026.114814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四芯光纤螺旋长周期光栅色散转折点附近灵敏度增强</w:t>
      </w:r>
    </w:p>
    <w:p>
      <w:r>
        <w:rPr>
          <w:rFonts w:ascii="Times New Roman" w:hAnsi="Times New Roman" w:eastAsia="宋体"/>
          <w:b/>
          <w:color w:val="003264"/>
          <w:sz w:val="24"/>
        </w:rPr>
        <w:t>Sensitivity enhancement of four-core fiber helical long-period gratings near dispersion turning point</w:t>
      </w:r>
    </w:p>
    <w:p>
      <w:r>
        <w:rPr>
          <w:rFonts w:ascii="Times New Roman" w:hAnsi="Times New Roman" w:eastAsia="宋体"/>
          <w:sz w:val="21"/>
        </w:rPr>
        <w:t>作者: Yunhe Zhao, Yan Jiang, Xin Wang, Siyu Chen, Chengbo Mou, Yunqi Liu, Lin Ma, Zuyuan He</w:t>
        <w:br/>
      </w:r>
      <w:r>
        <w:rPr>
          <w:rFonts w:ascii="Times New Roman" w:hAnsi="Times New Roman" w:eastAsia="宋体"/>
          <w:sz w:val="21"/>
        </w:rPr>
        <w:t xml:space="preserve">时间: 2026-05-01 | </w:t>
      </w:r>
      <w:r>
        <w:t xml:space="preserve">链接: </w:t>
      </w:r>
      <w:hyperlink r:id="rId58">
        <w:r>
          <w:rPr>
            <w:rFonts w:ascii="Times New Roman" w:hAnsi="Times New Roman" w:eastAsia="宋体"/>
            <w:color w:val="0000FF"/>
            <w:sz w:val="21"/>
            <w:u w:val="single"/>
          </w:rPr>
          <w:t>https://doi.org/10.1016/j.optlastec.2026.114828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一步原位合成具有水下颜色可调、双模式长余辉发射的碳点基纳米球</w:t>
      </w:r>
    </w:p>
    <w:p>
      <w:r>
        <w:rPr>
          <w:rFonts w:ascii="Times New Roman" w:hAnsi="Times New Roman" w:eastAsia="宋体"/>
          <w:b/>
          <w:color w:val="003264"/>
          <w:sz w:val="24"/>
        </w:rPr>
        <w:t>One‐Step In Situ Synthesis of Carbon Dot‐Based Nanospheres With Underwater Color‐Tunable, Dual‐Mode Long‐Afterglow Emission</w:t>
      </w:r>
    </w:p>
    <w:p>
      <w:r>
        <w:rPr>
          <w:rFonts w:ascii="Times New Roman" w:hAnsi="Times New Roman" w:eastAsia="宋体"/>
          <w:sz w:val="21"/>
        </w:rPr>
        <w:t>作者: Tengyang Cao, Lei Chen, Helang Li, Zinan Jiang, Jiawen Li, Jijun Huang, Caiqi Wang</w:t>
        <w:br/>
      </w:r>
      <w:r>
        <w:rPr>
          <w:rFonts w:ascii="Times New Roman" w:hAnsi="Times New Roman" w:eastAsia="宋体"/>
          <w:sz w:val="21"/>
        </w:rPr>
        <w:t xml:space="preserve">时间: 2026-01-29 | </w:t>
      </w:r>
      <w:r>
        <w:t xml:space="preserve">链接: </w:t>
      </w:r>
      <w:hyperlink r:id="rId45">
        <w:r>
          <w:rPr>
            <w:rFonts w:ascii="Times New Roman" w:hAnsi="Times New Roman" w:eastAsia="宋体"/>
            <w:color w:val="0000FF"/>
            <w:sz w:val="21"/>
            <w:u w:val="single"/>
          </w:rPr>
          <w:t>https://doi.org/10.1002/lpor.202502697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碳点（CD）的余辉材料最近在各个领域激增，但颜色可调的基于碳点的水下余辉纳米材料在很大程度上仍未得到探索。此外，现有的合成方法普遍较为复杂，明显缺乏高效的一步制备技术。我们提出了一种简单的一步水热方法来合成基于 CD 的纳米材料，该材料表现出稳定的双模水下发射，包括室温磷光（RTP）和热激活延迟荧光（TADF）。使用 3-氨基丙基三乙氧基硅烷，形成致密交联的 SiO 2 基质，嵌入原位生成的 CD。这种受限结构稳定了三线态激子，实现了 1218 ms 的超长水下余辉寿命和 46.7% 的量子产率。通过掺杂卤化物离子，余辉波长从402 nm调谐到560 nm，实现多色发射。该纳米复合材料在强酸、强碱、氧化剂和极性溶剂等恶劣条件下仍能保持稳定的余辉性能。由于其卓越的稳定性和多色余辉，该材料被用来构建复杂的三重防伪系统，展示了先进信息加密的巨大潜力。</w:t>
      </w:r>
    </w:p>
    <w:p>
      <w:pPr>
        <w:spacing w:before="120"/>
      </w:pPr>
      <w:r>
        <w:rPr>
          <w:rFonts w:ascii="Times New Roman" w:hAnsi="Times New Roman" w:eastAsia="宋体"/>
          <w:b/>
          <w:sz w:val="21"/>
        </w:rPr>
        <w:t>English Abstract:</w:t>
      </w:r>
    </w:p>
    <w:p>
      <w:r>
        <w:rPr>
          <w:rFonts w:ascii="Times New Roman" w:hAnsi="Times New Roman" w:eastAsia="宋体"/>
          <w:sz w:val="21"/>
        </w:rPr>
        <w:t>ABSTRACT Carbon dot (CD)‐based afterglow materials have recently proliferated in various areas, but color‐tunable, carbon dot‐based underwater afterglow nanomaterials remain largely unexplored. Moreover, the existing synthesis methods are generally complex, and there has been a notable lack of efficient, one‐step preparation techniques. We present a simple one‐step hydrothermal method to synthesize CD‐based nanomaterials that exhibit stable dual‐mode underwater emission comprising room‐temperature phosphorescence (RTP) and thermally activated delayed fluorescence (TADF). Using 3‐aminopropyltriethoxysilane, a densely cross‐linked SiO 2 matrix forms, embedding in situ generated CDs. This confined structure stabilizes triplet excitons, enabling an ultra‐long underwater afterglow lifetime of 1218 ms and a quantum yield of 46.7%. By doping with halide ions, the afterglow wavelength was tuned from 402 to 560 nm, achieving multicolor emission. The nanocomposites maintain stable afterglow performance in harsh conditions, including strong acids, alkalis, oxidants, and polar solvents. Given its exceptional stability and multicolor afterglow, the material was used to construct a sophisticated triple anti‐counterfeiting system, demonstrating great potential for advanced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信息超表面动态可重构雷达电磁体模</w:t>
      </w:r>
    </w:p>
    <w:p>
      <w:r>
        <w:rPr>
          <w:rFonts w:ascii="Times New Roman" w:hAnsi="Times New Roman" w:eastAsia="宋体"/>
          <w:b/>
          <w:color w:val="003264"/>
          <w:sz w:val="24"/>
        </w:rPr>
        <w:t>Information Metasurface‐Enabled Dynamically Reconfigurable Radar Electromagnetic Phantoms</w:t>
      </w:r>
    </w:p>
    <w:p>
      <w:r>
        <w:rPr>
          <w:rFonts w:ascii="Times New Roman" w:hAnsi="Times New Roman" w:eastAsia="宋体"/>
          <w:sz w:val="21"/>
        </w:rPr>
        <w:t>作者: Shijian Yu, Jinxing Guo, Dongfang Guan, Zhen Liu, Yongxiang Liu</w:t>
        <w:br/>
      </w:r>
      <w:r>
        <w:rPr>
          <w:rFonts w:ascii="Times New Roman" w:hAnsi="Times New Roman" w:eastAsia="宋体"/>
          <w:sz w:val="21"/>
        </w:rPr>
        <w:t xml:space="preserve">时间: 2026-01-29 | </w:t>
      </w:r>
      <w:r>
        <w:t xml:space="preserve">链接: </w:t>
      </w:r>
      <w:hyperlink r:id="rId46">
        <w:r>
          <w:rPr>
            <w:rFonts w:ascii="Times New Roman" w:hAnsi="Times New Roman" w:eastAsia="宋体"/>
            <w:color w:val="0000FF"/>
            <w:sz w:val="21"/>
            <w:u w:val="single"/>
          </w:rPr>
          <w:t>https://doi.org/10.1002/lpor.202502619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雷达电磁幻影旨在通过将虚拟目标（物理上不存在的实体）引入雷达图像中来欺骗雷达系统，从而引起错误识别。信息超表面作为数字可重构电磁反射器，在多维雷达目标特征控制方面提供了前所未有的功能。然而，现有的基于空间编码的技术受到静态模型图像模板的限制，限制了它们生成动态可重构雷达模型的能力。在非合作场景下，时间调制策略容易受到同步错误的影响。为了应对这些挑战，本文提出了一种通过信息超表面生成图像级、动态稳定和可重构雷达电磁体模的新方法。该方法利用衍射几何理论（GTD）来提取目标的特征参数。这些参数随后指导在超表面上实现的异步调频序列的设计。开发了 1 位信息超表面原型并进行了实验验证。结果证明其能够实时生成高分辨率距离剖面（HRRP）中的各种可重构雷达模型。此外，人类雷达图像解释和基于人工神经网络（ANN）的分类在将调制图像识别为真实目标方面表现出很高的置信度，从而证实了欺骗的有效性。所开发的超表面及其相关的调制策略对于电子战场景中的关键目标保护具有重大前景。</w:t>
      </w:r>
    </w:p>
    <w:p>
      <w:pPr>
        <w:spacing w:before="120"/>
      </w:pPr>
      <w:r>
        <w:rPr>
          <w:rFonts w:ascii="Times New Roman" w:hAnsi="Times New Roman" w:eastAsia="宋体"/>
          <w:b/>
          <w:sz w:val="21"/>
        </w:rPr>
        <w:t>English Abstract:</w:t>
      </w:r>
    </w:p>
    <w:p>
      <w:r>
        <w:rPr>
          <w:rFonts w:ascii="Times New Roman" w:hAnsi="Times New Roman" w:eastAsia="宋体"/>
          <w:sz w:val="21"/>
        </w:rPr>
        <w:t>ABSTRACT Radar electromagnetic phantoms aim to deceive radar systems by introducing virtual targets—entities that do not physically exist—into radar imagery, thereby inducing erroneous recognition. Information metasurfaces, functioning as digitally reconfigurable electromagnetic reflectors, offer unprecedented capabilities in multidimensional radar target signatures control. Nevertheless, existing space‐coding‐based techniques are constrained by static phantom image templates, limiting their ability to generate dynamically reconfigurable radar phantoms. Temporal modulation strategies are susceptible to synchronization errors under non‐cooperative scenarios. To address these challenges, this paper proposes a novel method for generating image‐level, dynamically stable, and reconfigurable radar electromagnetic phantoms via information metasurfaces. The proposed approach leverages the geometric theory of diffraction (GTD) to extract characteristic parameters oftargets. These parameters subsequently guide the design of asynchronous frequency‐modulated sequences implemented on the metasurface. A 1‐bit information metasurface prototype was developed and experimentally validated. The results demonstrate its capability to generate a variety of reconfigurable radar phantoms in high‐resolution range profiles (HRRPs) in real time. Furthermore, both human radar image interpretation and artificial neural network (ANN)‐based classification exhibit high confidence in identifying the modulated imagery as authentic targets, thereby confirming the effectiveness of deception. The developed metasurface and its associated modulation strategy hold significant promise for critical target protection in electronic warfare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宽带完美传输镜像对称无序系统的逆设计</w:t>
      </w:r>
    </w:p>
    <w:p>
      <w:r>
        <w:rPr>
          <w:rFonts w:ascii="Times New Roman" w:hAnsi="Times New Roman" w:eastAsia="宋体"/>
          <w:b/>
          <w:color w:val="003264"/>
          <w:sz w:val="24"/>
        </w:rPr>
        <w:t>Inverse Design of Mirror‐Symmetric Disordered Systems for Broadband Perfect Transmission</w:t>
      </w:r>
    </w:p>
    <w:p>
      <w:r>
        <w:rPr>
          <w:rFonts w:ascii="Times New Roman" w:hAnsi="Times New Roman" w:eastAsia="宋体"/>
          <w:sz w:val="21"/>
        </w:rPr>
        <w:t>作者: Zhazira Zhumabay, Clément Ferise, Vincent Pagneux, Stefan Rotter, Matthieu Davy</w:t>
        <w:br/>
      </w:r>
      <w:r>
        <w:rPr>
          <w:rFonts w:ascii="Times New Roman" w:hAnsi="Times New Roman" w:eastAsia="宋体"/>
          <w:sz w:val="21"/>
        </w:rPr>
        <w:t xml:space="preserve">时间: 2026-01-29 | </w:t>
      </w:r>
      <w:r>
        <w:t xml:space="preserve">链接: </w:t>
      </w:r>
      <w:hyperlink r:id="rId47">
        <w:r>
          <w:rPr>
            <w:rFonts w:ascii="Times New Roman" w:hAnsi="Times New Roman" w:eastAsia="宋体"/>
            <w:color w:val="0000FF"/>
            <w:sz w:val="21"/>
            <w:u w:val="single"/>
          </w:rPr>
          <w:t>https://doi.org/10.1002/lpor.202501055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框架，通过逆向设计优化对称无序介质，在复杂系统中实现宽带完美波传输。我们表明，利用复杂介质的对称性可以降低优化的复杂性，从而能够在参数空间中加入额外的约束。从在特定频率下具有预定义输入和输出波前的单一完美传输状态开始，我们逐步拓宽带宽——从具有扁平线形的无反射特殊点到窄带滤波器，最终到表现出彩虹效应的宽带准完美传输。基于耦合偶极近似的数值模拟在具有介电和金属散射体的多通道微波波导中进行了实验验证。最后，我们展示了通过障碍物的宽带增强波传输，突出了先进波控制应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framework for achieving broadband perfect wave transmission in complex systems by optimizing symmetric disordered media via inverse design. We show that leveraging symmetry of complex media reduces the optimization's complexity enabling the incorporation of additional constraints in the parameter space. Starting from a single perfectly transmitting state with predefined input and output wavefronts at a specific frequency, we progressively broaden the bandwidth — from a reflectionless exceptional point with a flattened lineshape to narrowband filters and ultimately to broadband quasi‐perfect transmission exhibiting a rainbow effect. Numerical simulations based on the coupled dipole approximation are validated experimentally in a multichannel microwave waveguide with dielectric and metallic scatterers. Finally, we demonstrate broadband enhanced wave transmission through barriers highlighting the potential for advanced wave control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通过卤化铜闪烁体的即时离子交换实现动态和水下 X 射线成像</w:t>
      </w:r>
    </w:p>
    <w:p>
      <w:r>
        <w:rPr>
          <w:rFonts w:ascii="Times New Roman" w:hAnsi="Times New Roman" w:eastAsia="宋体"/>
          <w:b/>
          <w:color w:val="003264"/>
          <w:sz w:val="24"/>
        </w:rPr>
        <w:t>Dynamic and Underwater X‐ray Imaging Enabled by Instant Ion Exchange of Copper Halide Scintillators</w:t>
      </w:r>
    </w:p>
    <w:p>
      <w:r>
        <w:rPr>
          <w:rFonts w:ascii="Times New Roman" w:hAnsi="Times New Roman" w:eastAsia="宋体"/>
          <w:sz w:val="21"/>
        </w:rPr>
        <w:t>作者: Xinjiang Zhan, Jie Cao, Le Dong, Ye Xun, Ya Chen, Yulong Wang, Bing Chen, Shujuan Liu, Xiuwen Xu, Qiang Zhao</w:t>
        <w:br/>
      </w:r>
      <w:r>
        <w:rPr>
          <w:rFonts w:ascii="Times New Roman" w:hAnsi="Times New Roman" w:eastAsia="宋体"/>
          <w:sz w:val="21"/>
        </w:rPr>
        <w:t xml:space="preserve">时间: 2026-01-29 | </w:t>
      </w:r>
      <w:r>
        <w:t xml:space="preserve">链接: </w:t>
      </w:r>
      <w:hyperlink r:id="rId48">
        <w:r>
          <w:rPr>
            <w:rFonts w:ascii="Times New Roman" w:hAnsi="Times New Roman" w:eastAsia="宋体"/>
            <w:color w:val="0000FF"/>
            <w:sz w:val="21"/>
            <w:u w:val="single"/>
          </w:rPr>
          <w:t>https://doi.org/10.1002/lpor.202503085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有机-无机杂化卤化铜具有高度可调谐晶体结构中编码的卓越光电特性，正在成为下一代闪烁体的有希望的候选者。然而，在卤化铜中同时实现高光产率和快速发光衰减仍然是一个重大挑战，限制了它们在实时 X 射线成像中的应用。在这里，开发了一种简单而有效的离子交换方法，能够将 (MeEn) 2 Cu 4 Br 6 （MeEn = 3-甲基丁-2-烯基（三苯基）鏻）快速转化为 (MeEn) 2 Cu 4 I 6 ，从而产生接近一致的光致发光量子产率（PLQY），光产额增加 1.7 倍（39700 光子 MeV -1 ），并且光致发光量子产率增加 15 倍。减少发光衰减时间（2.4 µs）。机理研究表明，闪烁性能的增强源于晶格畸变的减少、电子声子耦合的适当减弱以及重碘原子引起的强自旋轨道耦合。除了 (MeEn) 2 Cu 4 X 6 之外，该方法还适用于各种卤化铜，从而实现光物理性能的持续改进。最后，通过将(MeEn) 2 Cu 4 I 6 嵌入聚合物基质，所得闪烁膜进一步具有所需的柔韧性和耐水性，展示了其静态、动态、弯曲和水下X射线成像的能力。</w:t>
      </w:r>
    </w:p>
    <w:p>
      <w:pPr>
        <w:spacing w:before="120"/>
      </w:pPr>
      <w:r>
        <w:rPr>
          <w:rFonts w:ascii="Times New Roman" w:hAnsi="Times New Roman" w:eastAsia="宋体"/>
          <w:b/>
          <w:sz w:val="21"/>
        </w:rPr>
        <w:t>English Abstract:</w:t>
      </w:r>
    </w:p>
    <w:p>
      <w:r>
        <w:rPr>
          <w:rFonts w:ascii="Times New Roman" w:hAnsi="Times New Roman" w:eastAsia="宋体"/>
          <w:sz w:val="21"/>
        </w:rPr>
        <w:t>ABSTRACT Organic–inorganic hybrid copper halides, with exceptional optoelectronic properties encoded in their highly tunable crystal structure, are emerging as promising candidates for next‐generation scintillators. However, achieving both high light yield and fast luminescence decay in copper halides remains a significant challenge, limiting their application in real‐time X‐ray imaging. Here, a simple yet effective ion exchange approach is developed to enable rapid conversion of (MeEn) 2 Cu 4 Br 6 (MeEn = 3‐methylbut‐2‐enyl(triphenyl)phosphanium) to (MeEn) 2 Cu 4 I 6 , resulting in a near‐unity photoluminescence quantum yield (PLQY), a 1.7‐fold increase in light yield (39700 photons MeV −1 ), and a 15‐fold reduction in luminescence decay time (2.4 µs). Mechanistic investigations reveal that the enhanced scintillation properties arise from reduced lattice distortion, appropriately weakened electron‐phonon coupling, and strong spin–orbit coupling induced by the heavy iodine atom. Beyond (MeEn) 2 Cu 4 X 6 , this approach is applicable to a variety of copper halides, leading to consistent improvements in photophysical performance. Finally, by embedding (MeEn) 2 Cu 4 I 6 with a polymer matrix, the resulting scintillation film is further entailed with desired flexibility and water resistance, demonstrating its capability in static, dynamic, curved, and underwater X‐ray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三角晶格拓扑光子晶体波导的手性量子光学</w:t>
      </w:r>
    </w:p>
    <w:p>
      <w:r>
        <w:rPr>
          <w:rFonts w:ascii="Times New Roman" w:hAnsi="Times New Roman" w:eastAsia="宋体"/>
          <w:b/>
          <w:color w:val="003264"/>
          <w:sz w:val="24"/>
        </w:rPr>
        <w:t>Chiral Quantum Optics With Topological Photonic Crystal Waveguide of Triangular Lattice</w:t>
      </w:r>
    </w:p>
    <w:p>
      <w:r>
        <w:rPr>
          <w:rFonts w:ascii="Times New Roman" w:hAnsi="Times New Roman" w:eastAsia="宋体"/>
          <w:sz w:val="21"/>
        </w:rPr>
        <w:t>作者: Hancong Li, Sai Yan, Zhikai Ma, Rui Zhu, Hanqing Liu, Xiqing Chen, Yu Yuan, Longlong Yang, Haiqiao Ni, Zhichuan Niu, Qihuang Gong, Xiulai Xu</w:t>
        <w:br/>
      </w:r>
      <w:r>
        <w:rPr>
          <w:rFonts w:ascii="Times New Roman" w:hAnsi="Times New Roman" w:eastAsia="宋体"/>
          <w:sz w:val="21"/>
        </w:rPr>
        <w:t xml:space="preserve">时间: 2026-01-29 | </w:t>
      </w:r>
      <w:r>
        <w:t xml:space="preserve">链接: </w:t>
      </w:r>
      <w:hyperlink r:id="rId49">
        <w:r>
          <w:rPr>
            <w:rFonts w:ascii="Times New Roman" w:hAnsi="Times New Roman" w:eastAsia="宋体"/>
            <w:color w:val="0000FF"/>
            <w:sz w:val="21"/>
            <w:u w:val="single"/>
          </w:rPr>
          <w:t>https://doi.org/10.1002/lpor.202501893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摘要：我们提出了一个基于三角晶格光子晶体（Tri-PhC）的高弯曲透射率波导（HBT WG）模式的多功能介电平台，用于研究手性光与物质相互作用和腔量子电动力学。手性耦合的演示是通过采用两个 Tri-PhC 之字形界面波导来实现的，这首先提供了简化的几何形状。与之前的蜂窝晶格系统相比，Tri-PhC 之字形波导为量子点 (QD) 相互作用提供至少两倍的有效手性面积，并支持对光与物质相互作用至关重要的慢光模式。集成自组装量子点，我们通过实验证明了 Z 形 Tri-PhC HBT WG 中的手性光子路由，证实了稳健的定向光子传输。此外，我们采用回音壁模式腔波导结构来实现 Purcell 增强的片上单光子发射，Purcell 因子为 4，自旋相关的方向对比度为 82%。我们的结果表明，基于 Tri-PhC 的拓扑波导作为低损耗、高手性量子光子器件的有前途的、可扩展的平台具有潜力。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versatile dielectric platform for studying chiral light–matter interaction and cavity quantum electrodynamics, based on high bend transmittance waveguide (HBT WG) modes of triangular‐lattice photonic crystals (Tri‐PhCs). The demonstration of chiral coupling is realized by employing two Tri‐PhC zigzag interface waveguides which offer a simplified geometry in the first place. Compared to previous honeycomb‐lattice systems, Tri‐PhC zigzag waveguides provide at least twice the effective chiral area for quantum dot (QD) interaction and support accessible slow‐light modes that are crucial for light–matter interaction. Integrating self‐assembled QDs, we experimentally demonstrate chiral photon routing in Z‐shaped Tri‐PhC HBT WGs, confirming robust directional photon transport. Additionally, we incorporate a whispering‐gallery‐mode cavity‐waveguide structure to achieve Purcell‐enhanced on‐chip single‐photon emission, with a Purcell factor of 4 and spin‐dependent directional contrast of 82%. Our results show the potential of Tri‐PhC‐based topological waveguides as a promising, scalable platform for low‐loss, high‐chirality quantum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超景深快照光场显微镜</w:t>
      </w:r>
    </w:p>
    <w:p>
      <w:r>
        <w:rPr>
          <w:rFonts w:ascii="Times New Roman" w:hAnsi="Times New Roman" w:eastAsia="宋体"/>
          <w:b/>
          <w:color w:val="003264"/>
          <w:sz w:val="24"/>
        </w:rPr>
        <w:t>Super Depth‐of‐Field Snapshot Light‐Field Microscopy</w:t>
      </w:r>
    </w:p>
    <w:p>
      <w:r>
        <w:rPr>
          <w:rFonts w:ascii="Times New Roman" w:hAnsi="Times New Roman" w:eastAsia="宋体"/>
          <w:sz w:val="21"/>
        </w:rPr>
        <w:t>作者: Zhi‐Yong Hu, Chang Qiao, Jian‐Yu Dou, Ming‐Ze Zhao, Zhen‐Nan Tian, Yue‐Ying Zhang, Yan‐Hao Yu, Chong Pan, Yong‐Lai Zhang, Qi‐Dai Chen, Din Ping Tsai, Hong‐Bo Sun</w:t>
        <w:br/>
      </w:r>
      <w:r>
        <w:rPr>
          <w:rFonts w:ascii="Times New Roman" w:hAnsi="Times New Roman" w:eastAsia="宋体"/>
          <w:sz w:val="21"/>
        </w:rPr>
        <w:t xml:space="preserve">时间: 2026-01-29 | </w:t>
      </w:r>
      <w:r>
        <w:t xml:space="preserve">链接: </w:t>
      </w:r>
      <w:hyperlink r:id="rId50">
        <w:r>
          <w:rPr>
            <w:rFonts w:ascii="Times New Roman" w:hAnsi="Times New Roman" w:eastAsia="宋体"/>
            <w:color w:val="0000FF"/>
            <w:sz w:val="21"/>
            <w:u w:val="single"/>
          </w:rPr>
          <w:t>https://doi.org/10.1002/lpor.202502750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快照光场显微镜 (SLFM) 能够对动态微目标进行高速 3D 观察（4D 成像）。然而，它们的性能从根本上受到微透镜阵列（MLA）固有平面结构的限制，这导致分辨率、景深（DOF）和深度感知之间的权衡，使得大DOF光场检测极具挑战性。在这里，我们提出了一种具有对数轮廓的弯曲 MLA 范例，具有极高的焦深 (&gt;346λ)、增强的视差 (273%) 和近衍射极限的分辨率，优于传统的平面同类产品。集成到商用显微镜中并与基于神经网络的重建相结合，该架构产生了超景深快照光场显微镜（SDOF-SLFM），实现了自由度（&gt;3毫米）超过15倍的改进，并实现了微金字塔的原位立体成像和流场中微粒的4D跟踪。这项研究提供了一种无需复杂系统组装或样品处理即可升级 SLFM 的实用途径，有助于传统商用显微镜适应动态 4D 成像应用，例如生物实验室和微流体监测。</w:t>
      </w:r>
    </w:p>
    <w:p>
      <w:pPr>
        <w:spacing w:before="120"/>
      </w:pPr>
      <w:r>
        <w:rPr>
          <w:rFonts w:ascii="Times New Roman" w:hAnsi="Times New Roman" w:eastAsia="宋体"/>
          <w:b/>
          <w:sz w:val="21"/>
        </w:rPr>
        <w:t>English Abstract:</w:t>
      </w:r>
    </w:p>
    <w:p>
      <w:r>
        <w:rPr>
          <w:rFonts w:ascii="Times New Roman" w:hAnsi="Times New Roman" w:eastAsia="宋体"/>
          <w:sz w:val="21"/>
        </w:rPr>
        <w:t>ABSTRACT Snapshot light‐field microscopes (SLFMs) enable high‐speed 3D observation (4D imaging) of dynamic micro‐targets. However, their performance is fundamentally restricted by the inherent planar structure of microlens arrays (MLAs), which leads to tradeoffs among resolution, depth of field (DOF), and depth perception, making large DOF light‐field detection extremely challenging. Here, we propose a paradigm in curved MLA with a logarithmic profile, featuring extreme depth of focus (&gt;346λ), enhanced parallax (273%), and near‐diffraction‐limited resolution, outperforming conventional planar counterparts. Integrated into a commercial microscope and combined with neural network‐based reconstruction, this architecture yields a super depth‐of‐field snapshot light‐field microscope (SDOF‐SLFM), achieving over 15 times improvement in DOF (&gt;3 mm) and enabling in situ stereo imaging of micro‐pyramids and 4D tracking of micro‐particles in flow fields. This study offers a practical pathway for upgrading SLFMs without complex system assembly or sample processing, facilitating the adaptation of conventional commercial microscopes to dynamic 4D imaging applications such as biological laboratories and microfluidic flow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单片集成硅光子无本地振荡器零差接收器</w:t>
      </w:r>
    </w:p>
    <w:p>
      <w:r>
        <w:rPr>
          <w:rFonts w:ascii="Times New Roman" w:hAnsi="Times New Roman" w:eastAsia="宋体"/>
          <w:b/>
          <w:color w:val="003264"/>
          <w:sz w:val="24"/>
        </w:rPr>
        <w:t>Monolithically Integrated Silicon Photonic Local Oscillator‐Free Homodyne Receiver</w:t>
      </w:r>
    </w:p>
    <w:p>
      <w:r>
        <w:rPr>
          <w:rFonts w:ascii="Times New Roman" w:hAnsi="Times New Roman" w:eastAsia="宋体"/>
          <w:sz w:val="21"/>
        </w:rPr>
        <w:t>作者: Jingchi Li, Hua Zhong, Yixiao Zhu, Yu He, Zhen Wang, Xiong Ni, Xingchen Ji, Qian Hu, Haoshuo Chen, Nicolas K. Fontaine, Roland Ryf, William Shieh, Yikai Su</w:t>
        <w:br/>
      </w:r>
      <w:r>
        <w:rPr>
          <w:rFonts w:ascii="Times New Roman" w:hAnsi="Times New Roman" w:eastAsia="宋体"/>
          <w:sz w:val="21"/>
        </w:rPr>
        <w:t xml:space="preserve">时间: 2026-01-30 | </w:t>
      </w:r>
      <w:r>
        <w:t xml:space="preserve">链接: </w:t>
      </w:r>
      <w:hyperlink r:id="rId51">
        <w:r>
          <w:rPr>
            <w:rFonts w:ascii="Times New Roman" w:hAnsi="Times New Roman" w:eastAsia="宋体"/>
            <w:color w:val="0000FF"/>
            <w:sz w:val="21"/>
            <w:u w:val="single"/>
          </w:rPr>
          <w:t>https://doi.org/10.1002/lpor.202502793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工智能和云计算推动的全球数据流量呈指数级增长，需要经济高效、超高容量的光互连。集成光子互连提供了一种有前途的解决方案，但面临关键瓶颈：集成相干接收器需要本地振荡器（LO）激光器，导致单片集成的材料不兼容和成本挑战，而集成自相干方案从根本上遭受光电映射期间信号输入之间的非线性拍频过程引起的非线性失真，这限制了容量和频谱效率。在这里，我们提出了一种集成的无 LO 零差检测方案，通过微环滤波器实现卓越的线性度。 Si 3 N 4 微环谐振器有效地滤除用于零差检测的光载波，节省了相干接收器中的本振，并消除了自相干方案中常见的二阶非线性失真。我们制造的单片集成硅光子接收器可在 80 公里光纤上实现单偏振 600 Gb/s 16 进制正交调幅正交频分复用信号传输，实现每偏振 480 Gb/s 的净传输速度。这比之前的集成自相干检测记录提高了 86%，并且与最先进的集成相干系统相匹配。 C 波段的多通道验证进一步证实了密集波分复用兼容性。这项工作提供了光通信、密集波分复用、直接检测、集成光子互连、硅光子可扩展且经济高效的解决方案，这对于未来每通道 1.6 Tb/s 光互连至关重要。</w:t>
      </w:r>
    </w:p>
    <w:p>
      <w:pPr>
        <w:spacing w:before="120"/>
      </w:pPr>
      <w:r>
        <w:rPr>
          <w:rFonts w:ascii="Times New Roman" w:hAnsi="Times New Roman" w:eastAsia="宋体"/>
          <w:b/>
          <w:sz w:val="21"/>
        </w:rPr>
        <w:t>English Abstract:</w:t>
      </w:r>
    </w:p>
    <w:p>
      <w:r>
        <w:rPr>
          <w:rFonts w:ascii="Times New Roman" w:hAnsi="Times New Roman" w:eastAsia="宋体"/>
          <w:sz w:val="21"/>
        </w:rPr>
        <w:t>ABSTRACT The exponential growth of global data traffic driven by artificial intelligence and cloud computing necessitates cost‐efficient, ultrahigh‐capacity optical interconnects. Integrated photonic interconnect offers a promising solution but faces critical bottlenecks: integrated coherent receivers require local oscillator (LO) lasers, resulting in material incompatibility and cost challenges for monolithic integration, while integrated self‐coherent schemes fundamentally suffer from nonlinear distortions induced by the nonlinear beating process between signal inputs during optical‐to‐electrical mapping, which limits both capacity and spectral efficiency. Here, we present an integrated LO‐free homodyne detection scheme with superior linearity enabled by a micro‐ring filter. The Si 3 N 4 micro‐ring resonator effectively filters out the optical carrier for homodyne detection, saving the LO in coherent receivers and eliminating the second‐order nonlinear distortions commonly encountered in self‐coherent schemes. Our fabricated monolithically integrated silicon photonic receiver enables single‐polarization 600‐Gb/s 16‐ary quadrature amplitude modulated orthogonal frequency division multiplexing signal transmission over an 80‐km fiber, achieving a net 480‐Gb/s per polarization. This represents an 86% improvement over previous integrated self‐coherent detection records and matches that of state‐of‐the‐art integrated coherent systems. Multichannel validation across the C band further confirms the dense wavelength‐division multiplexing compatibility. This work provides an Optical communication, dense wavelength division multiplexing, direct detection, integrated photonic interconnects, silicon photonicsscalable and cost‐effective solution essential for future 1.6 Tb/s per lane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光拓扑微分密码学</w:t>
      </w:r>
    </w:p>
    <w:p>
      <w:r>
        <w:rPr>
          <w:rFonts w:ascii="Times New Roman" w:hAnsi="Times New Roman" w:eastAsia="宋体"/>
          <w:b/>
          <w:color w:val="003264"/>
          <w:sz w:val="24"/>
        </w:rPr>
        <w:t>Optical Topological Differentiation Cryptography</w:t>
      </w:r>
    </w:p>
    <w:p>
      <w:r>
        <w:rPr>
          <w:rFonts w:ascii="Times New Roman" w:hAnsi="Times New Roman" w:eastAsia="宋体"/>
          <w:sz w:val="21"/>
        </w:rPr>
        <w:t>作者: Yanliang He, Yuanfeng Zhu, Haimei Luo, Wen Yuan, Guiqiang Liu, Zhengqi Liu, Xianping Wang, Junxiao Zhou</w:t>
        <w:br/>
      </w:r>
      <w:r>
        <w:rPr>
          <w:rFonts w:ascii="Times New Roman" w:hAnsi="Times New Roman" w:eastAsia="宋体"/>
          <w:sz w:val="21"/>
        </w:rPr>
        <w:t xml:space="preserve">时间: 2026-01-30 | </w:t>
      </w:r>
      <w:r>
        <w:t xml:space="preserve">链接: </w:t>
      </w:r>
      <w:hyperlink r:id="rId52">
        <w:r>
          <w:rPr>
            <w:rFonts w:ascii="Times New Roman" w:hAnsi="Times New Roman" w:eastAsia="宋体"/>
            <w:color w:val="0000FF"/>
            <w:sz w:val="21"/>
            <w:u w:val="single"/>
          </w:rPr>
          <w:t>https://doi.org/10.1002/lpor.202502957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加密提供了一种保护机密信息的有效方法，具有低能耗、并行操作、高速和处理多维数据的能力。然而，仍然缺乏可以跨基本空间物理维度（幅度、相位和偏振）加密和解密光学信息的统一框架。在这里，我们提出了一种基于 Pancharatnam-Berry (PB) 相液晶光学元件拓扑微分的光学密码学方法。通过利用 PB 相位的自旋相关相位调制，任何物理维度的二进制编码光学图像都被加密为相同的密文，通过将其转换为基于边缘的表示来有效隐藏信息。解密是通过共轭拓扑微分运算完成的，该运算通过将能量从边缘重新分配回中心来精确地反转该过程，从而恢复原始图像。作为概念证明，我们成功地演示了在幅度、相位和偏振的空间维度上对明文信息“LIGHT”的加密和解密。这项工作通过创新地将光差分应用于物理层加密和解密，引入了光信息安全的新范式，为保护多维光数据提供了强大且统一的方法。</w:t>
      </w:r>
    </w:p>
    <w:p>
      <w:pPr>
        <w:spacing w:before="120"/>
      </w:pPr>
      <w:r>
        <w:rPr>
          <w:rFonts w:ascii="Times New Roman" w:hAnsi="Times New Roman" w:eastAsia="宋体"/>
          <w:b/>
          <w:sz w:val="21"/>
        </w:rPr>
        <w:t>English Abstract:</w:t>
      </w:r>
    </w:p>
    <w:p>
      <w:r>
        <w:rPr>
          <w:rFonts w:ascii="Times New Roman" w:hAnsi="Times New Roman" w:eastAsia="宋体"/>
          <w:sz w:val="21"/>
        </w:rPr>
        <w:t>ABSTRACT Optical encryption provides an effective way to secure confidential information, featuring low energy consumption, parallel operation, high speed, and the ability to process multidimensional data. However, a unified framework that can encrypt and decrypt optical information across the fundamental spatial physical dimensions (amplitude, phase, and polarization) is still lacking. Here, we present an optical cryptography approach based on topological differentiation via Pancharatnam–Berry (PB) phase liquid crystal optical elements. By leveraging the spin‐dependent phase modulation of the PB phase, binary‐encoded optical images in any physical dimension are encrypted into an identical ciphertext, effectively hiding the information by converting it into edge‐based representations. Decryption is accomplished through a conjugate topological differentiation operation, which precisely reverses the process by redistributing energy from the edge back to the center, thereby restoring the original image. As a proof of concept, we successfully demonstrated the encryption and decryption of the plaintext information “LIGHT” across the spatial dimensions of amplitude, phase, and polarization. This work introduces a new paradigm in optical information security by innovatively applying optical differentiation to physical‐layer encryption and decryption, providing a robust and unified approach for the protection of multidimensional optical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基于胆甾型液晶几何相位的动态光场控制光流控平台</w:t>
      </w:r>
    </w:p>
    <w:p>
      <w:r>
        <w:rPr>
          <w:rFonts w:ascii="Times New Roman" w:hAnsi="Times New Roman" w:eastAsia="宋体"/>
          <w:b/>
          <w:color w:val="003264"/>
          <w:sz w:val="24"/>
        </w:rPr>
        <w:t>An Optofluidic Platform Based on the Geometric Phase of Cholesteric Liquid Crystals for Dynamic Light Field Control</w:t>
      </w:r>
    </w:p>
    <w:p>
      <w:r>
        <w:rPr>
          <w:rFonts w:ascii="Times New Roman" w:hAnsi="Times New Roman" w:eastAsia="宋体"/>
          <w:sz w:val="21"/>
        </w:rPr>
        <w:t>作者: Shi-Long Li, Wei-Xiang Xiu, Liang Liu, Sen-Sen Li, Xuejia Hu, Lu-Jian Chen</w:t>
        <w:br/>
      </w:r>
      <w:r>
        <w:rPr>
          <w:rFonts w:ascii="Times New Roman" w:hAnsi="Times New Roman" w:eastAsia="宋体"/>
          <w:sz w:val="21"/>
        </w:rPr>
        <w:t xml:space="preserve">时间: 2026-01-29 | </w:t>
      </w:r>
      <w:r>
        <w:t xml:space="preserve">链接: </w:t>
      </w:r>
      <w:hyperlink r:id="rId55">
        <w:r>
          <w:rPr>
            <w:rFonts w:ascii="Times New Roman" w:hAnsi="Times New Roman" w:eastAsia="宋体"/>
            <w:color w:val="0000FF"/>
            <w:sz w:val="21"/>
            <w:u w:val="single"/>
          </w:rPr>
          <w:t>https://doi.org/10.1021/acsphotonics.5c02289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通过界面光电子转移对 Fe 3 GeTe 2 /n-Si 范德华异质结构中的磁传输进行光伏调制</w:t>
      </w:r>
    </w:p>
    <w:p>
      <w:r>
        <w:rPr>
          <w:rFonts w:ascii="Times New Roman" w:hAnsi="Times New Roman" w:eastAsia="宋体"/>
          <w:b/>
          <w:color w:val="003264"/>
          <w:sz w:val="24"/>
        </w:rPr>
        <w:t>Photovoltaic Modulation of Magneto-Transport in Fe 3 GeTe 2 /n-Si van der Waals Heterostructures via Interfacial Photoelectron Transfer</w:t>
      </w:r>
    </w:p>
    <w:p>
      <w:r>
        <w:rPr>
          <w:rFonts w:ascii="Times New Roman" w:hAnsi="Times New Roman" w:eastAsia="宋体"/>
          <w:sz w:val="21"/>
        </w:rPr>
        <w:t>作者: Nan Sun, Chang Niu, Zhibo Zhou, Qian Cao, Jican Hao, Hao Geng, Ning Fang, Han Zhang, Lei Wang, Ziyao Zhou</w:t>
        <w:br/>
      </w:r>
      <w:r>
        <w:rPr>
          <w:rFonts w:ascii="Times New Roman" w:hAnsi="Times New Roman" w:eastAsia="宋体"/>
          <w:sz w:val="21"/>
        </w:rPr>
        <w:t xml:space="preserve">时间: 2026-01-30 | </w:t>
      </w:r>
      <w:r>
        <w:t xml:space="preserve">链接: </w:t>
      </w:r>
      <w:hyperlink r:id="rId56">
        <w:r>
          <w:rPr>
            <w:rFonts w:ascii="Times New Roman" w:hAnsi="Times New Roman" w:eastAsia="宋体"/>
            <w:color w:val="0000FF"/>
            <w:sz w:val="21"/>
            <w:u w:val="single"/>
          </w:rPr>
          <w:t>https://doi.org/10.1021/acsphotonics.5c02359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基于功率指数相位涡旋自动聚焦光束的深度分辨体积双光子荧光显微镜</w:t>
      </w:r>
    </w:p>
    <w:p>
      <w:r>
        <w:rPr>
          <w:rFonts w:ascii="Times New Roman" w:hAnsi="Times New Roman" w:eastAsia="宋体"/>
          <w:b/>
          <w:color w:val="003264"/>
          <w:sz w:val="24"/>
        </w:rPr>
        <w:t>Depth-Resolved Volumetric Two-Photon Fluorescence Microscopy Based on Power-Exponent-Phase Vortex Autofocusing Beam</w:t>
      </w:r>
    </w:p>
    <w:p>
      <w:r>
        <w:rPr>
          <w:rFonts w:ascii="Times New Roman" w:hAnsi="Times New Roman" w:eastAsia="宋体"/>
          <w:sz w:val="21"/>
        </w:rPr>
        <w:t>作者: Guangbo Zhang, Sisi Zhou, Ye Fang, Xuefeng Sun, Qianglong Yang, Chao Zhang, Rui Hu, Jiaqing Guo, Binglin Shen, Yuankai Guo, Can Zhao, Yan Huang, Weiguang Zheng, Zhixin Cong, Liwei Liu</w:t>
        <w:br/>
      </w:r>
      <w:r>
        <w:rPr>
          <w:rFonts w:ascii="Times New Roman" w:hAnsi="Times New Roman" w:eastAsia="宋体"/>
          <w:sz w:val="21"/>
        </w:rPr>
        <w:t xml:space="preserve">时间: 2026-01-30 | </w:t>
      </w:r>
      <w:r>
        <w:t xml:space="preserve">链接: </w:t>
      </w:r>
      <w:hyperlink r:id="rId57">
        <w:r>
          <w:rPr>
            <w:rFonts w:ascii="Times New Roman" w:hAnsi="Times New Roman" w:eastAsia="宋体"/>
            <w:color w:val="0000FF"/>
            <w:sz w:val="21"/>
            <w:u w:val="single"/>
          </w:rPr>
          <w:t>https://doi.org/10.1021/acsphotonics.5c02338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结合 MgCo 2 O 4 改性与机器学习的高性能微腔传感</w:t>
      </w:r>
    </w:p>
    <w:p>
      <w:r>
        <w:rPr>
          <w:rFonts w:ascii="Times New Roman" w:hAnsi="Times New Roman" w:eastAsia="宋体"/>
          <w:b/>
          <w:color w:val="003264"/>
          <w:sz w:val="24"/>
        </w:rPr>
        <w:t>High-performance microcavity sensing combining MgCo 2 O 4 modification with machine learning</w:t>
      </w:r>
    </w:p>
    <w:p>
      <w:r>
        <w:rPr>
          <w:rFonts w:ascii="Times New Roman" w:hAnsi="Times New Roman" w:eastAsia="宋体"/>
          <w:sz w:val="21"/>
        </w:rPr>
        <w:t>作者: Wang Xiaohui, Chen Huiyu, Wang Canjin, Yuan Xiaoming, Liu Wenyao, Tang Jun</w:t>
        <w:br/>
      </w:r>
      <w:r>
        <w:rPr>
          <w:rFonts w:ascii="Times New Roman" w:hAnsi="Times New Roman" w:eastAsia="宋体"/>
          <w:sz w:val="21"/>
        </w:rPr>
        <w:t xml:space="preserve">时间: 2026-01-23 | </w:t>
      </w:r>
      <w:r>
        <w:t xml:space="preserve">链接: </w:t>
      </w:r>
      <w:hyperlink r:id="rId59">
        <w:r>
          <w:rPr>
            <w:rFonts w:ascii="Times New Roman" w:hAnsi="Times New Roman" w:eastAsia="宋体"/>
            <w:color w:val="0000FF"/>
            <w:sz w:val="21"/>
            <w:u w:val="single"/>
          </w:rPr>
          <w:t>https://doi.org/10.1364/ao.584168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回音壁模式（WGM）微瓶谐振器以其自然的液体输送通道结构和高品质因数（Q），为精确的微流体测量提供了关键的技术平台。为了进一步提高检测灵敏度，本研究通过用MgCo 2 O 4 纳米材料修饰空心微瓶谐振器（HMR）的内壁，构建了高灵敏度的乙醇和丙酮传感器。结果表明，改进后的传感器对乙醇溶液的灵敏度为0.0792 nm/%，是丙酮的2.1倍。这表明该传感器对乙醇具有较高的选择性。此外，为了进一步利用全谱信息，引入多层感知器（MLP）深度学习算法进行智能分析。结果表明，乙醇和丙酮的测试准确度分别为99.85%和99.79%。该研究以其高灵敏度和测试精度，为智能光学微腔传感的发展提供支持。</w:t>
      </w:r>
    </w:p>
    <w:p>
      <w:pPr>
        <w:spacing w:before="120"/>
      </w:pPr>
      <w:r>
        <w:rPr>
          <w:rFonts w:ascii="Times New Roman" w:hAnsi="Times New Roman" w:eastAsia="宋体"/>
          <w:b/>
          <w:sz w:val="21"/>
        </w:rPr>
        <w:t>English Abstract:</w:t>
      </w:r>
    </w:p>
    <w:p>
      <w:r>
        <w:rPr>
          <w:rFonts w:ascii="Times New Roman" w:hAnsi="Times New Roman" w:eastAsia="宋体"/>
          <w:sz w:val="21"/>
        </w:rPr>
        <w:t>The whispering gallery mode (WGM) microbottle resonators, with their natural liquid delivery channel structure and high-quality factor (Q), provide a crucial technical platform for precise microfluidic measurement. To further enhance the detection sensitivity, this research constructs a highly sensitive ethanol and acetone sensor by modifying the inner wall of a hollow microbottle resonator (HMR) with MgCo 2 O 4 nanomaterials. The results show that the sensitivity of the modified sensor is 0.0792 nm/% to ethanol solution, which is 2.1 times that of acetone. This indicates that the sensor has higher selectivity for ethanol. In addition, to further utilize the full-spectrum information, a multilayer perceptron (MLP) deep learning algorithm is introduced for intelligent analysis. The results indicate that the test accuracy for ethanol and acetone is 99.85% and 99.79%, respectively. With its high sensitivity and testing accuracy, this research provides support for the development of intelligent optical microcavity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专为传感湍流而定制的全光波前传感器重建算法</w:t>
      </w:r>
    </w:p>
    <w:p>
      <w:r>
        <w:rPr>
          <w:rFonts w:ascii="Times New Roman" w:hAnsi="Times New Roman" w:eastAsia="宋体"/>
          <w:b/>
          <w:color w:val="003264"/>
          <w:sz w:val="24"/>
        </w:rPr>
        <w:t>Plenoptic wavefront sensor reconstruction algorithm tailored for sensing turbulence</w:t>
      </w:r>
    </w:p>
    <w:p>
      <w:r>
        <w:rPr>
          <w:rFonts w:ascii="Times New Roman" w:hAnsi="Times New Roman" w:eastAsia="宋体"/>
          <w:sz w:val="21"/>
        </w:rPr>
        <w:t>作者: Di Lin, Gregory P. DiComo, Steve J. Frawley, Abbie T. Watnik</w:t>
        <w:br/>
      </w:r>
      <w:r>
        <w:rPr>
          <w:rFonts w:ascii="Times New Roman" w:hAnsi="Times New Roman" w:eastAsia="宋体"/>
          <w:sz w:val="21"/>
        </w:rPr>
        <w:t xml:space="preserve">时间: 2026-01-26 | </w:t>
      </w:r>
      <w:r>
        <w:t xml:space="preserve">链接: </w:t>
      </w:r>
      <w:hyperlink r:id="rId60">
        <w:r>
          <w:rPr>
            <w:rFonts w:ascii="Times New Roman" w:hAnsi="Times New Roman" w:eastAsia="宋体"/>
            <w:color w:val="0000FF"/>
            <w:sz w:val="21"/>
            <w:u w:val="single"/>
          </w:rPr>
          <w:t>https://doi.org/10.1364/ao.582015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恢复湍流波前的全光波前传感器算法。我们的方法采用了一种专门的合并技术，用于不连贯地组合来自复合传感器图像的各个单元的相位倾斜贡献。使用合成湍流波前和全光波前传感器的数值模型来模拟测量过程，我们通过从复合传感器图像重建湍流波前并评估传感器的整体性能来证明我们的技术的有效性。我们确定了传感器架构固有的误差源，并讨论了改进其性能的前景。</w:t>
      </w:r>
    </w:p>
    <w:p>
      <w:pPr>
        <w:spacing w:before="120"/>
      </w:pPr>
      <w:r>
        <w:rPr>
          <w:rFonts w:ascii="Times New Roman" w:hAnsi="Times New Roman" w:eastAsia="宋体"/>
          <w:b/>
          <w:sz w:val="21"/>
        </w:rPr>
        <w:t>English Abstract:</w:t>
      </w:r>
    </w:p>
    <w:p>
      <w:r>
        <w:rPr>
          <w:rFonts w:ascii="Times New Roman" w:hAnsi="Times New Roman" w:eastAsia="宋体"/>
          <w:sz w:val="21"/>
        </w:rPr>
        <w:t>We present a plenoptic wavefront sensor algorithm adapted for the recovery of turbulent wavefronts. Our approach employs a specialized consolidation technique for incoherently combining phase tilt contributions from the individual cells of the composite sensor image. Using a synthetic turbulent wavefront and a numerical model of the plenoptic wavefront sensor to emulate the measurement process, we demonstrate the efficacy of our technique by reconstructing the turbulent wavefront from the composite sensor image and evaluating the sensor’s overall performance. We identify the sources of error intrinsic to the sensor architecture and discuss prospects for improving its performance.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2" TargetMode="External"/><Relationship Id="rId11" Type="http://schemas.openxmlformats.org/officeDocument/2006/relationships/hyperlink" Target="https://doi.org/10.1016/j.optcom.2026.132977" TargetMode="External"/><Relationship Id="rId12" Type="http://schemas.openxmlformats.org/officeDocument/2006/relationships/hyperlink" Target="https://doi.org/10.1016/j.optcom.2026.132974" TargetMode="External"/><Relationship Id="rId13" Type="http://schemas.openxmlformats.org/officeDocument/2006/relationships/hyperlink" Target="https://doi.org/10.1364/oe.585439" TargetMode="External"/><Relationship Id="rId14" Type="http://schemas.openxmlformats.org/officeDocument/2006/relationships/hyperlink" Target="https://doi.org/10.1038/s41377-026-02185-w" TargetMode="External"/><Relationship Id="rId15" Type="http://schemas.openxmlformats.org/officeDocument/2006/relationships/hyperlink" Target="https://doi.org/10.1109/tvcg.2026.3656848" TargetMode="External"/><Relationship Id="rId16" Type="http://schemas.openxmlformats.org/officeDocument/2006/relationships/hyperlink" Target="https://doi.org/10.1109/tci.2026.3658954" TargetMode="External"/><Relationship Id="rId17" Type="http://schemas.openxmlformats.org/officeDocument/2006/relationships/hyperlink" Target="https://doi.org/10.1109/tip.2026.3657165" TargetMode="External"/><Relationship Id="rId18" Type="http://schemas.openxmlformats.org/officeDocument/2006/relationships/hyperlink" Target="https://doi.org/10.1109/tip.2026.3657636" TargetMode="External"/><Relationship Id="rId19" Type="http://schemas.openxmlformats.org/officeDocument/2006/relationships/hyperlink" Target="https://doi.org/10.1109/tip.2026.3657635" TargetMode="External"/><Relationship Id="rId20" Type="http://schemas.openxmlformats.org/officeDocument/2006/relationships/hyperlink" Target="https://doi.org/10.1109/tip.2026.3657214" TargetMode="External"/><Relationship Id="rId21" Type="http://schemas.openxmlformats.org/officeDocument/2006/relationships/hyperlink" Target="https://doi.org/10.1109/tip.2026.3657640" TargetMode="External"/><Relationship Id="rId22" Type="http://schemas.openxmlformats.org/officeDocument/2006/relationships/hyperlink" Target="https://doi.org/10.1109/tpami.2026.3659164" TargetMode="External"/><Relationship Id="rId23" Type="http://schemas.openxmlformats.org/officeDocument/2006/relationships/hyperlink" Target="https://doi.org/10.1109/tpami.2026.3658965" TargetMode="External"/><Relationship Id="rId24" Type="http://schemas.openxmlformats.org/officeDocument/2006/relationships/hyperlink" Target="https://doi.org/10.1109/tpami.2026.3659200" TargetMode="External"/><Relationship Id="rId25" Type="http://schemas.openxmlformats.org/officeDocument/2006/relationships/hyperlink" Target="https://doi.org/10.1109/tpami.2026.3658949" TargetMode="External"/><Relationship Id="rId26" Type="http://schemas.openxmlformats.org/officeDocument/2006/relationships/hyperlink" Target="https://doi.org/10.1109/tpami.2026.3659110" TargetMode="External"/><Relationship Id="rId27" Type="http://schemas.openxmlformats.org/officeDocument/2006/relationships/hyperlink" Target="https://doi.org/10.1109/tpami.2026.3659041" TargetMode="External"/><Relationship Id="rId28" Type="http://schemas.openxmlformats.org/officeDocument/2006/relationships/hyperlink" Target="https://doi.org/10.1109/tpami.2026.3659125" TargetMode="External"/><Relationship Id="rId29" Type="http://schemas.openxmlformats.org/officeDocument/2006/relationships/hyperlink" Target="https://doi.org/10.1109/tpami.2026.3659463" TargetMode="External"/><Relationship Id="rId30" Type="http://schemas.openxmlformats.org/officeDocument/2006/relationships/hyperlink" Target="https://doi.org/10.1109/tpami.2026.3658731" TargetMode="External"/><Relationship Id="rId31" Type="http://schemas.openxmlformats.org/officeDocument/2006/relationships/hyperlink" Target="https://doi.org/10.1109/tpami.2026.3659168" TargetMode="External"/><Relationship Id="rId32" Type="http://schemas.openxmlformats.org/officeDocument/2006/relationships/hyperlink" Target="https://doi.org/10.1109/tpami.2026.3658856" TargetMode="External"/><Relationship Id="rId33" Type="http://schemas.openxmlformats.org/officeDocument/2006/relationships/hyperlink" Target="https://doi.org/10.1038/s41566-025-01836-5" TargetMode="External"/><Relationship Id="rId34" Type="http://schemas.openxmlformats.org/officeDocument/2006/relationships/hyperlink" Target="https://doi.org/10.29026/oea.2026.250257" TargetMode="External"/><Relationship Id="rId35" Type="http://schemas.openxmlformats.org/officeDocument/2006/relationships/hyperlink" Target="https://doi.org/10.1016/j.optlastec.2026.114830" TargetMode="External"/><Relationship Id="rId36" Type="http://schemas.openxmlformats.org/officeDocument/2006/relationships/hyperlink" Target="https://doi.org/10.1016/j.optlastec.2026.114814" TargetMode="External"/><Relationship Id="rId37" Type="http://schemas.openxmlformats.org/officeDocument/2006/relationships/hyperlink" Target="https://doi.org/10.1364/oe.583629" TargetMode="External"/><Relationship Id="rId38" Type="http://schemas.openxmlformats.org/officeDocument/2006/relationships/hyperlink" Target="https://doi.org/10.1364/oe.584834" TargetMode="External"/><Relationship Id="rId39" Type="http://schemas.openxmlformats.org/officeDocument/2006/relationships/hyperlink" Target="https://doi.org/10.1364/oe.582330" TargetMode="External"/><Relationship Id="rId40" Type="http://schemas.openxmlformats.org/officeDocument/2006/relationships/hyperlink" Target="https://doi.org/10.1364/oe.582440" TargetMode="External"/><Relationship Id="rId41" Type="http://schemas.openxmlformats.org/officeDocument/2006/relationships/hyperlink" Target="https://doi.org/10.1364/oe.584588" TargetMode="External"/><Relationship Id="rId42" Type="http://schemas.openxmlformats.org/officeDocument/2006/relationships/hyperlink" Target="https://doi.org/10.1364/oe.583458" TargetMode="External"/><Relationship Id="rId43" Type="http://schemas.openxmlformats.org/officeDocument/2006/relationships/hyperlink" Target="https://doi.org/10.1364/oe.583376" TargetMode="External"/><Relationship Id="rId44" Type="http://schemas.openxmlformats.org/officeDocument/2006/relationships/hyperlink" Target="https://doi.org/10.1364/oe.582832" TargetMode="External"/><Relationship Id="rId45" Type="http://schemas.openxmlformats.org/officeDocument/2006/relationships/hyperlink" Target="https://doi.org/10.1002/lpor.202502697" TargetMode="External"/><Relationship Id="rId46" Type="http://schemas.openxmlformats.org/officeDocument/2006/relationships/hyperlink" Target="https://doi.org/10.1002/lpor.202502619" TargetMode="External"/><Relationship Id="rId47" Type="http://schemas.openxmlformats.org/officeDocument/2006/relationships/hyperlink" Target="https://doi.org/10.1002/lpor.202501055" TargetMode="External"/><Relationship Id="rId48" Type="http://schemas.openxmlformats.org/officeDocument/2006/relationships/hyperlink" Target="https://doi.org/10.1002/lpor.202503085" TargetMode="External"/><Relationship Id="rId49" Type="http://schemas.openxmlformats.org/officeDocument/2006/relationships/hyperlink" Target="https://doi.org/10.1002/lpor.202501893" TargetMode="External"/><Relationship Id="rId50" Type="http://schemas.openxmlformats.org/officeDocument/2006/relationships/hyperlink" Target="https://doi.org/10.1002/lpor.202502750" TargetMode="External"/><Relationship Id="rId51" Type="http://schemas.openxmlformats.org/officeDocument/2006/relationships/hyperlink" Target="https://doi.org/10.1002/lpor.202502793" TargetMode="External"/><Relationship Id="rId52" Type="http://schemas.openxmlformats.org/officeDocument/2006/relationships/hyperlink" Target="https://doi.org/10.1002/lpor.202502957" TargetMode="External"/><Relationship Id="rId53" Type="http://schemas.openxmlformats.org/officeDocument/2006/relationships/hyperlink" Target="https://doi.org/10.1038/s41377-026-02197-6" TargetMode="External"/><Relationship Id="rId54" Type="http://schemas.openxmlformats.org/officeDocument/2006/relationships/hyperlink" Target="https://doi.org/10.1038/s41377-025-02074-8" TargetMode="External"/><Relationship Id="rId55" Type="http://schemas.openxmlformats.org/officeDocument/2006/relationships/hyperlink" Target="https://doi.org/10.1021/acsphotonics.5c02289" TargetMode="External"/><Relationship Id="rId56" Type="http://schemas.openxmlformats.org/officeDocument/2006/relationships/hyperlink" Target="https://doi.org/10.1021/acsphotonics.5c02359" TargetMode="External"/><Relationship Id="rId57" Type="http://schemas.openxmlformats.org/officeDocument/2006/relationships/hyperlink" Target="https://doi.org/10.1021/acsphotonics.5c02338" TargetMode="External"/><Relationship Id="rId58" Type="http://schemas.openxmlformats.org/officeDocument/2006/relationships/hyperlink" Target="https://doi.org/10.1016/j.optlastec.2026.114828" TargetMode="External"/><Relationship Id="rId59" Type="http://schemas.openxmlformats.org/officeDocument/2006/relationships/hyperlink" Target="https://doi.org/10.1364/ao.584168" TargetMode="External"/><Relationship Id="rId60" Type="http://schemas.openxmlformats.org/officeDocument/2006/relationships/hyperlink" Target="https://doi.org/10.1364/ao.5820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