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 Technology</w:t>
      </w:r>
    </w:p>
    <w:p>
      <w:pPr>
        <w:jc w:val="center"/>
      </w:pPr>
      <w:r>
        <w:t>--- 更新: 00:27 ---</w:t>
      </w:r>
    </w:p>
    <w:p>
      <w:pPr>
        <w:pStyle w:val="Heading2"/>
      </w:pPr>
      <w:r/>
      <w:r>
        <w:rPr>
          <w:rFonts w:ascii="Times New Roman" w:hAnsi="Times New Roman" w:eastAsia="宋体"/>
          <w:b/>
          <w:color w:val="000000"/>
          <w:sz w:val="24"/>
        </w:rPr>
        <w:t>用于高灵敏度内窥镜磁力测量应用的毫米级刚性金刚石探头</w:t>
      </w:r>
    </w:p>
    <w:p>
      <w:r>
        <w:rPr>
          <w:rFonts w:ascii="Times New Roman" w:hAnsi="Times New Roman" w:eastAsia="宋体"/>
          <w:b/>
          <w:color w:val="003264"/>
          <w:sz w:val="24"/>
        </w:rPr>
        <w:t>Millimeter-scale rigid diamond probe for high sensitivity endoscopic-magnetometry applications</w:t>
      </w:r>
    </w:p>
    <w:p>
      <w:r>
        <w:rPr>
          <w:rFonts w:ascii="Times New Roman" w:hAnsi="Times New Roman" w:eastAsia="宋体"/>
          <w:sz w:val="21"/>
        </w:rPr>
        <w:t>作者: Jihongbo Shen, Heng Yuan, Hongyu Tao, Zekun Niu, Haoming Xu, Chentao Zhang, Chen Su, Zhuo Wang, Chen Zhang</w:t>
        <w:br/>
      </w:r>
      <w:r>
        <w:rPr>
          <w:rFonts w:ascii="Times New Roman" w:hAnsi="Times New Roman" w:eastAsia="宋体"/>
          <w:sz w:val="21"/>
        </w:rPr>
        <w:t xml:space="preserve">时间: 2026-05-01 | </w:t>
      </w:r>
      <w:r>
        <w:t xml:space="preserve">链接: </w:t>
      </w:r>
      <w:hyperlink r:id="rId10">
        <w:r>
          <w:rPr>
            <w:rFonts w:ascii="Times New Roman" w:hAnsi="Times New Roman" w:eastAsia="宋体"/>
            <w:color w:val="0000FF"/>
            <w:sz w:val="21"/>
            <w:u w:val="single"/>
          </w:rPr>
          <w:t>https://doi.org/10.1016/j.optlastec.2026.114833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通过基于变压器的数据增强增强光学临界尺寸 (OCD) 测量模型的开发</w:t>
      </w:r>
    </w:p>
    <w:p>
      <w:r>
        <w:rPr>
          <w:rFonts w:ascii="Times New Roman" w:hAnsi="Times New Roman" w:eastAsia="宋体"/>
          <w:b/>
          <w:color w:val="003264"/>
          <w:sz w:val="24"/>
        </w:rPr>
        <w:t>Development of an optical critical dimension (OCD) measurement model enhanced by transformer-based data augmentation</w:t>
      </w:r>
    </w:p>
    <w:p>
      <w:r>
        <w:rPr>
          <w:rFonts w:ascii="Times New Roman" w:hAnsi="Times New Roman" w:eastAsia="宋体"/>
          <w:sz w:val="21"/>
        </w:rPr>
        <w:t>作者: Jinyang Li, Dengji Guo, Ta-Cheng Mo, Yu-Hsiang Hsu, Changliang Zhu, Shien-Ping Feng, Hung-Fei Kuo</w:t>
        <w:br/>
      </w:r>
      <w:r>
        <w:rPr>
          <w:rFonts w:ascii="Times New Roman" w:hAnsi="Times New Roman" w:eastAsia="宋体"/>
          <w:sz w:val="21"/>
        </w:rPr>
        <w:t xml:space="preserve">时间: 2026-05-01 | </w:t>
      </w:r>
      <w:r>
        <w:t xml:space="preserve">链接: </w:t>
      </w:r>
      <w:hyperlink r:id="rId11">
        <w:r>
          <w:rPr>
            <w:rFonts w:ascii="Times New Roman" w:hAnsi="Times New Roman" w:eastAsia="宋体"/>
            <w:color w:val="0000FF"/>
            <w:sz w:val="21"/>
            <w:u w:val="single"/>
          </w:rPr>
          <w:t>https://doi.org/10.1016/j.optlastec.2026.114857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基于太赫兹时域光谱的 GFRP 复合材料分层缺陷自适应融合成像</w:t>
      </w:r>
    </w:p>
    <w:p>
      <w:r>
        <w:rPr>
          <w:rFonts w:ascii="Times New Roman" w:hAnsi="Times New Roman" w:eastAsia="宋体"/>
          <w:b/>
          <w:color w:val="003264"/>
          <w:sz w:val="24"/>
        </w:rPr>
        <w:t>Adaptive fusion imaging for delamination defects in GFRP composites based on terahertz time-domain spectroscopy</w:t>
      </w:r>
    </w:p>
    <w:p>
      <w:r>
        <w:rPr>
          <w:rFonts w:ascii="Times New Roman" w:hAnsi="Times New Roman" w:eastAsia="宋体"/>
          <w:sz w:val="21"/>
        </w:rPr>
        <w:t>作者: Rui Li, Zenghua Liu, Yuheng Wu, Huabing Zhu, Yiyi Liu, Meiling Wang, Cunfu He</w:t>
        <w:br/>
      </w:r>
      <w:r>
        <w:rPr>
          <w:rFonts w:ascii="Times New Roman" w:hAnsi="Times New Roman" w:eastAsia="宋体"/>
          <w:sz w:val="21"/>
        </w:rPr>
        <w:t xml:space="preserve">时间: 2026-05-01 | </w:t>
      </w:r>
      <w:r>
        <w:t xml:space="preserve">链接: </w:t>
      </w:r>
      <w:hyperlink r:id="rId12">
        <w:r>
          <w:rPr>
            <w:rFonts w:ascii="Times New Roman" w:hAnsi="Times New Roman" w:eastAsia="宋体"/>
            <w:color w:val="0000FF"/>
            <w:sz w:val="21"/>
            <w:u w:val="single"/>
          </w:rPr>
          <w:t>https://doi.org/10.1016/j.optlastec.2026.114863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用于中红外 Er:YAG 激光传输的低羟基亚碲酸盐光纤</w:t>
      </w:r>
    </w:p>
    <w:p>
      <w:r>
        <w:rPr>
          <w:rFonts w:ascii="Times New Roman" w:hAnsi="Times New Roman" w:eastAsia="宋体"/>
          <w:b/>
          <w:color w:val="003264"/>
          <w:sz w:val="24"/>
        </w:rPr>
        <w:t>Low-Hydroxyl tellurite fiber for Mid-Infrared Er:YAG laser transmission</w:t>
      </w:r>
    </w:p>
    <w:p>
      <w:r>
        <w:rPr>
          <w:rFonts w:ascii="Times New Roman" w:hAnsi="Times New Roman" w:eastAsia="宋体"/>
          <w:sz w:val="21"/>
        </w:rPr>
        <w:t>作者: Shuru Chen, Zhijian Wei, Jin Li, Biqing Wang, Yuze Wang, Kai Jiao, Shengchuang Bai, Pingxue Li, Vladimir Shiryaev, Xunsi Wang</w:t>
        <w:br/>
      </w:r>
      <w:r>
        <w:rPr>
          <w:rFonts w:ascii="Times New Roman" w:hAnsi="Times New Roman" w:eastAsia="宋体"/>
          <w:sz w:val="21"/>
        </w:rPr>
        <w:t xml:space="preserve">时间: 2026-05-01 | </w:t>
      </w:r>
      <w:r>
        <w:t xml:space="preserve">链接: </w:t>
      </w:r>
      <w:hyperlink r:id="rId13">
        <w:r>
          <w:rPr>
            <w:rFonts w:ascii="Times New Roman" w:hAnsi="Times New Roman" w:eastAsia="宋体"/>
            <w:color w:val="0000FF"/>
            <w:sz w:val="21"/>
            <w:u w:val="single"/>
          </w:rPr>
          <w:t>https://doi.org/10.1016/j.optlastec.2026.114829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PECVD 沉积 SiO N 层的具有高功率激光诱导损伤和高透光率的渐变折射率增透膜</w:t>
      </w:r>
    </w:p>
    <w:p>
      <w:r>
        <w:rPr>
          <w:rFonts w:ascii="Times New Roman" w:hAnsi="Times New Roman" w:eastAsia="宋体"/>
          <w:b/>
          <w:color w:val="003264"/>
          <w:sz w:val="24"/>
        </w:rPr>
        <w:t>Graded-index anti-reflection coatings with high-power laser-induced damage resistance and high transmittance based on a SiO N layer deposited by PECVD</w:t>
      </w:r>
    </w:p>
    <w:p>
      <w:r>
        <w:rPr>
          <w:rFonts w:ascii="Times New Roman" w:hAnsi="Times New Roman" w:eastAsia="宋体"/>
          <w:sz w:val="21"/>
        </w:rPr>
        <w:t>作者: Liangyi Hang, Yue You, Yuxin Yang, Shigeng Song, Yaqing Zhang, Jian Song, Jin Cheng, Yechuan Zhu, Haifeng Liang, Junqi Xu, Shun Zhou, Weiguo Liu</w:t>
        <w:br/>
      </w:r>
      <w:r>
        <w:rPr>
          <w:rFonts w:ascii="Times New Roman" w:hAnsi="Times New Roman" w:eastAsia="宋体"/>
          <w:sz w:val="21"/>
        </w:rPr>
        <w:t xml:space="preserve">时间: 2026-05-01 | </w:t>
      </w:r>
      <w:r>
        <w:t xml:space="preserve">链接: </w:t>
      </w:r>
      <w:hyperlink r:id="rId17">
        <w:r>
          <w:rPr>
            <w:rFonts w:ascii="Times New Roman" w:hAnsi="Times New Roman" w:eastAsia="宋体"/>
            <w:color w:val="0000FF"/>
            <w:sz w:val="21"/>
            <w:u w:val="single"/>
          </w:rPr>
          <w:t>https://doi.org/10.1016/j.optlastec.2026.114859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具有超低限制损耗的稳健拓扑引导光纤</w:t>
      </w:r>
    </w:p>
    <w:p>
      <w:r>
        <w:rPr>
          <w:rFonts w:ascii="Times New Roman" w:hAnsi="Times New Roman" w:eastAsia="宋体"/>
          <w:b/>
          <w:color w:val="003264"/>
          <w:sz w:val="24"/>
        </w:rPr>
        <w:t>A robust topologically guided optical fiber with ultra-low confinement loss</w:t>
      </w:r>
    </w:p>
    <w:p>
      <w:r>
        <w:rPr>
          <w:rFonts w:ascii="Times New Roman" w:hAnsi="Times New Roman" w:eastAsia="宋体"/>
          <w:sz w:val="21"/>
        </w:rPr>
        <w:t>作者: Somashreeta Roy, Abhijit Biswas, Bishnu P. Pal, Somnath Ghosh</w:t>
        <w:br/>
      </w:r>
      <w:r>
        <w:rPr>
          <w:rFonts w:ascii="Times New Roman" w:hAnsi="Times New Roman" w:eastAsia="宋体"/>
          <w:sz w:val="21"/>
        </w:rPr>
        <w:t xml:space="preserve">时间: 2026-05-01 | </w:t>
      </w:r>
      <w:r>
        <w:t xml:space="preserve">链接: </w:t>
      </w:r>
      <w:hyperlink r:id="rId18">
        <w:r>
          <w:rPr>
            <w:rFonts w:ascii="Times New Roman" w:hAnsi="Times New Roman" w:eastAsia="宋体"/>
            <w:color w:val="0000FF"/>
            <w:sz w:val="21"/>
            <w:u w:val="single"/>
          </w:rPr>
          <w:t>https://doi.org/10.1016/j.optlastec.2026.114831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00:27 ---</w:t>
      </w:r>
    </w:p>
    <w:p>
      <w:pPr>
        <w:pStyle w:val="Heading2"/>
      </w:pPr>
      <w:r/>
      <w:r>
        <w:rPr>
          <w:rFonts w:ascii="Times New Roman" w:hAnsi="Times New Roman" w:eastAsia="宋体"/>
          <w:b/>
          <w:color w:val="000000"/>
          <w:sz w:val="24"/>
        </w:rPr>
        <w:t>通过减少投影仪-相机像素匹配误差，提高复杂纹理物体的条纹投影轮廓测量的 3D 测量精度</w:t>
      </w:r>
    </w:p>
    <w:p>
      <w:r>
        <w:rPr>
          <w:rFonts w:ascii="Times New Roman" w:hAnsi="Times New Roman" w:eastAsia="宋体"/>
          <w:b/>
          <w:color w:val="003264"/>
          <w:sz w:val="24"/>
        </w:rPr>
        <w:t>Improving 3D measurement accuracy of fringe projection profilometry for complex textured objects by reducing projector-camera pixel matching errors</w:t>
      </w:r>
    </w:p>
    <w:p>
      <w:r>
        <w:rPr>
          <w:rFonts w:ascii="Times New Roman" w:hAnsi="Times New Roman" w:eastAsia="宋体"/>
          <w:sz w:val="21"/>
        </w:rPr>
        <w:t>作者: Chenbo Zhang, Guangjian Wang, Zongxing Gong, Hengyi Lei, Peng Gong</w:t>
        <w:br/>
      </w:r>
      <w:r>
        <w:rPr>
          <w:rFonts w:ascii="Times New Roman" w:hAnsi="Times New Roman" w:eastAsia="宋体"/>
          <w:sz w:val="21"/>
        </w:rPr>
        <w:t xml:space="preserve">时间: 2026-06-01 | </w:t>
      </w:r>
      <w:r>
        <w:t xml:space="preserve">链接: </w:t>
      </w:r>
      <w:hyperlink r:id="rId14">
        <w:r>
          <w:rPr>
            <w:rFonts w:ascii="Times New Roman" w:hAnsi="Times New Roman" w:eastAsia="宋体"/>
            <w:color w:val="0000FF"/>
            <w:sz w:val="21"/>
            <w:u w:val="single"/>
          </w:rPr>
          <w:t>https://doi.org/10.1016/j.optlaseng.2026.109661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一种基于格雷编码光的高容错相位展开方法，用于未对准误差场景</w:t>
      </w:r>
    </w:p>
    <w:p>
      <w:r>
        <w:rPr>
          <w:rFonts w:ascii="Times New Roman" w:hAnsi="Times New Roman" w:eastAsia="宋体"/>
          <w:b/>
          <w:color w:val="003264"/>
          <w:sz w:val="24"/>
        </w:rPr>
        <w:t>A highly error-tolerant phase unwrapping method based on Gray-coded light for misalignment error scenarios</w:t>
      </w:r>
    </w:p>
    <w:p>
      <w:r>
        <w:rPr>
          <w:rFonts w:ascii="Times New Roman" w:hAnsi="Times New Roman" w:eastAsia="宋体"/>
          <w:sz w:val="21"/>
        </w:rPr>
        <w:t>作者: Yexi Yang, Hubing Du, Yanjie Li, Tete Xu, Hui Wang, Gaopeng Zhang</w:t>
        <w:br/>
      </w:r>
      <w:r>
        <w:rPr>
          <w:rFonts w:ascii="Times New Roman" w:hAnsi="Times New Roman" w:eastAsia="宋体"/>
          <w:sz w:val="21"/>
        </w:rPr>
        <w:t xml:space="preserve">时间: 2026-06-01 | </w:t>
      </w:r>
      <w:r>
        <w:t xml:space="preserve">链接: </w:t>
      </w:r>
      <w:hyperlink r:id="rId19">
        <w:r>
          <w:rPr>
            <w:rFonts w:ascii="Times New Roman" w:hAnsi="Times New Roman" w:eastAsia="宋体"/>
            <w:color w:val="0000FF"/>
            <w:sz w:val="21"/>
            <w:u w:val="single"/>
          </w:rPr>
          <w:t>https://doi.org/10.1016/j.optlaseng.2026.109671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00:27 ---</w:t>
      </w:r>
    </w:p>
    <w:p>
      <w:pPr>
        <w:pStyle w:val="Heading2"/>
      </w:pPr>
      <w:r/>
      <w:r>
        <w:rPr>
          <w:rFonts w:ascii="Times New Roman" w:hAnsi="Times New Roman" w:eastAsia="宋体"/>
          <w:b/>
          <w:color w:val="000000"/>
          <w:sz w:val="24"/>
        </w:rPr>
        <w:t>通过多平面光转换在50 km少模光纤中平衡放大六种LP模式</w:t>
      </w:r>
    </w:p>
    <w:p>
      <w:r>
        <w:rPr>
          <w:rFonts w:ascii="Times New Roman" w:hAnsi="Times New Roman" w:eastAsia="宋体"/>
          <w:b/>
          <w:color w:val="003264"/>
          <w:sz w:val="24"/>
        </w:rPr>
        <w:t>Balanced amplification of six LP modes in 50 km few-mode fiber via multi-plane light conversion</w:t>
      </w:r>
    </w:p>
    <w:p>
      <w:r>
        <w:rPr>
          <w:rFonts w:ascii="Times New Roman" w:hAnsi="Times New Roman" w:eastAsia="宋体"/>
          <w:sz w:val="21"/>
        </w:rPr>
        <w:t>作者: Wei Wei, Ruitao Wu, Zaiqun Wu, Juncheng Fang, Ying Li, Ting Lei, Xiaocong Yuan</w:t>
        <w:br/>
      </w:r>
      <w:r>
        <w:rPr>
          <w:rFonts w:ascii="Times New Roman" w:hAnsi="Times New Roman" w:eastAsia="宋体"/>
          <w:sz w:val="21"/>
        </w:rPr>
        <w:t xml:space="preserve">时间: 2026-01-01 | </w:t>
      </w:r>
      <w:r>
        <w:t xml:space="preserve">链接: </w:t>
      </w:r>
      <w:hyperlink r:id="rId15">
        <w:r>
          <w:rPr>
            <w:rFonts w:ascii="Times New Roman" w:hAnsi="Times New Roman" w:eastAsia="宋体"/>
            <w:color w:val="0000FF"/>
            <w:sz w:val="21"/>
            <w:u w:val="single"/>
          </w:rPr>
          <w:t>https://doi.org/10.1016/j.optcom.2026.132983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通过柱面透镜调制的不对称照明增强明场显微镜，实现无标记定量相位显微镜</w:t>
      </w:r>
    </w:p>
    <w:p>
      <w:r>
        <w:rPr>
          <w:rFonts w:ascii="Times New Roman" w:hAnsi="Times New Roman" w:eastAsia="宋体"/>
          <w:b/>
          <w:color w:val="003264"/>
          <w:sz w:val="24"/>
        </w:rPr>
        <w:t>Enhancing brightfield microscopy for label-free quantitative phase microscopy via asymmetric illumination modulated by cylindrical lens</w:t>
      </w:r>
    </w:p>
    <w:p>
      <w:r>
        <w:rPr>
          <w:rFonts w:ascii="Times New Roman" w:hAnsi="Times New Roman" w:eastAsia="宋体"/>
          <w:sz w:val="21"/>
        </w:rPr>
        <w:t>作者: Hongda Quan, Lingbao Kong, Shiqing Hua</w:t>
        <w:br/>
      </w:r>
      <w:r>
        <w:rPr>
          <w:rFonts w:ascii="Times New Roman" w:hAnsi="Times New Roman" w:eastAsia="宋体"/>
          <w:sz w:val="21"/>
        </w:rPr>
        <w:t xml:space="preserve">时间: 2026-02-01 | </w:t>
      </w:r>
      <w:r>
        <w:t xml:space="preserve">链接: </w:t>
      </w:r>
      <w:hyperlink r:id="rId20">
        <w:r>
          <w:rPr>
            <w:rFonts w:ascii="Times New Roman" w:hAnsi="Times New Roman" w:eastAsia="宋体"/>
            <w:color w:val="0000FF"/>
            <w:sz w:val="21"/>
            <w:u w:val="single"/>
          </w:rPr>
          <w:t>https://doi.org/10.1016/j.optcom.2026.132982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ACM Trans. Graphics (TOG)</w:t>
      </w:r>
    </w:p>
    <w:p>
      <w:pPr>
        <w:jc w:val="center"/>
      </w:pPr>
      <w:r>
        <w:t>--- 更新: 00:27 ---</w:t>
      </w:r>
    </w:p>
    <w:p>
      <w:pPr>
        <w:pStyle w:val="Heading2"/>
      </w:pPr>
      <w:r/>
      <w:r>
        <w:rPr>
          <w:rFonts w:ascii="Times New Roman" w:hAnsi="Times New Roman" w:eastAsia="宋体"/>
          <w:b/>
          <w:color w:val="000000"/>
          <w:sz w:val="24"/>
        </w:rPr>
        <w:t>将扩散模型的多样性引入语义引导的人脸资产生成</w:t>
      </w:r>
    </w:p>
    <w:p>
      <w:r>
        <w:rPr>
          <w:rFonts w:ascii="Times New Roman" w:hAnsi="Times New Roman" w:eastAsia="宋体"/>
          <w:b/>
          <w:color w:val="003264"/>
          <w:sz w:val="24"/>
        </w:rPr>
        <w:t>Bringing Diversity from Diffusion Models to Semantic-Guided Face Asset Generation</w:t>
      </w:r>
    </w:p>
    <w:p>
      <w:r>
        <w:rPr>
          <w:rFonts w:ascii="Times New Roman" w:hAnsi="Times New Roman" w:eastAsia="宋体"/>
          <w:sz w:val="21"/>
        </w:rPr>
        <w:t>作者: Yunxuan Cai, Sitao Xiang, Zongjian Li, Haiwei Chen, Yajie Zhao</w:t>
        <w:br/>
      </w:r>
      <w:r>
        <w:rPr>
          <w:rFonts w:ascii="Times New Roman" w:hAnsi="Times New Roman" w:eastAsia="宋体"/>
          <w:sz w:val="21"/>
        </w:rPr>
        <w:t xml:space="preserve">时间: 2026-01-31 | </w:t>
      </w:r>
      <w:r>
        <w:t xml:space="preserve">链接: </w:t>
      </w:r>
      <w:hyperlink r:id="rId16">
        <w:r>
          <w:rPr>
            <w:rFonts w:ascii="Times New Roman" w:hAnsi="Times New Roman" w:eastAsia="宋体"/>
            <w:color w:val="0000FF"/>
            <w:sz w:val="21"/>
            <w:u w:val="single"/>
          </w:rPr>
          <w:t>https://doi.org/10.1145/3793859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由于依赖受控捕捉设置和手动处理，高质量 3D 人脸资产创建的成本仍然很高，限制了可扩展性和多样性。我们引入了一个完全自动化、语义可控的框架，用于生成 PBR 就绪的 3D 面部资产，而无需专门扫描。我们的流程从基于扩散的数据合成阶段开始，其中来自预训练扩散模型的 2D 肖像样本通过我们提出的几何恢复和纹理归一化算法转换为 44K 纹理 3D 面部重建，该算法将任意着色输出对齐到干净的反照率空间。使用该数据集，我们训练了一个解开的对抗生成器，将语义属性（年龄、性别、种族）映射到 UV 空间几何和反照率，从而在保留身份的同时实现直接采样和连续潜在编辑。精炼阶段进一步生产 PBR 材料和次级资产（眼球、牙齿、牙龈）。由此产生的系统支持实时可控面部生成和后期编辑，并直接导出到标准渲染和动画管道。我们广泛评估每个组件，并提供基于 Web 的交互界面来展示实际部署。</w:t>
      </w:r>
    </w:p>
    <w:p>
      <w:pPr>
        <w:spacing w:before="120"/>
      </w:pPr>
      <w:r>
        <w:rPr>
          <w:rFonts w:ascii="Times New Roman" w:hAnsi="Times New Roman" w:eastAsia="宋体"/>
          <w:b/>
          <w:sz w:val="21"/>
        </w:rPr>
        <w:t>English Abstract:</w:t>
      </w:r>
    </w:p>
    <w:p>
      <w:r>
        <w:rPr>
          <w:rFonts w:ascii="Times New Roman" w:hAnsi="Times New Roman" w:eastAsia="宋体"/>
          <w:sz w:val="21"/>
        </w:rPr>
        <w:t>High-quality 3D face asset creation remains costly due to reliance on controlled capture setups and manual processing, limiting scalability and diversity. We introduce a fully automated, semantically controllable framework for generating PBR-ready 3D facial assets without requiring dedicated scans. Our pipeline begins with a diffusion-based data synthesis stage, where 2D portrait samples from a pre-trained diffusion model are converted into 44K textured 3D face reconstructions via our proposed geometry recovery and texture normalization algorithm, which aligns arbitrarily shaded outputs into clean albedo space. Using this dataset, we train a disentangled adversarial generator that maps semantic attributes (age, gender, ethnicity) to UV-space geometry and albedo, enabling both direct sampling and continuous latent editing while preserving identity. A refinement stage further produces PBR materials and secondary assets (eyeballs, teeth, gums). The resulting system supports controllable face generation and post-editing in real time and exports directly to standard rendering and animation pipelines. We evaluate each component extensively and provide a web-based interactive interface to showcase practical deployment.</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tec.2026.114833" TargetMode="External"/><Relationship Id="rId11" Type="http://schemas.openxmlformats.org/officeDocument/2006/relationships/hyperlink" Target="https://doi.org/10.1016/j.optlastec.2026.114857" TargetMode="External"/><Relationship Id="rId12" Type="http://schemas.openxmlformats.org/officeDocument/2006/relationships/hyperlink" Target="https://doi.org/10.1016/j.optlastec.2026.114863" TargetMode="External"/><Relationship Id="rId13" Type="http://schemas.openxmlformats.org/officeDocument/2006/relationships/hyperlink" Target="https://doi.org/10.1016/j.optlastec.2026.114829" TargetMode="External"/><Relationship Id="rId14" Type="http://schemas.openxmlformats.org/officeDocument/2006/relationships/hyperlink" Target="https://doi.org/10.1016/j.optlaseng.2026.109661" TargetMode="External"/><Relationship Id="rId15" Type="http://schemas.openxmlformats.org/officeDocument/2006/relationships/hyperlink" Target="https://doi.org/10.1016/j.optcom.2026.132983" TargetMode="External"/><Relationship Id="rId16" Type="http://schemas.openxmlformats.org/officeDocument/2006/relationships/hyperlink" Target="https://doi.org/10.1145/3793859" TargetMode="External"/><Relationship Id="rId17" Type="http://schemas.openxmlformats.org/officeDocument/2006/relationships/hyperlink" Target="https://doi.org/10.1016/j.optlastec.2026.114859" TargetMode="External"/><Relationship Id="rId18" Type="http://schemas.openxmlformats.org/officeDocument/2006/relationships/hyperlink" Target="https://doi.org/10.1016/j.optlastec.2026.114831" TargetMode="External"/><Relationship Id="rId19" Type="http://schemas.openxmlformats.org/officeDocument/2006/relationships/hyperlink" Target="https://doi.org/10.1016/j.optlaseng.2026.109671" TargetMode="External"/><Relationship Id="rId20" Type="http://schemas.openxmlformats.org/officeDocument/2006/relationships/hyperlink" Target="https://doi.org/10.1016/j.optcom.2026.1329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