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00:28 ---</w:t>
      </w:r>
    </w:p>
    <w:p>
      <w:pPr>
        <w:pStyle w:val="Heading2"/>
      </w:pPr>
      <w:r/>
      <w:r>
        <w:rPr>
          <w:rFonts w:ascii="Times New Roman" w:hAnsi="Times New Roman" w:eastAsia="宋体"/>
          <w:b/>
          <w:color w:val="000000"/>
          <w:sz w:val="24"/>
        </w:rPr>
        <w:t>通过研磨研究铟基手性金属卤化物手性光学性质的机械化学工程</w:t>
      </w:r>
    </w:p>
    <w:p>
      <w:r>
        <w:rPr>
          <w:rFonts w:ascii="Times New Roman" w:hAnsi="Times New Roman" w:eastAsia="宋体"/>
          <w:b/>
          <w:color w:val="003264"/>
          <w:sz w:val="24"/>
        </w:rPr>
        <w:t>Mechanochemical engineering of chiroptical properties in indium-based chiral metal halides by grinding</w:t>
      </w:r>
    </w:p>
    <w:p>
      <w:r>
        <w:rPr>
          <w:rFonts w:ascii="Times New Roman" w:hAnsi="Times New Roman" w:eastAsia="宋体"/>
          <w:sz w:val="21"/>
        </w:rPr>
        <w:t>作者: Junhong Wu, Hao Li, Jialu Wang, Xiaorui Yang, Tianyong Zhang, Bin Li, Shuang Jiang</w:t>
        <w:br/>
      </w:r>
      <w:r>
        <w:rPr>
          <w:rFonts w:ascii="Times New Roman" w:hAnsi="Times New Roman" w:eastAsia="宋体"/>
          <w:sz w:val="21"/>
        </w:rPr>
        <w:t xml:space="preserve">时间: 2026-02-11 | </w:t>
      </w:r>
      <w:r>
        <w:t xml:space="preserve">链接: </w:t>
      </w:r>
      <w:hyperlink r:id="rId10">
        <w:r>
          <w:rPr>
            <w:rFonts w:ascii="Times New Roman" w:hAnsi="Times New Roman" w:eastAsia="宋体"/>
            <w:color w:val="0000FF"/>
            <w:sz w:val="21"/>
            <w:u w:val="single"/>
          </w:rPr>
          <w:t>https://doi.org/10.1038/s41467-026-69353-9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具有手性光致发光的纳米材料是先进光学技术的有希望的候选材料。在这里，作者使用机械化学处理来调节圆偏振光的发射并增强铟基卤化物的非线性光学响应。</w:t>
      </w:r>
    </w:p>
    <w:p>
      <w:pPr>
        <w:spacing w:before="120"/>
      </w:pPr>
      <w:r>
        <w:rPr>
          <w:rFonts w:ascii="Times New Roman" w:hAnsi="Times New Roman" w:eastAsia="宋体"/>
          <w:b/>
          <w:sz w:val="21"/>
        </w:rPr>
        <w:t>English Abstract:</w:t>
      </w:r>
    </w:p>
    <w:p>
      <w:r>
        <w:rPr>
          <w:rFonts w:ascii="Times New Roman" w:hAnsi="Times New Roman" w:eastAsia="宋体"/>
          <w:sz w:val="21"/>
        </w:rPr>
        <w:t>Nanomaterials with chiral photoluminescence are promising candidates for advanced optical technologies. Here, the authors use mechsanochemical processing to tune the emission of circularly polarized light and enhance the nonlinear optical response in indium-based halides.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近期和未来气候下破纪录的格陵兰冰盖融化事件</w:t>
      </w:r>
    </w:p>
    <w:p>
      <w:r>
        <w:rPr>
          <w:rFonts w:ascii="Times New Roman" w:hAnsi="Times New Roman" w:eastAsia="宋体"/>
          <w:b/>
          <w:color w:val="003264"/>
          <w:sz w:val="24"/>
        </w:rPr>
        <w:t>Record-breaking Greenland ice sheet melt events under recent and future climate</w:t>
      </w:r>
    </w:p>
    <w:p>
      <w:r>
        <w:rPr>
          <w:rFonts w:ascii="Times New Roman" w:hAnsi="Times New Roman" w:eastAsia="宋体"/>
          <w:sz w:val="21"/>
        </w:rPr>
        <w:t>作者: Josep Bonsoms, Sergi González-Herrero, Xavier Fettweis, Marc Lemus-Cánovas, Marc Oliva, Juan I. López-Moreno</w:t>
        <w:br/>
      </w:r>
      <w:r>
        <w:rPr>
          <w:rFonts w:ascii="Times New Roman" w:hAnsi="Times New Roman" w:eastAsia="宋体"/>
          <w:sz w:val="21"/>
        </w:rPr>
        <w:t xml:space="preserve">时间: 2026-02-11 | </w:t>
      </w:r>
      <w:r>
        <w:t xml:space="preserve">链接: </w:t>
      </w:r>
      <w:hyperlink r:id="rId11">
        <w:r>
          <w:rPr>
            <w:rFonts w:ascii="Times New Roman" w:hAnsi="Times New Roman" w:eastAsia="宋体"/>
            <w:color w:val="0000FF"/>
            <w:sz w:val="21"/>
            <w:u w:val="single"/>
          </w:rPr>
          <w:t>https://doi.org/10.1038/s41467-026-69543-5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格陵兰冰盖（GrIS）经历了夏季表面融化的强烈加剧，极端事件变得更加频繁、广泛和严重。尽管它对全球海平面上升很重要，但导致这些极端现象的机制仍不完全清楚。我们使用基于模拟的框架与区域气候模型相结合来分析 1950-2023 年的极端融化事件，以理清热力学和动力学的贡献。当包括环流模拟事件时，热力学过程使融水产量比 1950-1975 年增加了 25%，当包括环流模拟事件时，融水产量增加到 63%，其中格陵兰岛北部的增幅最强。十次最极端的事件中有七次发生在 2000 年之后，融水异常达到天气平均值的三倍。 2012 年 8 月、2019 年 7 月和 2021 年 7 月等破纪录事件没有先例。高排放情景下的未来预测表明，到 2100 年，极端融水异常可能增加高达 +372%（SSP5-8.5，CMIP6），凸显了气候变化对 GrIS 融水极端事件的深远影响。</w:t>
      </w:r>
    </w:p>
    <w:p>
      <w:pPr>
        <w:spacing w:before="120"/>
      </w:pPr>
      <w:r>
        <w:rPr>
          <w:rFonts w:ascii="Times New Roman" w:hAnsi="Times New Roman" w:eastAsia="宋体"/>
          <w:b/>
          <w:sz w:val="21"/>
        </w:rPr>
        <w:t>English Abstract:</w:t>
      </w:r>
    </w:p>
    <w:p>
      <w:r>
        <w:rPr>
          <w:rFonts w:ascii="Times New Roman" w:hAnsi="Times New Roman" w:eastAsia="宋体"/>
          <w:sz w:val="21"/>
        </w:rPr>
        <w:t>Abstract The Greenland Ice Sheet (GrIS) has experienced a strong intensification of summer surface melting, with extreme events becoming more frequent, extensive, and severe. Despite its importance for global sea-level rise, the mechanisms driving these extremes remain incompletely understood. We analyze extreme melting events over 1950–2023 using an analog-based framework combined with a regional climate model to disentangle thermodynamic and dynamic contributions. Thermodynamic processes intensify meltwater production by 25% relative to 1950–1975 when circulation analog events are included, increasing to 63% when circulation-analog events are included, with the strongest increases in northern Greenland. Seven of the ten most extreme events occurred after 2000, with meltwater anomalies reaching up to three times their synoptic average. Record-breaking events such as August 2012, July 2019, and July 2021 show no dynamic precedents. Future projections under high-emission scenarios suggest that extreme meltwater anomalies could increase by up to +372% by 2100 (SSP5-8.5, CMIP6), highlighting the profound impact of climate change on GrIS melt extremes.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生物活性脂质介导的人体必需钾通道 Kir7.1 的结构和功能调节</w:t>
      </w:r>
    </w:p>
    <w:p>
      <w:r>
        <w:rPr>
          <w:rFonts w:ascii="Times New Roman" w:hAnsi="Times New Roman" w:eastAsia="宋体"/>
          <w:b/>
          <w:color w:val="003264"/>
          <w:sz w:val="24"/>
        </w:rPr>
        <w:t>Bioactive lipid-mediated structural and functional regulation of the essential human potassium channel Kir7.1</w:t>
      </w:r>
    </w:p>
    <w:p>
      <w:r>
        <w:rPr>
          <w:rFonts w:ascii="Times New Roman" w:hAnsi="Times New Roman" w:eastAsia="宋体"/>
          <w:sz w:val="21"/>
        </w:rPr>
        <w:t>作者: Qingwei Niu, Simon Vu, Yuanjiang Xu, Mingxing Qian, Anastasiia Rudenko, Jin Ye, Jianwei Zeng, Wei Huang, Douglas F. Covey, Rui Zhang, Ziao Fu, Polina V. Lishko</w:t>
        <w:br/>
      </w:r>
      <w:r>
        <w:rPr>
          <w:rFonts w:ascii="Times New Roman" w:hAnsi="Times New Roman" w:eastAsia="宋体"/>
          <w:sz w:val="21"/>
        </w:rPr>
        <w:t xml:space="preserve">时间: 2026-02-11 | </w:t>
      </w:r>
      <w:r>
        <w:t xml:space="preserve">链接: </w:t>
      </w:r>
      <w:hyperlink r:id="rId12">
        <w:r>
          <w:rPr>
            <w:rFonts w:ascii="Times New Roman" w:hAnsi="Times New Roman" w:eastAsia="宋体"/>
            <w:color w:val="0000FF"/>
            <w:sz w:val="21"/>
            <w:u w:val="single"/>
          </w:rPr>
          <w:t>https://doi.org/10.1038/s41467-026-68819-0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内向整流钾通道 Kir7.1 对于多种组织的生理功能至关重要，包括视网膜色素上皮和妊娠子宫肌层。编码 Kir7.1 的 KCNJ13 的功能丧失突变，或视网膜色素上皮细胞中 Kir7.1 的条件性消融，会导致早发性视力丧失。尽管有强有力的遗传证据支持 Kir7.1 作为治疗靶点，但除磷酸肌醇之外的内源配体对它的调节仍然知之甚少。在这里，我们报告了人类 Kir7.1 在多种功能状态下的冷冻电子显微镜结构，分辨率范围为 2.8 Å 至 4.0 Å。这些结构揭示了 PI 4,5 P 2 调节 Kir7.1 的分子基础、其选择性、整流性，并确定了可能介导协作通道门控的独特类固醇结合位点。我们的数据表明，内源性胆固醇充当抑制性配体，它被选择性的激活类固醇取代。这些激活类固醇与 PI 4,5 P 2 协同作用，通过细胞质结构域和连接区的深刻变化促进通道开放。电生理学分析定义了 Kir7.1 激活剂的药理学景观，提供了在生理和病理环境下探测和调节通道功能的创新工具。</w:t>
      </w:r>
    </w:p>
    <w:p>
      <w:pPr>
        <w:spacing w:before="120"/>
      </w:pPr>
      <w:r>
        <w:rPr>
          <w:rFonts w:ascii="Times New Roman" w:hAnsi="Times New Roman" w:eastAsia="宋体"/>
          <w:b/>
          <w:sz w:val="21"/>
        </w:rPr>
        <w:t>English Abstract:</w:t>
      </w:r>
    </w:p>
    <w:p>
      <w:r>
        <w:rPr>
          <w:rFonts w:ascii="Times New Roman" w:hAnsi="Times New Roman" w:eastAsia="宋体"/>
          <w:sz w:val="21"/>
        </w:rPr>
        <w:t>Abstract The inwardly rectifying potassium channel Kir7.1 is essential for the physiological function of diverse tissues, including the retinal pigment epithelium and the gestational myometrium. Loss-of-function mutations in KCNJ13 , which encodes Kir7.1, or conditional ablation of Kir7.1 in the retinal pigment epithelium, lead to early-onset vision loss. Despite strong genetic evidence supporting Kir7.1 as a therapeutic target, its regulation by endogenous ligands—beyond phosphoinositides—remains poorly understood. Here, we report cryo-electron microscopy structures of human Kir7.1 in multiple functional states at resolutions ranging from 2.8 Å to 4.0 Å. These structures uncover the molecular basis of Kir7.1 modulation by PI 4,5 P 2 , its selectivity, rectification, and identify a distinct steroid-binding site that may mediate cooperative channel gating. Our data suggest that endogenous cholesterol acts as an inhibitory ligand, which is displaced by select activating steroids. These activating steroids work in concert with PI 4,5 P 2 to promote channel opening through profound changes in cytoplasmic domains, and the linker region. Electrophysiological analyses define a pharmacological landscape of Kir7.1 activators, providing innovative tools to probe and modulate channel function in both physiological and pathological contexts.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 hBN 中相干驱动 B 中心的共振荧光和难以区分的光子</w:t>
      </w:r>
    </w:p>
    <w:p>
      <w:r>
        <w:rPr>
          <w:rFonts w:ascii="Times New Roman" w:hAnsi="Times New Roman" w:eastAsia="宋体"/>
          <w:b/>
          <w:color w:val="003264"/>
          <w:sz w:val="24"/>
        </w:rPr>
        <w:t>Resonance fluorescence and indistinguishable photons from a coherently driven B centre in hBN</w:t>
      </w:r>
    </w:p>
    <w:p>
      <w:r>
        <w:rPr>
          <w:rFonts w:ascii="Times New Roman" w:hAnsi="Times New Roman" w:eastAsia="宋体"/>
          <w:sz w:val="21"/>
        </w:rPr>
        <w:t>作者: Domitille Gérard, Stéphanie Buil, Kenji Watanabe, Takashi Taniguchi, Jean-Pierre Hermier, Aymeric Delteil</w:t>
        <w:br/>
      </w:r>
      <w:r>
        <w:rPr>
          <w:rFonts w:ascii="Times New Roman" w:hAnsi="Times New Roman" w:eastAsia="宋体"/>
          <w:sz w:val="21"/>
        </w:rPr>
        <w:t xml:space="preserve">时间: 2026-02-11 | </w:t>
      </w:r>
      <w:r>
        <w:t xml:space="preserve">链接: </w:t>
      </w:r>
      <w:hyperlink r:id="rId13">
        <w:r>
          <w:rPr>
            <w:rFonts w:ascii="Times New Roman" w:hAnsi="Times New Roman" w:eastAsia="宋体"/>
            <w:color w:val="0000FF"/>
            <w:sz w:val="21"/>
            <w:u w:val="single"/>
          </w:rPr>
          <w:t>https://doi.org/10.1038/s41467-026-68555-5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范德华材料中的单光子源为量子信息应用的集成提供了新的视角。在这里，作者在 hBN 中实现了单色中心的共振荧光，这是一种量子光学机制，可以同时实现发射器相干控制和产生不可区分的光子。</w:t>
      </w:r>
    </w:p>
    <w:p>
      <w:pPr>
        <w:spacing w:before="120"/>
      </w:pPr>
      <w:r>
        <w:rPr>
          <w:rFonts w:ascii="Times New Roman" w:hAnsi="Times New Roman" w:eastAsia="宋体"/>
          <w:b/>
          <w:sz w:val="21"/>
        </w:rPr>
        <w:t>English Abstract:</w:t>
      </w:r>
    </w:p>
    <w:p>
      <w:r>
        <w:rPr>
          <w:rFonts w:ascii="Times New Roman" w:hAnsi="Times New Roman" w:eastAsia="宋体"/>
          <w:sz w:val="21"/>
        </w:rPr>
        <w:t>Single-photon sources in van der Waals materials offer new perspectives of integration for quantum information applications. Here, the authors implement resonance fluorescence of a single colour centre in hBN, a quantum optics regime that simultaneously allows for emitter coherent control and generation of indistinguishable photons.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光化学生成硫代羰基二氟化物能够合成氮杂环丁烷</w:t>
      </w:r>
    </w:p>
    <w:p>
      <w:r>
        <w:rPr>
          <w:rFonts w:ascii="Times New Roman" w:hAnsi="Times New Roman" w:eastAsia="宋体"/>
          <w:b/>
          <w:color w:val="003264"/>
          <w:sz w:val="24"/>
        </w:rPr>
        <w:t>Photochemical thiocarbonyl difluoride generation enables azetidine synthesis</w:t>
      </w:r>
    </w:p>
    <w:p>
      <w:r>
        <w:rPr>
          <w:rFonts w:ascii="Times New Roman" w:hAnsi="Times New Roman" w:eastAsia="宋体"/>
          <w:sz w:val="21"/>
        </w:rPr>
        <w:t>作者: Ricardo I. Rodríguez, Julien Paut, Giona Armellin, Stefano Visentini, Gabriel Cormier, Federico Droghetti, Mirco Natali, Marco Bortolus, Giorgio Pelosi, Luca Dell’ Amico</w:t>
        <w:br/>
      </w:r>
      <w:r>
        <w:rPr>
          <w:rFonts w:ascii="Times New Roman" w:hAnsi="Times New Roman" w:eastAsia="宋体"/>
          <w:sz w:val="21"/>
        </w:rPr>
        <w:t xml:space="preserve">时间: 2026-02-11 | </w:t>
      </w:r>
      <w:r>
        <w:t xml:space="preserve">链接: </w:t>
      </w:r>
      <w:hyperlink r:id="rId14">
        <w:r>
          <w:rPr>
            <w:rFonts w:ascii="Times New Roman" w:hAnsi="Times New Roman" w:eastAsia="宋体"/>
            <w:color w:val="0000FF"/>
            <w:sz w:val="21"/>
            <w:u w:val="single"/>
          </w:rPr>
          <w:t>https://doi.org/10.1038/s41467-026-69464-3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将胺活化为硫代氨基甲酰氟提供了获得有价值的氮基官能团的途径。在这里，作者报告了一种温和的光化学方法，使用可见光和有机还原剂从 N-三氟甲基硫代邻苯二甲酰亚胺原位生成硫代羰基二氟化物，并将该策略应用于从应变氮杂双环[1.1.0]丁烷合成氮杂环丁烷。</w:t>
      </w:r>
    </w:p>
    <w:p>
      <w:pPr>
        <w:spacing w:before="120"/>
      </w:pPr>
      <w:r>
        <w:rPr>
          <w:rFonts w:ascii="Times New Roman" w:hAnsi="Times New Roman" w:eastAsia="宋体"/>
          <w:b/>
          <w:sz w:val="21"/>
        </w:rPr>
        <w:t>English Abstract:</w:t>
      </w:r>
    </w:p>
    <w:p>
      <w:r>
        <w:rPr>
          <w:rFonts w:ascii="Times New Roman" w:hAnsi="Times New Roman" w:eastAsia="宋体"/>
          <w:sz w:val="21"/>
        </w:rPr>
        <w:t>The activation of amines into thiocarbamoyl fluorides provides access to valuable nitrogen-based functionalities. Here, the authors report a mild, photochemical method for in-situ generation of thiocarbonyl difluoride from N-trifluoromethylthiophthalimide using visible light and organic reductants, and apply this strategy to the synthesis of azetidines from strained azabicyclo[1.1.0]butanes.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用于无串扰全光神经询问的主动像素功率控制</w:t>
      </w:r>
    </w:p>
    <w:p>
      <w:r>
        <w:rPr>
          <w:rFonts w:ascii="Times New Roman" w:hAnsi="Times New Roman" w:eastAsia="宋体"/>
          <w:b/>
          <w:color w:val="003264"/>
          <w:sz w:val="24"/>
        </w:rPr>
        <w:t>Active pixel power control for crosstalk-free All-optical neural interrogation</w:t>
      </w:r>
    </w:p>
    <w:p>
      <w:r>
        <w:rPr>
          <w:rFonts w:ascii="Times New Roman" w:hAnsi="Times New Roman" w:eastAsia="宋体"/>
          <w:sz w:val="21"/>
        </w:rPr>
        <w:t>作者: Gewei Yan, Guangnan Tian, Yiming Fu, Yingzhu He, Zhentao She, Kenny K. Y. Chen, Julie L. Semmelhack, Jianan Y. Qu</w:t>
        <w:br/>
      </w:r>
      <w:r>
        <w:rPr>
          <w:rFonts w:ascii="Times New Roman" w:hAnsi="Times New Roman" w:eastAsia="宋体"/>
          <w:sz w:val="21"/>
        </w:rPr>
        <w:t xml:space="preserve">时间: 2026-02-11 | </w:t>
      </w:r>
      <w:r>
        <w:t xml:space="preserve">链接: </w:t>
      </w:r>
      <w:hyperlink r:id="rId15">
        <w:r>
          <w:rPr>
            <w:rFonts w:ascii="Times New Roman" w:hAnsi="Times New Roman" w:eastAsia="宋体"/>
            <w:color w:val="0000FF"/>
            <w:sz w:val="21"/>
            <w:u w:val="single"/>
          </w:rPr>
          <w:t>https://doi.org/10.1038/s41467-026-69419-8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本文提出了一种主动像素功率控制（APPC），以最大限度地减少全光神经询问中的串扰。经过体内测试，APPC 可抑制光遗传学伪影，同时保持 Ca2+ 成像质量，从而实现精确的神经回路分析。</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an active pixel power control (APPC) to minimize crosstalk in all-optical neural interrogation. Tested in vivo, APPC suppresses optogenetic artifacts while preserving Ca2+ imaging quality, enabling precise neural circuit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适合全季节应用的自调节光热防/除冰膜</w:t>
      </w:r>
    </w:p>
    <w:p>
      <w:r>
        <w:rPr>
          <w:rFonts w:ascii="Times New Roman" w:hAnsi="Times New Roman" w:eastAsia="宋体"/>
          <w:b/>
          <w:color w:val="003264"/>
          <w:sz w:val="24"/>
        </w:rPr>
        <w:t>A self-regulated photothermal anti-/deicing film for all-season applications</w:t>
      </w:r>
    </w:p>
    <w:p>
      <w:r>
        <w:rPr>
          <w:rFonts w:ascii="Times New Roman" w:hAnsi="Times New Roman" w:eastAsia="宋体"/>
          <w:sz w:val="21"/>
        </w:rPr>
        <w:t>作者: Jiayu Du, Wenqi Wang, Yang Fu, Xin Li, Jie Tan, Hao Li, Xu Chen, Fuqiang Chu, Qi Min, Chi Yan Tso</w:t>
        <w:br/>
      </w:r>
      <w:r>
        <w:rPr>
          <w:rFonts w:ascii="Times New Roman" w:hAnsi="Times New Roman" w:eastAsia="宋体"/>
          <w:sz w:val="21"/>
        </w:rPr>
        <w:t xml:space="preserve">时间: 2026-02-11 | </w:t>
      </w:r>
      <w:r>
        <w:t xml:space="preserve">链接: </w:t>
      </w:r>
      <w:hyperlink r:id="rId16">
        <w:r>
          <w:rPr>
            <w:rFonts w:ascii="Times New Roman" w:hAnsi="Times New Roman" w:eastAsia="宋体"/>
            <w:color w:val="0000FF"/>
            <w:sz w:val="21"/>
            <w:u w:val="single"/>
          </w:rPr>
          <w:t>https://doi.org/10.1038/s41467-026-69494-x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积冰对航空安全和能源基础设施构成重大威胁。光热超疏水表面提供了一种有前景的防冰/除冰策略；然而，它们在夏季过度吸热会加速材料降解并加剧城市热岛效应，凸显了动态热调节的迫切需要。在这项研究中，我们提出了一种具有三层设计的自调节光热存储超疏水薄膜，包括光热相变基层、抗冻热致变色水凝胶夹层和透明超疏水顶层。这种多功能设计可实现季节性适应性，实现 92% 的太阳能吸收率，在冬季实现高效防冰/除冰，并实现 62% 的太阳能调节，以缓解夏季过热。这种双重模式可在-20°C时将结冰时间延长10倍，并在炎热天气下将表面温度降低高达17°C，展现出全球建筑节能的巨大潜力。此外，其紫外线阻挡能力和持久的超疏水性确保了在恶劣环境下的长期耐用性能。这项工作不仅解决了光热材料中关键的过热挑战，而且还推动了下一代防冰系统的开发。</w:t>
      </w:r>
    </w:p>
    <w:p>
      <w:pPr>
        <w:spacing w:before="120"/>
      </w:pPr>
      <w:r>
        <w:rPr>
          <w:rFonts w:ascii="Times New Roman" w:hAnsi="Times New Roman" w:eastAsia="宋体"/>
          <w:b/>
          <w:sz w:val="21"/>
        </w:rPr>
        <w:t>English Abstract:</w:t>
      </w:r>
    </w:p>
    <w:p>
      <w:r>
        <w:rPr>
          <w:rFonts w:ascii="Times New Roman" w:hAnsi="Times New Roman" w:eastAsia="宋体"/>
          <w:sz w:val="21"/>
        </w:rPr>
        <w:t>Abstract Ice accumulation poses a significant threat to aviation safety and energy infrastructure. Photothermal superhydrophobic surfaces offer a promising anti-/deicing strategy; however, their excessive heat absorption in summer accelerates material degradation and exacerbates urban heat island effects, highlighting the urgent need for dynamic thermal regulation. In this study, we present a self-regulated photothermal storage superhydrophobic film with a trilayer design, comprising a photothermal phase-change base layer, a freeze-resistant thermochromic hydrogel interlayer, and a transparent superhydrophobic top layer. This multifunctional design enables seasonal adaptability, achieving 92% solar absorptance for efficient anti-/deicing in winter and 62% solar modulation to mitigate overheating in summer. This dual mode prolongs freezing time by 10-fold at −20 °C and lowers surface temperature by up to 17 °C in hot weather, demonstrating substantial potential for global building energy-savings. Additionally, its ultraviolet-blocking capability and durable superhydrophobicity ensure long-term durability performance in harsh environments. This work not only addresses the critical overheating challenge in photothermal materials but also advances the development of next-generation anti-icing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极化子霍夫斯塔特阶梯中的人工规范场和尺寸</w:t>
      </w:r>
    </w:p>
    <w:p>
      <w:r>
        <w:rPr>
          <w:rFonts w:ascii="Times New Roman" w:hAnsi="Times New Roman" w:eastAsia="宋体"/>
          <w:b/>
          <w:color w:val="003264"/>
          <w:sz w:val="24"/>
        </w:rPr>
        <w:t>Artificial gauge fields and dimensions in a polariton hofstadter ladder</w:t>
      </w:r>
    </w:p>
    <w:p>
      <w:r>
        <w:rPr>
          <w:rFonts w:ascii="Times New Roman" w:hAnsi="Times New Roman" w:eastAsia="宋体"/>
          <w:sz w:val="21"/>
        </w:rPr>
        <w:t>作者: Simon Widmann, Jonas Bellmann, Johannes Düreth, Siddhartha Dam, Christian G. Mayer, Philipp Gagel, Simon Betzold, Monika Emmerling, Subhaskar Mandal, Rimi Banerjee, Timothy C. H. Liew, Ronny Thomale, Sven Höfling, Sebastian Klembt</w:t>
        <w:br/>
      </w:r>
      <w:r>
        <w:rPr>
          <w:rFonts w:ascii="Times New Roman" w:hAnsi="Times New Roman" w:eastAsia="宋体"/>
          <w:sz w:val="21"/>
        </w:rPr>
        <w:t xml:space="preserve">时间: 2026-02-11 | </w:t>
      </w:r>
      <w:r>
        <w:t xml:space="preserve">链接: </w:t>
      </w:r>
      <w:hyperlink r:id="rId84">
        <w:r>
          <w:rPr>
            <w:rFonts w:ascii="Times New Roman" w:hAnsi="Times New Roman" w:eastAsia="宋体"/>
            <w:color w:val="0000FF"/>
            <w:sz w:val="21"/>
            <w:u w:val="single"/>
          </w:rPr>
          <w:t>https://doi.org/10.1038/s41467-026-68530-0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人工规范场允许光子等不带电粒子模仿带电粒子在磁场下的行为，为改变有效动力学和探索拓扑物理提供了强大的平台。拓扑激子极化激光器引起了人们极大的兴趣，但通常需要强磁场来实现传播拓扑边缘态。在这里，我们通过使用人工规范场，利用极化子的圆偏振作为人工维度，实验性地实现了微米级微柱链中的拓扑霍尔效应。椭圆形微柱的仔细旋转排列会引起严格依赖于极化的边缘态传播，证明极化子赝自旋的非互易传输。我们的结果表明，拓扑界面态的维数限制以及耦合拓扑激光阵列中强外部磁场的要求是可以克服的。我们的结果为实现拓扑极化子晶格和具有附加人工维度的相关光学活性器件开辟了新的途径。</w:t>
      </w:r>
    </w:p>
    <w:p>
      <w:pPr>
        <w:spacing w:before="120"/>
      </w:pPr>
      <w:r>
        <w:rPr>
          <w:rFonts w:ascii="Times New Roman" w:hAnsi="Times New Roman" w:eastAsia="宋体"/>
          <w:b/>
          <w:sz w:val="21"/>
        </w:rPr>
        <w:t>English Abstract:</w:t>
      </w:r>
    </w:p>
    <w:p>
      <w:r>
        <w:rPr>
          <w:rFonts w:ascii="Times New Roman" w:hAnsi="Times New Roman" w:eastAsia="宋体"/>
          <w:sz w:val="21"/>
        </w:rPr>
        <w:t>Abstract Artificial gauge fields allow uncharged particles such as photons to mimic the behaviour of charged particles subjected to magnetic fields, providing a powerful platform to alter the effective dynamics and exploring topological physics. Topological exciton-polariton lasers have attracted considerable interest, but often require strong magnetic fields to realise propagating topological edge states. Here we experimentally realise the topological Hall effect in a micron-scale micropillar chain by using an artificial gauge field, exploiting the circular polarisation of polaritons as an artificial dimension. Careful rotational alignment of elliptical micropillars induces strictly polarisation-dependent edge-state propagation, demonstrating non-reciprocal transport of the polariton pseudospins. Our results demonstrate that the dimensionality limitation of topological interface states as well as requirements for strong external magnetic fields in coupled topological laser arrays can be overcome. Our results open new ways towards the implementation of topological polariton lattices and related optically active devices with additional artificial dimension.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 型糖尿病进展各个阶段的人类胰腺的综合组织病理学</w:t>
      </w:r>
    </w:p>
    <w:p>
      <w:r>
        <w:rPr>
          <w:rFonts w:ascii="Times New Roman" w:hAnsi="Times New Roman" w:eastAsia="宋体"/>
          <w:b/>
          <w:color w:val="003264"/>
          <w:sz w:val="24"/>
        </w:rPr>
        <w:t>Integrated histopathology of the human pancreas throughout stages of type 1 diabetes progression</w:t>
      </w:r>
    </w:p>
    <w:p>
      <w:r>
        <w:rPr>
          <w:rFonts w:ascii="Times New Roman" w:hAnsi="Times New Roman" w:eastAsia="宋体"/>
          <w:sz w:val="21"/>
        </w:rPr>
        <w:t>作者: Verena van der Heide, Sara McArdle, Michael S. Nelson, Karen Cerosaletti, Sacha Gnjatic, Zbigniew Mikulski, Amanda L. Posgai, Irina Kusmartseva, Mark A. Atkinson, Dirk Homann</w:t>
        <w:br/>
      </w:r>
      <w:r>
        <w:rPr>
          <w:rFonts w:ascii="Times New Roman" w:hAnsi="Times New Roman" w:eastAsia="宋体"/>
          <w:sz w:val="21"/>
        </w:rPr>
        <w:t xml:space="preserve">时间: 2026-02-11 | </w:t>
      </w:r>
      <w:r>
        <w:t xml:space="preserve">链接: </w:t>
      </w:r>
      <w:hyperlink r:id="rId85">
        <w:r>
          <w:rPr>
            <w:rFonts w:ascii="Times New Roman" w:hAnsi="Times New Roman" w:eastAsia="宋体"/>
            <w:color w:val="0000FF"/>
            <w:sz w:val="21"/>
            <w:u w:val="single"/>
          </w:rPr>
          <w:t>https://doi.org/10.1038/s41467-026-68610-1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1 型糖尿病 (T1D) 是一种进行性自身免疫性疾病，最终导致产生胰岛素的 β 细胞丧失。胰腺组织病理学为疾病的发生/进展提供了重要的见解，但缺乏对原位致病过程的综合视角。在这里，我们结合了多重免疫染色、高倍率全玻片成像、数字病理学和半自动图像分析来检查 T1D 阶段的胰尾和头部切片，包括高危病例和发病病例。对约 25,000 个胰岛的结构特征、内分泌细胞组成、免疫细胞负荷和空间关系进行解卷积，有效地将先前在健康和 T1D 中建立的和其他胰腺标志置于背景中。我们的结果揭示了内分泌胰腺的空间同质性和胰岛大小相关的结构组织、器官范围致病过程的显着协调以及多种组织病理学相关性，这些都预示着临床前阶段已经存在的独特的 T1D 组织病理学。总之，我们提出了修订后的 T1D 自然史，对进一步的组织病理学研究和发病机制的考虑具有重要意义。</w:t>
      </w:r>
    </w:p>
    <w:p>
      <w:pPr>
        <w:spacing w:before="120"/>
      </w:pPr>
      <w:r>
        <w:rPr>
          <w:rFonts w:ascii="Times New Roman" w:hAnsi="Times New Roman" w:eastAsia="宋体"/>
          <w:b/>
          <w:sz w:val="21"/>
        </w:rPr>
        <w:t>English Abstract:</w:t>
      </w:r>
    </w:p>
    <w:p>
      <w:r>
        <w:rPr>
          <w:rFonts w:ascii="Times New Roman" w:hAnsi="Times New Roman" w:eastAsia="宋体"/>
          <w:sz w:val="21"/>
        </w:rPr>
        <w:t>Abstract Type 1 diabetes (T1D) is a progressive autoimmune condition that culminates in loss of insulin-producing beta cells. Pancreatic histopathology provides essential insights into disease initiation/progression yet an integrated perspective onto in situ pathogenic processes is lacking. Here, we combined multiplexed immunostaining, high-magnification whole-slide imaging, digital pathology, and semi-automated image analyses to interrogate pancreatic tail and head sections across T1D stages, including at-risk and at-onset cases. Deconvolution of architectural features, endocrine cell composition, immune cell burden, and spatial relations of ~25,000 islets effectively contextualizes previously established and additional pancreatic hallmarks in health and T1D. Our results reveal a spatially homogenous and islet size-contingent architectural organization of the endocrine pancreas, a notable coordination of organ-wide pathogenic processes, and multiple histopathological correlates that foreshadow distinctive T1D histopathology already at the preclinical stage. Altogether, we propose a revised natural history of T1D with implications for further histopathological investigations and considerations of pathogenetic modalities.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烟曲霉非编码转录物的全基因组发现和表型分析揭示了 lncRNA 在抗真菌药物敏感性中的作用</w:t>
      </w:r>
    </w:p>
    <w:p>
      <w:r>
        <w:rPr>
          <w:rFonts w:ascii="Times New Roman" w:hAnsi="Times New Roman" w:eastAsia="宋体"/>
          <w:b/>
          <w:color w:val="003264"/>
          <w:sz w:val="24"/>
        </w:rPr>
        <w:t>Genome-wide discovery and phenotyping of non-coding transcripts in A. fumigatus reveals lncRNAs with a role in antifungal drug sensitivity</w:t>
      </w:r>
    </w:p>
    <w:p>
      <w:r>
        <w:rPr>
          <w:rFonts w:ascii="Times New Roman" w:hAnsi="Times New Roman" w:eastAsia="宋体"/>
          <w:sz w:val="21"/>
        </w:rPr>
        <w:t>作者: Danielle Weaver, Tanda Qi, Harry Chown, Marcin Fraczek, Ressa Lebedinec, Lauren Dineen, Clara Valero, Norman van Rhijn, Takanori Furukawa, Michael Bromley, Daniela Delneri, Paul Bowyer</w:t>
        <w:br/>
      </w:r>
      <w:r>
        <w:rPr>
          <w:rFonts w:ascii="Times New Roman" w:hAnsi="Times New Roman" w:eastAsia="宋体"/>
          <w:sz w:val="21"/>
        </w:rPr>
        <w:t xml:space="preserve">时间: 2026-02-11 | </w:t>
      </w:r>
      <w:r>
        <w:t xml:space="preserve">链接: </w:t>
      </w:r>
      <w:hyperlink r:id="rId152">
        <w:r>
          <w:rPr>
            <w:rFonts w:ascii="Times New Roman" w:hAnsi="Times New Roman" w:eastAsia="宋体"/>
            <w:color w:val="0000FF"/>
            <w:sz w:val="21"/>
            <w:u w:val="single"/>
          </w:rPr>
          <w:t>https://doi.org/10.1038/s41467-026-68543-9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摘要：最近的数据表明，一种真菌烟曲霉每年造成的死亡人数比艾滋病毒或疟疾造成的死亡人数总和还要多。加上抗​​真菌药物耐药性的迅速出现、有效治疗的范围有限以及&gt; 50%的死亡率，曲霉病是传染病领域的一个重大挑战。最近的研究发现，长链非编码 RNA (lncRNA) 与念珠菌等病原酵母菌的耐药性和毒力有关。然而，对包括烟曲霉在内的人类致病霉菌中的 lncRNA 的了解非常有限。在这里，我们利用暴露于不同环境的烟曲霉的转录组学数据来注释映射到 2388 个基因组位点的转录本。经过手动管理后，我们生成了包含 1000 多个 lncRNA 的数据库。我们观察到，lncRNA 在药物治疗后显示出精心设计的转录谱，其中许多接近于涉及唑类敏感性的基因。我们敲除一组基因间lncRNA并进行大规模表型分析，以确定60个lncRNA突变体表现出条件依赖性适应性变化，其中35个突变体在唑胁迫下表现出正生长表型。总体而言，这项研究产生并通过实验验证了一个重要资源，使更广泛的研究界能够加深对烟曲霉中 lncRNA 功能重要性的理解，包括它们与药物敏感性的关系。</w:t>
      </w:r>
    </w:p>
    <w:p>
      <w:pPr>
        <w:spacing w:before="120"/>
      </w:pPr>
      <w:r>
        <w:rPr>
          <w:rFonts w:ascii="Times New Roman" w:hAnsi="Times New Roman" w:eastAsia="宋体"/>
          <w:b/>
          <w:sz w:val="21"/>
        </w:rPr>
        <w:t>English Abstract:</w:t>
      </w:r>
    </w:p>
    <w:p>
      <w:r>
        <w:rPr>
          <w:rFonts w:ascii="Times New Roman" w:hAnsi="Times New Roman" w:eastAsia="宋体"/>
          <w:sz w:val="21"/>
        </w:rPr>
        <w:t>Abstract Recent data suggests one fungus, Aspergillus fumigatus , causes more deaths annually than HIV or malaria combined. Coupled with rapid emergence of antifungal drug resistance, the limited range of effective treatments, and mortality rates of &gt;50%, aspergillosis represents a major challenge in infectious diseases. Recent studies have identified long-noncoding RNAs (lncRNAs) involved in drug resistance and virulence in pathogenic yeasts such as Candida spp. However, there is very limited knowledge of lncRNAs in human pathogenic moulds, including A. fumigatus . Here we exploit transcriptomics data of A. fumigatus exposed to different environments to annotate transcripts mapping to 2388 genomic loci. After manual curation we generate a database of over 1000 lncRNAs. We observe that the lncRNAs display orchestrated transcriptional profiles upon drug treatment and many are proximal to genes involved in azole sensitivity. We knock out a set of intergenic lncRNAs and perform a large-scale phenotypic analysis to identify 60 lncRNA mutants displaying condition-dependent fitness changes with 35 mutants exhibiting a positive growth phenotype under azole stress. Overall, this study generates and experimentally validates an important resource that will enable the wider research community to increase understanding of the functional importance of lncRNAs in A. fumigatus , including their involvement in drug sensitivity.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00:29 ---</w:t>
      </w:r>
    </w:p>
    <w:p>
      <w:pPr>
        <w:pStyle w:val="Heading2"/>
      </w:pPr>
      <w:r/>
      <w:r>
        <w:rPr>
          <w:rFonts w:ascii="Times New Roman" w:hAnsi="Times New Roman" w:eastAsia="宋体"/>
          <w:b/>
          <w:color w:val="000000"/>
          <w:sz w:val="24"/>
        </w:rPr>
        <w:t>软体动物、双壳纲）空洞的生态作用</w:t>
      </w:r>
    </w:p>
    <w:p>
      <w:r>
        <w:rPr>
          <w:rFonts w:ascii="Times New Roman" w:hAnsi="Times New Roman" w:eastAsia="宋体"/>
          <w:b/>
          <w:color w:val="003264"/>
          <w:sz w:val="24"/>
        </w:rPr>
        <w:t>The ecological role of Pholas dactylus (Mollusca, Bivalvia) empty burrows</w:t>
      </w:r>
    </w:p>
    <w:p>
      <w:r>
        <w:rPr>
          <w:rFonts w:ascii="Times New Roman" w:hAnsi="Times New Roman" w:eastAsia="宋体"/>
          <w:sz w:val="21"/>
        </w:rPr>
        <w:t>作者: Teo Marrocco, Martina Coppari, Carlo Cerrano, Chiara Gregorin, Torcuato Pulido Mantas, Camilla Roveta, Stefania Puce, Barbara Calcinai</w:t>
        <w:br/>
      </w:r>
      <w:r>
        <w:rPr>
          <w:rFonts w:ascii="Times New Roman" w:hAnsi="Times New Roman" w:eastAsia="宋体"/>
          <w:sz w:val="21"/>
        </w:rPr>
        <w:t xml:space="preserve">时间: 2026-02-11 | </w:t>
      </w:r>
      <w:r>
        <w:t xml:space="preserve">链接: </w:t>
      </w:r>
      <w:hyperlink r:id="rId17">
        <w:r>
          <w:rPr>
            <w:rFonts w:ascii="Times New Roman" w:hAnsi="Times New Roman" w:eastAsia="宋体"/>
            <w:color w:val="0000FF"/>
            <w:sz w:val="21"/>
            <w:u w:val="single"/>
          </w:rPr>
          <w:t>https://doi.org/10.1038/s41598-026-38212-4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生物节律的研究已在陆地和海洋系统中得到广泛探索。延时摄影可以记录物种行为，避免观察者干扰，并记录丰度和相互作用。目前的工作旨在评估钻岩双壳类 Pholas dactylus Linnaeus（1758 年）作为 Conero Riviera 栖息地形成者的作用，记录与常见的 piddock 及其洞穴相关的物种的行为。使用扫描法方法记录了 6 天记录中的两种行为：洞穴互动 (BI) 和无互动 (NI)。共鉴定出属于 5 个门的 34 个类群，每个类群代表一纲：腹足纲、多毛纲、软甲纲、海胆总纲和硬骨纲。 BI数据主要与站在洞穴顶部、进入或离开洞穴或挖掘以保持洞穴清洁有关，腹足纲、软甲纲和硬骨纲表现出不同的活动模式。视频监控的使用可以分析整个昼夜循环中的物种活动，突显了指雉创造的洞穴的生态价值及其作为生态系统工程师的作用。这也为与神秘栖息地相关的底栖生物的行为动力学提供了新的见解。</w:t>
      </w:r>
    </w:p>
    <w:p>
      <w:pPr>
        <w:spacing w:before="120"/>
      </w:pPr>
      <w:r>
        <w:rPr>
          <w:rFonts w:ascii="Times New Roman" w:hAnsi="Times New Roman" w:eastAsia="宋体"/>
          <w:b/>
          <w:sz w:val="21"/>
        </w:rPr>
        <w:t>English Abstract:</w:t>
      </w:r>
    </w:p>
    <w:p>
      <w:r>
        <w:rPr>
          <w:rFonts w:ascii="Times New Roman" w:hAnsi="Times New Roman" w:eastAsia="宋体"/>
          <w:sz w:val="21"/>
        </w:rPr>
        <w:t>The study of biological rhythms has been widely explored in terrestrial and marine systems. Time-lapse photography can document species behaviour, avoiding observer disturbance, and record abundance and interactions. The present work aims to assess the role of the rock-boring bivalve Pholas dactylus Linnaeus, 1758 as a habitat former in the Conero Riviera, documenting the behaviour of the species associated with the common piddock and its burrows. The scan method approach was used to record two behaviours along 6 days of recording: Burrow Interaction (BI) and No Interaction (NI). A total of 34 taxa belonging to 5 phyla were identified, each one represented by one class: Gastropoda, Polychaeta, Malacostraca, Echinoidea and Teleostei. BI data were mainly related to standing on top of burrows, entering or leaving the burrows, or digging to keep it clean, with Gastropoda, Malacostraca and Teleostei displaying distinct activity patterns. The use of video monitoring enabled the analysis of species activity across diel cycles, highlighting the ecological value of the burrows created by P. dactylus and its role as an ecosystem engineer. This also provided new insights into the behavioural dynamics of benthic organisms associated with cryptic habitats.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高斯-哈尔变换融合增强 DEIM 用于石榴成熟度检测</w:t>
      </w:r>
    </w:p>
    <w:p>
      <w:r>
        <w:rPr>
          <w:rFonts w:ascii="Times New Roman" w:hAnsi="Times New Roman" w:eastAsia="宋体"/>
          <w:b/>
          <w:color w:val="003264"/>
          <w:sz w:val="24"/>
        </w:rPr>
        <w:t>Gaussian-Haar transform fusion enhances DEIM for pomegranate maturity detection</w:t>
      </w:r>
    </w:p>
    <w:p>
      <w:r>
        <w:rPr>
          <w:rFonts w:ascii="Times New Roman" w:hAnsi="Times New Roman" w:eastAsia="宋体"/>
          <w:sz w:val="21"/>
        </w:rPr>
        <w:t>作者: Yuying Wang, Songzuo Liu, Pingping Hao, Wenxiu Liu, Keke Zhao</w:t>
        <w:br/>
      </w:r>
      <w:r>
        <w:rPr>
          <w:rFonts w:ascii="Times New Roman" w:hAnsi="Times New Roman" w:eastAsia="宋体"/>
          <w:sz w:val="21"/>
        </w:rPr>
        <w:t xml:space="preserve">时间: 2026-02-11 | </w:t>
      </w:r>
      <w:r>
        <w:t xml:space="preserve">链接: </w:t>
      </w:r>
      <w:hyperlink r:id="rId18">
        <w:r>
          <w:rPr>
            <w:rFonts w:ascii="Times New Roman" w:hAnsi="Times New Roman" w:eastAsia="宋体"/>
            <w:color w:val="0000FF"/>
            <w:sz w:val="21"/>
            <w:u w:val="single"/>
          </w:rPr>
          <w:t>https://doi.org/10.1038/s41598-026-39620-2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石榴成熟度自动化检测，有利于提高产量、降低成本；然而，现有方法在复杂的自然环境中面临重大挑战，包括难以区分绿色石榴和绿色树叶背景以及检测精度和计算效率之间的权衡。针对这些问题，本文提出了一种轻量级石榴成熟度检测算法GLMF-DEIM。该方法建立在DEIM检测框架之上，并结合高斯-哈尔离散小波变换模块（GHDWStem）实现频域特征分离，有效解决目标背景相似性问题。该方法设计了轻量级自适应权重下采样模块（LAWD）和轻量级频域动态卷积阶段（LFDStages）以实现高效的特征提取。此外，还构建了多级特征融合网络（MFFN）来增强多尺度检测能力，同时采用密集O2O匹配策略和Matchability-Aware Loss来优化训练过程。对自行构建的数据集进行了广泛的验证，该数据集包含 5,855 张图像，涵盖石榴的五个不同生长阶段。所提出的 GLMF-DEIM 模型实现了 50% 交集（IoU）平均精度（AP50）为 93.1%，AP75 为 84.5%，小目标 AP（APS）为 32.7%。与最佳基线方法相比，这些结果分别相对提高了 1.9%、2.3% 和 1.3%。在计算效率方面，GLMF-DEIM在816M参数下的计算成本仅为16.9GFLOPs，实现了检测精度和推理效率之间的有效权衡，非常适合智慧农业的边缘部署场景。</w:t>
      </w:r>
    </w:p>
    <w:p>
      <w:pPr>
        <w:spacing w:before="120"/>
      </w:pPr>
      <w:r>
        <w:rPr>
          <w:rFonts w:ascii="Times New Roman" w:hAnsi="Times New Roman" w:eastAsia="宋体"/>
          <w:b/>
          <w:sz w:val="21"/>
        </w:rPr>
        <w:t>English Abstract:</w:t>
      </w:r>
    </w:p>
    <w:p>
      <w:r>
        <w:rPr>
          <w:rFonts w:ascii="Times New Roman" w:hAnsi="Times New Roman" w:eastAsia="宋体"/>
          <w:sz w:val="21"/>
        </w:rPr>
        <w:t>Automated pomegranate maturity detection facilitates yield enhancement and cost reduction; however, existing methods face significant challenges in complex natural environments, including difficulty in distinguishing green pomegranates from green foliage backgrounds and the trade-off between detection accuracy and computational efficiency. To address these issues, this paper proposes GLMF-DEIM, a lightweight pomegranate maturity detection algorithm. The proposed method is built upon the DEIM detection framework and incorporates a Gaussian-Haar Discrete Wavelet Transform module (GHDWStem) to achieve frequency-domain feature separation, effectively resolving the target-background similarity problem. The approach de-signs a Lightweight Adaptive Weight Downsampling module (LAWD) and Lightweight Frequency-Domain Dynamic Convolution Stages (LFDStages) to enable efficient feature extraction. Additionally, a Multi-level Feature Fusion Network (MFFN) is constructed to enhance multi-scale detection capabilities, while Dense O2O matching strategy and Matchability-Aware Loss are employed to optimize the training process. Extensive validation was conducted on a self-constructed datasets comprising 5,855 images that span five distinct growth stages of pomegranates. The proposed GLMF-DEIM model attains a 50% intersection-over-union (IoU) average precision (AP50) of 93.1%, an AP75 of 84.5%, and a small-object AP (APS) of 32.7%. These results correspond to relative improvements of 1.9%, 2.3%, and 1.3%, respectively, over the performance of the optimal baseline method. In terms of computational efficiency, GLMF-DEIM incurs only 16.9 GFLOPs of computational cost with 8.16 M parameters, achieving an effective trade-off between detection accuracy and inference efficiency that is well-suited for edge deployment scenarios in smart agriculture.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原子力显微镜在异型癌症球体表征及其与微塑料颗粒相互作用中的作用</w:t>
      </w:r>
    </w:p>
    <w:p>
      <w:r>
        <w:rPr>
          <w:rFonts w:ascii="Times New Roman" w:hAnsi="Times New Roman" w:eastAsia="宋体"/>
          <w:b/>
          <w:color w:val="003264"/>
          <w:sz w:val="24"/>
        </w:rPr>
        <w:t>Role of atomic force microscopy in characterization of heterotypic cancer spheroids and their interaction with microplastic particles</w:t>
      </w:r>
    </w:p>
    <w:p>
      <w:r>
        <w:rPr>
          <w:rFonts w:ascii="Times New Roman" w:hAnsi="Times New Roman" w:eastAsia="宋体"/>
          <w:sz w:val="21"/>
        </w:rPr>
        <w:t>作者: Tatjana Kolesnik, Kristin Öhlinger, Markus Absenger-Novak, Claudia Meindl, Eleonore Fröhlich</w:t>
        <w:br/>
      </w:r>
      <w:r>
        <w:rPr>
          <w:rFonts w:ascii="Times New Roman" w:hAnsi="Times New Roman" w:eastAsia="宋体"/>
          <w:sz w:val="21"/>
        </w:rPr>
        <w:t xml:space="preserve">时间: 2026-02-11 | </w:t>
      </w:r>
      <w:r>
        <w:t xml:space="preserve">链接: </w:t>
      </w:r>
      <w:hyperlink r:id="rId19">
        <w:r>
          <w:rPr>
            <w:rFonts w:ascii="Times New Roman" w:hAnsi="Times New Roman" w:eastAsia="宋体"/>
            <w:color w:val="0000FF"/>
            <w:sz w:val="21"/>
            <w:u w:val="single"/>
          </w:rPr>
          <w:t>https://doi.org/10.1038/s41598-026-39445-z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尽管球体的尺寸和形状是常规测量的，但通常缺乏有关其机械性能的信息。本研究旨在评估原子力显微镜在表征异型癌症球体及其与微塑料颗粒的相互作用中的作用。我们检查了由成纤维细胞、THP-1 衍生的巨噬细胞和六种不同的肺癌细胞系组成的球体。评估球体的活力、增殖、表面形态、区域细胞分布和杨氏模量 (YM)。最后，在静态和动态暴露条件下研究了球体和微塑料颗粒之间的相互作用。球体之间的形态和细胞分离不同，我们观察到 YM 存在显着差异。我们发现球体 YM 与肺癌细胞倍增时间之间、在存在和不存在微塑料颗粒的情况下测量的 YM 之间以及在有和没有 THP-1 巨噬细胞的球体大小之间存在相关性。动态条件下微塑料颗粒的吸收量较低，与 YM 没有明显的关系。 YM 的测定被证明是表征癌症球体的有用的附加参数；然而，需要更多定量方法来测量颗粒吸收，以确定 YM 在颗粒与球体相互作用中的作用。</w:t>
      </w:r>
    </w:p>
    <w:p>
      <w:pPr>
        <w:spacing w:before="120"/>
      </w:pPr>
      <w:r>
        <w:rPr>
          <w:rFonts w:ascii="Times New Roman" w:hAnsi="Times New Roman" w:eastAsia="宋体"/>
          <w:b/>
          <w:sz w:val="21"/>
        </w:rPr>
        <w:t>English Abstract:</w:t>
      </w:r>
    </w:p>
    <w:p>
      <w:r>
        <w:rPr>
          <w:rFonts w:ascii="Times New Roman" w:hAnsi="Times New Roman" w:eastAsia="宋体"/>
          <w:sz w:val="21"/>
        </w:rPr>
        <w:t>Whereas the size and shape of spheroids are routinely measured, information about their mechanical properties is often lacking. This study aimed to evaluate the role of atomic force microscopy in characterizing heterotypic cancer spheroids and their interaction with microplastic particles. We examined spheroids composed of fibroblasts, THP-1-derived macrophages, and six different lung cancer cell lines. Spheroids were assessed for viability, proliferation, surface morphology, regional cell distribution, and Young’s modulus (YM). Finally, interactions between spheroids and microplastic particles were investigated under static and dynamic exposure conditions. Morphology and cell segregation differed among spheroids, and we observed significant differences in YM. We found correlations between spheroid YM and lung cancer cell doubling times, between YM measured in the presence and absence of microplastic particles, and between spheroid sizes with and without THP-1 macrophages. Uptake of microplastic particles under dynamic conditions was low, and no clear relationship with YM was apparent. Determination of YM proved to be a useful additional parameter for characterizing cancer spheroids; however, more quantitative methods for measuring particle uptake are needed to define the role of YM in particle–spheroid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斑马鱼心力衰竭模型中心脏细胞外腺苷动力学的体内可视化及其药理调节</w:t>
      </w:r>
    </w:p>
    <w:p>
      <w:r>
        <w:rPr>
          <w:rFonts w:ascii="Times New Roman" w:hAnsi="Times New Roman" w:eastAsia="宋体"/>
          <w:b/>
          <w:color w:val="003264"/>
          <w:sz w:val="24"/>
        </w:rPr>
        <w:t>In vivo visualization of cardiac extracellular adenosine dynamics and its pharmacological modulation in zebrafish heart failure models</w:t>
      </w:r>
    </w:p>
    <w:p>
      <w:r>
        <w:rPr>
          <w:rFonts w:ascii="Times New Roman" w:hAnsi="Times New Roman" w:eastAsia="宋体"/>
          <w:sz w:val="21"/>
        </w:rPr>
        <w:t>作者: Phurpa Phurpa, Magdeline E. Carrasco Apolinario, Ryohei Umeda, Shinichiro Kume, Hitoshi Teranishi, Nobuyuki Shimizu, Mengting Shan, Kenshiro Shikano, Tatsuki Kurokawa, Takatoshi Hikida, Toshikatsu Hanada, Yulong Li, Reiko Hanada</w:t>
        <w:br/>
      </w:r>
      <w:r>
        <w:rPr>
          <w:rFonts w:ascii="Times New Roman" w:hAnsi="Times New Roman" w:eastAsia="宋体"/>
          <w:sz w:val="21"/>
        </w:rPr>
        <w:t xml:space="preserve">时间: 2026-02-11 | </w:t>
      </w:r>
      <w:r>
        <w:t xml:space="preserve">链接: </w:t>
      </w:r>
      <w:hyperlink r:id="rId20">
        <w:r>
          <w:rPr>
            <w:rFonts w:ascii="Times New Roman" w:hAnsi="Times New Roman" w:eastAsia="宋体"/>
            <w:color w:val="0000FF"/>
            <w:sz w:val="21"/>
            <w:u w:val="single"/>
          </w:rPr>
          <w:t>https://doi.org/10.1038/s41598-025-30303-y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尽管进行了广泛的研究和成熟的治疗方法，心力衰竭（HF）仍然是一个主要的临床挑战，预后不良。细胞外 ATP 和腺苷 (Ado) 作为损伤相关分子模式 (DAMP)，通过促炎作用促进心力衰竭的发病机制。然而，衰竭心脏中 ATP/Ado 动力学的体内证据仍然难以捉摸。在这项研究中，我们使用基因编码的心脏特异性细胞外 Ado 传感器 (GRABAdo) 研究了斑马鱼 HF 模型中细胞外 Ado 的时空动态。特非那定诱导的 HF 斑马鱼显示细胞外心脏 Ado 增加，间接反映细胞外 ATP 释放增加。这些发现表明细胞外 ATP/Ado 动力学与心力衰竭进展之间存在很强的相关性。此外，对囊泡核苷酸转运蛋白 (VNUT)（ATP 囊泡胞吐作用的关键调节因子）进行药理学抑制，可降低细胞外 ATP/Ado 水平，并改善心力衰竭模型中的心脏功能障碍。 VNUT 抑制剂和嘌呤能调节剂联合治疗显示出附加的治疗效果。因此，本研究旨在提供将细胞外 ATP/Ado 信号传导与心力衰竭病理生理学联系起来的体内证据，并强调 VNUT 作为心力衰竭的新治疗靶点。鉴于心力衰竭的多因素性质以及当前抗炎策略的成功有限，通过 VNUT 抑制来靶向嘌呤能信号为管理心力衰竭炎症机制提供了一种有前景的方法。</w:t>
      </w:r>
    </w:p>
    <w:p>
      <w:pPr>
        <w:spacing w:before="120"/>
      </w:pPr>
      <w:r>
        <w:rPr>
          <w:rFonts w:ascii="Times New Roman" w:hAnsi="Times New Roman" w:eastAsia="宋体"/>
          <w:b/>
          <w:sz w:val="21"/>
        </w:rPr>
        <w:t>English Abstract:</w:t>
      </w:r>
    </w:p>
    <w:p>
      <w:r>
        <w:rPr>
          <w:rFonts w:ascii="Times New Roman" w:hAnsi="Times New Roman" w:eastAsia="宋体"/>
          <w:sz w:val="21"/>
        </w:rPr>
        <w:t>Heart failure (HF) remains a major clinical challenge with poor prognosis despite extensive research and established treatments. Extracellular ATP and adenosine (Ado), as damage-associated molecular patterns (DAMPs), contribute to HF pathogenesis through pro-inflammatory effects. However, in vivo evidence of ATP/Ado dynamics in failing hearts remains elusive. In this study, we investigated the spatiotemporal dynamics of extracellular Ado in a zebrafish HF model using a genetically encoded heart-specific extracellular Ado sensor (GRABAdo). Terfenadine-induced HF zebrafish showed increased extracellular cardiac Ado, indirectly reflecting elevated extracellular ATP release. These findings demonstrate a strong correlation between extracellular ATP/Ado dynamics and HF progression. Furthermore, pharmacological inhibition of vesicular nucleotide transporter (VNUT), a key regulator of ATP vesicle exocytosis, reduced extracellular ATP/Ado levels and ameliorated cardiac dysfunction in the HF model. Co-treatment with a VNUT inhibitor and purinergic modulators showed additive therapeutic effects. Thus, this study aimed to provide in vivo evidence linking extracellular ATP/Ado signaling to HF pathophysiology and highlight VNUT as a novel therapeutic target for HF. Given the multifactorial nature of HF and the limited success of current anti-inflammatory strategies, targeting purinergic signaling through VNUT inhibition offers a promising approach for managing inflammatory mechanisms in HF.</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镧系元素-卡马西平配合物：合成、光谱表征、DFT 见解、分子对接和生物学评估</w:t>
      </w:r>
    </w:p>
    <w:p>
      <w:r>
        <w:rPr>
          <w:rFonts w:ascii="Times New Roman" w:hAnsi="Times New Roman" w:eastAsia="宋体"/>
          <w:b/>
          <w:color w:val="003264"/>
          <w:sz w:val="24"/>
        </w:rPr>
        <w:t>Lanthanide–carbamazepine complexes: synthesis, spectroscopic characterization, DFT Insights, molecular docking, and biological evaluation</w:t>
      </w:r>
    </w:p>
    <w:p>
      <w:r>
        <w:rPr>
          <w:rFonts w:ascii="Times New Roman" w:hAnsi="Times New Roman" w:eastAsia="宋体"/>
          <w:sz w:val="21"/>
        </w:rPr>
        <w:t>作者: Nora S. Mohamed, Mahmoud M. A. Mohamed, Mohamed R. Shehata, Ehab M. Abdalla</w:t>
        <w:br/>
      </w:r>
      <w:r>
        <w:rPr>
          <w:rFonts w:ascii="Times New Roman" w:hAnsi="Times New Roman" w:eastAsia="宋体"/>
          <w:sz w:val="21"/>
        </w:rPr>
        <w:t xml:space="preserve">时间: 2026-02-11 | </w:t>
      </w:r>
      <w:r>
        <w:t xml:space="preserve">链接: </w:t>
      </w:r>
      <w:hyperlink r:id="rId21">
        <w:r>
          <w:rPr>
            <w:rFonts w:ascii="Times New Roman" w:hAnsi="Times New Roman" w:eastAsia="宋体"/>
            <w:color w:val="0000FF"/>
            <w:sz w:val="21"/>
            <w:u w:val="single"/>
          </w:rPr>
          <w:t>https://doi.org/10.1038/s41598-026-35893-9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这项工作重点是合成四种新型稀土配合物：La (III)、Ce (III)、Nd (III) 和 Dy (III) 与卡马西平 (CBZ)。通过各种分析和光谱技术完成了合成配合物的几何结构和键合模式，数据表明新型配合物具有1:2（Ln 3+ :CBZ）电解质，通式为[Ln(CBZ) 2 (H 2 O)Cl]Cl 2 .H 2 O，Ln的分子量为：753.83、791.07、777.19和777.43。分别有3+复合物。光谱研究表明CBZ作为双齿配体通过其酰胺基团中的氮和氧原子相互作用，并通过密度函数理论证实了其几何八面体结构。另一方面，PXRD数据表明配体及其配合物具有结晶性质。除了对癌细胞系（Hep-G2 和 MCF-7）的细胞毒性效率外，还测试了其对各种革兰氏阳性和阴性细菌的抗菌活性和抗真菌功效，以评估其作为化疗药物的潜力，其中 Ln 3+ 复合物对 Hep-G2 和 Hep-G2 的 IC 50 在 (0.095–0.242) 和 (0.110–0.298) µM 范围内。 MCF-7 癌细胞系和 La(III) 分别表现出高度的活性，同样，在抗菌剂的情况下，它表现出最高的活性。利用 MOA2022 软件进行分子对接研究，评估了这些复合物与肝肿瘤 (PDB ID: 5A19) 和人乳腺癌 MCF-7 (PDB ID: 4zvm) 中枯草芽孢杆菌受体 (PDB ID: 6A4M) 和蛋氨酸腺苷转移酶活性位点结合的能力。根据以下规律，随着结合能的降低，结合强度增加： CBZ˂[Dy(CBZ ) 2 (H 2 O)Cl] 2+ ˂[Ce(CBZ ) 2 (H 2 O)Cl] 2+ ˂ [Nd(CBZ ) 2 (H 2 O)Cl] 2+ ˂[La(CBZ ) 2 (H 2 O)Cl] 2+ ，表明La(III) 配合物显示出最高的结合亲和力和可能的生物活性。</w:t>
      </w:r>
    </w:p>
    <w:p>
      <w:pPr>
        <w:spacing w:before="120"/>
      </w:pPr>
      <w:r>
        <w:rPr>
          <w:rFonts w:ascii="Times New Roman" w:hAnsi="Times New Roman" w:eastAsia="宋体"/>
          <w:b/>
          <w:sz w:val="21"/>
        </w:rPr>
        <w:t>English Abstract:</w:t>
      </w:r>
    </w:p>
    <w:p>
      <w:r>
        <w:rPr>
          <w:rFonts w:ascii="Times New Roman" w:hAnsi="Times New Roman" w:eastAsia="宋体"/>
          <w:sz w:val="21"/>
        </w:rPr>
        <w:t>Abstract This work focuses on the synthesis of four novel lanthanide complexes: La (III), Ce (III), Nd (III), and Dy (III) with carbamazepine (CBZ). The geometric structural and bonding mode of synthesized complexes were accomplished by various analytical and spectroscopic techniques and the data reveal that the novel complexes have a 1:2 (Ln 3+ :CBZ) electrolytes with general formula [Ln(CBZ) 2 (H 2 O)Cl]Cl 2 .H 2 O and molecular weight: 753.83, 791.07, 777.19 and 777.43 for Ln 3+ complexes respectively. The spectral studies investigated that CBZ interacts as a bidentate ligand via the amide group’s nitrogen and oxygen atoms in its moiety, and the geometric octahedral structure was confirmed by density function theory. On the other hand, PXRD data provided that the ligand and its complexes have nature that is crystalline. Antimicrobial activity was tested for their effectiveness against various Gram-positive and negative bacteria and anti-fungal efficacy, in addition to the efficiency of their cytotoxicity against cancer cell lines such as (Hep-G2 and MCF-7) to assess their potential as chemotherapy agents where the IC 50 for Ln 3+ complexes in the range (0.095–0.242) and (0.110–0.298) µM against Hep-G2 and MCF-7 cancer cell lines, respectively and La(III) demonstrated a high degree of activity, similarly, in the case of antimicrobials, it showed the highest activity. The ability of these complexes to bind to the active sites of the Bacillus subtilis receptor (PDB ID: 6A4M) and methionine adenosyl-transferases in liver tumors (PDB ID: 5A19) and human breast cancer MCF-7 (PDB ID: 4zvm) was evaluated using molecular docking studies utilizing MOA2022 software. According to the following pattern, the binding strength increased as the binding energy decreased: CBZ˂[Dy(CBZ ) 2 (H 2 O)Cl] 2+ ˂[Ce(CBZ ) 2 (H 2 O)Cl] 2+ ˂ [Nd(CBZ ) 2 (H 2 O)Cl] 2+ ˂[La(CBZ ) 2 (H 2 O)Cl] 2+ , indicating that the highest binding affinity and possible biological activity were displayed by the La(III) complex.</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基于无人机的综合风险测绘揭示了植被-遮荫相互作用和住房类型是伊蚊栖息地风险的关键决定因素</w:t>
      </w:r>
    </w:p>
    <w:p>
      <w:r>
        <w:rPr>
          <w:rFonts w:ascii="Times New Roman" w:hAnsi="Times New Roman" w:eastAsia="宋体"/>
          <w:b/>
          <w:color w:val="003264"/>
          <w:sz w:val="24"/>
        </w:rPr>
        <w:t>Drone-based composite risk mapping reveals vegetation–shade interaction and housing typology as key determinants of Aedes habitat risk</w:t>
      </w:r>
    </w:p>
    <w:p>
      <w:r>
        <w:rPr>
          <w:rFonts w:ascii="Times New Roman" w:hAnsi="Times New Roman" w:eastAsia="宋体"/>
          <w:sz w:val="21"/>
        </w:rPr>
        <w:t>作者: Zulfadli Mahfodz, Agus Naba, Pradeep Isawasan, Mohd Azuraidi Osman, Nazri Che Dom</w:t>
        <w:br/>
      </w:r>
      <w:r>
        <w:rPr>
          <w:rFonts w:ascii="Times New Roman" w:hAnsi="Times New Roman" w:eastAsia="宋体"/>
          <w:sz w:val="21"/>
        </w:rPr>
        <w:t xml:space="preserve">时间: 2026-02-11 | </w:t>
      </w:r>
      <w:r>
        <w:t xml:space="preserve">链接: </w:t>
      </w:r>
      <w:hyperlink r:id="rId22">
        <w:r>
          <w:rPr>
            <w:rFonts w:ascii="Times New Roman" w:hAnsi="Times New Roman" w:eastAsia="宋体"/>
            <w:color w:val="0000FF"/>
            <w:sz w:val="21"/>
            <w:u w:val="single"/>
          </w:rPr>
          <w:t>https://doi.org/10.1038/s41598-026-39951-0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热带城市持续存在的登革热传播反映出环境小气候与支持伊蚊繁殖的城市住房结构之间复杂的相互作用。本研究应用基于无人机的微生境风险测绘与生物学定义的综合风险指数（CRI）相结合，以量化伊蚊栖息地风险在不同居住类型中的精细环境驱动因素。 24、马来西亚莎阿南。使用 DJI Phantom 4 Pro 获得的高分辨率 RGB 图像经过处理，得出作为阴影强度代理的亮度指数 (BI) 和作为植被密度指标的过量绿色指数 (ExG)。这些指数被预先整合到 CRI 中，以实施已知的有利于伊蚊的生态条件。空间分析显示出一致的风险梯度，联排住宅表现出比扁平综合体更高的综合风险指数（CRI）值（低密度联排（Teres D）&gt;密集联排（Teres B）&gt;中层（H 公寓）&gt;高层（B 公寓）），表明住房类型调节微生境风险的空间表达，而不是单独调节植被的存在。模型校准显示出高度的预测一致性（R² = 0.91），CRI 排名前 20% 的像素捕获了 65% 观察到的繁殖易发区域，表明具有很强的空间辨别性能。这些发现强调，通过外壳形态表达的植被-遮荫耦合控制着伊蚊栖息地的持久性，而基于无人机的微气候测绘为空间目标登革热控制提供了精确的监测工具。</w:t>
      </w:r>
    </w:p>
    <w:p>
      <w:pPr>
        <w:spacing w:before="120"/>
      </w:pPr>
      <w:r>
        <w:rPr>
          <w:rFonts w:ascii="Times New Roman" w:hAnsi="Times New Roman" w:eastAsia="宋体"/>
          <w:b/>
          <w:sz w:val="21"/>
        </w:rPr>
        <w:t>English Abstract:</w:t>
      </w:r>
    </w:p>
    <w:p>
      <w:r>
        <w:rPr>
          <w:rFonts w:ascii="Times New Roman" w:hAnsi="Times New Roman" w:eastAsia="宋体"/>
          <w:sz w:val="21"/>
        </w:rPr>
        <w:t>Persistent dengue transmission in tropical cities reflects a complex interplay between environmental microclimates and urban housing structure that supports Aedes mosquito breeding. This study applies drone-based microhabitat risk mapping integrated with a biologically defined Composite Risk Index (CRI) to quantify fine-scale environmental drivers of Aedes habitat risk across distinct residential typologies in Sect. 24, Shah Alam, Malaysia. High-resolution RGB imagery obtained using a DJI Phantom 4 Pro was processed to derive the Brightness Index (BI) as a proxy for shade intensity and the Excess Green Index (ExG) as an indicator of vegetation density. These indices were integrated a priori into a CRI to operationalise known ecological conditions favourable for Aedes. Spatial analysis revealed a consistent risk gradient, with terrace housing exhibiting higher Composite Risk Index (CRI) values than flat complexes (low-density terrace (Teres D) &gt; dense terrace (Teres B) &gt; medium-rise (Flat H) &gt; high-rise (Flat B)), demonstrating that housing typology modulates the spatial expression of microhabitat risk rather than vegetation presence alone. Model calibration showed high predictive agreement (R² = 0.91), with the top 20% of CRI-ranked pixels capturing 65% of observed breeding-prone zones, indicating strong spatial discriminative performance. These findings highlight that vegetation–shade coupling, expressed through housing morphology, governs Aedes habitat persistence and that drone-based microclimate mapping provides a precision surveillance tool for spatially targeted dengue control.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水库地震反应的地质控制</w:t>
      </w:r>
    </w:p>
    <w:p>
      <w:r>
        <w:rPr>
          <w:rFonts w:ascii="Times New Roman" w:hAnsi="Times New Roman" w:eastAsia="宋体"/>
          <w:b/>
          <w:color w:val="003264"/>
          <w:sz w:val="24"/>
        </w:rPr>
        <w:t>Geological controls on reservoir seismic responses</w:t>
      </w:r>
    </w:p>
    <w:p>
      <w:r>
        <w:rPr>
          <w:rFonts w:ascii="Times New Roman" w:hAnsi="Times New Roman" w:eastAsia="宋体"/>
          <w:sz w:val="21"/>
        </w:rPr>
        <w:t>作者: Mohammed Farfour, Hezam Al-Awah, Mohamed S. H. Moustafa, Mohamed A.K. El-Ghali</w:t>
        <w:br/>
      </w:r>
      <w:r>
        <w:rPr>
          <w:rFonts w:ascii="Times New Roman" w:hAnsi="Times New Roman" w:eastAsia="宋体"/>
          <w:sz w:val="21"/>
        </w:rPr>
        <w:t xml:space="preserve">时间: 2026-02-11 | </w:t>
      </w:r>
      <w:r>
        <w:t xml:space="preserve">链接: </w:t>
      </w:r>
      <w:hyperlink r:id="rId23">
        <w:r>
          <w:rPr>
            <w:rFonts w:ascii="Times New Roman" w:hAnsi="Times New Roman" w:eastAsia="宋体"/>
            <w:color w:val="0000FF"/>
            <w:sz w:val="21"/>
            <w:u w:val="single"/>
          </w:rPr>
          <w:t>https://doi.org/10.1038/s41598-026-35935-2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调查了澳大利亚近海含气砂岩储层地震响应的地质控制。目标储层属于中侏罗统鸻组，由河流三角洲环境中沉积的砂岩、泥岩和煤互层组成。这些储层在地震振幅响应方面表现出显着且人们知之甚少的变化，这是在近井之间和不同储层层段的叠加剖面上观察到的。这种不一致给岩性和流体预测带来了高度的不确定性。对合成地震道集和真实地震道集进行的振幅随偏移距变化 (AVO) 分析揭示了储层内不同的 AVO 类别（I 至 IV）。岩相证据和地震反演支持的岩石物理分析表明，这些地震表达式主要受三个关键地质因素控制：（1）岩性和厚度变化，特别是某些储层上方充当密封作用的火山和粉砂岩互层的出现，可以将振幅响应从硬转变为软； (2) 成岩蚀变，包括石英胶结作用和化学压实作用，使岩石骨架变硬并改变 AVO 行为； (3)沉积结构和颗粒接触类型，由于分区断层而横向变化。本研究建立了一个综合解释框架，其中振幅行为可作为储层质量和连通性的诊断指标。所提出的工作流程和研究结果为降低受成岩叠印和结构复杂性影响的类似河流-三角洲系统中振幅支持的碳氢化合物前景的风险提供了有价值的模拟。</w:t>
      </w:r>
    </w:p>
    <w:p>
      <w:pPr>
        <w:spacing w:before="120"/>
      </w:pPr>
      <w:r>
        <w:rPr>
          <w:rFonts w:ascii="Times New Roman" w:hAnsi="Times New Roman" w:eastAsia="宋体"/>
          <w:b/>
          <w:sz w:val="21"/>
        </w:rPr>
        <w:t>English Abstract:</w:t>
      </w:r>
    </w:p>
    <w:p>
      <w:r>
        <w:rPr>
          <w:rFonts w:ascii="Times New Roman" w:hAnsi="Times New Roman" w:eastAsia="宋体"/>
          <w:sz w:val="21"/>
        </w:rPr>
        <w:t>This study investigates the geological controls on the seismic responses of gas-saturated sandstone reservoirs in offshore Australia. The targeted reservoirs belong to the Middle Jurassic Plover Formation, which comprises interbedded sandstone, mudstone, and coal deposited in a fluvial–deltaic environment. These reservoirs display significant and poorly understood variations in seismic amplitude responses, observed on stack sections both between proximal wells and across different reservoir intervals. Such inconsistencies introduce high uncertainty in lithology and fluid prediction. Amplitude Variation with Offset (AVO) analysis conducted on both synthetic and real seismic gathers reveals distinct AVO classes (I to IV) within the reservoirs. Rock physics analysis, supported by petrographic evidence and seismic inversion, demonstrates that these seismic expressions are primarily controlled by three key geological factors: (1) Variable lithology and thickness, particularly the occurrence of volcanic and siltstone interbeds acting as seals above certain reservoirs, which can shift the amplitude response from hard to soft; (2) Diagenetic alteration, including quartz cementation and chemical compaction, which stiffen the rock framework and modify AVO behavior; and (3) Depositional texture and grain-contact types, which vary laterally due to compartmentalizing faults. This study establishes a comprehensive interpretation framework where amplitude behavior serves as a diagnostic indicator of reservoir quality and connectivity. The proposed workflow and findings provide a valuable analog for de-risking amplitude-supported hydrocarbon prospects in similar fluvial–deltaic systems affected by diagenetic overprinting and structural complexity.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KLHDC4 作为一种新型预后生物标志物，在透明细胞肾细胞癌中通过 PI3K/AKT 信号传导驱动肿瘤进展</w:t>
      </w:r>
    </w:p>
    <w:p>
      <w:r>
        <w:rPr>
          <w:rFonts w:ascii="Times New Roman" w:hAnsi="Times New Roman" w:eastAsia="宋体"/>
          <w:b/>
          <w:color w:val="003264"/>
          <w:sz w:val="24"/>
        </w:rPr>
        <w:t>KLHDC4 serves as a novel prognostic biomarker and drives tumor progression via PI3K/AKT signaling in clear cell renal cell carcinoma</w:t>
      </w:r>
    </w:p>
    <w:p>
      <w:r>
        <w:rPr>
          <w:rFonts w:ascii="Times New Roman" w:hAnsi="Times New Roman" w:eastAsia="宋体"/>
          <w:sz w:val="21"/>
        </w:rPr>
        <w:t>作者: Qingjiang Xu, Weili Chen, Senming Cao, Xiubin Li, Xiang Wu, Xin Ma</w:t>
        <w:br/>
      </w:r>
      <w:r>
        <w:rPr>
          <w:rFonts w:ascii="Times New Roman" w:hAnsi="Times New Roman" w:eastAsia="宋体"/>
          <w:sz w:val="21"/>
        </w:rPr>
        <w:t xml:space="preserve">时间: 2026-02-11 | </w:t>
      </w:r>
      <w:r>
        <w:t xml:space="preserve">链接: </w:t>
      </w:r>
      <w:hyperlink r:id="rId24">
        <w:r>
          <w:rPr>
            <w:rFonts w:ascii="Times New Roman" w:hAnsi="Times New Roman" w:eastAsia="宋体"/>
            <w:color w:val="0000FF"/>
            <w:sz w:val="21"/>
            <w:u w:val="single"/>
          </w:rPr>
          <w:t>https://doi.org/10.1038/s41598-026-39061-x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KLHDC4 在恶性肿瘤（尤其是透明细胞肾细胞癌 (ccRCC)）中的临床意义和分子机制仍知之甚少。在这项研究中，我们整合了多组学数据（包括转录组、蛋白质组和单细胞 RNA 测序），系统地评估 KLHDC4 的临床相关性和功能作用，然后进行实验验证。我们的结果表明，KLHDC4 在多种癌症类型中显着上调，并可作为 ccRCC 生存不良的独立预后生物标志物。 KLHDC4 表达与免疫细胞浸润、肿瘤突变谱和免疫检查点表达相关。此外，KLHDC4 水平预测对药物治疗的反应，包括免疫治疗和酪氨酸激酶抑制剂。功能实验表明，KLHDC4 敲低可抑制体外增殖、迁移和侵袭，以及体内肿瘤生长，而其过表达则会促进恶性表型。通过 RNA 测序和蛋白质印迹分析进行的机制研究表明 KLHDC4 激活 PI3K/AKT 信号通路。拯救试验证实，KLHDC4 驱动的致癌作用部分是通过该轴介导的。此外，分子对接还确定 ledipasvir 是一种潜在的 KLHDC4 抑制剂。总的来说，我们的研究结果将 KLHDC4 确立为一种新型预后生物标志物和治疗预测因子，强调 KLHDC4/PI3K/AKT 轴作为 ccRCC 治疗的潜在靶点。</w:t>
      </w:r>
    </w:p>
    <w:p>
      <w:pPr>
        <w:spacing w:before="120"/>
      </w:pPr>
      <w:r>
        <w:rPr>
          <w:rFonts w:ascii="Times New Roman" w:hAnsi="Times New Roman" w:eastAsia="宋体"/>
          <w:b/>
          <w:sz w:val="21"/>
        </w:rPr>
        <w:t>English Abstract:</w:t>
      </w:r>
    </w:p>
    <w:p>
      <w:r>
        <w:rPr>
          <w:rFonts w:ascii="Times New Roman" w:hAnsi="Times New Roman" w:eastAsia="宋体"/>
          <w:sz w:val="21"/>
        </w:rPr>
        <w:t>The clinical significance and molecular mechanisms of KLHDC4 in malignancies, particularly in clear cell renal cell carcinoma (ccRCC), remain poorly understood. In this study, we integrated multi-omics data—including transcriptomic, proteomic, and single-cell RNA sequencing—to systematically evaluate the clinical relevance and functional role of KLHDC4, followed by experimental validation. Our results demonstrated that KLHDC4 is significantly upregulated in multiple cancer types and serves as an independent prognostic biomarker for poor survival in ccRCC. KLHDC4 expression was correlated with immune cell infiltration, tumor mutational profiles, and immune checkpoint expression. Furthermore, KLHDC4 levels predicted response to drug therapies, including immunotherapy and tyrosine kinase inhibitors. Functional experiments showed that KLHDC4 knockdown suppressed proliferation, migration, and invasion in vitro, as well as tumor growth in vivo, whereas its overexpression promoted malignant phenotypes. Mechanistic investigations through RNA sequencing and Western blot analysis indicated that KLHDC4 activates the PI3K/AKT signaling pathway. Rescue assays confirmed that KLHDC4-driven oncogenic effects are partially mediated through this axis. Additionally, molecular docking identified ledipasvir as a potential KLHDC4 inhibitor. Collectively, our findings establish KLHDC4 as a novel prognostic biomarker and therapeutic predictor, highlighting the KLHDC4/PI3K/AKT axis as a potential target for ccRCC treatment.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不同步行条件下最小惯性测量单元配置与光学运动捕捉系统之间的 3D 踝关节运动学比较</w:t>
      </w:r>
    </w:p>
    <w:p>
      <w:r>
        <w:rPr>
          <w:rFonts w:ascii="Times New Roman" w:hAnsi="Times New Roman" w:eastAsia="宋体"/>
          <w:b/>
          <w:color w:val="003264"/>
          <w:sz w:val="24"/>
        </w:rPr>
        <w:t>Comparison of 3D ankle kinematics between minimal inertial measurement units configuration and optical motion capture system under diverse walking conditions</w:t>
      </w:r>
    </w:p>
    <w:p>
      <w:r>
        <w:rPr>
          <w:rFonts w:ascii="Times New Roman" w:hAnsi="Times New Roman" w:eastAsia="宋体"/>
          <w:sz w:val="21"/>
        </w:rPr>
        <w:t>作者: Jongsu Kim, Lingchao Xie, Sanghyun Cho</w:t>
        <w:br/>
      </w:r>
      <w:r>
        <w:rPr>
          <w:rFonts w:ascii="Times New Roman" w:hAnsi="Times New Roman" w:eastAsia="宋体"/>
          <w:sz w:val="21"/>
        </w:rPr>
        <w:t xml:space="preserve">时间: 2026-02-11 | </w:t>
      </w:r>
      <w:r>
        <w:t xml:space="preserve">链接: </w:t>
      </w:r>
      <w:hyperlink r:id="rId25">
        <w:r>
          <w:rPr>
            <w:rFonts w:ascii="Times New Roman" w:hAnsi="Times New Roman" w:eastAsia="宋体"/>
            <w:color w:val="0000FF"/>
            <w:sz w:val="21"/>
            <w:u w:val="single"/>
          </w:rPr>
          <w:t>https://doi.org/10.1038/s41598-026-39161-8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三维踝关节运动学的准确评估对于推进生物力学分析和为潜在的临床应用提供信息至关重要。虽然光学动作捕捉系统 (OMC) 被认为是黄金标准，但其高成本和有限的便携性限制了其在实验室之外的使用。惯性测量单元 (IMU) 提供了更实用的替代方案；然而，人们仍然担心它们在不同步行条件下的有效性和可靠性。本研究评估了 IMU 衍生的踝关节运动学相对于 OMC 在三种行走表面（水平地面、向内楔形和向外楔形）上的一致性和可重复性。使用最小的传感器配置分析了矢状面、额状面和横向面的踝关节运动。在矢状面和横向面上观察到中等到高度的一致性和一致的重复性，特别是在水平和向内楔形地板行走期间。相反，额平面在楔入条件下表现出有限的一致性，这可能是由于复杂的多段脚动力学和静态校准的参考系未对准。尽管存在这些限制，但不同条件下一致的重复性支持在实验室外使用 IMU 跟踪踝关节运动学。这些发现表明 IMU 作为一种在实验室外解释踝关节运动学的功能工具的初步适用性。</w:t>
      </w:r>
    </w:p>
    <w:p>
      <w:pPr>
        <w:spacing w:before="120"/>
      </w:pPr>
      <w:r>
        <w:rPr>
          <w:rFonts w:ascii="Times New Roman" w:hAnsi="Times New Roman" w:eastAsia="宋体"/>
          <w:b/>
          <w:sz w:val="21"/>
        </w:rPr>
        <w:t>English Abstract:</w:t>
      </w:r>
    </w:p>
    <w:p>
      <w:r>
        <w:rPr>
          <w:rFonts w:ascii="Times New Roman" w:hAnsi="Times New Roman" w:eastAsia="宋体"/>
          <w:sz w:val="21"/>
        </w:rPr>
        <w:t>Abstract Accurate assessment of three-dimensional ankle kinematics is essential for advancing biomechanical analyses and informing potential clinical applications. While optical motion capture systems (OMCs) are considered the gold standard, their high cost and limited portability restrict their use outside the laboratory. Inertial measurement units (IMUs) offer a more practical alternative; however, concerns remain regarding their validity and reliability in diverse walking conditions. This study evaluated the agreement and repeatability of IMU-derived ankle kinematics relative to OMCs across three walking surfaces: level ground, inward wedge, and outward wedge. Ankle movements in the sagittal, frontal, and transverse planes were analyzed using a minimal sensor configuration. Moderate to high agreement and consistent repeatability were observed in the sagittal and transverse planes, particularly during level and inward wedge floor walking. Conversely, the frontal plane demonstrated limited agreement under wedged conditions, likely because of complex multisegmental foot dynamics and reference frame misalignment from static calibration. Despite these limitations, consistent repeatability across conditions supports the use of IMUs for tracking ankle kinematics outside the laboratory. These findings suggest the preliminary applicability of IMUs as a functional tool for interpreting ankle kinematics outside the laboratory.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离体结石自动输尿管镜碎石术激光、冲洗和抽吸设置的优化研究第二部分</w:t>
      </w:r>
    </w:p>
    <w:p>
      <w:r>
        <w:rPr>
          <w:rFonts w:ascii="Times New Roman" w:hAnsi="Times New Roman" w:eastAsia="宋体"/>
          <w:b/>
          <w:color w:val="003264"/>
          <w:sz w:val="24"/>
        </w:rPr>
        <w:t>Optimization of laser, irrigation and suction settings for automated ureteroscopic lithotripsy in impacted stones ex vivo study part II</w:t>
      </w:r>
    </w:p>
    <w:p>
      <w:r>
        <w:rPr>
          <w:rFonts w:ascii="Times New Roman" w:hAnsi="Times New Roman" w:eastAsia="宋体"/>
          <w:sz w:val="21"/>
        </w:rPr>
        <w:t>作者: Hyomyoung Lee, Jose Carlo R. Elises, Dong Hyun Kang, Paul R. Villegas, Dyandra Parikesit, Ching-Heung Yen, Mohammed Almujhim, Nasser Aljameel, Fahad Alzahrani, Omar Sulaiman, Sung Yong Cho</w:t>
        <w:br/>
      </w:r>
      <w:r>
        <w:rPr>
          <w:rFonts w:ascii="Times New Roman" w:hAnsi="Times New Roman" w:eastAsia="宋体"/>
          <w:sz w:val="21"/>
        </w:rPr>
        <w:t xml:space="preserve">时间: 2026-02-11 | </w:t>
      </w:r>
      <w:r>
        <w:t xml:space="preserve">链接: </w:t>
      </w:r>
      <w:hyperlink r:id="rId26">
        <w:r>
          <w:rPr>
            <w:rFonts w:ascii="Times New Roman" w:hAnsi="Times New Roman" w:eastAsia="宋体"/>
            <w:color w:val="0000FF"/>
            <w:sz w:val="21"/>
            <w:u w:val="single"/>
          </w:rPr>
          <w:t>https://doi.org/10.1038/s41598-026-37999-6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本研究旨在通过分析输尿管内温度 (IUT) 和压力 (IUP)，优化受影响输尿管结石自动激光碎石术的激光、冲洗和抽吸设置。引入了一种新颖的激光：停止比（LS 比）来平衡激光激活和休息时间。使用离体猪肾来评估设置[铥光纤激光器 (TFL) 和钬：钇铝石榴石 (Ho: YAG)，1.0 J/10Hz、0.5 J/20Hz]、30mmHg (P30) 和 50 mmHg (P50) 的泵式冲洗、LS 比率（2s:2s、2s:4s、 2s:6s) 以及使用灵活且可导航的抽吸输尿管通路鞘 (FANS-UAS)。对于 FANS-UAS，在 200mmHg 吸力下应用激光：主动吸力：休息比为 2 秒：2 秒：2 秒。每 30 秒记录一次 IUT 和 IUP，持续 5 分钟，危险阈值在 &gt; 50 °C 持续超过 1 分钟或任何时间 &gt; 56 °C。在 LS 比率为 2s:6s 的 P30 下，观察到喷尘是有限的，TFL 和 Ho:YAG 分别为 15 秒和 30 秒。在 0.5 J/20Hz 下，喷粉时间分别延长至 3 和 5 分钟。在 P50 下，当采用 2s:2s、2s:4s 和 2s:6s 的 LS 比率时，在所有设置下都可以实现连续喷粉。 FANS-UAS 能够在 P30 下以 0.5 J/20Hz 进行连续喷粉，尽管其限制在 1.0 J/10Hz。在 P50 下，在所有设置下均可实现连续喷粉，且 IUT 记录最低。 IUP 仍处于 P30 和 P50 的安全阈值内。当定义固定的激活和休息时间时，LS 比率可以作为平衡自动激光碎石术的安全性和效率的实用参考。</w:t>
      </w:r>
    </w:p>
    <w:p>
      <w:pPr>
        <w:spacing w:before="120"/>
      </w:pPr>
      <w:r>
        <w:rPr>
          <w:rFonts w:ascii="Times New Roman" w:hAnsi="Times New Roman" w:eastAsia="宋体"/>
          <w:b/>
          <w:sz w:val="21"/>
        </w:rPr>
        <w:t>English Abstract:</w:t>
      </w:r>
    </w:p>
    <w:p>
      <w:r>
        <w:rPr>
          <w:rFonts w:ascii="Times New Roman" w:hAnsi="Times New Roman" w:eastAsia="宋体"/>
          <w:sz w:val="21"/>
        </w:rPr>
        <w:t>This study aims to optimize laser, irrigation, and suction settings for automated laser lithotripsy in impacted ureteral stones by analyzing intra-ureteral temperature (IUT) and pressure (IUP). A novel Laser: Stop ratio (LS ratio) was introduced to balance laser activation and resting times. An ex-vivo porcine kidney was used to evaluate the settings [Thulium fiber laser (TFL) and Holmium: Yttrium-aluminum-garnet (Ho: YAG) at 1.0 J/10Hz, 0.5 J/20Hz], pump-based irrigation of 30mmHg (P30) and 50 mmHg (P50), LS ratios (2s:2s, 2s:4s, 2s:6s) and the use of a flexible and navigable suction ureteral access sheath (FANS-UAS). With FANS-UAS, a Laser: Active suction: Rest ratio of 2s:2s:2s was applied at 200mmHg suction. IUT and IUP were recorded every 30 s for 5 min with dangerous thresholds at &gt; 50 °C for over 1 min or &gt; 56 °C at any time. Under P30 with an LS ratio of 2s:6s, pop-dusting was observed to be limited, with 15 and 30 s for TFL and Ho: YAG, respectively. At 0.5 J/20Hz, the pop-dusting was extended to 3 and 5 min, respectively. Under P50, continuous pop-dusting was achievable across all settings when an LS ratio of 2s:2s, 2s:4s, and 2s:6s were employed. The FANS-UAS enabled continuous pop-dusting under P30 at 0.5 J/20Hz, although it was restricted at 1.0 J/10Hz. Under P50, continuous pop-dusting was achievable across all settings, with the lowest recorded IUT. The IUP remained within safety thresholds under both P30 and P50. When defined with fixed activation and rest times, the LS ratio may serve as a practical reference for balancing safety and efficiency in automated laser lithotripsy.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水翼顶堰中流动动力学和湍流产生的计算评估</w:t>
      </w:r>
    </w:p>
    <w:p>
      <w:r>
        <w:rPr>
          <w:rFonts w:ascii="Times New Roman" w:hAnsi="Times New Roman" w:eastAsia="宋体"/>
          <w:b/>
          <w:color w:val="003264"/>
          <w:sz w:val="24"/>
        </w:rPr>
        <w:t>Computational assessment of flow dynamics and turbulence generation in hydrofoil-crested weirs</w:t>
      </w:r>
    </w:p>
    <w:p>
      <w:r>
        <w:rPr>
          <w:rFonts w:ascii="Times New Roman" w:hAnsi="Times New Roman" w:eastAsia="宋体"/>
          <w:sz w:val="21"/>
        </w:rPr>
        <w:t>作者: Amir Ghaderi, Amir Hossein Rezaei, Amir Hossein Mohammadnezhadaghdam, Hossein Mohammadnezhad</w:t>
        <w:br/>
      </w:r>
      <w:r>
        <w:rPr>
          <w:rFonts w:ascii="Times New Roman" w:hAnsi="Times New Roman" w:eastAsia="宋体"/>
          <w:sz w:val="21"/>
        </w:rPr>
        <w:t xml:space="preserve">时间: 2026-02-11 | </w:t>
      </w:r>
      <w:r>
        <w:t xml:space="preserve">链接: </w:t>
      </w:r>
      <w:hyperlink r:id="rId27">
        <w:r>
          <w:rPr>
            <w:rFonts w:ascii="Times New Roman" w:hAnsi="Times New Roman" w:eastAsia="宋体"/>
            <w:color w:val="0000FF"/>
            <w:sz w:val="21"/>
            <w:u w:val="single"/>
          </w:rPr>
          <w:t>https://doi.org/10.1038/s41598-026-39825-5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水翼堰（HFW）由于能够有效调节流量和消散能量而越来越多地应用于液压系统，但它们的流体动力学行为仍然强烈依赖于堰顶的几何形状。然而，水翼厚度对流速、压力和湍流等关键水力参数的影响尚未得到全面量化。本研究对不同水翼厚度比的 HFW 上的流动进行了数值研究，重点关注不同流量下速度、压力和湍流相关参数的分布。使用雷诺平均纳维斯托克斯 (RANS) 框架进行模拟，采用高保真 CFD 方法和湍流模型来捕获关键的水力特性。对多个下游站的结果进行了分析，以评估几何形状对流动结构的影响，特别关注水翼厚度对流动动力学的定量影响。研究结果定量地表明，水翼厚度显着影响近波峰速度和湍流场。与较薄的剖面相比，较厚的剖面可使近表面射流速度增加 20%，并产生较高 30-40% 的湍流动能。较厚的轮廓促进表面射流的早期加速，并在上部水柱中产生更宽的高速区域，而下游的最大速度在几何形状上汇聚。压力分析表明，较厚的波峰会产生更强的局部载荷，并且紧邻波峰下游的压力会急剧下降，在相同的流动条件下，几何形状之间的差异高达约 15%。然而，在下游约 0.3-0.5 m 的距离处，压力分布稳定为接近静水压力分布。然而，压力分布在更远的距离处趋于静压分布。湍流特性表现出对水翼几何形状的最强依赖性，较厚的轮廓（N36）产生显着更高的湍流动能（TKE）、湍流强度（TI）和耗散率（TD），特别是在表面和中深度区域。与更薄的型材相比，这些增强功能可促进更强的垂直混合和能量耗散，差异高达约 35%。总体而言，结果强调了稳定性和耗散效率之间的权衡：较薄的波峰提供更平滑的速度和压力场，而较厚的波峰增强湍流驱动的能量耗散。这些见解支持针对不同液压应用选择和优化 HFW 设计。</w:t>
      </w:r>
    </w:p>
    <w:p>
      <w:pPr>
        <w:spacing w:before="120"/>
      </w:pPr>
      <w:r>
        <w:rPr>
          <w:rFonts w:ascii="Times New Roman" w:hAnsi="Times New Roman" w:eastAsia="宋体"/>
          <w:b/>
          <w:sz w:val="21"/>
        </w:rPr>
        <w:t>English Abstract:</w:t>
      </w:r>
    </w:p>
    <w:p>
      <w:r>
        <w:rPr>
          <w:rFonts w:ascii="Times New Roman" w:hAnsi="Times New Roman" w:eastAsia="宋体"/>
          <w:sz w:val="21"/>
        </w:rPr>
        <w:t>Hydrofoil-crested weirs (HFWs) are increasingly applied in hydraulic systems due to their ability to regulate flow and dissipate energy efficiently, yet their hydrodynamic behavior remains strongly dependent on crest geometry. However, the influence of hydrofoil thickness on critical hydraulic parameters like flow velocity, pressure, and turbulence has not been comprehensively quantified. This study presents a numerical investigation of flow over HFWs with different hydrofoil thickness ratios, focusing on the distributions of velocity, pressure, and turbulence-related parameters under various discharges. Simulations were performed using a Reynolds-averaged Navier–Stokes (RANS) framework, employing a high-fidelity CFD approach with turbulence models to capture key hydraulic characteristics. Results were analyzed at multiple downstream stations to assess the influence of geometry on flow structures, with particular attention to the quantitative effects of hydrofoil thickness on flow dynamics. The findings quantitatively demonstrate that hydrofoil thickness substantially affects near-crest velocity and turbulence fields. Thicker profiles resulted in up to a 20% increase in near-surface jet velocity and produced 30–40% higher turbulent kinetic energy compared to thinner profiles. Thicker profiles promote earlier acceleration of the surface jet and produce wider high-velocity zones in the upper water column, while maximum velocities further downstream converge across geometries. Pressure analysis revealed that thicker crests generate stronger local loadings and sharper reductions in pressure immediately downstream of the crest, with inter-geometry differences up to ~ 15% under identical flow conditions. However, pressure distributions stabilize toward near-hydrostatic profiles at distances beyond ~ 0.3–0.5 m downstream. However, pressure distributions stabilize toward hydrostatic profiles at greater distances. Turbulence characteristics exhibited the strongest dependence on hydrofoil geometry, with thicker profiles (N36) producing significantly higher turbulent kinetic energy (TKE), turbulence intensity (TI), and dissipation rates (TD), particularly in the surface and mid-depth regions. Compared with thinner profiles, these enhancements promote stronger vertical mixing and energy dissipation, with differences reaching up to ~ 35%. Overall, the results highlight a trade-off between stability and dissipation efficiency: thinner crests provide smoother velocity and pressure fields, whereas thicker crests enhance turbulence-driven energy dissipation. These insights support the selection and optimization of HFW designs for diverse hydraulic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Bi₄O₅Br2 优化百草枯去除：合成、性能评估和机理见解</w:t>
      </w:r>
    </w:p>
    <w:p>
      <w:r>
        <w:rPr>
          <w:rFonts w:ascii="Times New Roman" w:hAnsi="Times New Roman" w:eastAsia="宋体"/>
          <w:b/>
          <w:color w:val="003264"/>
          <w:sz w:val="24"/>
        </w:rPr>
        <w:t>Optimized paraquat removal using Bi₄O₅Br₂: synthesis, performance evaluation, and mechanistic insights</w:t>
      </w:r>
    </w:p>
    <w:p>
      <w:r>
        <w:rPr>
          <w:rFonts w:ascii="Times New Roman" w:hAnsi="Times New Roman" w:eastAsia="宋体"/>
          <w:sz w:val="21"/>
        </w:rPr>
        <w:t>作者: Zahra Dehghani, Majid Fekri, Majid Mahmoodabadi, Mahboub Saffari, Mohammad Hady Farpoor</w:t>
        <w:br/>
      </w:r>
      <w:r>
        <w:rPr>
          <w:rFonts w:ascii="Times New Roman" w:hAnsi="Times New Roman" w:eastAsia="宋体"/>
          <w:sz w:val="21"/>
        </w:rPr>
        <w:t xml:space="preserve">时间: 2026-02-11 | </w:t>
      </w:r>
      <w:r>
        <w:t xml:space="preserve">链接: </w:t>
      </w:r>
      <w:hyperlink r:id="rId28">
        <w:r>
          <w:rPr>
            <w:rFonts w:ascii="Times New Roman" w:hAnsi="Times New Roman" w:eastAsia="宋体"/>
            <w:color w:val="0000FF"/>
            <w:sz w:val="21"/>
            <w:u w:val="single"/>
          </w:rPr>
          <w:t>https://doi.org/10.1038/s41598-026-38566-9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百草枯 (PQ) 是一种广泛使用的联吡啶鎓类除草剂，由于其高毒性和在水生系统中的持久性，造成严重的环境和公共健康风险。在这项研究中，使用 CAU-17 作为前体，通过双溶剂衍生路线合成了 Bi4O5Br2 复合材料，随后用作从水中去除 PQ 的有效吸附剂。使用 XRD、FTIR、BET、FE-SEM 和 EDX 进行的综合表征揭示了明确的层状介孔结构（比表面积：63.12 m²/g，平均孔径：~7 nm）和均匀的元素分布，提供丰富且易于吸附的活性位点。吸附性能通过基于 Box-Behnken 设计 (BBD) 的响应面法 (RSM) 进行系统优化，考虑吸附剂剂量、pH、接触时间和初始 PQ 浓度作为关键参数。该模型显示出出色的拟合和预测准确性，结果表明，吸附剂用量和溶液 pH 值是影响去除效率的最大因素，而接触时间的影响适中，PQ 浓度的作用相对较小。在最佳条件下（吸附剂用量0.0187 g，pH 6.47，接触时间38.26 min，PQ初始浓度3.89 mg·L-1），最大去除效率达到97.47%。机理研究表明，PQ 的去除主要是通过带负电的 Bi4O5Br2 表面（在接近中性至碱性条件下）和阳离子 PQ2+ 分子之间的静电相互作用发生的，并辅以物理吸附和氢键作用。吸附前后的 FTIR 分析通过 O-H 伸缩带的轻微变化和强度降低证实了表面羟基的参与，表明它们参与了静电结合和氢键。 Bi4O5Br2 的介孔结构有利于快速颗粒内扩散，从而能够快速达到平衡。与之前报道的吸附剂相比，Bi4O5Br2 在超低剂量下表现出优异的性能，突出了其实际水处理的成本效益和可扩展性。总体而言，这些发现表明 Bi₄O₅Br2 是修复除草剂污染水体的有希望的候选材料。未来的工作应侧重于再生性能、重复使用下的稳定性以及使用真实废水基质的验证。</w:t>
      </w:r>
    </w:p>
    <w:p>
      <w:pPr>
        <w:spacing w:before="120"/>
      </w:pPr>
      <w:r>
        <w:rPr>
          <w:rFonts w:ascii="Times New Roman" w:hAnsi="Times New Roman" w:eastAsia="宋体"/>
          <w:b/>
          <w:sz w:val="21"/>
        </w:rPr>
        <w:t>English Abstract:</w:t>
      </w:r>
    </w:p>
    <w:p>
      <w:r>
        <w:rPr>
          <w:rFonts w:ascii="Times New Roman" w:hAnsi="Times New Roman" w:eastAsia="宋体"/>
          <w:sz w:val="21"/>
        </w:rPr>
        <w:t>Paraquat (PQ), a widely used bipyridinium herbicide, poses severe environmental and public health risks due to its high toxicity and persistence in aquatic systems. In this study, a Bi₄O₅Br₂ composite was synthesized via a double-solvent-derived route using CAU-17 as a precursor, and subsequently employed as an efficient adsorbent for PQ removal from water. Comprehensive characterization using XRD, FTIR, BET, FE-SEM, and EDX revealed a well-defined lamellar mesoporous structure (specific surface area: 63.12 m²/g, average pore size: ~7 nm) and a homogeneous elemental distribution, offering abundant and accessible active sites for adsorption. The adsorption performance was systematically optimized through response surface methodology (RSM) based on a Box–Behnken design (BBD), considering adsorbent dosage, pH, contact time, and initial PQ concentration as key parameters. The model showed excellent fitting and predictive accuracy, and the results highlighted that adsorbent dosage and solution pH were the most influential factors governing removal efficiency, whereas contact time exhibited a moderate effect and PQ concentration played a comparatively minor role. Under the optimal conditions (adsorbent dosage of 0.0187 g, pH 6.47, contact time 38.26 min, and initial PQ concentration 3.89 mg L⁻¹), a maximum removal efficiency of 97.47% was achieved. Mechanistic investigation revealed that PQ removal occurred predominantly through electrostatic interactions between the negatively charged Bi₄O₅Br₂ surface (under near-neutral to alkaline conditions) and cationic PQ²⁺ molecules, supplemented by physical adsorption and hydrogen bonding. FTIR analysis before and after adsorption confirmed the participation of surface hydroxyl groups through slight shifts and intensity reductions in the O–H stretching band, suggesting their involvement in electrostatic binding and hydrogen bonding. The mesoporous architecture of Bi₄O₅Br₂ facilitated rapid intraparticle diffusion, enabling fast attainment of equilibrium. Compared with previously reported adsorbents, Bi₄O₅Br₂ demonstrated superior performance at an ultralow dosage, highlighting its cost-effectiveness and scalability for practical water treatment. Overall, these findings establish Bi₄O₅Br₂ as a promising candidate for the remediation of herbicide-contaminated water. Future work should focus on regeneration performance, stability under repeated use, and validation using real wastewater matrices.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优化针对人际困扰的及时适应性干预措施：机制、预测和参与的挑战</w:t>
      </w:r>
    </w:p>
    <w:p>
      <w:r>
        <w:rPr>
          <w:rFonts w:ascii="Times New Roman" w:hAnsi="Times New Roman" w:eastAsia="宋体"/>
          <w:b/>
          <w:color w:val="003264"/>
          <w:sz w:val="24"/>
        </w:rPr>
        <w:t>Optimizing just-in-time adaptive interventions for interpersonal distress: mechanisms, prediction, and the challenge of engagement</w:t>
      </w:r>
    </w:p>
    <w:p>
      <w:r>
        <w:rPr>
          <w:rFonts w:ascii="Times New Roman" w:hAnsi="Times New Roman" w:eastAsia="宋体"/>
          <w:sz w:val="21"/>
        </w:rPr>
        <w:t>作者: Agata Jaremba, Sarah O’Reilly, Liam Mason, Tobias Nolte, Madiha Shaikh, Ciarán O’Driscoll</w:t>
        <w:br/>
      </w:r>
      <w:r>
        <w:rPr>
          <w:rFonts w:ascii="Times New Roman" w:hAnsi="Times New Roman" w:eastAsia="宋体"/>
          <w:sz w:val="21"/>
        </w:rPr>
        <w:t xml:space="preserve">时间: 2026-02-11 | </w:t>
      </w:r>
      <w:r>
        <w:t xml:space="preserve">链接: </w:t>
      </w:r>
      <w:hyperlink r:id="rId29">
        <w:r>
          <w:rPr>
            <w:rFonts w:ascii="Times New Roman" w:hAnsi="Times New Roman" w:eastAsia="宋体"/>
            <w:color w:val="0000FF"/>
            <w:sz w:val="21"/>
            <w:u w:val="single"/>
          </w:rPr>
          <w:t>https://doi.org/10.1038/s41598-026-39518-z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常见的精神健康障碍（CMD）的特点是情绪波动和人际关系症状，传统的每周治疗无法充分解决。生态瞬时干预提供了及时支持的潜力，但其机制和最佳实施环境仍不清楚。这是一项随机试验 (N = 77) 的二次分析，比较了个性化症状阈值触发的正念和心理化微观干预措施。我们研究了成人 CMD 的动态症状网络、近端有效性、参与预测因子和痛苦预测。动态网络揭示了稳定的社区（人际威胁、社会联系、情感状态），而情绪是关键的桥梁。没有观察到显着的近端干预效应。高压力 (OR = 1.21)、情绪高涨 (OR = 1.22) 和感知批评 (OR = 1.22) 显着预测不投入。相反，累积症状触发因素（OR = 0.69）和社交接触（OR = 0.83）促进参与。动态预测模型在下一次嘟嘟声遇险方面取得了不错的性能（AUC = 0.66）。除了自回归效应之外，感知的批评（OR：1.12）和矛盾的感知支持预测未来的痛苦（OR = 1.14），而温暖则具有保护作用（OR = 0.87）。微观干预通过稳定的网络运作，可能会产生累积效益，而不是立竿见影的效益。尽管高需求强调了上下文敏感、低摩擦适应性设计的必要性，以使临床需求与接受性保持一致，但高压力和批评阻碍了干预的使用。</w:t>
      </w:r>
    </w:p>
    <w:p>
      <w:pPr>
        <w:spacing w:before="120"/>
      </w:pPr>
      <w:r>
        <w:rPr>
          <w:rFonts w:ascii="Times New Roman" w:hAnsi="Times New Roman" w:eastAsia="宋体"/>
          <w:b/>
          <w:sz w:val="21"/>
        </w:rPr>
        <w:t>English Abstract:</w:t>
      </w:r>
    </w:p>
    <w:p>
      <w:r>
        <w:rPr>
          <w:rFonts w:ascii="Times New Roman" w:hAnsi="Times New Roman" w:eastAsia="宋体"/>
          <w:sz w:val="21"/>
        </w:rPr>
        <w:t>Common mental health disorders (CMD) feature fluctuating emotional and interpersonal symptoms inadequately addressed by traditional weekly therapies. Ecological momentary interventions offer potential for timely support, yet their mechanisms and optimal delivery contexts remain unclear. This secondary analysis of a randomized trial (N = 77) compared mindfulness and mentalization micro-interventions triggered by personalized symptom thresholds. We examined dynamic symptom networks, proximal effectiveness, engagement predictors, and distress forecasting in adults with CMD. Dynamic networks revealed stable communities (interpersonal threat, social connection, affective states) with mood as a key bridge. No significant proximal intervention effects were observed. Non-engagement was significantly predicted by high stress (OR = 1.21), elevated mood (OR = 1.22), and perceived criticism (OR = 1.22). Conversely, cumulative symptom triggers (OR = 0.69) and social contact (OR = 0.83) facilitated engagement. The dynamic prediction model achieved fair performance (AUC = 0.66) for next-beep distress. Beyond autoregressive effects, perceived criticism (OR: 1.12) and paradoxically perceived support predicted future distress (OR = 1.14), while warmth was protective (OR = 0.87). Micro-interventions operate through stable networks and may yield cumulative rather than immediate benefits. High stress and criticism impede intervention use despite high need highlighting the necessity for context-sensitive, low-friction adaptive designs to align clinical need with receptivity.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在共焦自适应光学扫描激光检眼镜图像中使用合成数据和深度学习进行自动锥体光感受器检测</w:t>
      </w:r>
    </w:p>
    <w:p>
      <w:r>
        <w:rPr>
          <w:rFonts w:ascii="Times New Roman" w:hAnsi="Times New Roman" w:eastAsia="宋体"/>
          <w:b/>
          <w:color w:val="003264"/>
          <w:sz w:val="24"/>
        </w:rPr>
        <w:t>Automated cone photoreceptor detection using synthetic data and deep learning in confocal adaptive optics scanning laser ophthalmoscope images</w:t>
      </w:r>
    </w:p>
    <w:p>
      <w:r>
        <w:rPr>
          <w:rFonts w:ascii="Times New Roman" w:hAnsi="Times New Roman" w:eastAsia="宋体"/>
          <w:sz w:val="21"/>
        </w:rPr>
        <w:t>作者: Mital Shah, Laura K. Young, Susan M. Downes, Hannah E. Smithson, Ana I. L. Namburete</w:t>
        <w:br/>
      </w:r>
      <w:r>
        <w:rPr>
          <w:rFonts w:ascii="Times New Roman" w:hAnsi="Times New Roman" w:eastAsia="宋体"/>
          <w:sz w:val="21"/>
        </w:rPr>
        <w:t xml:space="preserve">时间: 2026-02-11 | </w:t>
      </w:r>
      <w:r>
        <w:t xml:space="preserve">链接: </w:t>
      </w:r>
      <w:hyperlink r:id="rId30">
        <w:r>
          <w:rPr>
            <w:rFonts w:ascii="Times New Roman" w:hAnsi="Times New Roman" w:eastAsia="宋体"/>
            <w:color w:val="0000FF"/>
            <w:sz w:val="21"/>
            <w:u w:val="single"/>
          </w:rPr>
          <w:t>https://doi.org/10.1038/s41598-026-39570-9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自适应光学扫描激光检眼镜 (AOSLO) 成像使锥体光感受器马赛克能够在活体人眼中可视化。对这些图像进行定量分析需要识别各个光感受器。这通常通过手动标记来执行，这是主观的、耗时的并且不适合大规模实施。需要用自动化算法来代替手动标记，而基于深度学习的方法提供了实现这一目标的有效方法。然而，这种方法需要大量难以获取的带注释的训练数据。合成数据可能有助于弥补带注释的训练数据的缺乏。使用 ERICA 生成的共焦 AOSLO 图像的大型合成数据集以及真实共焦 AOSLO 图像的较小数据集（密尔沃基数据集）来训练 U-Net 配置。通过在真实的测试集和独立的真实数据集（牛津数据集）上计算 Dice 系数（一种量化分割重叠的指标）来评估模型性能。该评估的结果以专家标记和两种自动视锥细胞检测方法为基准：共焦卷积神经网络 (CNN) (1) 以及组合图论和动态规划方法 (2))。在保留测试集上，与手动标记相比，平均 Dice 系数为 0.989（U-Net）、0.989（共焦 CNN）和 0.985（图论和动态规划）。在独立的牛津数据集上，与手动标记相比，U-Net 的平均 Dice 系数为 0.962。结果显示，其性能可与手动标记的黄金标准和两种自动锥体检测方法相媲美。此外，我们在具有较高视网膜偏心率的图像的独立真实数据集上证明了这种方法的普遍性。这种方法可能有助于对视网膜疾病患者的光感受器镶嵌进行定量分析，以从 AOSLO 图像中提供细胞特异性成像生物标志物。</w:t>
      </w:r>
    </w:p>
    <w:p>
      <w:pPr>
        <w:spacing w:before="120"/>
      </w:pPr>
      <w:r>
        <w:rPr>
          <w:rFonts w:ascii="Times New Roman" w:hAnsi="Times New Roman" w:eastAsia="宋体"/>
          <w:b/>
          <w:sz w:val="21"/>
        </w:rPr>
        <w:t>English Abstract:</w:t>
      </w:r>
    </w:p>
    <w:p>
      <w:r>
        <w:rPr>
          <w:rFonts w:ascii="Times New Roman" w:hAnsi="Times New Roman" w:eastAsia="宋体"/>
          <w:sz w:val="21"/>
        </w:rPr>
        <w:t>Abstract Adaptive optics scanning laser ophthalmoscope (AOSLO) imaging enables the cone photoreceptor mosaic to be visualised in the living human eye. Performing quantitative analysis of these images requires identification of individual photoreceptors. This is typically performed by manual labelling, which is subjective, time consuming and not feasible on a large scale. Automated algorithms to replace manual labelling are required and deep learning-based methods provide an effective way of achieving this. However, this approach requires large volumes of annotated training data that are difficult to acquire. Synthetic data may help to bridge this lack of annotated training data. A U-Net configuration was trained using a large synthetic dataset of confocal AOSLO images generated using ERICA alongside a smaller dataset of real confocal AOSLO images (Milwaukee dataset). Model performance was assessed by calculating the Dice coefficient, a metric quantifying segmentation overlap, on both a real held-out test set and an independent real dataset (Oxford dataset). Results from this evaluation were benchmarked against expert labelling and two automated cone detection methods: a confocal convolutional neural network (CNN) (1), and a combined graph-theory and dynamic programming approach (2)). The mean Dice coefficient compared to manual labelling was 0.989 (U-Net), 0.989 (confocal CNN), and 0.985 (graph-theory and dynamic programming) on the held-out test set. On the independent Oxford dataset, the U-Net achieved a mean Dice coefficient of 0.962 compared to manual labelling. Results show performance that is comparable to the gold standard of manual labelling and two automated cone detection methods. Furthermore, we demonstrate generalisability of this approach on an independent real dataset with images from higher retinal eccentricities. This approach may be useful for quantitative analysis of the photoreceptor mosaic in patients with retinal disease to provide cell-specific imaging biomarkers from AOSLO images.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微波辅助热解橙皮生物炭吸附亚甲基蓝的动力学、平衡和热力学研究</w:t>
      </w:r>
    </w:p>
    <w:p>
      <w:r>
        <w:rPr>
          <w:rFonts w:ascii="Times New Roman" w:hAnsi="Times New Roman" w:eastAsia="宋体"/>
          <w:b/>
          <w:color w:val="003264"/>
          <w:sz w:val="24"/>
        </w:rPr>
        <w:t>Kinetic, equilibrium, and thermodynamic study of Methylene Blue adsorption on orange peel biochar prepared by microwave-assisted pyrolysis</w:t>
      </w:r>
    </w:p>
    <w:p>
      <w:r>
        <w:rPr>
          <w:rFonts w:ascii="Times New Roman" w:hAnsi="Times New Roman" w:eastAsia="宋体"/>
          <w:sz w:val="21"/>
        </w:rPr>
        <w:t>作者: Jhonny Correa-Abril, Elvia V. Cabrera, Nilo Robles, J. L. López Terán, Ullrich Stahl</w:t>
        <w:br/>
      </w:r>
      <w:r>
        <w:rPr>
          <w:rFonts w:ascii="Times New Roman" w:hAnsi="Times New Roman" w:eastAsia="宋体"/>
          <w:sz w:val="21"/>
        </w:rPr>
        <w:t xml:space="preserve">时间: 2026-02-11 | </w:t>
      </w:r>
      <w:r>
        <w:t xml:space="preserve">链接: </w:t>
      </w:r>
      <w:hyperlink r:id="rId31">
        <w:r>
          <w:rPr>
            <w:rFonts w:ascii="Times New Roman" w:hAnsi="Times New Roman" w:eastAsia="宋体"/>
            <w:color w:val="0000FF"/>
            <w:sz w:val="21"/>
            <w:u w:val="single"/>
          </w:rPr>
          <w:t>https://doi.org/10.1038/s41598-026-36741-6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这项研究提出了一种可持续的方法，使用从橙皮废物中提取的原始、非活化生物炭，通过微波辅助热解 (MAP) 去除亚甲基蓝 (MB) 染料。关键的新颖之处在于系统比较了生物炭在 pH 控制（恒定 pH 4）和非调节 pH 条件下的吸附性能，表明 pH 调节对于优化吸附效率至关重要。所得生物炭具有高固定碳含量（60.89%）、碱性表面（零电荷点 (pHpzc) = 11.20，ZPotential = 0.1 mV @ pH 9）和含氧官能团。尽管存在预期的静电斥力，但在 pH 4 时仍实现了 83% 的最佳 MB 去除率。动力学研究表明最适合 Elovich 模型，表明表面不均匀。 Langmuir 等温线准确地描述了平衡数据，显示在 pH 控制条件下最大吸附容量 (qmax) 为 20.57 mg g-1，比​​未调节情况下获得的 11.24 mg g-1 增加了 83%。热力学分析证实该过程是自发的（ΔG° &lt; 0）、吸热的（ΔH° = + 4.88 kJ mol⁻1 在恒定 pH 下），并受物理吸附机制控制，包括氢键和 π-π 相互作用。这项工作表明，通过 MAP 生成的原始橙皮生物炭是一种高效的吸附剂，并强调了 pH 控制对提高吸附能力和阐明主要物理吸附机制的关键影响。</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sustainable approach for Methylene Blue (MB) dye removal using pristine, non-activated biochar derived from orange peel waste via Microwave-Assisted Pyrolysis (MAP). The key novelty lies in the systematic comparison of the biochar’s adsorption performance under both pH-controlled (constant pH 4) and unregulated pH conditions, demonstrating that pH regulation is essential for optimizing adsorption efficiency. The resulting biochar exhibited a high fixed carbon content (60.89%), an alkaline surface (Point of zero charge (pHpzc) = 11.20, ZPotential = 0.1 mV @ pH 9), and oxygenated functional groups. Best MB removal of 83% was achieved at pH 4, despite the expected electrostatic repulsion. Kinetic studies showed the best fit with the Elovich model, indicating a heterogeneous surface. The Langmuir isotherm accurately described the equilibrium data, revealing a maximum adsorption capacity (qmax) of 20.57 mg g⁻1 under pH-controlled conditions, representing an 83% increase over the 11.24 mg g⁻1 obtained in the unregulated scenario. Thermodynamic analysis confirmed the process is spontaneous (ΔG° &lt; 0), endothermic (ΔH° = + 4.88 kJ mol⁻1 at constant pH), and governed by physisorption mechanisms, including hydrogen bonding and π-π interactions. This work demonstrates that pristine orange peel biochar generated via MAP is a highly effective adsorbent and highlights the critical impact of pH control on improving adsorption capacity and elucidating the dominant physisorption mechanisms.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跨 2D、3D 和体内模型验证胸膜间皮瘤的化疗耐药表型</w:t>
      </w:r>
    </w:p>
    <w:p>
      <w:r>
        <w:rPr>
          <w:rFonts w:ascii="Times New Roman" w:hAnsi="Times New Roman" w:eastAsia="宋体"/>
          <w:b/>
          <w:color w:val="003264"/>
          <w:sz w:val="24"/>
        </w:rPr>
        <w:t>Validation of chemoresistance phenotypes in pleural mesothelioma across 2D, 3D, and in vivo models</w:t>
      </w:r>
    </w:p>
    <w:p>
      <w:r>
        <w:rPr>
          <w:rFonts w:ascii="Times New Roman" w:hAnsi="Times New Roman" w:eastAsia="宋体"/>
          <w:sz w:val="21"/>
        </w:rPr>
        <w:t>作者: Huaikai Shi, Sakthi Priya Selvamani, Richard Zelei, Ling Zhuang, Dongwei Wang, Ben Johnson, Vivek Dharwal, Duo Xu, Yiwei Wang, Tristan Rutland, Sonja Klebe, Steven Kao, Anthony Linton, Elham Hosseini-Beheshti, Yuen Yee Cheng</w:t>
        <w:br/>
      </w:r>
      <w:r>
        <w:rPr>
          <w:rFonts w:ascii="Times New Roman" w:hAnsi="Times New Roman" w:eastAsia="宋体"/>
          <w:sz w:val="21"/>
        </w:rPr>
        <w:t xml:space="preserve">时间: 2026-02-11 | </w:t>
      </w:r>
      <w:r>
        <w:t xml:space="preserve">链接: </w:t>
      </w:r>
      <w:hyperlink r:id="rId32">
        <w:r>
          <w:rPr>
            <w:rFonts w:ascii="Times New Roman" w:hAnsi="Times New Roman" w:eastAsia="宋体"/>
            <w:color w:val="0000FF"/>
            <w:sz w:val="21"/>
            <w:u w:val="single"/>
          </w:rPr>
          <w:t>https://doi.org/10.1038/s41598-026-38692-4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胸膜间皮瘤（PM）是一种高度侵袭性的癌症，治疗效果有限且预后不良。传统的二维 (2D) 培养模型无法复制肿瘤微环境 (TME)，限制了其转化相关性。在这里，我们建立了三维 (3D) 球体模型来研究不同 PM 亚型的化疗耐药性。与 2D 培养物相比，3D 球体对顺铂-培美曲塞的耐药性增强，IC₅₀ 值升高、细胞凋亡减少并改变了细胞周期特征。 3D 球体的海马代谢分析表明代谢表型受到抑制，其特征是氧化磷酸化 (OCR) 减少。然而，糖酵解能力并未上调，这与间皮瘤病变中观察到的缺氧和营养有限的条件一致。与此同时，分子分析可识别与患者来源的数据集密切相关的亚型特异性 miRNA 特征。 3D 培养物的蛋白质组学分析确定了 PI3K/AKT 和 Notch/VEGF 信号传导的上调，表明这些通路与治疗耐药有关。异种移植物的组织学评估进一步证实了 3D 模型在捕获肿瘤纤维化、坏死和治疗反应方面的保真度。这些发现将 3D 球体系统定位为一个强大且生理相关的平台，用于建模耐药性并指导 PM 的治疗开发。</w:t>
      </w:r>
    </w:p>
    <w:p>
      <w:pPr>
        <w:spacing w:before="120"/>
      </w:pPr>
      <w:r>
        <w:rPr>
          <w:rFonts w:ascii="Times New Roman" w:hAnsi="Times New Roman" w:eastAsia="宋体"/>
          <w:b/>
          <w:sz w:val="21"/>
        </w:rPr>
        <w:t>English Abstract:</w:t>
      </w:r>
    </w:p>
    <w:p>
      <w:r>
        <w:rPr>
          <w:rFonts w:ascii="Times New Roman" w:hAnsi="Times New Roman" w:eastAsia="宋体"/>
          <w:sz w:val="21"/>
        </w:rPr>
        <w:t>Pleural mesothelioma (PM) is a highly aggressive cancer with limited treatment efficacy and poor prognosis. Conventional two-dimensional (2D) culture models fail to replicate the tumour microenvironment (TME), limiting their translational relevance. Here, we establish a three-dimensional (3D) spheroid model to investigate chemotherapy resistance across different PM subtypes. Compared to 2D cultures, 3D spheroids display enhanced resistance to cisplatin-pemetrexed, with elevated IC₅₀ values, reduced apoptosis, and altered cell cycle profiles. Seahorse metabolic analysis of 3D spheroids demonstrate a suppressed metabolic phenotype, characterised by reduced oxidative phosphorylation (OCR). However, the glycolytic capacity was not upregulated, consistent with the hypoxic and nutrient-limited conditions observed in mesothelioma lesions. In parallel, molecular profiling identifies subtype-specific miRNA signatures that closely align with patient-derived datasets. Proteomic analysis of 3D cultures identifies upregulation of PI3K/AKT and Notch/VEGF signalling, implicating these pathways in treatment resistance. Histological assessment of xenografts further confirms 3D model fidelity in capturing tumour fibrosis, necrosis, and response to therapy. These findings position the 3D spheroid system as a robust and physiologically relevant platform for modelling drug resistance and guiding therapeutic development in PM.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系统水平转录组分析揭示MDD患者外周白细胞中突触相关基因失调</w:t>
      </w:r>
    </w:p>
    <w:p>
      <w:r>
        <w:rPr>
          <w:rFonts w:ascii="Times New Roman" w:hAnsi="Times New Roman" w:eastAsia="宋体"/>
          <w:b/>
          <w:color w:val="003264"/>
          <w:sz w:val="24"/>
        </w:rPr>
        <w:t>Systems-level transcriptomic analysis reveals synapse-related gene dysregulation in peripheral leukocytes of MDD patients</w:t>
      </w:r>
    </w:p>
    <w:p>
      <w:r>
        <w:rPr>
          <w:rFonts w:ascii="Times New Roman" w:hAnsi="Times New Roman" w:eastAsia="宋体"/>
          <w:sz w:val="21"/>
        </w:rPr>
        <w:t>作者: Anny Silva Adri, Adriel Leal Nóbile, Débora Gomes de Albuquerque, Pedro Marçal Barcelos, Fernando Yuri Nery do Vale, Roseane Galdioli Nava, Yohan Lucas G. Correa, Lena Friederick Schimke, Luiz Fernando Onuchic, Rodrigo Dalmolin, Rafael Machado Rezende, Haroldo Dutra Dias, Igor Salerno Filgueiras, Otavio Cabral-Marques</w:t>
        <w:br/>
      </w:r>
      <w:r>
        <w:rPr>
          <w:rFonts w:ascii="Times New Roman" w:hAnsi="Times New Roman" w:eastAsia="宋体"/>
          <w:sz w:val="21"/>
        </w:rPr>
        <w:t xml:space="preserve">时间: 2026-02-11 | </w:t>
      </w:r>
      <w:r>
        <w:t xml:space="preserve">链接: </w:t>
      </w:r>
      <w:hyperlink r:id="rId33">
        <w:r>
          <w:rPr>
            <w:rFonts w:ascii="Times New Roman" w:hAnsi="Times New Roman" w:eastAsia="宋体"/>
            <w:color w:val="0000FF"/>
            <w:sz w:val="21"/>
            <w:u w:val="single"/>
          </w:rPr>
          <w:t>https://doi.org/10.1038/s41598-026-39284-y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重度抑郁症（MDD）涉及中枢神经系统功能障碍和全身免疫改变。使用系统生物学方法，我们研究了外周白细胞是否表现出与突触过程注释的基因转录变化，这些分子功能通常与神经元相关，但也可能与免疫细胞生物学有关。对 3072 名个体的转录组数据进行荟萃分析，鉴定出白细胞中的 1383 个元差异表达基因 (metaDEG)，其中 73 个已知功能与突触生物学相关。其中，功能富集分析表明突触相关的metDEG（48个下调，25个上调）参与突触小泡循环、神经递质信号传导、突触组装和神经发生。线性判别分析 (LDA) 确定了其中 18 个基因，可以在独立数据集中将 MDD 患者与健康对照区分开来。值得注意的是，我们发现了白细胞和与MDD相关的大脑区域之间共享的metaDEG，这表明传统上与神经元通路相关的基因也在免疫细胞中表达，它们可能有助于与该疾病相关的免疫相关机制。这些发现强调了值得进一步研究的潜在系统分子模式。</w:t>
      </w:r>
    </w:p>
    <w:p>
      <w:pPr>
        <w:spacing w:before="120"/>
      </w:pPr>
      <w:r>
        <w:rPr>
          <w:rFonts w:ascii="Times New Roman" w:hAnsi="Times New Roman" w:eastAsia="宋体"/>
          <w:b/>
          <w:sz w:val="21"/>
        </w:rPr>
        <w:t>English Abstract:</w:t>
      </w:r>
    </w:p>
    <w:p>
      <w:r>
        <w:rPr>
          <w:rFonts w:ascii="Times New Roman" w:hAnsi="Times New Roman" w:eastAsia="宋体"/>
          <w:sz w:val="21"/>
        </w:rPr>
        <w:t>Major depressive disorder (MDD) involves both central nervous system dysfunction and systemic immune alterations. Using a systems biology approach, we investigated whether peripheral leukocytes exhibit transcriptional changes in genes annotated to synaptic processes, molecular functions typically associated with neurons but also possibly implicated in immune cell biology. A meta-analysis of transcriptomic data from 3072 individuals identified 1383 meta-differentially expressed genes (metaDEGs) in leukocytes, including 73 whose known functions are linked to synaptic biology. Among them, functional enrichment analysis indicated synapse-related metaDEGs (48 downregulated, 25 upregulated) involved in synaptic vesicle cycling, neurotransmitter signaling, synaptic assembly, and neurogenesis. Linear discriminant analysis (LDA) identified 18 of these genes that robustly distinguished MDD patients from healthy controls across independent datasets. Notably, we identified metaDEGs shared between leukocytes and brain regions associated with MDD, indicating that genes traditionally linked to neuronal pathways are also expressed in immune cells, where they may contribute to immune-related mechanisms relevant to the disorder. These findings highlight potential systemic molecular patterns that warrant further investigation.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使用强化学习的肋间机器人超声成像自主路径规划</w:t>
      </w:r>
    </w:p>
    <w:p>
      <w:r>
        <w:rPr>
          <w:rFonts w:ascii="Times New Roman" w:hAnsi="Times New Roman" w:eastAsia="宋体"/>
          <w:b/>
          <w:color w:val="003264"/>
          <w:sz w:val="24"/>
        </w:rPr>
        <w:t>Autonomous path planning for intercostal robotic ultrasound imaging using reinforcement learning</w:t>
      </w:r>
    </w:p>
    <w:p>
      <w:r>
        <w:rPr>
          <w:rFonts w:ascii="Times New Roman" w:hAnsi="Times New Roman" w:eastAsia="宋体"/>
          <w:sz w:val="21"/>
        </w:rPr>
        <w:t>作者: Yuan Bi, Cheng Qian, Zhicheng Zhang, Nassir Navab, Zhongliang Jiang</w:t>
        <w:br/>
      </w:r>
      <w:r>
        <w:rPr>
          <w:rFonts w:ascii="Times New Roman" w:hAnsi="Times New Roman" w:eastAsia="宋体"/>
          <w:sz w:val="21"/>
        </w:rPr>
        <w:t xml:space="preserve">时间: 2026-02-11 | </w:t>
      </w:r>
      <w:r>
        <w:t xml:space="preserve">链接: </w:t>
      </w:r>
      <w:hyperlink r:id="rId34">
        <w:r>
          <w:rPr>
            <w:rFonts w:ascii="Times New Roman" w:hAnsi="Times New Roman" w:eastAsia="宋体"/>
            <w:color w:val="0000FF"/>
            <w:sz w:val="21"/>
            <w:u w:val="single"/>
          </w:rPr>
          <w:t>https://doi.org/10.1038/s41598-026-37702-9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超声（US）广泛应用于临床实践中，用于筛查内脏器官和指导干预措施。尽管如此，超声成像仍存在操作者之间和操作者内部的差异。利用机器人提供的可重复性，机器人超声系统成为一种有前途的解决方案，提供更高的精度、稳定性和可重复性。为了实现自主超声扫描，机器人学习算法已被广泛探索。然而，当前的方法主要基于 2D US 图像数据进行 US 导航的决策过程，通常忽略了 3D 解剖知识的集成，而 3D 解剖知识是解剖复杂区域（例如肋间区域）路径规划的关键组成部分。为了解决这一限制，我们提出了一种新颖的强化学习 (RL) 方法，用于肋间超声扫描路径规划，利用计算机断层扫描 (CT) 模板并利用 3D 状态表示。为此，使用 CT 模板开发了一个虚拟环境，其中随机初始化了各种形状和位置的肿瘤作为训练环境。此外，还引入了特定于任务的状态表示和奖励函数，以鼓励训练过程的收敛，同时最大限度地减少扫描过程中声衰减和阴影的影响。值得注意的是，这项工作的范围仅限于自主路径规划组件，而机器人执行和控制集成将在未来的研究中解决。为了验证所提出方法的有效性，在具有随机定义的单个或多个扫描目标的看不见的患者模型上进行了实验。结果证明了所提出的 RL 框架在声学访问受限的区域中规划非阴影 US 扫描轨迹的效率。</w:t>
      </w:r>
    </w:p>
    <w:p>
      <w:pPr>
        <w:spacing w:before="120"/>
      </w:pPr>
      <w:r>
        <w:rPr>
          <w:rFonts w:ascii="Times New Roman" w:hAnsi="Times New Roman" w:eastAsia="宋体"/>
          <w:b/>
          <w:sz w:val="21"/>
        </w:rPr>
        <w:t>English Abstract:</w:t>
      </w:r>
    </w:p>
    <w:p>
      <w:r>
        <w:rPr>
          <w:rFonts w:ascii="Times New Roman" w:hAnsi="Times New Roman" w:eastAsia="宋体"/>
          <w:sz w:val="21"/>
        </w:rPr>
        <w:t>Abstract Ultrasound (US) is widely used in clinical practice for the screening internal organs and guiding interventions. Nonetheless, US imaging suffers from inter- and intra-operator variations. Leveraging the reproducibility offered by robots, robotic ultrasound systems emerge as a promising solution, offering enhanced precision, stability, and repeatability. To realize autonomous US scanning, robot learning algorithms have been widely explored. However, current approaches primarily base the decision-making process for US navigation on 2D US images data, often overlooking the integration of 3D anatomical knowledge, which is a critical component for path planning in anatomically complex regions, such as the intercostal area. To address this limitation, we propose a novel reinforcement learning (RL) approach for intercostal US scanning path planning, leveraging computed tomography (CT) templates and utilizing 3D state representations. To this end, a virtual environment is developed using CT templates with randomly initialized tumors of various shapes and locations as a training environment. In addition, task-specific state representation and reward functions are introduced to encourage the convergence of the training process while minimizing the effects of acoustic attenuation and shadows during scanning. It is important to note that the scope of this work is limited to the autonomous path planning component, while robotic execution and control integration will be addressed in future studies. To validate the effectiveness of the proposed approach, experiments have been carried out on unseen patient models with randomly defined single or multiple scanning targets. The results demonstrate the efficiency of the proposed RL framework in planning non-shadowed US scanning trajectories in areas with limited acoustic access.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基于实验和机器学习方法的凝固体-煤组合中声发射参数的表征和分级裂缝扩展的识别</w:t>
      </w:r>
    </w:p>
    <w:p>
      <w:r>
        <w:rPr>
          <w:rFonts w:ascii="Times New Roman" w:hAnsi="Times New Roman" w:eastAsia="宋体"/>
          <w:b/>
          <w:color w:val="003264"/>
          <w:sz w:val="24"/>
        </w:rPr>
        <w:t>Characterization of acoustic emission parameters and identification of staged fracture propagation in solidified body-coal combination based on experimental and machine learning approaches</w:t>
      </w:r>
    </w:p>
    <w:p>
      <w:r>
        <w:rPr>
          <w:rFonts w:ascii="Times New Roman" w:hAnsi="Times New Roman" w:eastAsia="宋体"/>
          <w:sz w:val="21"/>
        </w:rPr>
        <w:t>作者: Yi Tan, Hao Cheng, Manchao He, Wenbing Guo, Erhu Bai, Hui Li, Weiyu Guo, Yu Wang, Shaopu Zhang, Bingxing Chang, Shicheng Hu</w:t>
        <w:br/>
      </w:r>
      <w:r>
        <w:rPr>
          <w:rFonts w:ascii="Times New Roman" w:hAnsi="Times New Roman" w:eastAsia="宋体"/>
          <w:sz w:val="21"/>
        </w:rPr>
        <w:t xml:space="preserve">时间: 2026-02-11 | </w:t>
      </w:r>
      <w:r>
        <w:t xml:space="preserve">链接: </w:t>
      </w:r>
      <w:hyperlink r:id="rId35">
        <w:r>
          <w:rPr>
            <w:rFonts w:ascii="Times New Roman" w:hAnsi="Times New Roman" w:eastAsia="宋体"/>
            <w:color w:val="0000FF"/>
            <w:sz w:val="21"/>
            <w:u w:val="single"/>
          </w:rPr>
          <w:t>https://doi.org/10.1038/s41598-026-37101-0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旨在探讨凝固体-煤（S-C）组合承载结构的失稳破坏机制和预警方法。为了实现这一目标，通过单轴压缩实验和声发射监测相结合，系统分析了S-C组合试件在加载过程中多个声发射（AE）参数的动态响应特性。此外，基于机器学习构建了裂纹扩展阶段识别模型。得出了以下有益的发现：从AE时频参数导出的能频分布指标（活度和b值）和谱特征（平均频率（AF）和上升时间/幅度（RA））的时间演化模式与阶段性裂纹扩展行为高度相关，可以被视为岩煤组合不稳定的关键前兆。在为识别阶段性裂缝扩展状态而构建的基于机器学习的模型中，光梯度增强机（LGB）总体表现最好，在所有阶段实现了超过 85% 的预测精度。这一结果验证了融合AE参数分析对动态裂缝演化的强大表征能力。提出综合预警指标CWI(t)，并通过SHApley Additive exPlanations（SHAP）可解释性分析优化其权重系数，显着增强了不稳定风险评估的系统性和鲁棒性。这些研究结果为连续掘进和矸石充填系统中S-C组合承载结构的稳定性监测和预警提供了理论基础和数据驱动方法。</w:t>
      </w:r>
    </w:p>
    <w:p>
      <w:pPr>
        <w:spacing w:before="120"/>
      </w:pPr>
      <w:r>
        <w:rPr>
          <w:rFonts w:ascii="Times New Roman" w:hAnsi="Times New Roman" w:eastAsia="宋体"/>
          <w:b/>
          <w:sz w:val="21"/>
        </w:rPr>
        <w:t>English Abstract:</w:t>
      </w:r>
    </w:p>
    <w:p>
      <w:r>
        <w:rPr>
          <w:rFonts w:ascii="Times New Roman" w:hAnsi="Times New Roman" w:eastAsia="宋体"/>
          <w:sz w:val="21"/>
        </w:rPr>
        <w:t>This study is aimed at exploring the instability failure mechanisms and precursory early-warning methods of the solidified body-coal (S-C) combination bearing structure. To achieve this aim, the dynamic response characteristics of multiple acoustic emission (AE) parameters from S-C combination specimens during loading were systematically analyzed through a combination of uniaxial compression experiments and AE monitoring. Furthermore, a crack propagation stage identification model was constructed based on machine learning. The following beneficial findings were yielded: The temporal evolution patterns of energy-frequency distribution indicators (Activity and b-value) and spectral characteristics (average frequency (AF) and risetime/amplitude (RA)), derived from AE time-frequency parameters, are highly correlated with the staged crack propagation behavior, and can be regarded as key precursors of instability in rock-coal combinations. Among the machine learning-based models constructed for identifying the staged fracture propagation states, light gradient boosting machine (LGB) performs the best overall, achieving a prediction accuracy of over 85% across all stages. Such a result verifies the strong characterization capability of fused AE parameter analysis for dynamic fracture evolution. The comprehensive early warning indicator CWI(t) was proposed, and its weight coefficients were optimized by SHapley Additive exPlanations (SHAP) interpretability analysis, which markedly enhances the systematicity and robustness of instability risk assessment. These findings provide both a theoretical foundation and a data-driven method for the stability monitoring and early warning of the S-C combination bearing structure in continuous driving and gangue backfilling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同轴激光多喷头静电纺丝实时监控及闭环控制系统</w:t>
      </w:r>
    </w:p>
    <w:p>
      <w:r>
        <w:rPr>
          <w:rFonts w:ascii="Times New Roman" w:hAnsi="Times New Roman" w:eastAsia="宋体"/>
          <w:b/>
          <w:color w:val="003264"/>
          <w:sz w:val="24"/>
        </w:rPr>
        <w:t>Real-time monitoring and closed-loop control system for multi-jet electrospinning with coaxial laser</w:t>
      </w:r>
    </w:p>
    <w:p>
      <w:r>
        <w:rPr>
          <w:rFonts w:ascii="Times New Roman" w:hAnsi="Times New Roman" w:eastAsia="宋体"/>
          <w:sz w:val="21"/>
        </w:rPr>
        <w:t>作者: Jiaxin Jiang, Zhengtao Sun, Junyu Chen, Huatan Chen, Gaofeng Zheng, Xiang Wang, Ruifang Ye, Wenwang Li</w:t>
        <w:br/>
      </w:r>
      <w:r>
        <w:rPr>
          <w:rFonts w:ascii="Times New Roman" w:hAnsi="Times New Roman" w:eastAsia="宋体"/>
          <w:sz w:val="21"/>
        </w:rPr>
        <w:t xml:space="preserve">时间: 2026-02-11 | </w:t>
      </w:r>
      <w:r>
        <w:t xml:space="preserve">链接: </w:t>
      </w:r>
      <w:hyperlink r:id="rId36">
        <w:r>
          <w:rPr>
            <w:rFonts w:ascii="Times New Roman" w:hAnsi="Times New Roman" w:eastAsia="宋体"/>
            <w:color w:val="0000FF"/>
            <w:sz w:val="21"/>
            <w:u w:val="single"/>
          </w:rPr>
          <w:t>https://doi.org/10.1038/s41598-026-39655-5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射流静电纺丝的实时监测和控制对于提高纳米纤维膜的质量具有重要意义。本文建立了一种采用同轴激光的多射流静电纺丝系统，以提高射流可见度，有利于射流特征的准确识别。设计了包括图像预处理、射流特征分割和射流特征识别模块的多射流特征识别算法，将图像处理检测泰勒锥区域和可见射流长度的多射流特征的处理时间缩短到40ms以内。然后设计了多射流喷射模式的判断规则，根据识别的射流特征参数将多射流喷射模式分为四种状态。根据确定的多射流特征，设计了以施加电压为调节参数的闭环控制系统。经过实验验证，成功获得了纤维直径分布均匀、质量良好的纳米纤维膜。这项工作对于提高纳米纤维膜的质量和加速静电纺丝技术的工业应用具有巨大的潜力。</w:t>
      </w:r>
    </w:p>
    <w:p>
      <w:pPr>
        <w:spacing w:before="120"/>
      </w:pPr>
      <w:r>
        <w:rPr>
          <w:rFonts w:ascii="Times New Roman" w:hAnsi="Times New Roman" w:eastAsia="宋体"/>
          <w:b/>
          <w:sz w:val="21"/>
        </w:rPr>
        <w:t>English Abstract:</w:t>
      </w:r>
    </w:p>
    <w:p>
      <w:r>
        <w:rPr>
          <w:rFonts w:ascii="Times New Roman" w:hAnsi="Times New Roman" w:eastAsia="宋体"/>
          <w:sz w:val="21"/>
        </w:rPr>
        <w:t>The real-time monitoring and control of multi-jet electrospinning is significant to promote the quality of produced nanofiber membranes. In this paper, a multi-jet electrospinning system with coaxial laser was established to promote the jet visibility, which was beneficial for the accurate identification of jet features. A multi-jet feature recognition algorithm including the modules of image pre-processing, the jet feature segmentation and the jet feature identification was designed, and the processing time for the image processing to detect the multi-jet features of Taylor cone areas and visible jet lengths could be shortened to within 40ms. Then, the judgement rule of multi-jet ejection mode was designed and the multi-jet ejection mode was divided into four states according to the recognized jet feature parameters. Based on the identified multi-jet features, a closed-loop control system was designed with the applied voltage as the adjustment parameter. Through experimental verification, nanofiber membranes of good quality with uniform fiber diameter distribution were successfully obtained. This work has significant potential to promote the quality of produced nanofiber membranes and to accelerate the industrial applications of electrospinning technology.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用于评估与动脉瘤投影相关的前交通动脉瘤破裂风险的数值流实验</w:t>
      </w:r>
    </w:p>
    <w:p>
      <w:r>
        <w:rPr>
          <w:rFonts w:ascii="Times New Roman" w:hAnsi="Times New Roman" w:eastAsia="宋体"/>
          <w:b/>
          <w:color w:val="003264"/>
          <w:sz w:val="24"/>
        </w:rPr>
        <w:t>A numerical flow experiment for assessing the risk of rupture in anterior communicating artery aneurysms in relation to aneurysm projection</w:t>
      </w:r>
    </w:p>
    <w:p>
      <w:r>
        <w:rPr>
          <w:rFonts w:ascii="Times New Roman" w:hAnsi="Times New Roman" w:eastAsia="宋体"/>
          <w:sz w:val="21"/>
        </w:rPr>
        <w:t>作者: Karol Wiśniewski, Zbigniew Tyfa, Anna Dębska, Karol Zaczkowski, Dariusz J. Jaskólski, Michael G. Brandel, Yasuaki Inoue</w:t>
        <w:br/>
      </w:r>
      <w:r>
        <w:rPr>
          <w:rFonts w:ascii="Times New Roman" w:hAnsi="Times New Roman" w:eastAsia="宋体"/>
          <w:sz w:val="21"/>
        </w:rPr>
        <w:t xml:space="preserve">时间: 2026-02-11 | </w:t>
      </w:r>
      <w:r>
        <w:t xml:space="preserve">链接: </w:t>
      </w:r>
      <w:hyperlink r:id="rId101">
        <w:r>
          <w:rPr>
            <w:rFonts w:ascii="Times New Roman" w:hAnsi="Times New Roman" w:eastAsia="宋体"/>
            <w:color w:val="0000FF"/>
            <w:sz w:val="21"/>
            <w:u w:val="single"/>
          </w:rPr>
          <w:t>https://doi.org/10.1038/s41598-026-38826-8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前交通动脉 (AcoA) 动脉瘤可能向不同方向突出——前、后、上或下——每个方向都可以显着改变动脉瘤内的血流模式，并可能影响破裂风险。本研究探讨了动脉瘤投射方向对与破裂和血栓形成相关的血流动力学特征的影响。使用 AcoA 动脉瘤的理想化参数模型进行瞬态计算流体动力学 (CFD) 模拟，该模型具有四种定义的投影类型：前部（朝向额叶）、后部（朝向视交叉）、上部（朝向下丘脑）和下部（朝向颅底）。分析了两个动脉瘤的大小。在代表生理性脑循环的脉动流条件下，将血液建模为非牛顿剪切稀化流体。在多个心动周期中评估了关键的血液动力学参数，包括壁剪切应力及其空间梯度、压力、速度、涡度、相对停留时间、粘度和血液冲刷。虽然整体脑血流分布保持不变，但动脉瘤投影在动脉瘤内血流动力学方面产生了显着差异。向前突出的动脉瘤表现出更高的速度、更强的涡流结构、升高的壁剪切应力和快速的血液冲刷，表明容易破裂的血流环境。相反，向下突出的动脉瘤表现出低速度、高粘度、涡度降低和血液停留时间延长，这与有利于囊内血栓形成的条件一致。这些依赖于投影的模式在两种尺寸的动脉瘤中均得到保留。动脉瘤投射方向是 AcoA 动脉瘤血流动力学的关键决定因素，与大小无关。前部投射与血流状况相关，而血流状况会增加破裂风险，而下方投射会促进血流停滞和血栓形成的可能性。这些发现强调了将预测特异性血流动力学评估纳入超出基于大小标准的动脉瘤风险分层的重要性。</w:t>
      </w:r>
    </w:p>
    <w:p>
      <w:pPr>
        <w:spacing w:before="120"/>
      </w:pPr>
      <w:r>
        <w:rPr>
          <w:rFonts w:ascii="Times New Roman" w:hAnsi="Times New Roman" w:eastAsia="宋体"/>
          <w:b/>
          <w:sz w:val="21"/>
        </w:rPr>
        <w:t>English Abstract:</w:t>
      </w:r>
    </w:p>
    <w:p>
      <w:r>
        <w:rPr>
          <w:rFonts w:ascii="Times New Roman" w:hAnsi="Times New Roman" w:eastAsia="宋体"/>
          <w:sz w:val="21"/>
        </w:rPr>
        <w:t>Anterior communicating artery (AcoA) aneurysms may project in different directions - anterior, posterior, superior, or inferior - each of which can substantially alter intra-aneurysmal flow patterns and potentially influence rupture risk. The present study investigates the impact of aneurysm projection direction on hemodynamic characteristics associated with rupture and thrombosis. Transient computational fluid dynamics (CFD) simulations were performed using idealized, parametric models of AcoA aneurysms with four defined projection types: anterior (toward the frontal lobe), posterior (toward the optic chiasm), superior (toward the hypothalamus), and inferior (toward the skull base). Two aneurysm sizes were analyzed. Blood was modeled as a non-Newtonian, shear-thinning fluid under pulsatile flow conditions representative of physiological cerebral circulation. Key hemodynamic parameters, including wall shear stress and its spatial gradient, pressure, velocity, vorticity, relative residence time, viscosity, and blood washout were evaluated over multiple cardiac cycles. While global cerebral flow distribution remained unchanged, aneurysm projection produced marked differences in intra-aneurysmal hemodynamics. Anteriorly projecting aneurysms exhibited higher velocities, stronger vortical structures, elevated wall shear stress, and rapid blood washout, indicating a rupture-prone flow environment. In contrast, inferiorly projecting aneurysms demonstrated low velocity, high viscosity, reduced vorticity, and prolonged blood residence time, consistent with conditions favoring intrasaccular thrombosis. These projection-dependent patterns were preserved across both aneurysm sizes. Aneurysm projection direction is a critical determinant of AcoA aneurysm hemodynamics, independent of size. Anterior projections are associated with flow conditions linked to increased rupture risk, whereas inferior projections promote flow stagnation and thrombotic potential. These findings highlight the importance of incorporating projection-specific hemodynamic assessment into aneurysm risk stratification beyond size-based criteria.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玉米秸秆灰硅粉胶凝材料高强混凝土配合比优化及水化研究</w:t>
      </w:r>
    </w:p>
    <w:p>
      <w:r>
        <w:rPr>
          <w:rFonts w:ascii="Times New Roman" w:hAnsi="Times New Roman" w:eastAsia="宋体"/>
          <w:b/>
          <w:color w:val="003264"/>
          <w:sz w:val="24"/>
        </w:rPr>
        <w:t>Optimization of mix proportions and hydration study of high-strength concrete incorporating corn stalk ash and silica fume as supplementary cementitious materials</w:t>
      </w:r>
    </w:p>
    <w:p>
      <w:r>
        <w:rPr>
          <w:rFonts w:ascii="Times New Roman" w:hAnsi="Times New Roman" w:eastAsia="宋体"/>
          <w:sz w:val="21"/>
        </w:rPr>
        <w:t>作者: Rui Wang, Yulin Chen, Gengyue Wei, Yiqi Wang, Xinran Xie</w:t>
        <w:br/>
      </w:r>
      <w:r>
        <w:rPr>
          <w:rFonts w:ascii="Times New Roman" w:hAnsi="Times New Roman" w:eastAsia="宋体"/>
          <w:sz w:val="21"/>
        </w:rPr>
        <w:t xml:space="preserve">时间: 2026-02-11 | </w:t>
      </w:r>
      <w:r>
        <w:t xml:space="preserve">链接: </w:t>
      </w:r>
      <w:hyperlink r:id="rId102">
        <w:r>
          <w:rPr>
            <w:rFonts w:ascii="Times New Roman" w:hAnsi="Times New Roman" w:eastAsia="宋体"/>
            <w:color w:val="0000FF"/>
            <w:sz w:val="21"/>
            <w:u w:val="single"/>
          </w:rPr>
          <w:t>https://doi.org/10.1038/s41598-026-39419-1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减轻随意处置玉米秸秆和水泥生产造成的环境污染，本研究利用玉米秸秆灰（CSA）和硅灰（SF）作为胶凝材料的部分替代品，配制生物质灰高强混凝土。研究重点是三个关键变量——CSA含量、水胶比（W/B）和砂胶比（S/B）对玉米秆高强混凝土（CSHC）抗压强度的影响。采用正交试验设计，分析确定影响28天抗压强度的因素顺序为：S/B&gt;CSA含量&gt;W/B。在CSA含量15%、W/B比为0.21、S/B比为1.2的条件下，CHSC的28天抗压强度最高为109.7MPa。使用 X 射线衍射 (XRD) 和扫描电子显微镜结合能量色散光谱 (SEM-EDS) 对 7 天和 28 天时最高强度样品中的水合产物进行表征。结果表明，CSA中丰富的活性SiO2显着促进了水泥的二次水化，导致硅酸钙水合物（C-S-H）的形成增加，从而提高了CSHC的机械强度。该研究为CSA作为辅助胶凝材料生产高强生物质灰混凝土的工程应用提供了理论基础。</w:t>
      </w:r>
    </w:p>
    <w:p>
      <w:pPr>
        <w:spacing w:before="120"/>
      </w:pPr>
      <w:r>
        <w:rPr>
          <w:rFonts w:ascii="Times New Roman" w:hAnsi="Times New Roman" w:eastAsia="宋体"/>
          <w:b/>
          <w:sz w:val="21"/>
        </w:rPr>
        <w:t>English Abstract:</w:t>
      </w:r>
    </w:p>
    <w:p>
      <w:r>
        <w:rPr>
          <w:rFonts w:ascii="Times New Roman" w:hAnsi="Times New Roman" w:eastAsia="宋体"/>
          <w:sz w:val="21"/>
        </w:rPr>
        <w:t>To mitigate environmental pollution caused by the indiscriminate disposal of corn stalks and cement production, this study utilized corn stalk ash (CSA) and silica fume (SF) as partial replacements for cementitious materials in the formulation of biomass ash high-strength concrete. The investigation focused on the effects of three key variables—CSA content, water-to-binder ratio (W/B), and sand-to-binder ratio (S/B)—on the compressive strength of corn stalk high-strength concrete(CSHC). Using an orthogonal experimental design, the analysis determined that the factors influenced the 28-day compressive strength in the following order: S/B &gt; CSA content &gt; W/B.The highest 28-day compressive strength of CHSC, measured at 109.7 MPa, was achieved under the conditions of 15% CSA content, a W/B ratio of 0.21, and an S/B ratio of 1.2. Characterization of hydration products in the highest-strength samples at 7 and 28 days was performed using X-ray diffraction (XRD) and scanning electron microscopy coupled with energy-dispersive spectroscopy (SEM–EDS). The results revealed that the abundant reactive SiO2 in CSA significantly promotes the secondary hydration of cement, leading to increased formation of calcium silicate hydrate (C–S–H) and thereby enhancing the mechanical strength of CSHC. This research provides a theoretical foundation supporting the engineering application of CSA as a supplementary cementitious material in the production of high-strength biomass ash concrete.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针对有 OHSS 风险的 PCOS 患者补充虾青素的探索性试点试验，重点关注 RAGE-NFκB 通路</w:t>
      </w:r>
    </w:p>
    <w:p>
      <w:r>
        <w:rPr>
          <w:rFonts w:ascii="Times New Roman" w:hAnsi="Times New Roman" w:eastAsia="宋体"/>
          <w:b/>
          <w:color w:val="003264"/>
          <w:sz w:val="24"/>
        </w:rPr>
        <w:t>Exploratory pilot trial of astaxanthin supplementation in PCOS patients at risk of OHSS with focus on RAGE–NFκB pathway</w:t>
      </w:r>
    </w:p>
    <w:p>
      <w:r>
        <w:rPr>
          <w:rFonts w:ascii="Times New Roman" w:hAnsi="Times New Roman" w:eastAsia="宋体"/>
          <w:sz w:val="21"/>
        </w:rPr>
        <w:t>作者: Arezoo Maleki-Hajiagha, Ashraf Aleyasin, Fardin Amidi</w:t>
        <w:br/>
      </w:r>
      <w:r>
        <w:rPr>
          <w:rFonts w:ascii="Times New Roman" w:hAnsi="Times New Roman" w:eastAsia="宋体"/>
          <w:sz w:val="21"/>
        </w:rPr>
        <w:t xml:space="preserve">时间: 2026-02-11 | </w:t>
      </w:r>
      <w:r>
        <w:t xml:space="preserve">链接: </w:t>
      </w:r>
      <w:hyperlink r:id="rId103">
        <w:r>
          <w:rPr>
            <w:rFonts w:ascii="Times New Roman" w:hAnsi="Times New Roman" w:eastAsia="宋体"/>
            <w:color w:val="0000FF"/>
            <w:sz w:val="21"/>
            <w:u w:val="single"/>
          </w:rPr>
          <w:t>https://doi.org/10.1038/s41598-026-36449-7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多囊卵巢综合征（PCOS）是控制性卵巢刺激（COS）期间卵巢过度刺激综合征（OHSS）的主要危险因素。由晚期糖基化终末产物 (AGE) - AGE 受体 (RAGE) - 核因子 kappa-B (NFκB) 通路介导的氧化应激和炎症会导致 OHSS 的发生和卵母细胞质量受损。虾青素 (AST) 是一种有效的抗氧化剂，可以调节该途径。在这项采用三盲、随机、安慰剂对照设计的探索性试点试验中，44 名 OHSS 高风险 PCOS 患者被分配接受 AST (n = 22) 或安慰剂 (n = 22) 辅助 COS 方案。 COS 采用促性腺激素释放激素 (GnRH) 拮抗剂方案和个体化促性腺激素剂量进行。各组之间的刺激特征、促性腺激素剂量和卵泡分布具有可比性。使用 AST 回收卵母细胞的平均数量略高，并且卵母细胞成熟率 (OMR) 显着更高。 AST 组在触发日的雌二醇和孕酮水平较低，但没有统计学意义。分子分析显示，颗粒细胞 (GC) 中 RAGE 表达减少，磷酸化 kappa-B 抑制剂 (pIκB)/kappa-B 抑制剂 (IκB) 比例降低，卵泡液 (FF) 中白细胞介素 6 (IL-6) 显着降低，血管内皮生长因子 (VEGF) 呈下降趋势。这些研究结果表明，补充 AST 可以改善 COS 结局并有利地调节炎症通路，有可能降低高危 PCOS 患者的 OHSS 风险。然而，该试点试验的力度不足以确认主要 OHSS 终点，需要更大规模的研究进行验证。试用注册：注册ID：IRCT20231028059882N2；报名日期：2024年6月15日；更新日期：2025-03-16；直接访问链接：https://irct.behdasht.gov.ir/Trial/77250。</w:t>
      </w:r>
    </w:p>
    <w:p>
      <w:pPr>
        <w:spacing w:before="120"/>
      </w:pPr>
      <w:r>
        <w:rPr>
          <w:rFonts w:ascii="Times New Roman" w:hAnsi="Times New Roman" w:eastAsia="宋体"/>
          <w:b/>
          <w:sz w:val="21"/>
        </w:rPr>
        <w:t>English Abstract:</w:t>
      </w:r>
    </w:p>
    <w:p>
      <w:r>
        <w:rPr>
          <w:rFonts w:ascii="Times New Roman" w:hAnsi="Times New Roman" w:eastAsia="宋体"/>
          <w:sz w:val="21"/>
        </w:rPr>
        <w:t>Polycystic ovary syndrome (PCOS) is a major risk factor for ovarian hyperstimulation syndrome (OHSS) during controlled ovarian stimulation (COS). Oxidative stress and inflammation, mediated by the advanced glycation end products (AGE)–receptor for AGE (RAGE)–nuclear factor kappa-B (NFκB) pathway, contribute to OHSS development and impaired oocyte quality. Astaxanthin (AST), a potent antioxidant, may modulate this pathway. In this exploratory pilot trial using a triple‑blind, randomized, placebo‑controlled design, 44 PCOS patients at high risk for OHSS were assigned to receive AST (n = 22) or placebo (n = 22) adjunct to the COS regimen. COS was performed using a gonadotropin-releasing hormone (GnRH) antagonist protocol with individualized gonadotropin dosing. Stimulation characteristics, gonadotropin dose, and follicle distribution were comparable between groups. The mean number of retrieved oocytes was slightly higher with AST, and the oocyte maturity rate (OMR) was significantly greater. Estradiol and progesterone levels on trigger day were lower in the AST group, though not statistically significant. Molecular analyses showed reduced RAGE expression, a lower phosphorylated inhibitor of kappa-B (pIκB)/inhibitor of kappa-B (IκB) ratio in granulosa cells (GCs), and significantly decreased interleukin-6 (IL-6) in follicular fluid (FF), with vascular endothelial growth factor (VEGF) showing a downward trend. These findings suggest that AST supplementation may improve COS outcomes and favorably modulate inflammatory pathways, with potential to reduce OHSS risk in high-risk PCOS patients. However, this pilot trial was not powered enough to confirm the primary OHSS endpoint, and larger studies are required for validation. Trial registration: Registration ID: IRCT20231028059882N2; Registration date: 2024-06-15; Update date: 2025-03-16; Direct Access Link: https://irct.behdasht.gov.ir/trial/77250.</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抑制基波谐振时屏蔽环路的环路电流</w:t>
      </w:r>
    </w:p>
    <w:p>
      <w:r>
        <w:rPr>
          <w:rFonts w:ascii="Times New Roman" w:hAnsi="Times New Roman" w:eastAsia="宋体"/>
          <w:b/>
          <w:color w:val="003264"/>
          <w:sz w:val="24"/>
        </w:rPr>
        <w:t>Suppressing loop current of shielded loops at fundamental resonance</w:t>
      </w:r>
    </w:p>
    <w:p>
      <w:r>
        <w:rPr>
          <w:rFonts w:ascii="Times New Roman" w:hAnsi="Times New Roman" w:eastAsia="宋体"/>
          <w:sz w:val="21"/>
        </w:rPr>
        <w:t>作者: Wenjun Wang, Rasmus Alexander Jepsen, Juan Diego Sánchez-Heredia, Vitaliy Zhurbenko, Jan Henrik Ardenkjær-Larsen</w:t>
        <w:br/>
      </w:r>
      <w:r>
        <w:rPr>
          <w:rFonts w:ascii="Times New Roman" w:hAnsi="Times New Roman" w:eastAsia="宋体"/>
          <w:sz w:val="21"/>
        </w:rPr>
        <w:t xml:space="preserve">时间: 2026-02-11 | </w:t>
      </w:r>
      <w:r>
        <w:t xml:space="preserve">链接: </w:t>
      </w:r>
      <w:hyperlink r:id="rId104">
        <w:r>
          <w:rPr>
            <w:rFonts w:ascii="Times New Roman" w:hAnsi="Times New Roman" w:eastAsia="宋体"/>
            <w:color w:val="0000FF"/>
            <w:sz w:val="21"/>
            <w:u w:val="single"/>
          </w:rPr>
          <w:t>https://doi.org/10.1038/s41598-026-36956-7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在磁共振成像（MRI）中，小环形天线/线圈阵列广泛用于信号接收。在此类阵列中，必须抑制环路电流，以防止接收阵列中的发射天线或其他元件失谐，从而保持图像质量。虽然抑制传统环形天线/线圈中的电流很简单，但在屏蔽环路中实现有效抑制仍然是一个尚未解决的挑战。在本文中，我们推导了在基波谐振时最佳抑制屏蔽环路环路电流的理论原理，并通过实验进行验证。通过仔细选择天线输出端的电气负载可以实现最大电流抑制。我们确定了特定于屏蔽环路的环路电感和负载电感之间的关键关系。我们的结果表明，与直接但次优的短路天线输出方法相比，最佳抑制方法将环路电流额外减少​​了 31-36 dB。这些发现可以促进为 MRI 应用开发更强大的天线/线圈阵列。</w:t>
      </w:r>
    </w:p>
    <w:p>
      <w:pPr>
        <w:spacing w:before="120"/>
      </w:pPr>
      <w:r>
        <w:rPr>
          <w:rFonts w:ascii="Times New Roman" w:hAnsi="Times New Roman" w:eastAsia="宋体"/>
          <w:b/>
          <w:sz w:val="21"/>
        </w:rPr>
        <w:t>English Abstract:</w:t>
      </w:r>
    </w:p>
    <w:p>
      <w:r>
        <w:rPr>
          <w:rFonts w:ascii="Times New Roman" w:hAnsi="Times New Roman" w:eastAsia="宋体"/>
          <w:sz w:val="21"/>
        </w:rPr>
        <w:t>Abstract In magnetic resonance imaging (MRI), arrays of small loop antennas/coils are extensively used for signal reception. In such arrays, the loop current must be suppressed to prevent transmit antennas or other elements in a receive array from being detuned, thereby preserving image quality. While suppressing the current in conventional loop antennas/coils is straightforward, achieving effective suppression in shielded loops has remained an unresolved challenge. In this article, we derive theoretical principles for optimally suppressing the loop current of shielded loops at fundamental resonance and verify them experimentally. Maximal current suppression is achieved by carefully selecting the electrical load at the antenna outputs. We identify a critical relationship between loop inductance and load inductance specific to shielded loops. Our results demonstrate that the optimal suppression method reduces loop current by an additional 31–36 dB compared with the straightforward yet suboptimal approach of shorting the antenna outputs. These findings can facilitate the development of more robust antenna/coil arrays for MRI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使用改进的无镜面成像和 EfficientNetB2 进行肾脏疾病检测的两阶段深度学习框架</w:t>
      </w:r>
    </w:p>
    <w:p>
      <w:r>
        <w:rPr>
          <w:rFonts w:ascii="Times New Roman" w:hAnsi="Times New Roman" w:eastAsia="宋体"/>
          <w:b/>
          <w:color w:val="003264"/>
          <w:sz w:val="24"/>
        </w:rPr>
        <w:t>A two-stage deep learning framework for kidney disease detection using modified specular-free imaging and EfficientNetB2</w:t>
      </w:r>
    </w:p>
    <w:p>
      <w:r>
        <w:rPr>
          <w:rFonts w:ascii="Times New Roman" w:hAnsi="Times New Roman" w:eastAsia="宋体"/>
          <w:sz w:val="21"/>
        </w:rPr>
        <w:t>作者: Noha A. El-Hag, Walid El-Shafai, Hayam A. Abd El-Hameed, Naglaa F. Soliman, Abeer D. Algarni, Fathi E. Abd El-Samie</w:t>
        <w:br/>
      </w:r>
      <w:r>
        <w:rPr>
          <w:rFonts w:ascii="Times New Roman" w:hAnsi="Times New Roman" w:eastAsia="宋体"/>
          <w:sz w:val="21"/>
        </w:rPr>
        <w:t xml:space="preserve">时间: 2026-02-11 | </w:t>
      </w:r>
      <w:r>
        <w:t xml:space="preserve">链接: </w:t>
      </w:r>
      <w:hyperlink r:id="rId105">
        <w:r>
          <w:rPr>
            <w:rFonts w:ascii="Times New Roman" w:hAnsi="Times New Roman" w:eastAsia="宋体"/>
            <w:color w:val="0000FF"/>
            <w:sz w:val="21"/>
            <w:u w:val="single"/>
          </w:rPr>
          <w:t>https://doi.org/10.1038/s41598-025-04606-z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肾脏疾病是一个重大的公共卫生问题，其发病率在过去十年中显着增加。为了应对这一挑战，我们的研究引入了复杂的两阶段诊断模型，以提高各种肾脏病理的检测准确性。所提出模型的初始阶段包括一种新颖的改良无镜面反射 (MSF) 技术，旨在提高肾脏图像的视觉质量。该技术通过应用有针对性的增强来自适应地增强图像细节，以更好地区分暗和亮的亮度级别。该技术的目的是恢复关键图像信息并丰富具有诊断意义的区域的颜色表示。然后，增强后的图像将通过第二阶段进行处理，其中涉及使用 EfficientNet-B2 深度学习架构进行分类。我们的模型与一套已建立的预训练模型进行了严格比较，包括 VGG16、ResNet50、VGG19、DenseNet121、DenseNet169、DenseNet201、EfficientNet-B0、EfficientNet-B1 和 EfficientNet-B3。综合测试表明，我们的模型不仅优于这些基准，而且准确率高达 98.27%。该模型能够有效区分正常肾脏状况和肿瘤、肾结石和囊肿等各种病理，进一步确保了模型的稳健性。这项研究不仅展示了将先进图像增强技术与尖端分类模型相结合的潜力，而且还引入了一种可扩展的方法，用于提高其他复杂医学成像环境中的诊断准确性。</w:t>
      </w:r>
    </w:p>
    <w:p>
      <w:pPr>
        <w:spacing w:before="120"/>
      </w:pPr>
      <w:r>
        <w:rPr>
          <w:rFonts w:ascii="Times New Roman" w:hAnsi="Times New Roman" w:eastAsia="宋体"/>
          <w:b/>
          <w:sz w:val="21"/>
        </w:rPr>
        <w:t>English Abstract:</w:t>
      </w:r>
    </w:p>
    <w:p>
      <w:r>
        <w:rPr>
          <w:rFonts w:ascii="Times New Roman" w:hAnsi="Times New Roman" w:eastAsia="宋体"/>
          <w:sz w:val="21"/>
        </w:rPr>
        <w:t>Kidney diseases represent a substantial public health concern, with their incidence increasing markedly over the past decade. Addressing this challenge, our research introduces a sophisticated two-stage diagnostic model for enhancing the detection accuracy of various kidney pathologies. The initial stage of the proposed model comprises a novel Modified Specular-Free (MSF) technique designed to improve the visual quality of renal images. This technique adaptively enhances image details by applying targeted enhancements for more discrimination between dark and bright luminance levels. The objective of this technique is to restore critical image information and enrich color representation in diagnostically-significant areas. The enhanced images are then processed through the second stage, which involves classification using the EfficientNet-B2 deep learning architecture. Our model was rigorously compared against a suite of established pre-trained models, including VGG16, ResNet50, VGG19, DenseNet121, DenseNet169, DenseNet201, EfficientNet-B0, EfficientNet-B1, and EfficientNet-B3. Comprehensive testing revealed that our model not only outperforms these benchmarks, but does so with a notable accuracy of 98.27%. The robustness of the model was further ensured through its capability to effectively differentiate between normal renal conditions and various pathologies such as tumors, kidney stones, and cysts. This research not only demonstrates the potential of integrating advanced image enhancement techniques with cutting-edge classification models but also introduces a scalable approach for improving diagnostic accuracies in other complex medical imaging contexts.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胃癌脏坏死和肿瘤坏死的预后评估</w:t>
      </w:r>
    </w:p>
    <w:p>
      <w:r>
        <w:rPr>
          <w:rFonts w:ascii="Times New Roman" w:hAnsi="Times New Roman" w:eastAsia="宋体"/>
          <w:b/>
          <w:color w:val="003264"/>
          <w:sz w:val="24"/>
        </w:rPr>
        <w:t>Prognostic evaluation of dirty necrosis and tumor necrosis in gastric cancers</w:t>
      </w:r>
    </w:p>
    <w:p>
      <w:r>
        <w:rPr>
          <w:rFonts w:ascii="Times New Roman" w:hAnsi="Times New Roman" w:eastAsia="宋体"/>
          <w:sz w:val="21"/>
        </w:rPr>
        <w:t>作者: Nazlı Sena Şeker, Osman Furkan Mülkem, Evrim Yılmaz, Funda Canaz, Metin Demir, Bülent Yıldız, Gözde Ağdaş, Muzaffer Bilgin</w:t>
        <w:br/>
      </w:r>
      <w:r>
        <w:rPr>
          <w:rFonts w:ascii="Times New Roman" w:hAnsi="Times New Roman" w:eastAsia="宋体"/>
          <w:sz w:val="21"/>
        </w:rPr>
        <w:t xml:space="preserve">时间: 2026-02-11 | </w:t>
      </w:r>
      <w:r>
        <w:t xml:space="preserve">链接: </w:t>
      </w:r>
      <w:hyperlink r:id="rId106">
        <w:r>
          <w:rPr>
            <w:rFonts w:ascii="Times New Roman" w:hAnsi="Times New Roman" w:eastAsia="宋体"/>
            <w:color w:val="0000FF"/>
            <w:sz w:val="21"/>
            <w:u w:val="single"/>
          </w:rPr>
          <w:t>https://doi.org/10.1038/s41598-026-39605-1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探讨了胃癌中肿瘤坏死和脏坏死的预后意义。肿瘤坏死通常与肿瘤快速生长和血管化不足有关，是多种癌症类型中已知的不良预后指标。脏性坏死是中性粒细胞和坏死碎片中常见的一种特殊形式，在结直肠癌和肾细胞癌等癌症中具有预后价值。肿瘤相关中性粒细胞 (TAN) 和 NETosis（中性粒细胞释放细胞外陷阱的过程）的存在也在肿瘤进展和预后中发挥着作用。这项研究纳入了 187 名在埃斯基谢希尔奥斯曼加齐大学接受手术的胃癌患者。 39.6% 的病例存在脏性坏死，脏性坏死与肿瘤类型、分级、淋巴结分期和 TIL 存在之间存在显着关联。该研究表明，脏坏死与较长的无复发生存期和总生存期相关。此外，脏坏死和显着 TIL 的患者表现出更好的生存结果。研究结果表明脏坏死，特别是与 TIL 相关时，可能表明胃癌的预后较好。这项研究强调了重新评估坏死类型在胃癌预后和治疗策略中的重要性。</w:t>
      </w:r>
    </w:p>
    <w:p>
      <w:pPr>
        <w:spacing w:before="120"/>
      </w:pPr>
      <w:r>
        <w:rPr>
          <w:rFonts w:ascii="Times New Roman" w:hAnsi="Times New Roman" w:eastAsia="宋体"/>
          <w:b/>
          <w:sz w:val="21"/>
        </w:rPr>
        <w:t>English Abstract:</w:t>
      </w:r>
    </w:p>
    <w:p>
      <w:r>
        <w:rPr>
          <w:rFonts w:ascii="Times New Roman" w:hAnsi="Times New Roman" w:eastAsia="宋体"/>
          <w:sz w:val="21"/>
        </w:rPr>
        <w:t>This study examines the prognostic significance of tumor necrosis and dirty necrosis in gastric cancer. Tumor necrosis, often linked to rapid tumor growth and insufficient vascularization, is a known poor prognostic indicator in several cancer types. Dirty necrosis, a special form seen with neutrophils and necrotic debris, has prognostic value in cancers like colorectal carcinoma and renal cell carcinoma. The presence of tumor-associated neutrophils (TANs) and NETosis, a process where neutrophils release extracellular traps, also plays a role in tumor progression and prognosis. This study included 187 gastric cancer patients who underwent surgery at Eskisehir Osmangazi University. Dirty necrosis was present in 39.6% of cases, with significant associations found between dirty necrosis and tumor type, grade, lymph node stage, and TIL presence. The study demonstrated that dirty necrosis correlated with longer recurrence-free survival and overall survival. Additionally, patients with dirty necrosis and prominent TILs exhibited improved survival outcomes. The findings suggest that dirty necrosis, particularly when associated with TIL, may indicate a better prognosis in gastric cancer. This study highlights the importance of re-evaluating necrosis types in gastric cancer prognosis and treatment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来自非弹性 X 射线散射的超临界 $$\text {CO}_2$$ 中的二元动力学</w:t>
      </w:r>
    </w:p>
    <w:p>
      <w:r>
        <w:rPr>
          <w:rFonts w:ascii="Times New Roman" w:hAnsi="Times New Roman" w:eastAsia="宋体"/>
          <w:b/>
          <w:color w:val="003264"/>
          <w:sz w:val="24"/>
        </w:rPr>
        <w:t>Two-component dynamics in supercritical $$\text {CO}_2$$ from inelastic X-ray scattering</w:t>
      </w:r>
    </w:p>
    <w:p>
      <w:r>
        <w:rPr>
          <w:rFonts w:ascii="Times New Roman" w:hAnsi="Times New Roman" w:eastAsia="宋体"/>
          <w:sz w:val="21"/>
        </w:rPr>
        <w:t>作者: Arijit Majumdar, Peihao Sun, Madison Singleton, Luigi Paolasini, Alexey Bosak, Alfred Q. R. Baron, Jerome Hastings, Matthias Ihme</w:t>
        <w:br/>
      </w:r>
      <w:r>
        <w:rPr>
          <w:rFonts w:ascii="Times New Roman" w:hAnsi="Times New Roman" w:eastAsia="宋体"/>
          <w:sz w:val="21"/>
        </w:rPr>
        <w:t xml:space="preserve">时间: 2026-02-11 | </w:t>
      </w:r>
      <w:r>
        <w:t xml:space="preserve">链接: </w:t>
      </w:r>
      <w:hyperlink r:id="rId107">
        <w:r>
          <w:rPr>
            <w:rFonts w:ascii="Times New Roman" w:hAnsi="Times New Roman" w:eastAsia="宋体"/>
            <w:color w:val="0000FF"/>
            <w:sz w:val="21"/>
            <w:u w:val="single"/>
          </w:rPr>
          <w:t>https://doi.org/10.1038/s41598-026-38697-z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超临界流体具有独特的热力学性质。这些特性之一是存在与流体的不同低频和高频振动响应相关的二分量动力学。然而，这种行为的起源仍然未知。通过结合非弹性 X 射线散射和分子动力学模拟，我们表明这种行为可以与分子簇产生的密度异质性相关。对测量和分子轨迹的分析表明，由于簇状分子和未结合分子的独特动量波动而出现了双组分动力学。团簇和二元动力学之间的这种联系凸显了超临界流体、胶体和凝聚态物质系统中分子结构异质性的重要性。</w:t>
      </w:r>
    </w:p>
    <w:p>
      <w:pPr>
        <w:spacing w:before="120"/>
      </w:pPr>
      <w:r>
        <w:rPr>
          <w:rFonts w:ascii="Times New Roman" w:hAnsi="Times New Roman" w:eastAsia="宋体"/>
          <w:b/>
          <w:sz w:val="21"/>
        </w:rPr>
        <w:t>English Abstract:</w:t>
      </w:r>
    </w:p>
    <w:p>
      <w:r>
        <w:rPr>
          <w:rFonts w:ascii="Times New Roman" w:hAnsi="Times New Roman" w:eastAsia="宋体"/>
          <w:sz w:val="21"/>
        </w:rPr>
        <w:t>Supercritical fluids are characterized by unique thermodynamic properties. One of these properties is the existence of two-component dynamics that is associated with distinct low-frequency and high-frequency vibrational responses of the fluid. However, the origin of this behavior remains unknown. By combining inelastic X-ray scattering and molecular dynamics simulations, we show that this behavior can be connected to density heterogeneities arising from molecular clusters. Analyses of measurements and molecular trajectories suggest that the two-component dynamics emerges due to distinct momentum fluctuations of clustered and unbound molecules. This connection between clusters and two-component dynamics highlights the importance of molecular-structural heterogeneities in supercritical fluids, colloids, and condensed-matter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采用物联网和实时监控的智能水培方法实现可持续城市农业</w:t>
      </w:r>
    </w:p>
    <w:p>
      <w:r>
        <w:rPr>
          <w:rFonts w:ascii="Times New Roman" w:hAnsi="Times New Roman" w:eastAsia="宋体"/>
          <w:b/>
          <w:color w:val="003264"/>
          <w:sz w:val="24"/>
        </w:rPr>
        <w:t>Sustainable urban farming using a smart hydroponic approach using IoT and real time monitoring</w:t>
      </w:r>
    </w:p>
    <w:p>
      <w:r>
        <w:rPr>
          <w:rFonts w:ascii="Times New Roman" w:hAnsi="Times New Roman" w:eastAsia="宋体"/>
          <w:sz w:val="21"/>
        </w:rPr>
        <w:t>作者: Ley Wei En, Chong Lye Lim, Chiang Liang Kok, Yit Yan Koh, Charles C. C. Lee</w:t>
        <w:br/>
      </w:r>
      <w:r>
        <w:rPr>
          <w:rFonts w:ascii="Times New Roman" w:hAnsi="Times New Roman" w:eastAsia="宋体"/>
          <w:sz w:val="21"/>
        </w:rPr>
        <w:t xml:space="preserve">时间: 2026-02-11 | </w:t>
      </w:r>
      <w:r>
        <w:t xml:space="preserve">链接: </w:t>
      </w:r>
      <w:hyperlink r:id="rId108">
        <w:r>
          <w:rPr>
            <w:rFonts w:ascii="Times New Roman" w:hAnsi="Times New Roman" w:eastAsia="宋体"/>
            <w:color w:val="0000FF"/>
            <w:sz w:val="21"/>
            <w:u w:val="single"/>
          </w:rPr>
          <w:t>https://doi.org/10.1038/s41598-026-37971-4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由于世界人口增长导致对新鲜产品的需求不断增长，因此需要可持续的耕作方法。光照和水温因素会影响所选绿叶蔬菜的生长，物联网智能系统有助于监控这些条件。本项目旨在通过将 Arduino UNO WIFI 微控制器与家庭水培系统集成作为支持物联网的智能家庭水培系统，探索水温和光照强度如何影响绿叶蔬菜的生长。智能家庭水培系统由传感器、Arduino UNO WIFI微控制器和家庭水培系统组成。智能家居水培系统实时监控和管理水培中的环境变量。智能家居水培系统通过监测温度、相对湿度 (RH)、pH 值和养分浓度信息来帮助促进生长条件。使用羽衣甘蓝作为模型作物，在 4 周的生长期内测试了结合不同光源（LED 与自然光）和环境条件（房间与空调）的四种实验装置。通过云系统监测和记录光强度和水温。结果表明，室温条件下的 LED 照明产生了最高的生长性能，与其他条件相比，叶子数量和生物量增加了 15-20%。最佳水温范围为 28-30°C，稳定的 pH 值在 6.5 至 7.0 之间与更快的根系发育相关。该研究表明，使用物联网传感器的有效性可以提供更好的受控环境，并有助于提高城市家庭环境中水培系统的效率。</w:t>
      </w:r>
    </w:p>
    <w:p>
      <w:pPr>
        <w:spacing w:before="120"/>
      </w:pPr>
      <w:r>
        <w:rPr>
          <w:rFonts w:ascii="Times New Roman" w:hAnsi="Times New Roman" w:eastAsia="宋体"/>
          <w:b/>
          <w:sz w:val="21"/>
        </w:rPr>
        <w:t>English Abstract:</w:t>
      </w:r>
    </w:p>
    <w:p>
      <w:r>
        <w:rPr>
          <w:rFonts w:ascii="Times New Roman" w:hAnsi="Times New Roman" w:eastAsia="宋体"/>
          <w:sz w:val="21"/>
        </w:rPr>
        <w:t>Sustainable farming methods are needed due to the rising demand for fresh products brought on by the world’s population growth. The light and water temperature factors affect the growth of selected leafy greens, and the Internet of Things-enabled smart system helps monitor these conditions. The present project aims to explore how the water temperature and light intensity affect the growth of leafy greens by integrating an Arduino UNO WIFI microcontroller with a household hydroponic system as an Internet of Things-enabled smart home hydroponic system. The smart home hydroponic system consists of sensors, an Arduino UNO WIFI microcontroller, and a home hydroponic system. The smart home hydroponic system monitors and manages environmental variables in real-time in hydroponics. The smart home hydroponic system helps to catalyse growing conditions by monitoring the information on temperature, relative humidity (RH), pH, and nutrient concentrations. Four experimental setups combining different lighting sources (LED vs. natural light) and ambient conditions (room vs. air-conditioned) were tested over a 4-week growth period using kale as the model crop. The light intensity and water temperature were monitored and recorded through a cloud system. Results showed that LED lighting with room temperature conditions yielded the highest growth performance, with a 15–20% increase in leaf count and biomass compared to other conditions. The optimal water temperature range was identified as 28–30 °C, and stable pH values between 6.5 and 7.0 were correlated with faster root development. The study demonstrates the effectiveness of using IoT sensors provides a better-controlled environment and helps improve the efficiency of hydroponic systems in an urban household setting.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甘油三酯-葡萄糖指数、遗传易感性和 2 型糖尿病微血管多发病的轨迹</w:t>
      </w:r>
    </w:p>
    <w:p>
      <w:r>
        <w:rPr>
          <w:rFonts w:ascii="Times New Roman" w:hAnsi="Times New Roman" w:eastAsia="宋体"/>
          <w:b/>
          <w:color w:val="003264"/>
          <w:sz w:val="24"/>
        </w:rPr>
        <w:t>Triglyceride-glucose index, genetic susceptibility, and trajectory of microvascular multimorbidity in type 2 diabetes</w:t>
      </w:r>
    </w:p>
    <w:p>
      <w:r>
        <w:rPr>
          <w:rFonts w:ascii="Times New Roman" w:hAnsi="Times New Roman" w:eastAsia="宋体"/>
          <w:sz w:val="21"/>
        </w:rPr>
        <w:t>作者: Xiangling Yuan, Min Peng, Xuan Shi, Dahong Yang, Fang Wang, Chao Hou, Gelin Xu</w:t>
        <w:br/>
      </w:r>
      <w:r>
        <w:rPr>
          <w:rFonts w:ascii="Times New Roman" w:hAnsi="Times New Roman" w:eastAsia="宋体"/>
          <w:sz w:val="21"/>
        </w:rPr>
        <w:t xml:space="preserve">时间: 2026-02-11 | </w:t>
      </w:r>
      <w:r>
        <w:t xml:space="preserve">链接: </w:t>
      </w:r>
      <w:hyperlink r:id="rId109">
        <w:r>
          <w:rPr>
            <w:rFonts w:ascii="Times New Roman" w:hAnsi="Times New Roman" w:eastAsia="宋体"/>
            <w:color w:val="0000FF"/>
            <w:sz w:val="21"/>
            <w:u w:val="single"/>
          </w:rPr>
          <w:t>https://doi.org/10.1038/s41598-026-39777-w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甘油三酯-葡萄糖 (TyG) 指数在糖尿病微血管并发症 (DMC) 多发病进展中的作用仍不清楚。此外，其与 2 型糖尿病 (T2D) 遗传易感性的相互作用尚未完全阐明。这项研究包括来自英国生物银行的 T2D 患者。主要结局是首次 DMC 和 DMC 多种疾病（包括视网膜病变、神经病变和肾病）的发生率。使用多变量 Cox 回归和多状态模型来评估 TyG 指数和 DMC 进展之间的关联。交互作用分析检查了 TyG 指数和 T2D 遗传风险的联合关联。总共纳入了 19,512 名 T2D 患者，中位随访时间为 12.9 年。其中，5,875 人（30.11%）首次出现 DMC，1,314 人（22.37%）发展为多种疾病。 TyG 每增加 1-SD，首次 DMC 风险就会增加 19%，多种疾病的风险就会增加 38%。多状态模型显示，TyG 是从首次 DMC 进展为多种疾病的重要预测因子（HR = 1.25；95% CI：1.15–1.37；P &lt; 0.001），特别是在患有视网膜病变（HR = 1.39）或肾病（HR = 1.14）的患者中。观察到高 TyG 指数与遗传风险升高之间存在联合关联，表明 DMC 发病和进展的风险逐步增加。在这个以人群为基础的大型 T2D 患者队列中，TyG 指数升高独立预测了 DMC 多发病的发生和进展。这种关联在视网膜病变或肾病患者中尤其明显，在遗传风险较高的个体中观察到的风险最高，这凸显了 TyG 在风险分层和精准预防策略方面的潜在效用。</w:t>
      </w:r>
    </w:p>
    <w:p>
      <w:pPr>
        <w:spacing w:before="120"/>
      </w:pPr>
      <w:r>
        <w:rPr>
          <w:rFonts w:ascii="Times New Roman" w:hAnsi="Times New Roman" w:eastAsia="宋体"/>
          <w:b/>
          <w:sz w:val="21"/>
        </w:rPr>
        <w:t>English Abstract:</w:t>
      </w:r>
    </w:p>
    <w:p>
      <w:r>
        <w:rPr>
          <w:rFonts w:ascii="Times New Roman" w:hAnsi="Times New Roman" w:eastAsia="宋体"/>
          <w:sz w:val="21"/>
        </w:rPr>
        <w:t>The role of the triglyceride-glucose (TyG) index in the progression of diabetic microvascular complication (DMC) multimorbidity remains unclear. Moreover, its interaction with genetic susceptibility to type 2 diabetes (T2D) has not been fully elucidated. This study included T2D patients from the UK Biobank. Primary outcomes were the incidence of first DMC and DMC multimorbidity (including retinopathy, neuropathy, and nephropathy). Multivariable Cox regression and multistate models were used to assess associations between the TyG index and DMC progression. Interaction analyses examined the joint association of the TyG index and T2D genetic risk. A total of 19,512 T2D patients were included, with a median follow-up of 12.9 years. Among them, 5,875 (30.11%) developed a first DMC, and 1,314 (22.37%) progressed to multimorbidity. Each 1-SD increase in TyG was associated with a 19% increased risk of first DMC and a 38% higher risk of multimorbidity. Multistate models showed TyG was a significant predictor of progression from first DMC to multimorbidity (HR = 1.25; 95% CI: 1.15–1.37; P &lt; 0.001), particularly among those with retinopathy (HR = 1.39) or nephropathy (HR = 1.14). A combined association was observed between high TyG index and elevated genetic risk, demonstrating a stepwise increase in risk for DMC onset and progression. In this large, population-based cohort of T2D patients, an elevated TyG index independently predicted both the onset and progression of DMC multimorbidity. This association was particularly evident in patients with retinopathy or nephropathy, with the highest risk observed among individuals with higher genetic risk, highlighting the potential utility of TyG for risk stratification and precision prevention strategies.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通过分析方法研究 (2 + 1) 维复杂修正 Korteweg–de Vries 系统的光孤子波剖面以及分数阶导数的影响</w:t>
      </w:r>
    </w:p>
    <w:p>
      <w:r>
        <w:rPr>
          <w:rFonts w:ascii="Times New Roman" w:hAnsi="Times New Roman" w:eastAsia="宋体"/>
          <w:b/>
          <w:color w:val="003264"/>
          <w:sz w:val="24"/>
        </w:rPr>
        <w:t>Optical soliton wave profiles for the (2 + 1)-dimensional complex modified Korteweg–de Vries system with the impact of fractional derivative via analytical approach</w:t>
      </w:r>
    </w:p>
    <w:p>
      <w:r>
        <w:rPr>
          <w:rFonts w:ascii="Times New Roman" w:hAnsi="Times New Roman" w:eastAsia="宋体"/>
          <w:sz w:val="21"/>
        </w:rPr>
        <w:t>作者: Muhammad Ishfaq Khan, Meraj Ali Khan, Mujahid Iqbal, Weam Gaoud Alghabban, Abeer Aljohani, Ibrahim Al-Dayel, Baboucarr Ceesay</w:t>
        <w:br/>
      </w:r>
      <w:r>
        <w:rPr>
          <w:rFonts w:ascii="Times New Roman" w:hAnsi="Times New Roman" w:eastAsia="宋体"/>
          <w:sz w:val="21"/>
        </w:rPr>
        <w:t xml:space="preserve">时间: 2026-02-11 | </w:t>
      </w:r>
      <w:r>
        <w:t xml:space="preserve">链接: </w:t>
      </w:r>
      <w:hyperlink r:id="rId110">
        <w:r>
          <w:rPr>
            <w:rFonts w:ascii="Times New Roman" w:hAnsi="Times New Roman" w:eastAsia="宋体"/>
            <w:color w:val="0000FF"/>
            <w:sz w:val="21"/>
            <w:u w:val="single"/>
          </w:rPr>
          <w:t>https://doi.org/10.1038/s41598-026-39517-0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在本文中，我们使用截断 M 分数阶导数和雅可比椭圆函数展开方法研究了 (2+1) 维复数修正 Korteweg–de Vries (CmKdV) 系统的精确解析解。 CmKdV 系统在光学、等离子体物理和流体动力学中的非线性波传播建模中发挥着核心作用。通过应用截断的M分数阶导数，系统被转化为更容易处理的形式，从而能够有效地利用雅可比椭圆函数展开方法来构造精确的孤子和周期波解。结果提供了对系统非线性动力学的更深入的了解，并强调了所提出方法的鲁棒性。 Mathematica 中生成的图形模拟说明了所获得的解决方案在多个维度（例如二维、三维和轮廓）的物理行为，以及时间对波传播的影响。总体而言，将雅可比椭圆函数展开法与截断 M 分数阶导数相结合，为求解复杂微分方程创建了强大的框架，从而带来了新的可能性。存在研究和开发的机会。这项研究增加了我们对 (2+1) 维复杂修正 Korteweg-de Vries (CmKdV) 系统的理解，并展示了如何将理论数学应用于实际问题。数学建模和计算可视化可以对工程和科学产生重大影响，我们的发现促进了多学科的研究方法。</w:t>
      </w:r>
    </w:p>
    <w:p>
      <w:pPr>
        <w:spacing w:before="120"/>
      </w:pPr>
      <w:r>
        <w:rPr>
          <w:rFonts w:ascii="Times New Roman" w:hAnsi="Times New Roman" w:eastAsia="宋体"/>
          <w:b/>
          <w:sz w:val="21"/>
        </w:rPr>
        <w:t>English Abstract:</w:t>
      </w:r>
    </w:p>
    <w:p>
      <w:r>
        <w:rPr>
          <w:rFonts w:ascii="Times New Roman" w:hAnsi="Times New Roman" w:eastAsia="宋体"/>
          <w:sz w:val="21"/>
        </w:rPr>
        <w:t>In this paper, we investigate exact analytical solutions of the (2+1)-dimensional complex modified Korteweg–de Vries (CmKdV) system using the truncated M-fractional derivative together with the Jacobi elliptic function expansion method. The CmKdV system plays a central role in modeling nonlinear wave propagation in optics, plasma physics, and fluid dynamics. By applying the truncated M-fractional derivative, the system is transformed into a more tractable form, enabling the effective use of the Jacobi elliptic function expansion method to construct exact soliton and periodic wave solutions. The results offer deeper insight into the system’s nonlinear dynamics and highlight the robustness of the proposed method. Graphical simulations generated in Mathematica illustrate the physical behavior of the obtained solutions across multiple dimensions, such as two-dimensional, three-dimensional, and contour, and the influence of time on the wave propagations. Overall, combining the Jacobi elliptic function expansion method and truncated M-fractional derivatives creates a strong framework for solving complex differential equations, leading to new possibilities. Opportunities for research and development exist. This research adds to our understanding of the (2+1)-dimensional complex modified Korteweg-de Vries (CmKdV) system and demonstrates how theoretical mathematics can be applied to real concerns. Mathematical modeling and computational visualization can significantly impact engineering and science, and our findings promote a multidisciplinary approach to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使用光子晶体光纤传感器的机器学习辅助疟疾检测</w:t>
      </w:r>
    </w:p>
    <w:p>
      <w:r>
        <w:rPr>
          <w:rFonts w:ascii="Times New Roman" w:hAnsi="Times New Roman" w:eastAsia="宋体"/>
          <w:b/>
          <w:color w:val="003264"/>
          <w:sz w:val="24"/>
        </w:rPr>
        <w:t>Machine learning assisted malaria detection using photonic crystal fibre optical sensors</w:t>
      </w:r>
    </w:p>
    <w:p>
      <w:r>
        <w:rPr>
          <w:rFonts w:ascii="Times New Roman" w:hAnsi="Times New Roman" w:eastAsia="宋体"/>
          <w:sz w:val="21"/>
        </w:rPr>
        <w:t>作者: Mohammad Abdullah-Al-Shafi, Shuvo Sen, Mashiyat Mubassera</w:t>
        <w:br/>
      </w:r>
      <w:r>
        <w:rPr>
          <w:rFonts w:ascii="Times New Roman" w:hAnsi="Times New Roman" w:eastAsia="宋体"/>
          <w:sz w:val="21"/>
        </w:rPr>
        <w:t xml:space="preserve">时间: 2026-02-11 | </w:t>
      </w:r>
      <w:r>
        <w:t xml:space="preserve">链接: </w:t>
      </w:r>
      <w:hyperlink r:id="rId111">
        <w:r>
          <w:rPr>
            <w:rFonts w:ascii="Times New Roman" w:hAnsi="Times New Roman" w:eastAsia="宋体"/>
            <w:color w:val="0000FF"/>
            <w:sz w:val="21"/>
            <w:u w:val="single"/>
          </w:rPr>
          <w:t>https://doi.org/10.1038/s41598-026-37709-2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基于光子晶体光纤的光学传感器，具有简单实用的架构，可利用红细胞折射率的变化来检测疟疾。所提出的传感器由一个中空的中心核心组成，周围有五个同心的七边形包层层，可实现有效的样品渗透并增强光物质相互作用。这种配置对细微的折射率变化具有高灵敏度，同时保持适合现实世界诊断部署的结构简单性。对应于不同疟原虫发育阶段的折射率变化被转化为不同的波长变化，从而可以可靠地区分环状滋养体和裂殖体阶段。该传感器的工作折射率范围为 1.373 至 1.402，与疟疾感染的红细胞的光学特性非常匹配。数值结果表明，健康细胞的相对灵敏度较高，为 97.45%，环期为 96.89%，滋养体期为 96.22%，裂殖体期为 95.45%。光限制损耗仍然极低，在 2.2 THz 的工作频率下约为每米 10-8 dB。这些结果凸显了光子晶体光纤传感器作为一种具有成本效益的高性能平台的潜力，可用于早期疟疾检测和更广泛的生物医学传感应用。</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photonic crystal fibre based optical sensor with a simple and practical architecture for malaria detection using refractive index variations in red blood cells. The proposed sensor consists of a hollow central core surrounded by five concentric layers of heptagonal cladding, enabling efficient sample infiltration and enhanced light matter interaction. This configuration provides high sensitivity to subtle refractive index changes while maintaining structural simplicity suitable for real world diagnostic deployment. Refractive index variations corresponding to different Plasmodium developmental stages are converted into distinct wavelength shifts, allowing reliable discrimination between ring trophozoite and schizont stages. The sensor operates over a refractive index range of 1.373 to 1.402, closely matching the optical properties of malaria infected red blood cells. Numerical results demonstrate high relative sensitivity of 97.45% for healthy cells, 96.89% for the ring stage, 96.22% for the trophozoite stage, and 95.45% for the schizont stage. Optical confinement losses remain extremely low, on the order of 10–8 dB per metre at an operating frequency of 2.2 THz. These results highlight the potential of photonic crystal fibre sensors as a cost effective and high-performance platform for early malaria detection and broader biomedical sensing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肺微环境中紫外线诱导的免疫调节可减缓癌症进展</w:t>
      </w:r>
    </w:p>
    <w:p>
      <w:r>
        <w:rPr>
          <w:rFonts w:ascii="Times New Roman" w:hAnsi="Times New Roman" w:eastAsia="宋体"/>
          <w:b/>
          <w:color w:val="003264"/>
          <w:sz w:val="24"/>
        </w:rPr>
        <w:t>UV-induced immune modulation in the lung niche slows cancer progression</w:t>
      </w:r>
    </w:p>
    <w:p>
      <w:r>
        <w:rPr>
          <w:rFonts w:ascii="Times New Roman" w:hAnsi="Times New Roman" w:eastAsia="宋体"/>
          <w:sz w:val="21"/>
        </w:rPr>
        <w:t>作者: Avishai Maliah, Shivang Parikh, Andrew C. Stevenson, Dan Bijaoui, Esther Goodman, Yuval Sade, Roma Parikh, Gal Binshtok, Paulee Manich, Tamar Golan, Itay Tal, Justine Del Rio, Richard Weller, Amaya Virós, Ruth Percik, Zvi Granot, Chen Luxenburg, Yaron Carmi, Mehdi Khaled, Chris Dibben, Carmit Levy</w:t>
        <w:br/>
      </w:r>
      <w:r>
        <w:rPr>
          <w:rFonts w:ascii="Times New Roman" w:hAnsi="Times New Roman" w:eastAsia="宋体"/>
          <w:sz w:val="21"/>
        </w:rPr>
        <w:t xml:space="preserve">时间: 2026-02-11 | </w:t>
      </w:r>
      <w:r>
        <w:t xml:space="preserve">链接: </w:t>
      </w:r>
      <w:hyperlink r:id="rId112">
        <w:r>
          <w:rPr>
            <w:rFonts w:ascii="Times New Roman" w:hAnsi="Times New Roman" w:eastAsia="宋体"/>
            <w:color w:val="0000FF"/>
            <w:sz w:val="21"/>
            <w:u w:val="single"/>
          </w:rPr>
          <w:t>https://doi.org/10.1038/s41598-025-33900-z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紫外线辐射对皮肤具有明显的局部免疫抑制作用，可以促进皮下肿瘤的生长；然而，其对内脏器官癌症进展的系统影响仍知之甚少。在这里，我们发现黑色素瘤转移到肺部后长期暴露于 UVB 会抑制转移生长并适度提高小鼠的存活率。在英国生物银行参与者中，较高的太阳辐射暴露与肺癌生存率的提高呈正相关。从机制上讲，UVB 调节肿瘤免疫环境：对 UVB 照射和假照射小鼠肺转移瘤的 CD45+ 免疫浸润细胞进行质谱流式分析，结果显示 UVB 诱导 CXCR2− 中性粒细胞增加，Ly6C+ 炎性单核细胞减少，但调节性 T 细胞或免疫检查点分子表达没有变化。总之，这些结果凸显了 UVB 和太阳辐射的潜在保护作用，并为进一步研究紫外线作为增强抗肿瘤免疫力的因素提供了理论依据。</w:t>
      </w:r>
    </w:p>
    <w:p>
      <w:pPr>
        <w:spacing w:before="120"/>
      </w:pPr>
      <w:r>
        <w:rPr>
          <w:rFonts w:ascii="Times New Roman" w:hAnsi="Times New Roman" w:eastAsia="宋体"/>
          <w:b/>
          <w:sz w:val="21"/>
        </w:rPr>
        <w:t>English Abstract:</w:t>
      </w:r>
    </w:p>
    <w:p>
      <w:r>
        <w:rPr>
          <w:rFonts w:ascii="Times New Roman" w:hAnsi="Times New Roman" w:eastAsia="宋体"/>
          <w:sz w:val="21"/>
        </w:rPr>
        <w:t>Ultraviolet radiation has a well-documented local immunosuppressive effect on the skin that can enhance subcutaneous tumor growth; however, its systemic impact on cancer progression in internal organs remains poorly understood. Here, we show that chronic UVB exposure after melanoma metastasis to the lung inhibits metastatic growth and modestly improves survival in mice. In UK Biobank participants, higher solar radiation exposure is positively associated with improved lung cancer survival. Mechanistically, UVB modulates the tumor immune environment: Mass cytometry of CD45+ immune infiltrate cells from lung metastases of mice UVB-and sham-irradiated revealed a UVB-induced increase in CXCR2− neutrophils and a reduction in Ly6C+ inflammatory monocytes, with no changes in regulatory T cells or expression of immune checkpoint molecules. Together, these results highlight a potentially protective role of UVB and solar radiation and provide a rationale for further investigation into UV as a factor that enhances antitumor immunity.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对从大气样品中提取 DNA 进行第三代测序（无需扩增）的商业试剂盒和纯化方法进行评估</w:t>
      </w:r>
    </w:p>
    <w:p>
      <w:r>
        <w:rPr>
          <w:rFonts w:ascii="Times New Roman" w:hAnsi="Times New Roman" w:eastAsia="宋体"/>
          <w:b/>
          <w:color w:val="003264"/>
          <w:sz w:val="24"/>
        </w:rPr>
        <w:t>Evaluation of commercial kits and purification approaches for DNA extraction from atmospheric samples for 3rd generation sequencing without amplification</w:t>
      </w:r>
    </w:p>
    <w:p>
      <w:r>
        <w:rPr>
          <w:rFonts w:ascii="Times New Roman" w:hAnsi="Times New Roman" w:eastAsia="宋体"/>
          <w:sz w:val="21"/>
        </w:rPr>
        <w:t>作者: Julija Salokas, Svetlana Sofieva-Rios, Jussi Paatero, Eija Asmi, Ari Karppinen, Mikhail Sofiev</w:t>
        <w:br/>
      </w:r>
      <w:r>
        <w:rPr>
          <w:rFonts w:ascii="Times New Roman" w:hAnsi="Times New Roman" w:eastAsia="宋体"/>
          <w:sz w:val="21"/>
        </w:rPr>
        <w:t xml:space="preserve">时间: 2026-02-11 | </w:t>
      </w:r>
      <w:r>
        <w:t xml:space="preserve">链接: </w:t>
      </w:r>
      <w:hyperlink r:id="rId113">
        <w:r>
          <w:rPr>
            <w:rFonts w:ascii="Times New Roman" w:hAnsi="Times New Roman" w:eastAsia="宋体"/>
            <w:color w:val="0000FF"/>
            <w:sz w:val="21"/>
            <w:u w:val="single"/>
          </w:rPr>
          <w:t>https://doi.org/10.1038/s41598-026-38534-3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摘要：我们提出了一种在空气质量监测中广泛使用的玻璃纤维过滤器上收集的大气生物气溶胶样品的 DNA 提取方案。该方案产生适合第三代测序和其他应用的高质量分子。最初的方案是在 2021 年使用低容量空气采样器在芬兰和立陶宛进行的生物气溶胶活动中开发和应用的，这对方法的灵敏度提出了严格的要求。该方案包括用于 DNA 纯化的苯酚-氯仿步骤，因此涉及腐蚀性试剂；也相当费时费力。本研究提出了该方案，通过使用 SPRI 顺磁珠技术进行 DNA 纯化来排除危险化学品的使用，并将其与几种商业提取方法进行比较。尽管效率落后于最初的方法，但事实证明，新开发的方法比几种基于柱的商业试剂盒更有效。更新后的方案对于生物材料与过滤材料相对较高的质量比是有效的：过滤器上的 70 纳克潜在 DNA 比一毫克过滤纤维，如最初基于苯酚-氯仿的方法所检测到的。然而，对于每毫克过滤材料中潜在 DNA 的质量比低于 15 纳克的情况，新方法并不有效。通过使用 Oxford Nanopore (ONT) GridION 测序仪对样品进行后续处理，证实了第三代测序样品制备新方案的适用性。</w:t>
      </w:r>
    </w:p>
    <w:p>
      <w:pPr>
        <w:spacing w:before="120"/>
      </w:pPr>
      <w:r>
        <w:rPr>
          <w:rFonts w:ascii="Times New Roman" w:hAnsi="Times New Roman" w:eastAsia="宋体"/>
          <w:b/>
          <w:sz w:val="21"/>
        </w:rPr>
        <w:t>English Abstract:</w:t>
      </w:r>
    </w:p>
    <w:p>
      <w:r>
        <w:rPr>
          <w:rFonts w:ascii="Times New Roman" w:hAnsi="Times New Roman" w:eastAsia="宋体"/>
          <w:sz w:val="21"/>
        </w:rPr>
        <w:t>Abstract We present a DNA extraction protocol for atmospheric bioaerosol samples collected on glass-fiber filters widely used in air quality monitoring. The protocol produces high-quality molecules suitable for third-generation sequencing and other applications. The initial protocol was developed and applied in a Bioaerosol campaign performed in Finland and Lithuania in 2021 using low-volume air samplers, which posed stringent requirements to the method sensitivity. The protocol included a phenol–chloroform step for DNA purification, thus involving aggressive reagents; it was also quite time consuming and laborious. The present study advances this protocol to exclude the use of hazardous chemicals by using the SPRI paramagnetic bead technology for DNA purification and compares it to several commercial extraction methods. Despite trailing in efficiency to the initial method, the new development proved to be more efficient than several column-based commercial kits. The updated protocol was effective for a relatively high mass ratio of biological material to filter material: 70 nanograms of potential DNA on the filter to one milligram of filter fiber, as detected with the initial phenol–chloroform-based method. However, the new approach was not effective for a mass ratio lower than 15 nanograms of potential DNA per milligram of the filter material. The applicability of the new protocol for preparation of samples for the 3rd generation sequencing was confirmed by subsequent processing of the samples with the Oxford Nanopore (ONT) GridION sequencer.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手动指向偏差反映了数字知识的空间组织</w:t>
      </w:r>
    </w:p>
    <w:p>
      <w:r>
        <w:rPr>
          <w:rFonts w:ascii="Times New Roman" w:hAnsi="Times New Roman" w:eastAsia="宋体"/>
          <w:b/>
          <w:color w:val="003264"/>
          <w:sz w:val="24"/>
        </w:rPr>
        <w:t>Manual pointing bias reflects spatial organization of number knowledge</w:t>
      </w:r>
    </w:p>
    <w:p>
      <w:r>
        <w:rPr>
          <w:rFonts w:ascii="Times New Roman" w:hAnsi="Times New Roman" w:eastAsia="宋体"/>
          <w:sz w:val="21"/>
        </w:rPr>
        <w:t>作者: Carlotta Isabella Zona, Martin H Fischer</w:t>
        <w:br/>
      </w:r>
      <w:r>
        <w:rPr>
          <w:rFonts w:ascii="Times New Roman" w:hAnsi="Times New Roman" w:eastAsia="宋体"/>
          <w:sz w:val="21"/>
        </w:rPr>
        <w:t xml:space="preserve">时间: 2026-02-11 | </w:t>
      </w:r>
      <w:r>
        <w:t xml:space="preserve">链接: </w:t>
      </w:r>
      <w:hyperlink r:id="rId114">
        <w:r>
          <w:rPr>
            <w:rFonts w:ascii="Times New Roman" w:hAnsi="Times New Roman" w:eastAsia="宋体"/>
            <w:color w:val="0000FF"/>
            <w:sz w:val="21"/>
            <w:u w:val="single"/>
          </w:rPr>
          <w:t>https://doi.org/10.1038/s41598-026-39170-7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数字概念被认为是沿着心理数字线在空间上组织的，数字线从左到右（在西方人中）和从下到上递增。然而，手动指向中出现水平和/或垂直空间数字关联（SNA）的证据是混杂的，并且暗示物理空间中依赖于幅度的数字排列的任务阻止了关于 SNA 的出现和范围的结论。为了解决这些问题，我们通过两步指向任务研究了 SNA，其中运动的第一步（在听完语音后提供）始终以触摸屏上显示的同一中心目标结束。我们分析了这个空间不变、与幅度无关的第一步的空间偏差。第二步，参与者将说出的数字定位在钟面排列中，从而将物理距离和数字距离解耦。在实验 1（N = 20，说出从 1 到 12 的数字）中，（空间不变）指向位置之间的成对数值距离和欧几里德距离呈正相关。连续试验中口语数字大小的变化产生了表明系统性指向位置变化的趋势。实验 2（N = 20）提出了 24 个语音目标（1-12.5，例如“三点五”）以增加钟面显着性。钟面距离和数值差都预测了指向位置之间的欧几里得距离。在连续的试验中，正的幅度变化导致指向位置向左（钟面一致）和向上（MNL 一致）移动。结果表明，数值差异可以表示为 2D 物理距离，并支持手动指向中垂直 SNA 的出现，同时避免了先前的实验混淆。研究结果与概念知识以空间组织的低维模型表示的观点相一致。</w:t>
      </w:r>
    </w:p>
    <w:p>
      <w:pPr>
        <w:spacing w:before="120"/>
      </w:pPr>
      <w:r>
        <w:rPr>
          <w:rFonts w:ascii="Times New Roman" w:hAnsi="Times New Roman" w:eastAsia="宋体"/>
          <w:b/>
          <w:sz w:val="21"/>
        </w:rPr>
        <w:t>English Abstract:</w:t>
      </w:r>
    </w:p>
    <w:p>
      <w:r>
        <w:rPr>
          <w:rFonts w:ascii="Times New Roman" w:hAnsi="Times New Roman" w:eastAsia="宋体"/>
          <w:sz w:val="21"/>
        </w:rPr>
        <w:t>Abstract Number concepts are thought to be spatially organized along a mental number line increasing left-to-right (in Westerners) and bottom-to-top. However, the evidence for the emergence of horizontal and/or vertical spatial-numerical associations (SNAs) in manual pointing is mixed, and tasks implying magnitude-dependent number arrangements in physical space prevent conclusions about the emergence and extent of SNAs. Addressing these issues, we investigated SNAs with a two-step pointing task where the movement’s first step (provided after listening to a spoken number) always ended on the same central target displayed on a touchscreen. We analyzed spatial bias of this space-invariant, magnitude-independent first step. In the second step, participants localized the spoken number’s position in a clock-face arrangement, decoupling physical and numerical distance. In Experiment 1 (N = 20, spoken numbers from 1 to 12), pairwise numerical and Euclidean distances between (space-invariant) pointing locations were positively associated. Changes in magnitude of spoken numbers across successive trials yielded trends suggesting systematic pointing-location shifts. Experiment 2 (N = 20) presented 24 spoken targets (1–12.5, e.g., “three point five”) to increase clock-face salience. Both clock-face distance and numerical difference predicted Euclidean distances between pointing locations. In successive trials, positive magnitude changes resulted in leftward (clock-face congruent) and upward (MNL-congruent) shifts of pointing locations. The results suggest that numerical differences may be represented as 2D physical distances and support the emergence of vertical SNAs in manual pointing while avoiding previous experimental confounds. The findings align with the view that conceptual knowledge is represented in low-dimensional models that are spatially organized.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利用便携式音视频阵列揭示同域珊瑚栖息鱼类的声学生态</w:t>
      </w:r>
    </w:p>
    <w:p>
      <w:r>
        <w:rPr>
          <w:rFonts w:ascii="Times New Roman" w:hAnsi="Times New Roman" w:eastAsia="宋体"/>
          <w:b/>
          <w:color w:val="003264"/>
          <w:sz w:val="24"/>
        </w:rPr>
        <w:t>Uncovering the acoustic ecology of sympatric coral-dwelling fish with portable audio-video arrays</w:t>
      </w:r>
    </w:p>
    <w:p>
      <w:r>
        <w:rPr>
          <w:rFonts w:ascii="Times New Roman" w:hAnsi="Times New Roman" w:eastAsia="宋体"/>
          <w:sz w:val="21"/>
        </w:rPr>
        <w:t>作者: Juan Carlos Azofeifa-Solano, Xavier Mouy, Christine Erbe, Rohan M. Brooker, Robert D. McCauley, Craig A. Radford, Miles J. G. Parsons</w:t>
        <w:br/>
      </w:r>
      <w:r>
        <w:rPr>
          <w:rFonts w:ascii="Times New Roman" w:hAnsi="Times New Roman" w:eastAsia="宋体"/>
          <w:sz w:val="21"/>
        </w:rPr>
        <w:t xml:space="preserve">时间: 2026-02-11 | </w:t>
      </w:r>
      <w:r>
        <w:t xml:space="preserve">链接: </w:t>
      </w:r>
      <w:hyperlink r:id="rId115">
        <w:r>
          <w:rPr>
            <w:rFonts w:ascii="Times New Roman" w:hAnsi="Times New Roman" w:eastAsia="宋体"/>
            <w:color w:val="0000FF"/>
            <w:sz w:val="21"/>
            <w:u w:val="single"/>
          </w:rPr>
          <w:t>https://doi.org/10.1038/s41598-026-38774-3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声音交流在鱼类生态和行为中发挥着重要作用。了解声学信号如何在物种和种群之间变化对于性选择、种群分化和交流环境调节等问题至关重要。然而，许多鱼类的叫声仍然无法归因于物种或行为，限制了它们融入更广泛的生态研究和监测。我们在两个珊瑚礁系统部署了便携式音频视频阵列，以研究两种同域雀鲷（Dascyllus aruanus 和 D. reticulatus）的求偶叫声。阵列将四个水听器与摄像机集成在一起，能够自动检测脉冲序列、3D 定位、运动分类和行为观察。我们发现叫声结构存在种间差异和强烈的种群水平差异，地点效应往往超过物种效应。这表明当地的热条件可能会影响声音产生的性能，从而可能限制海洋热浪下的通信。我们的研究表明，将小型音频视频阵列与行为验证相结合不仅提供了一种监测工具，而且还揭示了社交介导的求偶信号如何在广泛的空间尺度上在物种内部和物种之间发生变化。这种双重视角加强了鱼类生物声学在生态和保护框架中的作用。</w:t>
      </w:r>
    </w:p>
    <w:p>
      <w:pPr>
        <w:spacing w:before="120"/>
      </w:pPr>
      <w:r>
        <w:rPr>
          <w:rFonts w:ascii="Times New Roman" w:hAnsi="Times New Roman" w:eastAsia="宋体"/>
          <w:b/>
          <w:sz w:val="21"/>
        </w:rPr>
        <w:t>English Abstract:</w:t>
      </w:r>
    </w:p>
    <w:p>
      <w:r>
        <w:rPr>
          <w:rFonts w:ascii="Times New Roman" w:hAnsi="Times New Roman" w:eastAsia="宋体"/>
          <w:sz w:val="21"/>
        </w:rPr>
        <w:t>Acoustic communication plays an important role in fish ecology and behaviour. Understanding how acoustic signals vary across species and populations is central to questions of sexual selection, population divergence, and environmental modulation of communication. Yet many fish calls remain unattributed to species or behaviour, limiting their integration into broader ecological studies and monitoring. We deployed portable audio-video arrays at two coral reef systems to study the courtship calls of two sympatric damselfishes, Dascyllus aruanus and D. reticulatus. Arrays integrated four hydrophones with a video camera, enabling automated detection of pulse trains, 3D localisation, motion classification, and behavioural observations. We found interspecific differences and strong population-level divergence in call structure, with site effects often exceeding species effects. This suggests that local thermal conditions may influence the performance of sound production, potentially constraining communication under marine heatwaves. Our study shows that integrating small audio-video arrays with behavioural validation not only provides a tool for monitoring but also reveals how socially mediated courtship signals vary within and between species across broad spatial scales. This dual perspective strengthens the role of fish bioacoustics in ecological and conservation frameworks.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具有活化能的达西-福希海默混合纳米流体传热的深度神经网络模型</w:t>
      </w:r>
    </w:p>
    <w:p>
      <w:r>
        <w:rPr>
          <w:rFonts w:ascii="Times New Roman" w:hAnsi="Times New Roman" w:eastAsia="宋体"/>
          <w:b/>
          <w:color w:val="003264"/>
          <w:sz w:val="24"/>
        </w:rPr>
        <w:t>A deep neural network model for heat transfer in darcy–forchheimer hybrid nanofluid flow with activation energy</w:t>
      </w:r>
    </w:p>
    <w:p>
      <w:r>
        <w:rPr>
          <w:rFonts w:ascii="Times New Roman" w:hAnsi="Times New Roman" w:eastAsia="宋体"/>
          <w:sz w:val="21"/>
        </w:rPr>
        <w:t>作者: Mohammad Ayman-Mursaleen, Syed Tauseef Saeed, Saja Mohammad Almohammadi, Khalid Arif, Muhammad Imran</w:t>
        <w:br/>
      </w:r>
      <w:r>
        <w:rPr>
          <w:rFonts w:ascii="Times New Roman" w:hAnsi="Times New Roman" w:eastAsia="宋体"/>
          <w:sz w:val="21"/>
        </w:rPr>
        <w:t xml:space="preserve">时间: 2026-02-11 | </w:t>
      </w:r>
      <w:r>
        <w:t xml:space="preserve">链接: </w:t>
      </w:r>
      <w:hyperlink r:id="rId116">
        <w:r>
          <w:rPr>
            <w:rFonts w:ascii="Times New Roman" w:hAnsi="Times New Roman" w:eastAsia="宋体"/>
            <w:color w:val="0000FF"/>
            <w:sz w:val="21"/>
            <w:u w:val="single"/>
          </w:rPr>
          <w:t>https://doi.org/10.1038/s41598-026-39536-x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本文研究了卡森型混合纳米流体通过氧化铝 ($${\varvec{A}}{{\varvec{l}}}_{2}{{\varvec{O}}}_{3}$$) 以及二氧化钛的磁流体动力学 (MHD) 流动以及传热传质行为($${\varvec{T}}{\varvec{i}}{{\varvec{O}}}_{2}$$) 纳米颗粒分散在发动机油中，发动机油是一种热稳定的功能流体，用于最工业化的热交换器应用。该先进模型综合了非线性化学反应条件下热辐射、Darcy-Forchheimer 渗透介质阻力、磁场加热和活化能的集体影响。利用相似变换，复杂的控制方程被简化为常微分方程 (ODE)，并通过 Bvp4c 求解器进行数值求解。通过 Bvp4c 算法获得的数值解用于训练具有粒子群优化的 Morlet 小波神经网络以及神经网络算法 (MWNN-PSO-NNA)，通过提高预测鲁棒性和通用性行为。结果表明，加强磁场会导致速度分布减小，而热辐射会导致温度增加，整个流域的变化范围在 15-25% 范围内。据观察，活化能提高了近 30%，可以调节物质浓度并促进多孔结构内更受控制的热响应。与基液和单纳米粒子悬浮液相比，混合纳米流体表现出优异的热性能。此外，MWNN-PSO-NNA 结果与数值解保持密切一致，产生 10⁻5–10⁻⁶ 量级的误差水平，这证实了所提出的与工业热应用相关的复杂非牛顿混合纳米流体系统框架的可靠性。所提出的神经网络模型表现出强大的预测能力，与传统数值方法相比，准确率高于 99%，同时计算时间减少约 45%。人工神经网络的开发是为了快速预测流量、热量和质量传递。在 bvp4c 数据上进行训练后，与重复数值模拟相比，它实现了相当的精度，同时减少了 45% 的计算时间。此外，混合纳米流体配方在工业润滑应用、机械部件的热控制和基于能量的冷却系统中显示出巨大的潜力，其中提高传热效率是主要的性能要求。这项研究的主要动机是满足涉及非牛顿流体的工业润滑系统中对高效热管理日益增长的需求。目标是应用强大的 MWNN-PSO-NNA 框架来准确预测卡森混合纳米流体在组合物理效应下在径向拉伸表面上的流动、热量和质量传递特性。这项研究首次将基于发动机油的 Casson 混合纳米流体模型与 Darcy-Forchheimer 多孔效应和优化的 MWNN-PSO-NNA 框架相结合，提供与先进工业传热系统相关的高精度热流体预测。</w:t>
      </w:r>
    </w:p>
    <w:p>
      <w:pPr>
        <w:spacing w:before="120"/>
      </w:pPr>
      <w:r>
        <w:rPr>
          <w:rFonts w:ascii="Times New Roman" w:hAnsi="Times New Roman" w:eastAsia="宋体"/>
          <w:b/>
          <w:sz w:val="21"/>
        </w:rPr>
        <w:t>English Abstract:</w:t>
      </w:r>
    </w:p>
    <w:p>
      <w:r>
        <w:rPr>
          <w:rFonts w:ascii="Times New Roman" w:hAnsi="Times New Roman" w:eastAsia="宋体"/>
          <w:sz w:val="21"/>
        </w:rPr>
        <w:t>This paper investigates the magnetohydrodynamic (MHD) flow along with heat and mass transfer behavior of Casson-type hybrid nanofluid through aluminum oxide ($${\varvec{A}}{{\varvec{l}}}_{2}{{\varvec{O}}}_{3}$$) as well as titanium dioxide ($${\varvec{T}}{\varvec{i}}{{\varvec{O}}}_{2}$$) nanoparticles dispersed throughout engine oil, a thermally stable functioning fluid that is used in utmost industrialized thermal exchanger applications. The advanced model incorporates the collective influences of heat radiation, Darcy–Forchheimer permeable media resistance, magnetic field-heating, and activation energy under nonlinear chemical reaction circumstances. Employing similarity transformations, the intricate governing equations are streamlined to ordinary differential equations (ODEs) that are numerically solved by means of the Bvp4c solver. The numerical solutions attained via the Bvp4c algorithm are employed for training a Morlet Wavelet Neural Network with Particle Swarm Optimization as well as Neural Network Algorithm (MWNN–PSO–NNA), through improving prediction robustness as well as generality behavior. The results show that strengthening the magnetic field leads to a decrease in the velocity distribution whereas thermal radiation growth in temperature, via variations falling within the range of 15–25% across the flow domain. Raising activation energy nearly 30% is observed to regulate species concentration as well as promote a more controlled thermal response inside the porous structure. In comparison with the base fluid and single-nanoparticle suspensions, the hybrid nanofluid exhibits superior thermal performance. Moreover, the MWNN–PSO–NNA outcomes remain in close agreement with the numerical solutions, yielding error levels of the order 10⁻5–10⁻⁶, which confirms the reliability of the proposed framework for complex non-Newtonian hybrid nanofluid systems relevant to industrial thermal applications. The proposed neural network model demonstrates strong predictive capability, achieving an accuracy greater than 99% while reducing computational time by approximately 45% when compared with traditional numerical methods. An ANN is developed to rapidly predict flow, heat, and mass transfer. Trained on bvp4c data, it achieves comparable accuracy while reducing computational time by 45% compared to repeated numerical simulations. Additionally, the hybrid nanofluid formulation displays strong potential for industrial lubrication applications, thermal control of mechanical components, and energy-based cooling systems, where improved heat transfer productivity is a main performance requirement. The main motivation of this study is to address the growing demand for efficient thermal management in industrial lubrication systems involving non-Newtonian fluids. The goal is to apply a robust MWNN–PSO–NNA framework to accurately predict the flow, heat, and mass transfer characteristics of Casson hybrid nanofluid over a radially stretching surface under combined physical effects. This study is the first to integrate engine-oil-based Casson hybrid nanofluid modeling with Darcy–Forchheimer porous effects and an optimized MWNN–PSO–NNA framework, providing highly accurate thermal–fluid predictions relevant to advanced industrial heat transfer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优化水泥颗粒尺寸以增强轻质砂浆的强度并减少二氧化碳排放</w:t>
      </w:r>
    </w:p>
    <w:p>
      <w:r>
        <w:rPr>
          <w:rFonts w:ascii="Times New Roman" w:hAnsi="Times New Roman" w:eastAsia="宋体"/>
          <w:b/>
          <w:color w:val="003264"/>
          <w:sz w:val="24"/>
        </w:rPr>
        <w:t>Optimizing cement particle size for strength enhancement and CO₂ reduction in lightweight mortars</w:t>
      </w:r>
    </w:p>
    <w:p>
      <w:r>
        <w:rPr>
          <w:rFonts w:ascii="Times New Roman" w:hAnsi="Times New Roman" w:eastAsia="宋体"/>
          <w:sz w:val="21"/>
        </w:rPr>
        <w:t>作者: Martyna Nieświec, Adrian Chajec, Izabela Walendzik, Łukasz Sadowski</w:t>
        <w:br/>
      </w:r>
      <w:r>
        <w:rPr>
          <w:rFonts w:ascii="Times New Roman" w:hAnsi="Times New Roman" w:eastAsia="宋体"/>
          <w:sz w:val="21"/>
        </w:rPr>
        <w:t xml:space="preserve">时间: 2026-02-11 | </w:t>
      </w:r>
      <w:r>
        <w:t xml:space="preserve">链接: </w:t>
      </w:r>
      <w:hyperlink r:id="rId117">
        <w:r>
          <w:rPr>
            <w:rFonts w:ascii="Times New Roman" w:hAnsi="Times New Roman" w:eastAsia="宋体"/>
            <w:color w:val="0000FF"/>
            <w:sz w:val="21"/>
            <w:u w:val="single"/>
          </w:rPr>
          <w:t>https://doi.org/10.1038/s41598-026-39546-9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本研究探讨了水泥颗粒尺寸（通过筛分改性）如何影响轻质砂浆的新鲜和硬化性能，重点关注早期微观结构的发展和环境性能。实验计划包括三个级别的水泥细度，并在水化的前 12 小时内应用先进的表征技术，例如 X 射线衍射 (XRD)、热重分析 (TGA) 和透射电子显微镜 (TEM)。结果表明，由于颗粒堆积的改善，更细的水泥颗粒可增强和易性并增加堆积密度。虽然拉伸强度略有下降，但压缩强度显着增加，尤其是在 7 天后，这归因于微观结构证据证实的水合动力学加速。全面的生命周期评估（LCA）表明，更细的水泥需要更多的能量来加工，但增加的强度排放比使其成为一种具有成本效益和可持续的选择。将水泥筛选至 50 微米以下，可将单位强度的二氧化碳排放量减少高达 14%。然而，在更精细的系统中，收缩率的增加可能会由于裂纹敏感性更大而损害长期耐用性。拟议的基于 LCA 的框架支持在水泥材料设计中平衡性能收益与环境成本。</w:t>
      </w:r>
    </w:p>
    <w:p>
      <w:pPr>
        <w:spacing w:before="120"/>
      </w:pPr>
      <w:r>
        <w:rPr>
          <w:rFonts w:ascii="Times New Roman" w:hAnsi="Times New Roman" w:eastAsia="宋体"/>
          <w:b/>
          <w:sz w:val="21"/>
        </w:rPr>
        <w:t>English Abstract:</w:t>
      </w:r>
    </w:p>
    <w:p>
      <w:r>
        <w:rPr>
          <w:rFonts w:ascii="Times New Roman" w:hAnsi="Times New Roman" w:eastAsia="宋体"/>
          <w:sz w:val="21"/>
        </w:rPr>
        <w:t>This study examines how cement particle size (modified through sieving) affects the fresh and hardened properties of lightweight mortars, with emphasis on early-age microstructural development and environmental performance. The experimental program included three levels of cement fineness and applied advanced characterization techniques such as X-ray diffraction (XRD), thermogravimetric analysis (TGA), and transmission electron microscopy (TEM) during the first 12 h of hydration. Results demonstrate that finer cement particles enhance workability and increase bulk density due to improved particle packing. While tensile strength slightly decreases, compressive strength increases significantly, especially after 7 days, attributed to accelerated hydration kinetics confirmed by microstructural evidence. A comprehensive life cycle assessment (LCA) shows that finer cement requires more energy to process, but the increased strength-to-emission ratio makes it a cost-effective and sustainable option. Screening cement to below 50 μm enabled up to 14% reduction in CO₂ emissions per unit strength. However, increased shrinkage in finer systems may compromise long-term durability due to greater crack susceptibility. The proposed LCA-based framework supports balancing performance gains with environmental costs in cementitious material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金聚合物混合超表面用于偏振无关的增强紫外三次谐波产生</w:t>
      </w:r>
    </w:p>
    <w:p>
      <w:r>
        <w:rPr>
          <w:rFonts w:ascii="Times New Roman" w:hAnsi="Times New Roman" w:eastAsia="宋体"/>
          <w:b/>
          <w:color w:val="003264"/>
          <w:sz w:val="24"/>
        </w:rPr>
        <w:t>Gold-polymer hybrid metasurface for polarization-independent enhanced third harmonic generation in the ultraviolet</w:t>
      </w:r>
    </w:p>
    <w:p>
      <w:r>
        <w:rPr>
          <w:rFonts w:ascii="Times New Roman" w:hAnsi="Times New Roman" w:eastAsia="宋体"/>
          <w:sz w:val="21"/>
        </w:rPr>
        <w:t>作者: Shroddha Mukhopadhyay, Ana Conde-Rubio, Jose Trull, Agustín Mihi, Michael Scalora, Maria Antonietta Vincenti, Crina Cojocaru</w:t>
        <w:br/>
      </w:r>
      <w:r>
        <w:rPr>
          <w:rFonts w:ascii="Times New Roman" w:hAnsi="Times New Roman" w:eastAsia="宋体"/>
          <w:sz w:val="21"/>
        </w:rPr>
        <w:t xml:space="preserve">时间: 2026-02-11 | </w:t>
      </w:r>
      <w:r>
        <w:t xml:space="preserve">链接: </w:t>
      </w:r>
      <w:hyperlink r:id="rId118">
        <w:r>
          <w:rPr>
            <w:rFonts w:ascii="Times New Roman" w:hAnsi="Times New Roman" w:eastAsia="宋体"/>
            <w:color w:val="0000FF"/>
            <w:sz w:val="21"/>
            <w:u w:val="single"/>
          </w:rPr>
          <w:t>https://doi.org/10.1038/s41598-026-39260-6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三维金聚合物混合超表面中非线性光与物质相互作用的实验和理论相结合的研究。传统的二维设计通过对称性可以支持横向电（TE）或横向磁（TM）偏振，与此相反，我们的体积架构同时接受TE和TM模式，反映了光子器件所需的维度和多功能性。超表面由嵌入介电聚合物基质中的金纳米结构的周期性晶格组成，形成复杂的金属-介电界面，维持严格限制的等离子体共振。当由超快近红外 (NIR) 脉冲驱动时，这些共振将光能集中在纳米级，从而实现高效的三次谐波生成并将可见光上转换为紫外 (UV) 和深紫外区域，并提高转换效率。我们在 TE 和 TM 激励下对非线性响应进行空间和时间映射。我们的测量揭示了由平面超表面中无法实现的三维形态能力引起的与偏振无关的场增强和光谱可调性，其中二维对称性本质上限制了偏振灵活性和功能带宽。该准 3D 平台为偏振无关的 UV 和深 UV 光源提供了灵活的设计工具箱。潜在的应用包括高分辨率紫外光谱、光复用、数据存储和新兴的量子光子架构。通过建立对三维非线性超表面行为的基本见解，我们的工作为下一代可重构、多偏振纳米光子器件铺平了道路。</w:t>
      </w:r>
    </w:p>
    <w:p>
      <w:pPr>
        <w:spacing w:before="120"/>
      </w:pPr>
      <w:r>
        <w:rPr>
          <w:rFonts w:ascii="Times New Roman" w:hAnsi="Times New Roman" w:eastAsia="宋体"/>
          <w:b/>
          <w:sz w:val="21"/>
        </w:rPr>
        <w:t>English Abstract:</w:t>
      </w:r>
    </w:p>
    <w:p>
      <w:r>
        <w:rPr>
          <w:rFonts w:ascii="Times New Roman" w:hAnsi="Times New Roman" w:eastAsia="宋体"/>
          <w:sz w:val="21"/>
        </w:rPr>
        <w:t>We present a combined experimental and theoretical study of nonlinear light-matter interactions in a three-dimensional gold-polymer hybrid metasurface. In contrast to conventional two-dimensional designs, which by symmetry may support either transverse electric (TE) or transverse magnetic (TM) polarization, our volumetric architecture accepts both TE and TM modes simultaneously, reflecting the dimensionality and versatility required by the photonic devices. The metasurface comprises a periodic lattice of gold nanostructures embedded in a dielectric polymer matrix, creating complex metal–dielectric interfaces that sustain tightly confined plasmonic resonances. When driven by ultrafast near-infrared (NIR) pulses, these resonances concentrate optical energy at the nanoscale, enabling efficient third-harmonic generation and upconversion of visible light into the ultraviolet (UV) and deep-UV regimes with enhanced conversion efficiency. We perform spatial and temporal mapping of the nonlinear response under both TE and TM excitation. Our measurements reveal polarization-agnostic field enhancement and spectral tunability arising from the three-dimensional morphology-capabilities unattainable in planar metasurfaces, where two-dimensional symmetry inherently limits polarization flexibility and functional bandwidth. This quasi-3D platform provides a flexible design toolbox for polarization-independent UV and deep-UV light sources. Potential applications include high-resolution UV spectroscopy, optical multiplexing, data storage, and emerging quantum photonic architectures. By establishing fundamental insights into three-dimensional nonlinear metasurface behavior, our work paves the way for next-generation reconfigurable, multi-polarization nanophotonic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翅片在球形蓄热容器中增强相变材料熔化的作用</w:t>
      </w:r>
    </w:p>
    <w:p>
      <w:r>
        <w:rPr>
          <w:rFonts w:ascii="Times New Roman" w:hAnsi="Times New Roman" w:eastAsia="宋体"/>
          <w:b/>
          <w:color w:val="003264"/>
          <w:sz w:val="24"/>
        </w:rPr>
        <w:t>Effect of fins in enhancing phase change material fusion in a spherical thermal energy storage container</w:t>
      </w:r>
    </w:p>
    <w:p>
      <w:r>
        <w:rPr>
          <w:rFonts w:ascii="Times New Roman" w:hAnsi="Times New Roman" w:eastAsia="宋体"/>
          <w:sz w:val="21"/>
        </w:rPr>
        <w:t>作者: Banumathi Munuswamy Swami Punniakodi, M. Veeramanikandan, M. Manickam, A. Arunkumar, Dhinesh Balasubramanian, Utku Kale, Artūras Kilikevičius, Vilma Locaitienė</w:t>
        <w:br/>
      </w:r>
      <w:r>
        <w:rPr>
          <w:rFonts w:ascii="Times New Roman" w:hAnsi="Times New Roman" w:eastAsia="宋体"/>
          <w:sz w:val="21"/>
        </w:rPr>
        <w:t xml:space="preserve">时间: 2026-02-12 | </w:t>
      </w:r>
      <w:r>
        <w:t xml:space="preserve">链接: </w:t>
      </w:r>
      <w:hyperlink r:id="rId153">
        <w:r>
          <w:rPr>
            <w:rFonts w:ascii="Times New Roman" w:hAnsi="Times New Roman" w:eastAsia="宋体"/>
            <w:color w:val="0000FF"/>
            <w:sz w:val="21"/>
            <w:u w:val="single"/>
          </w:rPr>
          <w:t>https://doi.org/10.1038/s41598-026-38262-8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化石燃料日益枯竭，需要太阳能等替代能源来满足日常需求。然而，太阳能是间歇性的，因此它与热能存储（TES）系统集成。 TES 系统中使用了相变材料 (PCM)，但它们的导热性较差，导致熔合较少。本研究使用四种不同的情况增强 PCM 融合，即情况 1（无翅片）、情况 2（两个翅片放置在顶部附近）、情况 3（两个翅片放置在底部附近）和情况 4（两个翅片放置在顶部和底部附近）。该研究是在传热流体 (HTF) 温度为 70 °C 和 75 °C、流速为 30 LPH 的情况下完成的。与案例 1 相比，案例 4 的熔化时间减少了 34%，减少了 47.7%。热效率和有效性也很高。结果表明，由于最佳的翅片放置，案例 4 可有效加速聚变并增强存储性能，因此建议用于太阳能应用。</w:t>
      </w:r>
    </w:p>
    <w:p>
      <w:pPr>
        <w:spacing w:before="120"/>
      </w:pPr>
      <w:r>
        <w:rPr>
          <w:rFonts w:ascii="Times New Roman" w:hAnsi="Times New Roman" w:eastAsia="宋体"/>
          <w:b/>
          <w:sz w:val="21"/>
        </w:rPr>
        <w:t>English Abstract:</w:t>
      </w:r>
    </w:p>
    <w:p>
      <w:r>
        <w:rPr>
          <w:rFonts w:ascii="Times New Roman" w:hAnsi="Times New Roman" w:eastAsia="宋体"/>
          <w:sz w:val="21"/>
        </w:rPr>
        <w:t>Abstract The increased depletion of fossil fuels needs alternatives like solar energy to address daily demands. However, solar energy is intermittent, hence it is integrated with thermal energy storage (TES) systems. Phase change materials (PCM) are used in TES systems, but they suffer from meagre thermal conductivity, leading to less fusion. This study enhances PCM fusion using four different cases, namely, case 1 (without fins), case 2 (with two fins placed near the top), case 3 (with two fins placed near the bottom), and case 4 (with two fins placed near the top and bottom), respectively. The study is done with heat transfer fluid (HTF) temperature at 70 °C and 75 °C with a 30 LPH flow rate. Case 4 displayed a melting time reduction of 34%, and 47.7% when compared with case 1. It is also found with high thermal efficiency and effectiveness. The results indicate that case 4 is effective in expediting fusion and enhancing storage performance due to optimal fin placement, hence suggested for solar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使用计算机视觉和机器学习技术早期检测太阳能模块上的灰尘堆积</w:t>
      </w:r>
    </w:p>
    <w:p>
      <w:r>
        <w:rPr>
          <w:rFonts w:ascii="Times New Roman" w:hAnsi="Times New Roman" w:eastAsia="宋体"/>
          <w:b/>
          <w:color w:val="003264"/>
          <w:sz w:val="24"/>
        </w:rPr>
        <w:t>Early detection of dust accumulation on solar energy modules using computer vision and machine learning techniques</w:t>
      </w:r>
    </w:p>
    <w:p>
      <w:r>
        <w:rPr>
          <w:rFonts w:ascii="Times New Roman" w:hAnsi="Times New Roman" w:eastAsia="宋体"/>
          <w:sz w:val="21"/>
        </w:rPr>
        <w:t>作者: Sara Hesham, Mohamed Elgohary, Mariam Massoud, Nouran Adel, Omar Elmahy, Sameh Abdellatif</w:t>
        <w:br/>
      </w:r>
      <w:r>
        <w:rPr>
          <w:rFonts w:ascii="Times New Roman" w:hAnsi="Times New Roman" w:eastAsia="宋体"/>
          <w:sz w:val="21"/>
        </w:rPr>
        <w:t xml:space="preserve">时间: 2026-02-12 | </w:t>
      </w:r>
      <w:r>
        <w:t xml:space="preserve">链接: </w:t>
      </w:r>
      <w:hyperlink r:id="rId154">
        <w:r>
          <w:rPr>
            <w:rFonts w:ascii="Times New Roman" w:hAnsi="Times New Roman" w:eastAsia="宋体"/>
            <w:color w:val="0000FF"/>
            <w:sz w:val="21"/>
            <w:u w:val="single"/>
          </w:rPr>
          <w:t>https://doi.org/10.1038/s41598-026-37020-0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本文提出了一种创新的人工智能驱动解决方案，利用计算机视觉和机器学习技术来早期检测太阳能模块上的灰尘堆积。该研究发现了现有文献中的两个显着差距：数据集质量对研究成果的影响以及二元分类模型的主导地位，这限制了光伏（PV）模块灰尘水平的分析。为了解决这些差距，我们提出了一个复杂的系统，该系统利用由 Raspberry Pi 相机捕获的连续监控图像的视觉数据集，以及来自跟踪实时能源生产指标的逆变器的原始数据集。我们的模型使用机器学习算法进行训练，以动态优化清洁模式，最大限度地提高能源输出，同时最大限度地降低运营成本。结果表明，人工智能驱动的系统提高了光伏性能并有助于降低成本，最终促进太阳能生产的可持续性。清洁分级机可根据情况自动进行清洁，减少例行检查的需要，并防止因灰尘堆积而造成高达 30% 的能量损失。该系统的清洁效率达到 1.23，与传统的定期清洁方法相比，能源产量增加了 23%，从而节省了 2,023 美元的成本。此外，WattsUp 移动应用程序的实施通过允许监控太阳能电池板状态和维护说明来促进用户交互，从而增强用户与系统的互动。该应用程序设计强调用户的信任和参与，其特色的入门元素强调了太阳能管理在应对气候变化方面的重要性。这种综合方法不仅证明了动态清洁模型的可行性，而且还建立了不到一年的投资回收期，强调了所提出的系统在实际应用中的经济可行性。</w:t>
      </w:r>
    </w:p>
    <w:p>
      <w:pPr>
        <w:spacing w:before="120"/>
      </w:pPr>
      <w:r>
        <w:rPr>
          <w:rFonts w:ascii="Times New Roman" w:hAnsi="Times New Roman" w:eastAsia="宋体"/>
          <w:b/>
          <w:sz w:val="21"/>
        </w:rPr>
        <w:t>English Abstract:</w:t>
      </w:r>
    </w:p>
    <w:p>
      <w:r>
        <w:rPr>
          <w:rFonts w:ascii="Times New Roman" w:hAnsi="Times New Roman" w:eastAsia="宋体"/>
          <w:sz w:val="21"/>
        </w:rPr>
        <w:t>Abstract This paper presents an innovative AI-driven solution for the early detection of dust accumulation on solar energy modules, leveraging computer vision and machine learning techniques. The study identifies two significant gaps in existing literature: the impact of dataset quality on research outcomes and the predominance of binary classification models, which limit the analysis of dust levels on photovoltaic (PV) modules. To address these gaps, we propose a sophisticated system that utilizes a visual dataset of continuously monitored images captured by a Raspberry Pi camera, alongside a raw dataset from the inverter tracking real-time energy production metrics. Our model is trained using machine learning algorithms to optimize cleaning patterns dynamically, maximizing energy output while minimizing operational costs. The results indicate that the AI-powered system enhances PV performance and contributes to cost reductions, ultimately promoting sustainability in solar energy production. The cleaning classifier automates condition-based cleaning, reducing the need for routine inspections and preventing up to 30% energy loss due to dust accumulation. The system achieves a cleaning efficiency of 1.23, reflecting a 23% increase in energy production compared to traditional periodic cleaning methods, resulting in a cost saving of $2,023. Furthermore, the implementation of the WattsUp mobile application facilitates user interaction by allowing monitoring of solar panel status and maintenance instructions, enhancing user engagement with the system. The application design emphasizes user trust and participation, featuring onboarding elements that highlight the importance of solar energy management in combating climate change. This comprehensive approach not only demonstrates the feasibility of a dynamic cleaning model but also establishes a payback period of less than a year, underscoring the economic viability of the proposed system in real-world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再生废玻璃和脱铝偏高岭土粉碱激活矿渣混凝土力学性能的实验和数值评价</w:t>
      </w:r>
    </w:p>
    <w:p>
      <w:r>
        <w:rPr>
          <w:rFonts w:ascii="Times New Roman" w:hAnsi="Times New Roman" w:eastAsia="宋体"/>
          <w:b/>
          <w:color w:val="003264"/>
          <w:sz w:val="24"/>
        </w:rPr>
        <w:t>Experimental and numerical evaluation of the mechanical behavior of alkali-activated slag concrete with recycled waste glass and dealuminated metakaolin powders</w:t>
      </w:r>
    </w:p>
    <w:p>
      <w:r>
        <w:rPr>
          <w:rFonts w:ascii="Times New Roman" w:hAnsi="Times New Roman" w:eastAsia="宋体"/>
          <w:sz w:val="21"/>
        </w:rPr>
        <w:t>作者: Marina A. Nader, Mohamed O. R. El-Hariri, Ahmed Kamar, Islam N. Fathy, Mohamed S. Saif</w:t>
        <w:br/>
      </w:r>
      <w:r>
        <w:rPr>
          <w:rFonts w:ascii="Times New Roman" w:hAnsi="Times New Roman" w:eastAsia="宋体"/>
          <w:sz w:val="21"/>
        </w:rPr>
        <w:t xml:space="preserve">时间: 2026-02-12 | </w:t>
      </w:r>
      <w:r>
        <w:t xml:space="preserve">链接: </w:t>
      </w:r>
      <w:hyperlink r:id="rId155">
        <w:r>
          <w:rPr>
            <w:rFonts w:ascii="Times New Roman" w:hAnsi="Times New Roman" w:eastAsia="宋体"/>
            <w:color w:val="0000FF"/>
            <w:sz w:val="21"/>
            <w:u w:val="single"/>
          </w:rPr>
          <w:t>https://doi.org/10.1038/s41598-026-36359-8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旨在评估含有不同粗骨料（白云石和玄武岩）、回收废玻璃粉（WGP）、脱铝偏高岭土（DK）和钢纤维（SF）的常温碱活化矿渣混凝土（AASC）的力学性能。进行了一项实验计划来评估所研究的混合物的机械性能。还使用 SEM-EDX 分析检查微观结构特征，以支持机械趋势的解释。此外，在 ABAQUS 中开发了有限元 (FE) 仿真模型，并根据实验结果进行了验证。研究结果表明，含有 10% DK 和 1% SF 的 AASC 表现出最高的整体机械性能。根据实验结果，开发了非线性混凝土损伤塑性 (CDP) 模型并经过严格校准，从而能够对 AASC 行为进行可靠的有限元模拟。随后，经过验证的模型被用于广泛的参数研究，以研究加固 AASC 梁的弯曲响应，结果表明，加入 1% SF 后，承载能力增加了约 46%，同时跨中挠度减少了约 19.7%。结果表明，优化后的混合物，特别是那些包含 WGP + SF 或 DK + SF 的混合物，实现了更高的极限载荷、减少的挠度、延迟的裂纹萌生和提高的延展性。所提出的有限元模型可准确预测负载能力和失效模式，为未来利用工业副产品和废料进行结构设计和优化可持续 AASC 元件提供强大的工具。这项研究的新颖之处在于对回收的 WGP 和 DK 进行了全面研究，将它们与 AASC 中的 SF 结合，并得到综合实验和数值分析的支持，以阐明它们对机械行为的协同效应。</w:t>
      </w:r>
    </w:p>
    <w:p>
      <w:pPr>
        <w:spacing w:before="120"/>
      </w:pPr>
      <w:r>
        <w:rPr>
          <w:rFonts w:ascii="Times New Roman" w:hAnsi="Times New Roman" w:eastAsia="宋体"/>
          <w:b/>
          <w:sz w:val="21"/>
        </w:rPr>
        <w:t>English Abstract:</w:t>
      </w:r>
    </w:p>
    <w:p>
      <w:r>
        <w:rPr>
          <w:rFonts w:ascii="Times New Roman" w:hAnsi="Times New Roman" w:eastAsia="宋体"/>
          <w:sz w:val="21"/>
        </w:rPr>
        <w:t>This study aims to evaluate the mechanical performance of ambient-cured Alkali-Activated Slag Concrete (AASC) incorporating different coarse aggregates (dolomite and basalt), recycled waste glass powder (WGP), dealuminated metakaolin (DK), and steel fibers (SF). An experimental program was conducted to assess the mechanical properties of the investigated mixes. Microstructural characteristics were also examined using SEM-EDX analysis to support the interpretation of mechanical trends. Furthermore, finite element (FE) simulation models were developed in ABAQUS and validated against experimental results. The findings indicate that AASC incorporating 10% DK and 1% SF exhibits the highest overall mechanical performance. Based on the experimental results, a nonlinear Concrete Damaged Plasticity (CDP) model was developed and rigorously calibrated, enabling reliable FE simulation of AASC behavior. The validated model was subsequently employed in an extensive parametric study to investigate the flexural response of reinforced AASC beams, which demonstrated that the inclusion of 1% SF increased load-carrying capacity by approximately 46% while reducing mid-span deflection by about 19.7%. The results show that the optimized mixes, particularly those incorporating WGP + SF or DK + SF, achieved higher ultimate loads, reduced deflections, delayed crack initiation, and improved ductility. The proposed FE model accurately predicts load capacity and failure modes, providing a robust tool for future structural design and optimization of sustainable AASC elements utilizing industrial by-products and waste materials. The novelty of this study lies in the comprehensive investigation of recycled WGP and DK, each combined with SF in AASC, supported by integrated experimental and numerical analyses to elucidate their synergistic effects on mechanical behavior.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开发基于智能手机的高分辨率尿液分析光谱仪</w:t>
      </w:r>
    </w:p>
    <w:p>
      <w:r>
        <w:rPr>
          <w:rFonts w:ascii="Times New Roman" w:hAnsi="Times New Roman" w:eastAsia="宋体"/>
          <w:b/>
          <w:color w:val="003264"/>
          <w:sz w:val="24"/>
        </w:rPr>
        <w:t>Development of a smartphone based spectrometer for high-resolution urinalysis</w:t>
      </w:r>
    </w:p>
    <w:p>
      <w:r>
        <w:rPr>
          <w:rFonts w:ascii="Times New Roman" w:hAnsi="Times New Roman" w:eastAsia="宋体"/>
          <w:sz w:val="21"/>
        </w:rPr>
        <w:t>作者: Kefan Song, Ilan Mandel, Jason Cobb, Tanzeem Choudhury, Alexander T. Adams</w:t>
        <w:br/>
      </w:r>
      <w:r>
        <w:rPr>
          <w:rFonts w:ascii="Times New Roman" w:hAnsi="Times New Roman" w:eastAsia="宋体"/>
          <w:sz w:val="21"/>
        </w:rPr>
        <w:t xml:space="preserve">时间: 2026-02-12 | </w:t>
      </w:r>
      <w:r>
        <w:t xml:space="preserve">链接: </w:t>
      </w:r>
      <w:hyperlink r:id="rId156">
        <w:r>
          <w:rPr>
            <w:rFonts w:ascii="Times New Roman" w:hAnsi="Times New Roman" w:eastAsia="宋体"/>
            <w:color w:val="0000FF"/>
            <w:sz w:val="21"/>
            <w:u w:val="single"/>
          </w:rPr>
          <w:t>https://doi.org/10.1038/s41598-026-38307-y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慢性肾病 (CKD) 影响着全世界数百万人，但诊断不足，尤其是在资源有限的地区。目前的诊断方法，包括视觉和试纸尿液分析，缺乏定量准确性，而基于实验室的测试仍然无法进行常规或远程监测。在此，我们推出 SpectraPhone，这是一款集成智能手机的便携式光谱仪，专为定量、护理点尿液分析而设计。 SpectraPhone 利用智能手机的内置摄像头和手电筒，捕获高分辨率光谱数据，以准确量化血尿和白蛋白尿，这两者都是 CKD 的生物标志物。通过严格的光学表征和经验验证，SpectraPhone 展现出卓越的定量性能，可准确测量红细胞浓度（$$R^2$$ = 0.9913，RMSE = 61.6086 RBC/$$\upmu$$L，MAE = 43.9077 RBC/$$\upmu$$L）和白蛋白水平（$$R^2$$ = 0.9981，RMSE = 11.8525 mg/dL，MAE = 8.4985 mg/dL），显着超越传统定性方法的能力。通过添加溴酚蓝试剂，SpectraPhone 实现了更准确的尿白蛋白测量（$$R^2$$ = 0.9997，RMSE = 4.2583 mg/dL，MAE = 3.2625 mg/dL），从而实现临床级白蛋白尿检测。 SpectraPhone 的经济性、易用性和强大的性能凸显了其改变常规 CKD 筛查、促进早期检测、改善疾病管理和增加全球医疗保健可及性的潜力。</w:t>
      </w:r>
    </w:p>
    <w:p>
      <w:pPr>
        <w:spacing w:before="120"/>
      </w:pPr>
      <w:r>
        <w:rPr>
          <w:rFonts w:ascii="Times New Roman" w:hAnsi="Times New Roman" w:eastAsia="宋体"/>
          <w:b/>
          <w:sz w:val="21"/>
        </w:rPr>
        <w:t>English Abstract:</w:t>
      </w:r>
    </w:p>
    <w:p>
      <w:r>
        <w:rPr>
          <w:rFonts w:ascii="Times New Roman" w:hAnsi="Times New Roman" w:eastAsia="宋体"/>
          <w:sz w:val="21"/>
        </w:rPr>
        <w:t>Chronic kidney disease (CKD) affects millions worldwide but remains under-diagnosed, especially in resource-limited settings. Current diagnostic methods, including visual and dipstick urinalysis, lack quantitative accuracy, while laboratory-based tests remain inaccessible for routine or remote monitoring. Here we present SpectraPhone, a smartphone-integrated, portable spectrometer designed for quantitative, point-of-care urinalysis. Leveraging the smartphone’s built-in camera and flashlight, SpectraPhone captures high-resolution spectral data to accurately quantify hematuria and albuminuria, which are both biomarkers of CKD. Through rigorous optical characterization and empirical validation, SpectraPhone demonstrates superior quantification performance, accurately measuring red blood cell concentrations ($$R^2$$ = 0.9913, RMSE = 61.6086 RBC/$$\upmu$$L, MAE = 43.9077 RBC/$$\upmu$$L) and albumin levels ($$R^2$$ = 0.9981, RMSE = 11.8525 mg/dL, MAE = 8.4985 mg/dL), significantly surpassing the capabilities of conventional qualitative methods. With the addition of bromophenol blue reagent, SpectraPhone achieves more accurate urine albumin measurements ($$R^2$$ = 0.9997, RMSE = 4.2583 mg/dL, MAE = 3.2625 mg/dL), enabling clinical-grade albuminuria detection. SpectraPhone’s affordability, ease of use, and robust performance highlight its potential to transform routine CKD screening, facilitate early detection, improve disease management, and increase healthcare access globally.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利用自然语言处理和机器学习从初级保健电子病历中识别慢性病</w:t>
      </w:r>
    </w:p>
    <w:p>
      <w:r>
        <w:rPr>
          <w:rFonts w:ascii="Times New Roman" w:hAnsi="Times New Roman" w:eastAsia="宋体"/>
          <w:b/>
          <w:color w:val="003264"/>
          <w:sz w:val="24"/>
        </w:rPr>
        <w:t>Leveraging natural language processing and machine learning to identify chronic conditions from primary care electronic medical records</w:t>
      </w:r>
    </w:p>
    <w:p>
      <w:r>
        <w:rPr>
          <w:rFonts w:ascii="Times New Roman" w:hAnsi="Times New Roman" w:eastAsia="宋体"/>
          <w:sz w:val="21"/>
        </w:rPr>
        <w:t>作者: Na Zhang, Marjan Abbasi, Sheny Khera, Mehrnoosh Bazrafkan, Reza Abbasi-Dezfouly, Linglong Kong</w:t>
        <w:br/>
      </w:r>
      <w:r>
        <w:rPr>
          <w:rFonts w:ascii="Times New Roman" w:hAnsi="Times New Roman" w:eastAsia="宋体"/>
          <w:sz w:val="21"/>
        </w:rPr>
        <w:t xml:space="preserve">时间: 2026-02-12 | </w:t>
      </w:r>
      <w:r>
        <w:t xml:space="preserve">链接: </w:t>
      </w:r>
      <w:hyperlink r:id="rId157">
        <w:r>
          <w:rPr>
            <w:rFonts w:ascii="Times New Roman" w:hAnsi="Times New Roman" w:eastAsia="宋体"/>
            <w:color w:val="0000FF"/>
            <w:sz w:val="21"/>
            <w:u w:val="single"/>
          </w:rPr>
          <w:t>https://doi.org/10.1038/s41598-026-38594-5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初级保健电子病历 (EMR) 包含丰富的数据，可以支持主动识别慢性健康状况。然而，利用非结构化 EMR 数据需要使用新颖的计算方法。我们将自然语言处理和机器学习 (ML) 技术应用于结构化和非结构化 EMR 数据，以检测关节炎、慢性肾病、糖尿病、高血压和呼吸系统疾病。使用来自加拿大一家初级保健诊所 449 名社区居住老年人的数据，我们开发了一个分析流程，其中包括非结构化数据的预处理、潜在狄利克雷分配主题建模和监督 ML 模型（正则逻辑回归 [RLR]、支持向量机 [SVM]、人工神经网络 [ANN]）以及类别加权学习和合成少数过采样技术来解决类别不平衡问题。集成非结构化临床记录提高了模型性能，特别是对于结构化数据中经常编码不足的情况。例如，关节炎检测中 SVM 分类器的接收者操作特征曲线下面积从 0.724 增加到 0.841，呼吸系统疾病检测中 ANN 的接收者操作特征曲线下面积从 0.733 增加到 0.890。糖尿病、高血压和慢性肾病的改善不太明显。这些发现强调，虽然非结构化数据的性能提升因情况而异，但利用这些数据可以改善初级保健 EMR 数据中的疾病检测。</w:t>
      </w:r>
    </w:p>
    <w:p>
      <w:pPr>
        <w:spacing w:before="120"/>
      </w:pPr>
      <w:r>
        <w:rPr>
          <w:rFonts w:ascii="Times New Roman" w:hAnsi="Times New Roman" w:eastAsia="宋体"/>
          <w:b/>
          <w:sz w:val="21"/>
        </w:rPr>
        <w:t>English Abstract:</w:t>
      </w:r>
    </w:p>
    <w:p>
      <w:r>
        <w:rPr>
          <w:rFonts w:ascii="Times New Roman" w:hAnsi="Times New Roman" w:eastAsia="宋体"/>
          <w:sz w:val="21"/>
        </w:rPr>
        <w:t>Primary care electronic medical records (EMRs) contain rich data that can support proactive identification of chronic health conditions. However, leveraging unstructured EMR data requires the use of novel computational methods. We applied natural language processing and machine learning (ML) techniques to structured and unstructured EMR data to detect arthritis, chronic kidney disease, diabetes, hypertension, and respiratory diseases. Using data from 449 community-dwelling older adults in one Canadian primary care clinic, we developed an analytical pipeline that included preprocessing of unstructured data, Latent Dirichlet Allocation topic modelling, and supervised ML models (regularized logistic regression [RLR], support vector machine [SVM], artificial neural networks [ANNs]) with class-weighted learning and Synthetic Minority Oversampling Technique techniques to address class imbalance. Integrating unstructured clinical notes improved model performance, particularly for conditions often under-coded in structured data. For example, the area under the receiver operating characteristic curve increased from 0.724 to 0.841 for SVM classifiers in arthritis detection and from 0.733 to 0.890 for ANNs in respiratory disease detection. Less pronounced improvements were observed for diabetes, hypertension, and CKD. These findings highlight that while performance gains from unstructured data vary by condition, leveraging these data can improve disease detection in primary care EMR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人体膝关节最大自主等距伸展的计算生物力学，重点关注关节中心定位的作用</w:t>
      </w:r>
    </w:p>
    <w:p>
      <w:r>
        <w:rPr>
          <w:rFonts w:ascii="Times New Roman" w:hAnsi="Times New Roman" w:eastAsia="宋体"/>
          <w:b/>
          <w:color w:val="003264"/>
          <w:sz w:val="24"/>
        </w:rPr>
        <w:t>Computational biomechanics of human knee joint in maximum voluntary isometric extension with focus on the role of joint center positioning</w:t>
      </w:r>
    </w:p>
    <w:p>
      <w:r>
        <w:rPr>
          <w:rFonts w:ascii="Times New Roman" w:hAnsi="Times New Roman" w:eastAsia="宋体"/>
          <w:sz w:val="21"/>
        </w:rPr>
        <w:t>作者: Pooya Salehi, Aboulfazl Shirazi-Adl</w:t>
        <w:br/>
      </w:r>
      <w:r>
        <w:rPr>
          <w:rFonts w:ascii="Times New Roman" w:hAnsi="Times New Roman" w:eastAsia="宋体"/>
          <w:sz w:val="21"/>
        </w:rPr>
        <w:t xml:space="preserve">时间: 2026-02-12 | </w:t>
      </w:r>
      <w:r>
        <w:t xml:space="preserve">链接: </w:t>
      </w:r>
      <w:hyperlink r:id="rId158">
        <w:r>
          <w:rPr>
            <w:rFonts w:ascii="Times New Roman" w:hAnsi="Times New Roman" w:eastAsia="宋体"/>
            <w:color w:val="0000FF"/>
            <w:sz w:val="21"/>
            <w:u w:val="single"/>
          </w:rPr>
          <w:t>https://doi.org/10.1038/s41598-026-39495-3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最大自主等长收缩 (MVIC) 伸展可评估膝关节股四头肌功能、力量、神经肌肉恢复和康复计划。我们使用下肢肌肉骨骼 (MS) 模型，其中包含尸体膝盖的有限元 (FE)。在模拟三个膝关节屈曲角度 (KFA)（30°、60°、90°）坐姿下的 MVIC 伸展时，计算肌肉/韧带/接触力、组织应力/应变和被动反应力矩。使用田口正交设计，MVIC 伸展力矩、向后导向的外力的杠杆臂和膝屈肌的共激活这三个输入参数分别在四个水平上变化。估计输出参数对这些输入变量的敏感性。验证力矩方程的关节中心的位置也有所不同。结果表明，KFA (p &lt; 0.001) 和 MVIC 力矩 (p &lt; 0.001) 使股四头肌、髌腱和髌股接触力显着增加。更大的外力杠杆臂增加了ACL的力量。与同一 MVIC 的 OpenSim 模拟相比，关节中心位置的变化仅影响被动反应力矩，这些被动反应力矩会变化以保持平衡，而计算的肌肉力和内部韧带/接触载荷保持不变。研究结果凸显了 MS 模型的固有局限性，该模型将整个膝关节理想化为位于其旋转中心的关节。</w:t>
      </w:r>
    </w:p>
    <w:p>
      <w:pPr>
        <w:spacing w:before="120"/>
      </w:pPr>
      <w:r>
        <w:rPr>
          <w:rFonts w:ascii="Times New Roman" w:hAnsi="Times New Roman" w:eastAsia="宋体"/>
          <w:b/>
          <w:sz w:val="21"/>
        </w:rPr>
        <w:t>English Abstract:</w:t>
      </w:r>
    </w:p>
    <w:p>
      <w:r>
        <w:rPr>
          <w:rFonts w:ascii="Times New Roman" w:hAnsi="Times New Roman" w:eastAsia="宋体"/>
          <w:sz w:val="21"/>
        </w:rPr>
        <w:t>Maximum voluntary isometric contraction (MVIC) extension assesses knee quadriceps function, strength, neuromuscular recovery and rehabilitation programs. We use a musculoskeletal (MS) model of the lower limb that incorporates a finite element (FE) of a cadaver knee. Muscle/ligament/contact forces, tissue stresses/strains and passive reaction moments are computed while simulating MVIC extension in seated posture at three knee flexion angles (KFA) (30°, 60°, 90°). Three input parameters of MVIC extension moment, lever arm of the posteriorly-directed external force, and coactivation in knee flexors were each varied at four levels using a Taguchi orthogonal design. Sensitivity of output parameters to these input variables were estimated. The location of the joint center where moment equations are verified was also varied. Results demonstrated a significant increase in quadriceps, patellar tendon, and patellofemoral contact forces with KFA (p &lt; 0.001) and MVIC moment (p &lt; 0.001). Greater lever arm of the external force increased ACL forces. In contrast to OpenSim simulation of the same MVIC, changes in the joint center location affected only the passive reaction moments that varied to maintain equilibrium while the computed muscle forces and internal ligament/contact loads remained unchanged. Findings highlight inherent limitations in MS models that idealize the entire knee as a joint located at its center of rotation.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Physics</w:t>
      </w:r>
    </w:p>
    <w:p>
      <w:pPr>
        <w:jc w:val="center"/>
      </w:pPr>
      <w:r>
        <w:t>--- 更新: 00:30 ---</w:t>
      </w:r>
    </w:p>
    <w:p>
      <w:pPr>
        <w:pStyle w:val="Heading2"/>
      </w:pPr>
      <w:r/>
      <w:r>
        <w:rPr>
          <w:rFonts w:ascii="Times New Roman" w:hAnsi="Times New Roman" w:eastAsia="宋体"/>
          <w:b/>
          <w:color w:val="000000"/>
          <w:sz w:val="24"/>
        </w:rPr>
        <w:t>用于等离激元超材料光损耗补偿的高阶虚拟增益</w:t>
      </w:r>
    </w:p>
    <w:p>
      <w:r>
        <w:rPr>
          <w:rFonts w:ascii="Times New Roman" w:hAnsi="Times New Roman" w:eastAsia="宋体"/>
          <w:b/>
          <w:color w:val="003264"/>
          <w:sz w:val="24"/>
        </w:rPr>
        <w:t>High-order virtual gain for optical loss compensation in plasmonic metamaterials</w:t>
      </w:r>
    </w:p>
    <w:p>
      <w:r>
        <w:rPr>
          <w:rFonts w:ascii="Times New Roman" w:hAnsi="Times New Roman" w:eastAsia="宋体"/>
          <w:sz w:val="21"/>
        </w:rPr>
        <w:t>作者: Fuxin Guan, Zemeng Lin, Sixin Chen, Xinhua Wen, Tao Li, Shuang Zhang</w:t>
        <w:br/>
      </w:r>
      <w:r>
        <w:rPr>
          <w:rFonts w:ascii="Times New Roman" w:hAnsi="Times New Roman" w:eastAsia="宋体"/>
          <w:sz w:val="21"/>
        </w:rPr>
        <w:t xml:space="preserve">时间: 2026-02-11 | </w:t>
      </w:r>
      <w:r>
        <w:t xml:space="preserve">链接: </w:t>
      </w:r>
      <w:hyperlink r:id="rId37">
        <w:r>
          <w:rPr>
            <w:rFonts w:ascii="Times New Roman" w:hAnsi="Times New Roman" w:eastAsia="宋体"/>
            <w:color w:val="0000FF"/>
            <w:sz w:val="21"/>
            <w:u w:val="single"/>
          </w:rPr>
          <w:t>https://doi.org/10.1038/s41567-026-03171-0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复频波可补偿光损耗，但其功效在损耗极大的系统中受到限制。现在，高阶虚拟增益激励已被证明可以保持等离子体共振系统中的损耗补偿效率。</w:t>
      </w:r>
    </w:p>
    <w:p>
      <w:pPr>
        <w:spacing w:before="120"/>
      </w:pPr>
      <w:r>
        <w:rPr>
          <w:rFonts w:ascii="Times New Roman" w:hAnsi="Times New Roman" w:eastAsia="宋体"/>
          <w:b/>
          <w:sz w:val="21"/>
        </w:rPr>
        <w:t>English Abstract:</w:t>
      </w:r>
    </w:p>
    <w:p>
      <w:r>
        <w:rPr>
          <w:rFonts w:ascii="Times New Roman" w:hAnsi="Times New Roman" w:eastAsia="宋体"/>
          <w:sz w:val="21"/>
        </w:rPr>
        <w:t>Complex-frequency waves compensate for optical losses, but their efficacy is limited in systems with extreme losses. Now, high-order virtual gain excitations have been shown to preserve loss compensation efficiency in plasmonic resonance systems.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Machine Intelligence</w:t>
      </w:r>
    </w:p>
    <w:p>
      <w:pPr>
        <w:jc w:val="center"/>
      </w:pPr>
      <w:r>
        <w:t>--- 更新: 00:30 ---</w:t>
      </w:r>
    </w:p>
    <w:p>
      <w:pPr>
        <w:pStyle w:val="Heading2"/>
      </w:pPr>
      <w:r/>
      <w:r>
        <w:rPr>
          <w:rFonts w:ascii="Times New Roman" w:hAnsi="Times New Roman" w:eastAsia="宋体"/>
          <w:b/>
          <w:color w:val="000000"/>
          <w:sz w:val="24"/>
        </w:rPr>
        <w:t>为通用机器人构建视觉-语言-动作模型时最重要的是什么</w:t>
      </w:r>
    </w:p>
    <w:p>
      <w:r>
        <w:rPr>
          <w:rFonts w:ascii="Times New Roman" w:hAnsi="Times New Roman" w:eastAsia="宋体"/>
          <w:b/>
          <w:color w:val="003264"/>
          <w:sz w:val="24"/>
        </w:rPr>
        <w:t>What matters in building vision–language–action models for generalist robots</w:t>
      </w:r>
    </w:p>
    <w:p>
      <w:r>
        <w:rPr>
          <w:rFonts w:ascii="Times New Roman" w:hAnsi="Times New Roman" w:eastAsia="宋体"/>
          <w:sz w:val="21"/>
        </w:rPr>
        <w:t>作者: Xinghang Li, Peiyan Li, Long Qian, Minghuan Liu, Dong Wang, Jirong Liu, Bingyi Kang, Xiao Ma, Xinlong Wang, Di Guo, Tao Kong, Hanbo Zhang, Huaping Liu</w:t>
        <w:br/>
      </w:r>
      <w:r>
        <w:rPr>
          <w:rFonts w:ascii="Times New Roman" w:hAnsi="Times New Roman" w:eastAsia="宋体"/>
          <w:sz w:val="21"/>
        </w:rPr>
        <w:t xml:space="preserve">时间: 2026-02-11 | </w:t>
      </w:r>
      <w:r>
        <w:t xml:space="preserve">链接: </w:t>
      </w:r>
      <w:hyperlink r:id="rId38">
        <w:r>
          <w:rPr>
            <w:rFonts w:ascii="Times New Roman" w:hAnsi="Times New Roman" w:eastAsia="宋体"/>
            <w:color w:val="0000FF"/>
            <w:sz w:val="21"/>
            <w:u w:val="single"/>
          </w:rPr>
          <w:t>https://doi.org/10.1038/s42256-025-01168-7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视觉-语言-动作模型最近成为机器人技术的工具。在这里，李和同事比较了视觉-语言-动作模型，并强调了模型的有用之处。</w:t>
      </w:r>
    </w:p>
    <w:p>
      <w:pPr>
        <w:spacing w:before="120"/>
      </w:pPr>
      <w:r>
        <w:rPr>
          <w:rFonts w:ascii="Times New Roman" w:hAnsi="Times New Roman" w:eastAsia="宋体"/>
          <w:b/>
          <w:sz w:val="21"/>
        </w:rPr>
        <w:t>English Abstract:</w:t>
      </w:r>
    </w:p>
    <w:p>
      <w:r>
        <w:rPr>
          <w:rFonts w:ascii="Times New Roman" w:hAnsi="Times New Roman" w:eastAsia="宋体"/>
          <w:sz w:val="21"/>
        </w:rPr>
        <w:t>Vision–language–action models recently emerged as a tool for robotics. Here Li and colleagues compare vision–language–action models and highlight what makes a model useful.</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Biomedical Engineering</w:t>
      </w:r>
    </w:p>
    <w:p>
      <w:pPr>
        <w:jc w:val="center"/>
      </w:pPr>
      <w:r>
        <w:t>--- 更新: 00:30 ---</w:t>
      </w:r>
    </w:p>
    <w:p>
      <w:pPr>
        <w:pStyle w:val="Heading2"/>
      </w:pPr>
      <w:r/>
      <w:r>
        <w:rPr>
          <w:rFonts w:ascii="Times New Roman" w:hAnsi="Times New Roman" w:eastAsia="宋体"/>
          <w:b/>
          <w:color w:val="000000"/>
          <w:sz w:val="24"/>
        </w:rPr>
        <w:t>通过 CAR T 细胞中的双受体敲除消除前列腺素 E2 信号传导可增强实体瘤的治疗效果</w:t>
      </w:r>
    </w:p>
    <w:p>
      <w:r>
        <w:rPr>
          <w:rFonts w:ascii="Times New Roman" w:hAnsi="Times New Roman" w:eastAsia="宋体"/>
          <w:b/>
          <w:color w:val="003264"/>
          <w:sz w:val="24"/>
        </w:rPr>
        <w:t>Ablation of prostaglandin E2 signalling through dual receptor knockout in CAR T cells enhances therapeutic efficacy in solid tumours</w:t>
      </w:r>
    </w:p>
    <w:p>
      <w:r>
        <w:rPr>
          <w:rFonts w:ascii="Times New Roman" w:hAnsi="Times New Roman" w:eastAsia="宋体"/>
          <w:sz w:val="21"/>
        </w:rPr>
        <w:t>作者: Janina Dörr, Lisa Gregor, Sebastian B. Lacher, Arman Oner, Yi Sun, Ignazio Piseddu, Luisa Fertig, Sebastijan Spajic, Stefanie Lesch, Stefanos Michaelides, Matthias Seifert, Adrian Gottschlich, Natasha Samson, Lina Majed, Daria Briukhovetska, Donjetë Simnica, Viktoria Hartmann, Kathrin Gabriel, Sonia Cohen, Genevieve M. Boland, David Andreu-Sanz, Emanuele Carlini, Sophia Stock, Anne Holtermann, Philipp Jie Müller, Thaddäus Strzalkowski, Marcel P. Trefny, Stefan Endres, Russell W. Jenkins, Jan P. Böttcher, Sebastian Kobold</w:t>
        <w:br/>
      </w:r>
      <w:r>
        <w:rPr>
          <w:rFonts w:ascii="Times New Roman" w:hAnsi="Times New Roman" w:eastAsia="宋体"/>
          <w:sz w:val="21"/>
        </w:rPr>
        <w:t xml:space="preserve">时间: 2026-02-11 | </w:t>
      </w:r>
      <w:r>
        <w:t xml:space="preserve">链接: </w:t>
      </w:r>
      <w:hyperlink r:id="rId39">
        <w:r>
          <w:rPr>
            <w:rFonts w:ascii="Times New Roman" w:hAnsi="Times New Roman" w:eastAsia="宋体"/>
            <w:color w:val="0000FF"/>
            <w:sz w:val="21"/>
            <w:u w:val="single"/>
          </w:rPr>
          <w:t>https://doi.org/10.1038/s41551-025-01610-6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嵌合抗原受体 (CAR) T 细胞治疗实体癌的疗效受到肿瘤微环境 (TME) 中免疫抑制的限制。前列腺素E 2 (PGE 2 ) 是局部抑制T细胞功能的关键因素。我们假设，CAR T 细胞中 PGE 2 信号传导的靶向消除可能会增强其在富含 PGE 2 的实体瘤中的活性。在这里，我们通过 CRISPR-Cas9 工程产生了 PGE 2 受体 EP2 和 EP4 (EP2 −/− EP4 −/− ) 双缺陷的敲除 CAR T 细胞。 EP2 −/− EP4 −/− CAR T 细胞在 PGE 2 存在下有增无减。此外，他们在体内有效地控制了同基因和人类异种移植肿瘤模型，同时伴随着修饰T细胞的肿瘤内积累和持续存在。针对来自胰腺导管腺癌 (PDAC)、结直肠癌 (CRC) 和神经内分泌 (NET) 患者的患者来源的肿瘤样本，还观察到抗肿瘤活性有所改善。我们的数据揭示了 PGE 2 介导的抑制对 CAR T 细胞功效的不利影响，并强调 EP2 和 EP4 靶向作为一种潜在策略。</w:t>
      </w:r>
    </w:p>
    <w:p>
      <w:pPr>
        <w:spacing w:before="120"/>
      </w:pPr>
      <w:r>
        <w:rPr>
          <w:rFonts w:ascii="Times New Roman" w:hAnsi="Times New Roman" w:eastAsia="宋体"/>
          <w:b/>
          <w:sz w:val="21"/>
        </w:rPr>
        <w:t>English Abstract:</w:t>
      </w:r>
    </w:p>
    <w:p>
      <w:r>
        <w:rPr>
          <w:rFonts w:ascii="Times New Roman" w:hAnsi="Times New Roman" w:eastAsia="宋体"/>
          <w:sz w:val="21"/>
        </w:rPr>
        <w:t>Abstract The efficacy of chimeric antigen receptor (CAR) T cell therapy in solid cancers is limited by immunosuppression in the tumour microenvironment (TME). Prostaglandin E 2 (PGE 2 ) is a key factor locally inhibiting T cell function. We hypothesized that targeted ablation of PGE 2 signalling in CAR T cells may enhance their activity in PGE 2 -rich solid tumours. Here we generate knockout CAR T cells double deficient for the PGE 2 receptors EP2 and EP4 (EP2 −/− EP4 −/− ) by CRISPR–Cas9 engineering. EP2 −/− EP4 −/− CAR T cells expanded unabatedly in the presence of PGE 2 . Further, they effectively controlled syngeneic and human xenograft tumour models in vivo, which was accompanied by intratumoural accumulation and persistence of modified T cells. Improved anti-tumour activity was also observed against patient-derived tumour samples from patients with pancreatic ductal adenocarcinoma (PDAC), colorectal (CRC) and neuroendocrine (NET) cancer. Our data uncovers the detrimental impact of PGE 2 -mediated suppression on CAR T cell efficacy and highlights EP2 and EP4 targeting as a potential strategy.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Physical Review Letters</w:t>
      </w:r>
    </w:p>
    <w:p>
      <w:pPr>
        <w:jc w:val="center"/>
      </w:pPr>
      <w:r>
        <w:t>--- 更新: 00:30 ---</w:t>
      </w:r>
    </w:p>
    <w:p>
      <w:pPr>
        <w:pStyle w:val="Heading2"/>
      </w:pPr>
      <w:r/>
      <w:r>
        <w:rPr>
          <w:rFonts w:ascii="Times New Roman" w:hAnsi="Times New Roman" w:eastAsia="宋体"/>
          <w:b/>
          <w:color w:val="000000"/>
          <w:sz w:val="24"/>
        </w:rPr>
        <w:t>通过定制的飞秒激光驱动实现二维材料中的面内光学可调磁态</w:t>
      </w:r>
    </w:p>
    <w:p>
      <w:r>
        <w:rPr>
          <w:rFonts w:ascii="Times New Roman" w:hAnsi="Times New Roman" w:eastAsia="宋体"/>
          <w:b/>
          <w:color w:val="003264"/>
          <w:sz w:val="24"/>
        </w:rPr>
        <w:t>In-plane optically tunable magnetic states in 2D materials via tailored femtosecond laser driving</w:t>
      </w:r>
    </w:p>
    <w:p>
      <w:r>
        <w:rPr>
          <w:rFonts w:ascii="Times New Roman" w:hAnsi="Times New Roman" w:eastAsia="宋体"/>
          <w:sz w:val="21"/>
        </w:rPr>
        <w:t>作者: Anonymous</w:t>
        <w:br/>
      </w:r>
      <w:r>
        <w:rPr>
          <w:rFonts w:ascii="Times New Roman" w:hAnsi="Times New Roman" w:eastAsia="宋体"/>
          <w:sz w:val="21"/>
        </w:rPr>
        <w:t xml:space="preserve">时间: 2026-02-11 | </w:t>
      </w:r>
      <w:r>
        <w:t xml:space="preserve">链接: </w:t>
      </w:r>
      <w:hyperlink r:id="rId40">
        <w:r>
          <w:rPr>
            <w:rFonts w:ascii="Times New Roman" w:hAnsi="Times New Roman" w:eastAsia="宋体"/>
            <w:color w:val="0000FF"/>
            <w:sz w:val="21"/>
            <w:u w:val="single"/>
          </w:rPr>
          <w:t>https://doi.org/10.1103/ml3c-d4xz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00:30 ---</w:t>
      </w:r>
    </w:p>
    <w:p>
      <w:pPr>
        <w:pStyle w:val="Heading2"/>
      </w:pPr>
      <w:r/>
      <w:r>
        <w:rPr>
          <w:rFonts w:ascii="Times New Roman" w:hAnsi="Times New Roman" w:eastAsia="宋体"/>
          <w:b/>
          <w:color w:val="000000"/>
          <w:sz w:val="24"/>
        </w:rPr>
        <w:t>视觉内容操纵引起的主观视觉疲劳的功能连接相关性：全脑功能磁共振成像研究</w:t>
      </w:r>
    </w:p>
    <w:p>
      <w:r>
        <w:rPr>
          <w:rFonts w:ascii="Times New Roman" w:hAnsi="Times New Roman" w:eastAsia="宋体"/>
          <w:b/>
          <w:color w:val="003264"/>
          <w:sz w:val="24"/>
        </w:rPr>
        <w:t>Functional connectivity correlates of subjective visual fatigue induced by visual content manipulation: A whole-brain fMRI study</w:t>
      </w:r>
    </w:p>
    <w:p>
      <w:r>
        <w:rPr>
          <w:rFonts w:ascii="Times New Roman" w:hAnsi="Times New Roman" w:eastAsia="宋体"/>
          <w:sz w:val="21"/>
        </w:rPr>
        <w:t>作者: Uijong Ju, Kyuewon Kim</w:t>
        <w:br/>
      </w:r>
      <w:r>
        <w:rPr>
          <w:rFonts w:ascii="Times New Roman" w:hAnsi="Times New Roman" w:eastAsia="宋体"/>
          <w:sz w:val="21"/>
        </w:rPr>
        <w:t xml:space="preserve">时间: 2026-02-01 | </w:t>
      </w:r>
      <w:r>
        <w:t xml:space="preserve">链接: </w:t>
      </w:r>
      <w:hyperlink r:id="rId41">
        <w:r>
          <w:rPr>
            <w:rFonts w:ascii="Times New Roman" w:hAnsi="Times New Roman" w:eastAsia="宋体"/>
            <w:color w:val="0000FF"/>
            <w:sz w:val="21"/>
            <w:u w:val="single"/>
          </w:rPr>
          <w:t>https://doi.org/10.1016/j.displa.2026.103393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Dental-QAD：全景放射照片中推理驱动的质量评估和诊断</w:t>
      </w:r>
    </w:p>
    <w:p>
      <w:r>
        <w:rPr>
          <w:rFonts w:ascii="Times New Roman" w:hAnsi="Times New Roman" w:eastAsia="宋体"/>
          <w:b/>
          <w:color w:val="003264"/>
          <w:sz w:val="24"/>
        </w:rPr>
        <w:t>Dental-QAD: Reasoning-driven quality assessment and diagnosis in panoramic radiographs</w:t>
      </w:r>
    </w:p>
    <w:p>
      <w:r>
        <w:rPr>
          <w:rFonts w:ascii="Times New Roman" w:hAnsi="Times New Roman" w:eastAsia="宋体"/>
          <w:sz w:val="21"/>
        </w:rPr>
        <w:t>作者: Shuangqing Wang, Kaiyuan Ji, Yushuo Zheng, Zhihan Wu, Xiaorong Zhu, Zijian Chen, Lu Sun, Shuo Wang, Jianbo Zhang, Zicheng Zhang, Xiangyang Zhu, Yuan Tian, Jing Han, Lele Hao, Zhiyu Chen, Jiannan Liu</w:t>
        <w:br/>
      </w:r>
      <w:r>
        <w:rPr>
          <w:rFonts w:ascii="Times New Roman" w:hAnsi="Times New Roman" w:eastAsia="宋体"/>
          <w:sz w:val="21"/>
        </w:rPr>
        <w:t xml:space="preserve">时间: 2026-02-01 | </w:t>
      </w:r>
      <w:r>
        <w:t xml:space="preserve">链接: </w:t>
      </w:r>
      <w:hyperlink r:id="rId122">
        <w:r>
          <w:rPr>
            <w:rFonts w:ascii="Times New Roman" w:hAnsi="Times New Roman" w:eastAsia="宋体"/>
            <w:color w:val="0000FF"/>
            <w:sz w:val="21"/>
            <w:u w:val="single"/>
          </w:rPr>
          <w:t>https://doi.org/10.1016/j.displa.2026.103380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00:31 ---</w:t>
      </w:r>
    </w:p>
    <w:p>
      <w:pPr>
        <w:pStyle w:val="Heading2"/>
      </w:pPr>
      <w:r/>
      <w:r>
        <w:rPr>
          <w:rFonts w:ascii="Times New Roman" w:hAnsi="Times New Roman" w:eastAsia="宋体"/>
          <w:b/>
          <w:color w:val="000000"/>
          <w:sz w:val="24"/>
        </w:rPr>
        <w:t>由级联超表面实现的小型化原子磁力计</w:t>
      </w:r>
    </w:p>
    <w:p>
      <w:r>
        <w:rPr>
          <w:rFonts w:ascii="Times New Roman" w:hAnsi="Times New Roman" w:eastAsia="宋体"/>
          <w:b/>
          <w:color w:val="003264"/>
          <w:sz w:val="24"/>
        </w:rPr>
        <w:t>A miniaturized atomic magnetometer enabled by cascaded metasurfaces</w:t>
      </w:r>
    </w:p>
    <w:p>
      <w:r>
        <w:rPr>
          <w:rFonts w:ascii="Times New Roman" w:hAnsi="Times New Roman" w:eastAsia="宋体"/>
          <w:sz w:val="21"/>
        </w:rPr>
        <w:t>作者: Yujing Shen, Yan Xuan, Shuo Sun, Pengcheng Du, Jin Li</w:t>
        <w:br/>
      </w:r>
      <w:r>
        <w:rPr>
          <w:rFonts w:ascii="Times New Roman" w:hAnsi="Times New Roman" w:eastAsia="宋体"/>
          <w:sz w:val="21"/>
        </w:rPr>
        <w:t xml:space="preserve">时间: 2026-06-01 | </w:t>
      </w:r>
      <w:r>
        <w:t xml:space="preserve">链接: </w:t>
      </w:r>
      <w:hyperlink r:id="rId42">
        <w:r>
          <w:rPr>
            <w:rFonts w:ascii="Times New Roman" w:hAnsi="Times New Roman" w:eastAsia="宋体"/>
            <w:color w:val="0000FF"/>
            <w:sz w:val="21"/>
            <w:u w:val="single"/>
          </w:rPr>
          <w:t>https://doi.org/10.1016/j.optlastec.2026.114921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揭示双束激光疤痕最小化皮肤伤口修复机制</w:t>
      </w:r>
    </w:p>
    <w:p>
      <w:r>
        <w:rPr>
          <w:rFonts w:ascii="Times New Roman" w:hAnsi="Times New Roman" w:eastAsia="宋体"/>
          <w:b/>
          <w:color w:val="003264"/>
          <w:sz w:val="24"/>
        </w:rPr>
        <w:t>Revealing the mechanism of scar-minimizing skin wound repair by dual-beam laser</w:t>
      </w:r>
    </w:p>
    <w:p>
      <w:r>
        <w:rPr>
          <w:rFonts w:ascii="Times New Roman" w:hAnsi="Times New Roman" w:eastAsia="宋体"/>
          <w:sz w:val="21"/>
        </w:rPr>
        <w:t>作者: Yuxin Chen, Jun Huang, Rongwei Yu, Zhibo Zhao, Yunfeng Rui, Kehong Wang</w:t>
        <w:br/>
      </w:r>
      <w:r>
        <w:rPr>
          <w:rFonts w:ascii="Times New Roman" w:hAnsi="Times New Roman" w:eastAsia="宋体"/>
          <w:sz w:val="21"/>
        </w:rPr>
        <w:t xml:space="preserve">时间: 2026-06-01 | </w:t>
      </w:r>
      <w:r>
        <w:t xml:space="preserve">链接: </w:t>
      </w:r>
      <w:hyperlink r:id="rId43">
        <w:r>
          <w:rPr>
            <w:rFonts w:ascii="Times New Roman" w:hAnsi="Times New Roman" w:eastAsia="宋体"/>
            <w:color w:val="0000FF"/>
            <w:sz w:val="21"/>
            <w:u w:val="single"/>
          </w:rPr>
          <w:t>https://doi.org/10.1016/j.optlastec.2026.114880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用于宽带相位检索的扩展数值单色化</w:t>
      </w:r>
    </w:p>
    <w:p>
      <w:r>
        <w:rPr>
          <w:rFonts w:ascii="Times New Roman" w:hAnsi="Times New Roman" w:eastAsia="宋体"/>
          <w:b/>
          <w:color w:val="003264"/>
          <w:sz w:val="24"/>
        </w:rPr>
        <w:t>Extended numerical monochromatization for broadband phase retrieval</w:t>
      </w:r>
    </w:p>
    <w:p>
      <w:r>
        <w:rPr>
          <w:rFonts w:ascii="Times New Roman" w:hAnsi="Times New Roman" w:eastAsia="宋体"/>
          <w:sz w:val="21"/>
        </w:rPr>
        <w:t>作者: Zhengkang Xu, Jin Niu, Huixiang Lin, Yongjun Ma, Hao Xu, Yutong Wang, Yunsong Liang, Changjun Ke, Fucai Zhang, Xiaoshi Zhang, Jie Li, Zhongwei Fan</w:t>
        <w:br/>
      </w:r>
      <w:r>
        <w:rPr>
          <w:rFonts w:ascii="Times New Roman" w:hAnsi="Times New Roman" w:eastAsia="宋体"/>
          <w:sz w:val="21"/>
        </w:rPr>
        <w:t xml:space="preserve">时间: 2026-06-01 | </w:t>
      </w:r>
      <w:r>
        <w:t xml:space="preserve">链接: </w:t>
      </w:r>
      <w:hyperlink r:id="rId44">
        <w:r>
          <w:rPr>
            <w:rFonts w:ascii="Times New Roman" w:hAnsi="Times New Roman" w:eastAsia="宋体"/>
            <w:color w:val="0000FF"/>
            <w:sz w:val="21"/>
            <w:u w:val="single"/>
          </w:rPr>
          <w:t>https://doi.org/10.1016/j.optlastec.2026.114894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飞秒激光表面微结构加工工艺及其对力学性能的影响</w:t>
      </w:r>
    </w:p>
    <w:p>
      <w:r>
        <w:rPr>
          <w:rFonts w:ascii="Times New Roman" w:hAnsi="Times New Roman" w:eastAsia="宋体"/>
          <w:b/>
          <w:color w:val="003264"/>
          <w:sz w:val="24"/>
        </w:rPr>
        <w:t>Femtosecond laser fabrication process of surface microstructures and their influence on mechanical properties</w:t>
      </w:r>
    </w:p>
    <w:p>
      <w:r>
        <w:rPr>
          <w:rFonts w:ascii="Times New Roman" w:hAnsi="Times New Roman" w:eastAsia="宋体"/>
          <w:sz w:val="21"/>
        </w:rPr>
        <w:t>作者: Kuanxin Tang, Chao Wang, Zeming Feng, Yukui Cai, Xing Li, Xiaoliang Liang, Haifeng Ma, Zhanqiang Liu</w:t>
        <w:br/>
      </w:r>
      <w:r>
        <w:rPr>
          <w:rFonts w:ascii="Times New Roman" w:hAnsi="Times New Roman" w:eastAsia="宋体"/>
          <w:sz w:val="21"/>
        </w:rPr>
        <w:t xml:space="preserve">时间: 2026-06-01 | </w:t>
      </w:r>
      <w:r>
        <w:t xml:space="preserve">链接: </w:t>
      </w:r>
      <w:hyperlink r:id="rId45">
        <w:r>
          <w:rPr>
            <w:rFonts w:ascii="Times New Roman" w:hAnsi="Times New Roman" w:eastAsia="宋体"/>
            <w:color w:val="0000FF"/>
            <w:sz w:val="21"/>
            <w:u w:val="single"/>
          </w:rPr>
          <w:t>https://doi.org/10.1016/j.optlastec.2026.114904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使用光纤传感器对对空间状态进行集成传感和颜色表达</w:t>
      </w:r>
    </w:p>
    <w:p>
      <w:r>
        <w:rPr>
          <w:rFonts w:ascii="Times New Roman" w:hAnsi="Times New Roman" w:eastAsia="宋体"/>
          <w:b/>
          <w:color w:val="003264"/>
          <w:sz w:val="24"/>
        </w:rPr>
        <w:t>Integrated sensing and colour expression of spatial status using a fibre optic sensor pair</w:t>
      </w:r>
    </w:p>
    <w:p>
      <w:r>
        <w:rPr>
          <w:rFonts w:ascii="Times New Roman" w:hAnsi="Times New Roman" w:eastAsia="宋体"/>
          <w:sz w:val="21"/>
        </w:rPr>
        <w:t>作者: Xiang Wang, Huijiang Wang, Zhaojie Sun, Fan Ye, Fumiya Iida</w:t>
        <w:br/>
      </w:r>
      <w:r>
        <w:rPr>
          <w:rFonts w:ascii="Times New Roman" w:hAnsi="Times New Roman" w:eastAsia="宋体"/>
          <w:sz w:val="21"/>
        </w:rPr>
        <w:t xml:space="preserve">时间: 2026-06-01 | </w:t>
      </w:r>
      <w:r>
        <w:t xml:space="preserve">链接: </w:t>
      </w:r>
      <w:hyperlink r:id="rId123">
        <w:r>
          <w:rPr>
            <w:rFonts w:ascii="Times New Roman" w:hAnsi="Times New Roman" w:eastAsia="宋体"/>
            <w:color w:val="0000FF"/>
            <w:sz w:val="21"/>
            <w:u w:val="single"/>
          </w:rPr>
          <w:t>https://doi.org/10.1016/j.optlastec.2026.114907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高重复率飞秒激光灯丝中热量积累引起的中心会聚气流柱的观察</w:t>
      </w:r>
    </w:p>
    <w:p>
      <w:r>
        <w:rPr>
          <w:rFonts w:ascii="Times New Roman" w:hAnsi="Times New Roman" w:eastAsia="宋体"/>
          <w:b/>
          <w:color w:val="003264"/>
          <w:sz w:val="24"/>
        </w:rPr>
        <w:t>Observation of centrally converging airflow columns induced by heat accumulation in high-repetition-rate femtosecond laser filaments</w:t>
      </w:r>
    </w:p>
    <w:p>
      <w:r>
        <w:rPr>
          <w:rFonts w:ascii="Times New Roman" w:hAnsi="Times New Roman" w:eastAsia="宋体"/>
          <w:sz w:val="21"/>
        </w:rPr>
        <w:t>作者: Zheyuan Hou, Xinyu Liu, Tie-Jun Wang, Yaoxiang Liu, Yingxia Wei, Xianwang Li, Yuxin Leng</w:t>
        <w:br/>
      </w:r>
      <w:r>
        <w:rPr>
          <w:rFonts w:ascii="Times New Roman" w:hAnsi="Times New Roman" w:eastAsia="宋体"/>
          <w:sz w:val="21"/>
        </w:rPr>
        <w:t xml:space="preserve">时间: 2026-06-01 | </w:t>
      </w:r>
      <w:r>
        <w:t xml:space="preserve">链接: </w:t>
      </w:r>
      <w:hyperlink r:id="rId124">
        <w:r>
          <w:rPr>
            <w:rFonts w:ascii="Times New Roman" w:hAnsi="Times New Roman" w:eastAsia="宋体"/>
            <w:color w:val="0000FF"/>
            <w:sz w:val="21"/>
            <w:u w:val="single"/>
          </w:rPr>
          <w:t>https://doi.org/10.1016/j.optlastec.2026.114918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通过具有二次残差和基于强化学习的采样的增强型 PINN 来预测竞争三次五次饱和介质中的 PT 对称孤子</w:t>
      </w:r>
    </w:p>
    <w:p>
      <w:r>
        <w:rPr>
          <w:rFonts w:ascii="Times New Roman" w:hAnsi="Times New Roman" w:eastAsia="宋体"/>
          <w:b/>
          <w:color w:val="003264"/>
          <w:sz w:val="24"/>
        </w:rPr>
        <w:t>Predicting PT-symmetric solitons in competing cubic–quintic saturable medium via enhanced PINN with quadratic residual and reinforcement learning-based sampling</w:t>
      </w:r>
    </w:p>
    <w:p>
      <w:r>
        <w:rPr>
          <w:rFonts w:ascii="Times New Roman" w:hAnsi="Times New Roman" w:eastAsia="宋体"/>
          <w:sz w:val="21"/>
        </w:rPr>
        <w:t>作者: Tian-Hao Zhou, Ru-Meng Zhao, Zheng-Xin Yu, Xin Yan, Ji-Tao Li, Chao-Qing Dai</w:t>
        <w:br/>
      </w:r>
      <w:r>
        <w:rPr>
          <w:rFonts w:ascii="Times New Roman" w:hAnsi="Times New Roman" w:eastAsia="宋体"/>
          <w:sz w:val="21"/>
        </w:rPr>
        <w:t xml:space="preserve">时间: 2026-06-01 | </w:t>
      </w:r>
      <w:r>
        <w:t xml:space="preserve">链接: </w:t>
      </w:r>
      <w:hyperlink r:id="rId125">
        <w:r>
          <w:rPr>
            <w:rFonts w:ascii="Times New Roman" w:hAnsi="Times New Roman" w:eastAsia="宋体"/>
            <w:color w:val="0000FF"/>
            <w:sz w:val="21"/>
            <w:u w:val="single"/>
          </w:rPr>
          <w:t>https://doi.org/10.1016/j.optlastec.2026.114887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OmniLens：通过 LensLib 到特定域的适应实现通用镜头像差校正</w:t>
      </w:r>
    </w:p>
    <w:p>
      <w:r>
        <w:rPr>
          <w:rFonts w:ascii="Times New Roman" w:hAnsi="Times New Roman" w:eastAsia="宋体"/>
          <w:b/>
          <w:color w:val="003264"/>
          <w:sz w:val="24"/>
        </w:rPr>
        <w:t>OmniLens: Towards universal lens aberration correction via LensLib-to-specific domain adaptation</w:t>
      </w:r>
    </w:p>
    <w:p>
      <w:r>
        <w:rPr>
          <w:rFonts w:ascii="Times New Roman" w:hAnsi="Times New Roman" w:eastAsia="宋体"/>
          <w:sz w:val="21"/>
        </w:rPr>
        <w:t>作者: Qi Jiang, Yao Gao, Shaohua Gao, Zhonghua Yi, Xiaolong Qian, Hao Shi, Kailun Yang, Lei Sun, Kaiwei Wang, Jian Bai</w:t>
        <w:br/>
      </w:r>
      <w:r>
        <w:rPr>
          <w:rFonts w:ascii="Times New Roman" w:hAnsi="Times New Roman" w:eastAsia="宋体"/>
          <w:sz w:val="21"/>
        </w:rPr>
        <w:t xml:space="preserve">时间: 2026-06-01 | </w:t>
      </w:r>
      <w:r>
        <w:t xml:space="preserve">链接: </w:t>
      </w:r>
      <w:hyperlink r:id="rId126">
        <w:r>
          <w:rPr>
            <w:rFonts w:ascii="Times New Roman" w:hAnsi="Times New Roman" w:eastAsia="宋体"/>
            <w:color w:val="0000FF"/>
            <w:sz w:val="21"/>
            <w:u w:val="single"/>
          </w:rPr>
          <w:t>https://doi.org/10.1016/j.optlastec.2026.114858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突发模式飞秒激光烧蚀 SiC 中热积累和屏蔽效应的协同机制</w:t>
      </w:r>
    </w:p>
    <w:p>
      <w:r>
        <w:rPr>
          <w:rFonts w:ascii="Times New Roman" w:hAnsi="Times New Roman" w:eastAsia="宋体"/>
          <w:b/>
          <w:color w:val="003264"/>
          <w:sz w:val="24"/>
        </w:rPr>
        <w:t>Synergistic mechanism of thermal accumulation and shielding effects in burst-mode femtosecond laser ablation of SiC</w:t>
      </w:r>
    </w:p>
    <w:p>
      <w:r>
        <w:rPr>
          <w:rFonts w:ascii="Times New Roman" w:hAnsi="Times New Roman" w:eastAsia="宋体"/>
          <w:sz w:val="21"/>
        </w:rPr>
        <w:t>作者: Guangxian Li, Qijian Zhu, Ruiguang Fan, Luyang Ding, Yu Long, Lili Yuan, Wei Wei</w:t>
        <w:br/>
      </w:r>
      <w:r>
        <w:rPr>
          <w:rFonts w:ascii="Times New Roman" w:hAnsi="Times New Roman" w:eastAsia="宋体"/>
          <w:sz w:val="21"/>
        </w:rPr>
        <w:t xml:space="preserve">时间: 2026-06-01 | </w:t>
      </w:r>
      <w:r>
        <w:t xml:space="preserve">链接: </w:t>
      </w:r>
      <w:hyperlink r:id="rId161">
        <w:r>
          <w:rPr>
            <w:rFonts w:ascii="Times New Roman" w:hAnsi="Times New Roman" w:eastAsia="宋体"/>
            <w:color w:val="0000FF"/>
            <w:sz w:val="21"/>
            <w:u w:val="single"/>
          </w:rPr>
          <w:t>https://doi.org/10.1016/j.optlastec.2026.114917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Pt 纳米粒子装饰的 β-Ga2O3/n-GaN 日盲紫外光电探测器，具有增强的光响应，适用于可重构光电逻辑门</w:t>
      </w:r>
    </w:p>
    <w:p>
      <w:r>
        <w:rPr>
          <w:rFonts w:ascii="Times New Roman" w:hAnsi="Times New Roman" w:eastAsia="宋体"/>
          <w:b/>
          <w:color w:val="003264"/>
          <w:sz w:val="24"/>
        </w:rPr>
        <w:t>Pt Nanoparticle–Decorated β-Ga2O3/n-GaN Solar–Blind UV photodetectors with enhanced photoresponse for reconfigurable optoelectronic logic gates</w:t>
      </w:r>
    </w:p>
    <w:p>
      <w:r>
        <w:rPr>
          <w:rFonts w:ascii="Times New Roman" w:hAnsi="Times New Roman" w:eastAsia="宋体"/>
          <w:sz w:val="21"/>
        </w:rPr>
        <w:t>作者: Peize Xuan, Dan Zhang, Chuxuan Zhang, Jiarong Liang, Haowen Yang, Xingui Tang, Wei Zheng</w:t>
        <w:br/>
      </w:r>
      <w:r>
        <w:rPr>
          <w:rFonts w:ascii="Times New Roman" w:hAnsi="Times New Roman" w:eastAsia="宋体"/>
          <w:sz w:val="21"/>
        </w:rPr>
        <w:t xml:space="preserve">时间: 2026-06-01 | </w:t>
      </w:r>
      <w:r>
        <w:t xml:space="preserve">链接: </w:t>
      </w:r>
      <w:hyperlink r:id="rId162">
        <w:r>
          <w:rPr>
            <w:rFonts w:ascii="Times New Roman" w:hAnsi="Times New Roman" w:eastAsia="宋体"/>
            <w:color w:val="0000FF"/>
            <w:sz w:val="21"/>
            <w:u w:val="single"/>
          </w:rPr>
          <w:t>https://doi.org/10.1016/j.optlastec.2026.114937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00:31 ---</w:t>
      </w:r>
    </w:p>
    <w:p>
      <w:pPr>
        <w:pStyle w:val="Heading2"/>
      </w:pPr>
      <w:r/>
      <w:r>
        <w:rPr>
          <w:rFonts w:ascii="Times New Roman" w:hAnsi="Times New Roman" w:eastAsia="宋体"/>
          <w:b/>
          <w:color w:val="000000"/>
          <w:sz w:val="24"/>
        </w:rPr>
        <w:t>采用超紧凑、低压电热 MEMS 扫描镜的光栅扫描双光子内窥镜</w:t>
      </w:r>
    </w:p>
    <w:p>
      <w:r>
        <w:rPr>
          <w:rFonts w:ascii="Times New Roman" w:hAnsi="Times New Roman" w:eastAsia="宋体"/>
          <w:b/>
          <w:color w:val="003264"/>
          <w:sz w:val="24"/>
        </w:rPr>
        <w:t>Raster-scanning two-photon endomicroscopy with ultra-compact, low-voltage electrothermal MEMS scanning mirror</w:t>
      </w:r>
    </w:p>
    <w:p>
      <w:r>
        <w:rPr>
          <w:rFonts w:ascii="Times New Roman" w:hAnsi="Times New Roman" w:eastAsia="宋体"/>
          <w:sz w:val="21"/>
        </w:rPr>
        <w:t>作者: Conghao Wang, Huilan Liu, Biao Yan, Yijing Zhang, Yanhui Hu, Yuqian Gao, Li Huang, Qiang Fu, Qiangxian Qi, Zhe Zhao, Junjie Wang, Huikai Xie, Aimin Wang, Lishuang Feng, Dawei Li</w:t>
        <w:br/>
      </w:r>
      <w:r>
        <w:rPr>
          <w:rFonts w:ascii="Times New Roman" w:hAnsi="Times New Roman" w:eastAsia="宋体"/>
          <w:sz w:val="21"/>
        </w:rPr>
        <w:t xml:space="preserve">时间: 2026-06-01 | </w:t>
      </w:r>
      <w:r>
        <w:t xml:space="preserve">链接: </w:t>
      </w:r>
      <w:hyperlink r:id="rId46">
        <w:r>
          <w:rPr>
            <w:rFonts w:ascii="Times New Roman" w:hAnsi="Times New Roman" w:eastAsia="宋体"/>
            <w:color w:val="0000FF"/>
            <w:sz w:val="21"/>
            <w:u w:val="single"/>
          </w:rPr>
          <w:t>https://doi.org/10.1016/j.optlaseng.2026.109679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具有超高轴向分辨率的原位荧光光学纳米断层扫描</w:t>
      </w:r>
    </w:p>
    <w:p>
      <w:r>
        <w:rPr>
          <w:rFonts w:ascii="Times New Roman" w:hAnsi="Times New Roman" w:eastAsia="宋体"/>
          <w:b/>
          <w:color w:val="003264"/>
          <w:sz w:val="24"/>
        </w:rPr>
        <w:t>In situ fluorescence optical nanotomography with ultra-high axial resolution</w:t>
      </w:r>
    </w:p>
    <w:p>
      <w:r>
        <w:rPr>
          <w:rFonts w:ascii="Times New Roman" w:hAnsi="Times New Roman" w:eastAsia="宋体"/>
          <w:sz w:val="21"/>
        </w:rPr>
        <w:t>作者: Anton E. Efimov, Daria O. Solovyeva, Oksana I. Sutyagina, Alexei V. Lyundup, Olga I. Agapova, Igor I. Agapov, Vladimir A. Oleinikov, Alexander V. Popov, Konstantin E. Mochalov</w:t>
        <w:br/>
      </w:r>
      <w:r>
        <w:rPr>
          <w:rFonts w:ascii="Times New Roman" w:hAnsi="Times New Roman" w:eastAsia="宋体"/>
          <w:sz w:val="21"/>
        </w:rPr>
        <w:t xml:space="preserve">时间: 2026-06-01 | </w:t>
      </w:r>
      <w:r>
        <w:t xml:space="preserve">链接: </w:t>
      </w:r>
      <w:hyperlink r:id="rId127">
        <w:r>
          <w:rPr>
            <w:rFonts w:ascii="Times New Roman" w:hAnsi="Times New Roman" w:eastAsia="宋体"/>
            <w:color w:val="0000FF"/>
            <w:sz w:val="21"/>
            <w:u w:val="single"/>
          </w:rPr>
          <w:t>https://doi.org/10.1016/j.optlaseng.2026.109677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00:31 ---</w:t>
      </w:r>
    </w:p>
    <w:p>
      <w:pPr>
        <w:pStyle w:val="Heading2"/>
      </w:pPr>
      <w:r/>
      <w:r>
        <w:rPr>
          <w:rFonts w:ascii="Times New Roman" w:hAnsi="Times New Roman" w:eastAsia="宋体"/>
          <w:b/>
          <w:color w:val="000000"/>
          <w:sz w:val="24"/>
        </w:rPr>
        <w:t>从红外线到紫外线的与偏振无关的频率转换</w:t>
      </w:r>
    </w:p>
    <w:p>
      <w:r>
        <w:rPr>
          <w:rFonts w:ascii="Times New Roman" w:hAnsi="Times New Roman" w:eastAsia="宋体"/>
          <w:b/>
          <w:color w:val="003264"/>
          <w:sz w:val="24"/>
        </w:rPr>
        <w:t>Polarization-independent frequency conversion from the infrared into the ultraviolet</w:t>
      </w:r>
    </w:p>
    <w:p>
      <w:r>
        <w:rPr>
          <w:rFonts w:ascii="Times New Roman" w:hAnsi="Times New Roman" w:eastAsia="宋体"/>
          <w:sz w:val="21"/>
        </w:rPr>
        <w:t>作者: Katrin Schatzmayr, Anica Hamer, Simon Stellmer</w:t>
        <w:br/>
      </w:r>
      <w:r>
        <w:rPr>
          <w:rFonts w:ascii="Times New Roman" w:hAnsi="Times New Roman" w:eastAsia="宋体"/>
          <w:sz w:val="21"/>
        </w:rPr>
        <w:t xml:space="preserve">时间: 2026-02-06 | </w:t>
      </w:r>
      <w:r>
        <w:t xml:space="preserve">链接: </w:t>
      </w:r>
      <w:hyperlink r:id="rId47">
        <w:r>
          <w:rPr>
            <w:rFonts w:ascii="Times New Roman" w:hAnsi="Times New Roman" w:eastAsia="宋体"/>
            <w:color w:val="0000FF"/>
            <w:sz w:val="21"/>
            <w:u w:val="single"/>
          </w:rPr>
          <w:t>https://doi.org/10.1364/ao.581771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为了将不同的量子节点连接为量子网络的一部分，通常需要通过非线性频率转换来桥接大的光谱间隙，因为各个节点经常在不同的波长下运行。在这里，我们演示了在周期性极化铌酸锂 (PPLN) 晶体中使用和频生成过程 (SFG) 从 863 nm 到 370 nm 的与偏振无关的频率转换。我们的装置采用了萨格纳克干涉仪，该干涉仪经过修改以允许在大波长范围内运行。我们从转换效率、光谱接受度和偏振保持方面表征系统的性能。</w:t>
      </w:r>
    </w:p>
    <w:p>
      <w:pPr>
        <w:spacing w:before="120"/>
      </w:pPr>
      <w:r>
        <w:rPr>
          <w:rFonts w:ascii="Times New Roman" w:hAnsi="Times New Roman" w:eastAsia="宋体"/>
          <w:b/>
          <w:sz w:val="21"/>
        </w:rPr>
        <w:t>English Abstract:</w:t>
      </w:r>
    </w:p>
    <w:p>
      <w:r>
        <w:rPr>
          <w:rFonts w:ascii="Times New Roman" w:hAnsi="Times New Roman" w:eastAsia="宋体"/>
          <w:sz w:val="21"/>
        </w:rPr>
        <w:t>In order to connect different quantum nodes as part of a quantum network, it is often necessary to bridge large spectral gaps through nonlinear frequency conversion as the individual nodes frequently operate at distinct wavelengths. Here, we demonstrate polarization-independent frequency conversion from 863 to 370 nm using a sum frequency generation process (SFG) in a periodically poled lithium niobate (PPLN) crystal. Our setup implements a Sagnac interferometer, which is modified to allow operation across a large wavelength range. We characterize the performance of the system in terms of conversion efficiency, spectral acceptance, and polarization preservation.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通过两束直接激光写入在 Ge 薄膜上进行高分辨率灰度打印</w:t>
      </w:r>
    </w:p>
    <w:p>
      <w:r>
        <w:rPr>
          <w:rFonts w:ascii="Times New Roman" w:hAnsi="Times New Roman" w:eastAsia="宋体"/>
          <w:b/>
          <w:color w:val="003264"/>
          <w:sz w:val="24"/>
        </w:rPr>
        <w:t>High-resolution grayscale printing on Ge thin films via two-beam direct laser writing</w:t>
      </w:r>
    </w:p>
    <w:p>
      <w:r>
        <w:rPr>
          <w:rFonts w:ascii="Times New Roman" w:hAnsi="Times New Roman" w:eastAsia="宋体"/>
          <w:sz w:val="21"/>
        </w:rPr>
        <w:t>作者: Bowen Chen, Zhihong Huang, Tao Wei, Jingsong Wei</w:t>
        <w:br/>
      </w:r>
      <w:r>
        <w:rPr>
          <w:rFonts w:ascii="Times New Roman" w:hAnsi="Times New Roman" w:eastAsia="宋体"/>
          <w:sz w:val="21"/>
        </w:rPr>
        <w:t xml:space="preserve">时间: 2026-02-09 | </w:t>
      </w:r>
      <w:r>
        <w:t xml:space="preserve">链接: </w:t>
      </w:r>
      <w:hyperlink r:id="rId48">
        <w:r>
          <w:rPr>
            <w:rFonts w:ascii="Times New Roman" w:hAnsi="Times New Roman" w:eastAsia="宋体"/>
            <w:color w:val="0000FF"/>
            <w:sz w:val="21"/>
            <w:u w:val="single"/>
          </w:rPr>
          <w:t>https://doi.org/10.1364/ao.582475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灰度光刻对于微光学元件制造至关重要，但面临分辨率和成本方面的挑战。传统方法受到衍射限制，而相变材料通常需要复杂的处理。这项工作将锗 (Ge) 薄膜作为无掩模灰度印刷的多功能平台。开发了定制双光束直接激光写入系统，使用 450 nm 辅助激光进行局部预热，并使用 405 nm 写入光束进行图案化。写入激光通过调整表面粗糙度、氧化程度和结晶来调制灰度色调。这种双光束设置可实现高分辨率、多级打印，最高分辨率为 7.9×10 4 DPI，从而增强热控制。成功制作了任意灰度图像，使Ge薄膜成为高分辨率灰度光刻的有前途的介质。</w:t>
      </w:r>
    </w:p>
    <w:p>
      <w:pPr>
        <w:spacing w:before="120"/>
      </w:pPr>
      <w:r>
        <w:rPr>
          <w:rFonts w:ascii="Times New Roman" w:hAnsi="Times New Roman" w:eastAsia="宋体"/>
          <w:b/>
          <w:sz w:val="21"/>
        </w:rPr>
        <w:t>English Abstract:</w:t>
      </w:r>
    </w:p>
    <w:p>
      <w:r>
        <w:rPr>
          <w:rFonts w:ascii="Times New Roman" w:hAnsi="Times New Roman" w:eastAsia="宋体"/>
          <w:sz w:val="21"/>
        </w:rPr>
        <w:t>Grayscale lithography is crucial for micro-optical component fabrication but faces challenges in resolution and cost. Conventional methods are diffraction-limited, while phase-change materials often require complex processing. This work presents germanium (Ge) thin films as a versatile platform for maskless grayscale printing. A custom dual-beam direct laser writing system is developed, using a 450 nm auxiliary laser for localized preheating and a 405 nm writing beam for patterning. The writing laser modulates grayscale tones by adjusting surface roughness, oxidation level, and crystallization. This dual-beam setup enables high-resolution, multilevel printing with a maximum resolution of 7.9×10 4 DPI, enhancing thermal control. Arbitrary grayscale images are successfully fabricated, establishing Ge thin films as a promising medium for high-resolution grayscale lithography.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具有抗反射涂层的灰度光刻透镜</w:t>
      </w:r>
    </w:p>
    <w:p>
      <w:r>
        <w:rPr>
          <w:rFonts w:ascii="Times New Roman" w:hAnsi="Times New Roman" w:eastAsia="宋体"/>
          <w:b/>
          <w:color w:val="003264"/>
          <w:sz w:val="24"/>
        </w:rPr>
        <w:t>Gray-scale lithography lenses with an anti-reflective coating</w:t>
      </w:r>
    </w:p>
    <w:p>
      <w:r>
        <w:rPr>
          <w:rFonts w:ascii="Times New Roman" w:hAnsi="Times New Roman" w:eastAsia="宋体"/>
          <w:sz w:val="21"/>
        </w:rPr>
        <w:t>作者: Primoz Kusar, Stefan Jessenig, Gerhard Eilmsteiner, Christian Kielnhofer, Patrik Pertl</w:t>
        <w:br/>
      </w:r>
      <w:r>
        <w:rPr>
          <w:rFonts w:ascii="Times New Roman" w:hAnsi="Times New Roman" w:eastAsia="宋体"/>
          <w:sz w:val="21"/>
        </w:rPr>
        <w:t xml:space="preserve">时间: 2026-02-06 | </w:t>
      </w:r>
      <w:r>
        <w:t xml:space="preserve">链接: </w:t>
      </w:r>
      <w:hyperlink r:id="rId49">
        <w:r>
          <w:rPr>
            <w:rFonts w:ascii="Times New Roman" w:hAnsi="Times New Roman" w:eastAsia="宋体"/>
            <w:color w:val="0000FF"/>
            <w:sz w:val="21"/>
            <w:u w:val="single"/>
          </w:rPr>
          <w:t>https://doi.org/10.1364/ao.580913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我们展示了一种用于制造光学透镜的晶圆级、可大规模生产的方法。该方法使用灰度光刻进行 3D 结构抗蚀剂和随后的等离子蚀刻，以促进形状转移到下面的玻璃基板中。通过使用等离子体辅助反应磁控溅射技术涂覆介电抗反射涂层，进一步提高了光学器件的性能。使用聚焦离子束横截面和扫描电子显微镜对所制造的器件进行结构分析。最后，制造的镜头的成像质量已通过两种定制的基于显微镜的设置得到验证。</w:t>
      </w:r>
    </w:p>
    <w:p>
      <w:pPr>
        <w:spacing w:before="120"/>
      </w:pPr>
      <w:r>
        <w:rPr>
          <w:rFonts w:ascii="Times New Roman" w:hAnsi="Times New Roman" w:eastAsia="宋体"/>
          <w:b/>
          <w:sz w:val="21"/>
        </w:rPr>
        <w:t>English Abstract:</w:t>
      </w:r>
    </w:p>
    <w:p>
      <w:r>
        <w:rPr>
          <w:rFonts w:ascii="Times New Roman" w:hAnsi="Times New Roman" w:eastAsia="宋体"/>
          <w:sz w:val="21"/>
        </w:rPr>
        <w:t>We demonstrate a wafer-level, mass production-ready method for the fabrication of optical lenses. The method uses gray-scale lithography for 3D-structuring resist and subsequent plasma etching to facilitate shape transfer into the underlying glass substrate. The performance of the optical devices is further improved by coating a dielectric anti-reflective coating using a plasma-assisted reactive magnetron sputtering technique. Construction analysis of the fabricated devices was done using focused ion beam cross-sectioning and scanning electron microscopy. Finally, the imaging quality of the manufactured lenses has been proven using two customized, microscope-based setups.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00:31 ---</w:t>
      </w:r>
    </w:p>
    <w:p>
      <w:pPr>
        <w:pStyle w:val="Heading2"/>
      </w:pPr>
      <w:r/>
      <w:r>
        <w:rPr>
          <w:rFonts w:ascii="Times New Roman" w:hAnsi="Times New Roman" w:eastAsia="宋体"/>
          <w:b/>
          <w:color w:val="000000"/>
          <w:sz w:val="24"/>
        </w:rPr>
        <w:t>基于光诱导电子转移和空间位阻效应的pH敏感性调节</w:t>
      </w:r>
    </w:p>
    <w:p>
      <w:r>
        <w:rPr>
          <w:rFonts w:ascii="Times New Roman" w:hAnsi="Times New Roman" w:eastAsia="宋体"/>
          <w:b/>
          <w:color w:val="003264"/>
          <w:sz w:val="24"/>
        </w:rPr>
        <w:t>pH sensitivity regulation based on photoinduced electron transfer and steric hindrance effect</w:t>
      </w:r>
    </w:p>
    <w:p>
      <w:r>
        <w:rPr>
          <w:rFonts w:ascii="Times New Roman" w:hAnsi="Times New Roman" w:eastAsia="宋体"/>
          <w:sz w:val="21"/>
        </w:rPr>
        <w:t>作者: Zongjie Zhang, Hongxia Zhang, Qingxin Luan, Chunran Cao, Mingwei Li, Wenjing Li, Dagong Jia, Tiegen Liu</w:t>
        <w:br/>
      </w:r>
      <w:r>
        <w:rPr>
          <w:rFonts w:ascii="Times New Roman" w:hAnsi="Times New Roman" w:eastAsia="宋体"/>
          <w:sz w:val="21"/>
        </w:rPr>
        <w:t xml:space="preserve">时间: 2026-02-02 | </w:t>
      </w:r>
      <w:r>
        <w:t xml:space="preserve">链接: </w:t>
      </w:r>
      <w:hyperlink r:id="rId50">
        <w:r>
          <w:rPr>
            <w:rFonts w:ascii="Times New Roman" w:hAnsi="Times New Roman" w:eastAsia="宋体"/>
            <w:color w:val="0000FF"/>
            <w:sz w:val="21"/>
            <w:u w:val="single"/>
          </w:rPr>
          <w:t>https://doi.org/10.1364/oe.585400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本工作以光致电子转移为原理制备了一系列光纤pH传感器，并通过修饰官能团和调整成膜基质改变空间位阻来制备参比传感器。 pH 指示剂的灵敏度已得到调节。通过化学键合用pH指示剂对光纤表面进行化学修饰，以增强传感器5的性能。传感器5和4形成比率式pH传感器。实验结果表明，pH灵敏度可以调节，所制造的传感器有望用于pH检测。</w:t>
      </w:r>
    </w:p>
    <w:p>
      <w:pPr>
        <w:spacing w:before="120"/>
      </w:pPr>
      <w:r>
        <w:rPr>
          <w:rFonts w:ascii="Times New Roman" w:hAnsi="Times New Roman" w:eastAsia="宋体"/>
          <w:b/>
          <w:sz w:val="21"/>
        </w:rPr>
        <w:t>English Abstract:</w:t>
      </w:r>
    </w:p>
    <w:p>
      <w:r>
        <w:rPr>
          <w:rFonts w:ascii="Times New Roman" w:hAnsi="Times New Roman" w:eastAsia="宋体"/>
          <w:sz w:val="21"/>
        </w:rPr>
        <w:t>In this work, the photoinduced electron transfer was used as a principle to prepare a series of fiber-optic pH sensors, and the reference sensor was prepared by modifying the functional group and adjusting the film-forming matrix to alter steric hindrance. The pH indicator's sensitivity has been regulated. The surface of the optical fiber was chemically modified with the pH indicator via chemical bonding to enhance the performance of sensor 5. Sensors 5 and 4 formed the ratiometric pH sensor. The experimental results indicated that pH sensitivity can be regulated, and the manufactured sensors are promising for pH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飞秒激光重复率对液体中超连续谱侧向散射的影响</w:t>
      </w:r>
    </w:p>
    <w:p>
      <w:r>
        <w:rPr>
          <w:rFonts w:ascii="Times New Roman" w:hAnsi="Times New Roman" w:eastAsia="宋体"/>
          <w:b/>
          <w:color w:val="003264"/>
          <w:sz w:val="24"/>
        </w:rPr>
        <w:t>Influence of femtosecond laser repetition rate on sideways scattering of supercontinuum in liquids</w:t>
      </w:r>
    </w:p>
    <w:p>
      <w:r>
        <w:rPr>
          <w:rFonts w:ascii="Times New Roman" w:hAnsi="Times New Roman" w:eastAsia="宋体"/>
          <w:sz w:val="21"/>
        </w:rPr>
        <w:t>作者: Lingli Kong, Kaimin Guo, Luyao Wang, Junbiao Wang, Jie Zhang, Xuefeng Shi, Ling Zhang, Wenyu Ma, Xiaowei Song</w:t>
        <w:br/>
      </w:r>
      <w:r>
        <w:rPr>
          <w:rFonts w:ascii="Times New Roman" w:hAnsi="Times New Roman" w:eastAsia="宋体"/>
          <w:sz w:val="21"/>
        </w:rPr>
        <w:t xml:space="preserve">时间: 2026-02-03 | </w:t>
      </w:r>
      <w:r>
        <w:t xml:space="preserve">链接: </w:t>
      </w:r>
      <w:hyperlink r:id="rId51">
        <w:r>
          <w:rPr>
            <w:rFonts w:ascii="Times New Roman" w:hAnsi="Times New Roman" w:eastAsia="宋体"/>
            <w:color w:val="0000FF"/>
            <w:sz w:val="21"/>
            <w:u w:val="single"/>
          </w:rPr>
          <w:t>https://doi.org/10.1364/oe.585256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系统地研究了飞秒激光在透明介质中产生的超连续谱的侧向散射特性，重点研究了激光重复率的影响机制。这项研究旨在阐明由激光重复率调制的空化气泡动力学如何调节液体中成丝过程中超连续谱的侧向散射。通过在甲醇和水中使用 800 nm 飞秒激光进行实验，我们定量分析了 0–1000 Hz 重复频率范围内距几何焦点 45° 和 90° 侧向的散射图案。实验结果表明，在低能量（22.5 μJ）下，散射强度随重复频率单调增加；而在中高能量（213μJ、2136μJ）下，气泡积累效应导致非单调变化，其特征是先增强后衰减。当频率达到 1000 Hz 时，自聚焦区域气泡密度过高导致横向信号衰减接近于零。机理分析表明，随着能量的增加，侧向散射的主导因素从“焦点散射”转向“预聚焦散射和损耗”。至关重要的是，在蒸馏水中观察到的类似模式证实了这种物理机制的普遍性。该研究为超连续谱的主动调控及其应用效率的优化提供了重要的实验基础和理论支撑。</w:t>
      </w:r>
    </w:p>
    <w:p>
      <w:pPr>
        <w:spacing w:before="120"/>
      </w:pPr>
      <w:r>
        <w:rPr>
          <w:rFonts w:ascii="Times New Roman" w:hAnsi="Times New Roman" w:eastAsia="宋体"/>
          <w:b/>
          <w:sz w:val="21"/>
        </w:rPr>
        <w:t>English Abstract:</w:t>
      </w:r>
    </w:p>
    <w:p>
      <w:r>
        <w:rPr>
          <w:rFonts w:ascii="Times New Roman" w:hAnsi="Times New Roman" w:eastAsia="宋体"/>
          <w:sz w:val="21"/>
        </w:rPr>
        <w:t>We systematically investigated the sideways scattering characteristics of the supercontinuum generated by a femtosecond laser in transparent media, focusing on the influence mechanism of the laser repetition rate. This study aims to elucidate how cavitation bubble dynamics, modulated by the laser repetition rate, regulate the sideways scattering of the supercontinuum during filamentation in liquids. Through experiments using an 800 nm femtosecond laser in methanol and water, we quantitatively analyzed the scattering patterns at 45° and 90° sideways directions from the geometric focus within the 0–1000 Hz repetition frequency range. Experimental results show that at low energy (22.5 μJ), scattering intensity increases monotonically with repetition frequency; while at medium-high energies (213 μJ, 2136 μJ), bubble accumulation effects lead to non-monotonic changes characterized by initial enhancement followed by attenuation. When the frequency reaches 1000 Hz, excessive bubble density in the self-focusing region causes sideways signal attenuation to nearly zero. Mechanism analysis reveals that the dominant factor of sideways scattering shifts from “focus-point scattering” to “pre-focus scattering and loss” with increasing energy. Crucially, similar patterns observed in distilled water confirm the universality of this physical mechanism. This study provides an important experimental basis and theoretical support for the active regulation of supercontinuum and optimization of its application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硅波导上集成 Ni-InGaAs 合金的 InGaAs 膜等离子体光电探测器</w:t>
      </w:r>
    </w:p>
    <w:p>
      <w:r>
        <w:rPr>
          <w:rFonts w:ascii="Times New Roman" w:hAnsi="Times New Roman" w:eastAsia="宋体"/>
          <w:b/>
          <w:color w:val="003264"/>
          <w:sz w:val="24"/>
        </w:rPr>
        <w:t>InGaAs membrane plasmonic photodetector with Ni-InGaAs alloy integrated on Si waveguide</w:t>
      </w:r>
    </w:p>
    <w:p>
      <w:r>
        <w:rPr>
          <w:rFonts w:ascii="Times New Roman" w:hAnsi="Times New Roman" w:eastAsia="宋体"/>
          <w:sz w:val="21"/>
        </w:rPr>
        <w:t>作者: Kentaro Komatsu, Taketoshi Nakayama, Tomohiro Akazawa, Yosuke Wakita, Hiroya Sakumoto, Chao Zhang, Yuto Miyatake, Stéphane Monfray, Frédéric Boeuf, Rui Tang, Kasidit Toprasertpong, Shinichi Takagi, Mitsuru Takenaka</w:t>
        <w:br/>
      </w:r>
      <w:r>
        <w:rPr>
          <w:rFonts w:ascii="Times New Roman" w:hAnsi="Times New Roman" w:eastAsia="宋体"/>
          <w:sz w:val="21"/>
        </w:rPr>
        <w:t xml:space="preserve">时间: 2026-01-26 | </w:t>
      </w:r>
      <w:r>
        <w:t xml:space="preserve">链接: </w:t>
      </w:r>
      <w:hyperlink r:id="rId52">
        <w:r>
          <w:rPr>
            <w:rFonts w:ascii="Times New Roman" w:hAnsi="Times New Roman" w:eastAsia="宋体"/>
            <w:color w:val="0000FF"/>
            <w:sz w:val="21"/>
            <w:u w:val="single"/>
          </w:rPr>
          <w:t>https://doi.org/10.1364/oe.586807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我们提出了采用 InGaAs 膜的 III-V/Si 混合等离子体波导光电探测器。我们证实 Ni-InGaAs 合金可以有效地用作等离子体波导的电极。利用 Ni-InGaAs 合金，可以通过简化的制造工艺将等离子体波导光电探测器集成到 Si 光子学平台中。我们在 1 V 电压下实现了 0.13 A/W 的响应度，暗电流为 400 nA，并确认了 32.1 Gbit/s 的清晰眼图，展示了高速 InGaAs 等离子体光电探测器在硅光子学中的潜力。</w:t>
      </w:r>
    </w:p>
    <w:p>
      <w:pPr>
        <w:spacing w:before="120"/>
      </w:pPr>
      <w:r>
        <w:rPr>
          <w:rFonts w:ascii="Times New Roman" w:hAnsi="Times New Roman" w:eastAsia="宋体"/>
          <w:b/>
          <w:sz w:val="21"/>
        </w:rPr>
        <w:t>English Abstract:</w:t>
      </w:r>
    </w:p>
    <w:p>
      <w:r>
        <w:rPr>
          <w:rFonts w:ascii="Times New Roman" w:hAnsi="Times New Roman" w:eastAsia="宋体"/>
          <w:sz w:val="21"/>
        </w:rPr>
        <w:t>We propose III-V/Si hybrid plasmonic waveguide photodetector incorporating an InGaAs membrane. We confirmed that Ni-InGaAs alloy functions effectively as an electrode for a plasmonic waveguide. Utilizing Ni-InGaAs alloy enabled the integration of plasmonic waveguide photodetectors into the Si photonics platform through a simplified fabrication process. We achieved a responsivity of 0.13 A/W at 1 V with a dark current of 400 nA and confirmed a 32.1 Gbit/s clear eye diagram, demonstrating the potential for high speed InGaAs plasmonic photodetector in Si photonics.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使用增强现实设备在退化环境中进行水下多维计量</w:t>
      </w:r>
    </w:p>
    <w:p>
      <w:r>
        <w:rPr>
          <w:rFonts w:ascii="Times New Roman" w:hAnsi="Times New Roman" w:eastAsia="宋体"/>
          <w:b/>
          <w:color w:val="003264"/>
          <w:sz w:val="24"/>
        </w:rPr>
        <w:t>Underwater multidimensional metrology in degraded environments with augmented reality devices</w:t>
      </w:r>
    </w:p>
    <w:p>
      <w:r>
        <w:rPr>
          <w:rFonts w:ascii="Times New Roman" w:hAnsi="Times New Roman" w:eastAsia="宋体"/>
          <w:sz w:val="21"/>
        </w:rPr>
        <w:t>作者: Gregory Aschenbrenner, Bahram Javidi</w:t>
        <w:br/>
      </w:r>
      <w:r>
        <w:rPr>
          <w:rFonts w:ascii="Times New Roman" w:hAnsi="Times New Roman" w:eastAsia="宋体"/>
          <w:sz w:val="21"/>
        </w:rPr>
        <w:t xml:space="preserve">时间: 2026-01-26 | </w:t>
      </w:r>
      <w:r>
        <w:t xml:space="preserve">链接: </w:t>
      </w:r>
      <w:hyperlink r:id="rId53">
        <w:r>
          <w:rPr>
            <w:rFonts w:ascii="Times New Roman" w:hAnsi="Times New Roman" w:eastAsia="宋体"/>
            <w:color w:val="0000FF"/>
            <w:sz w:val="21"/>
            <w:u w:val="single"/>
          </w:rPr>
          <w:t>https://doi.org/10.1364/oe.585524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我们提出了一种利用增强现实设备在退化环境中进行水下多维计量方法。该方法使用具有风险意识的次佳视图 (NBV) 框架在退化的视觉环境中进行计量，引入条件风险价值 (CVaR) 目标来指导视点选择。该方法使用各向异性感知的测地线度量、局部敏感性和 CVaR 优化，对可减少最坏情况测地线长度不确定性的视图进行优先级排序。我们通过增强现实设备图像和五维 WaterSplat 重建在浑浊场景上实验验证了所提出系统的性能。浊度增加的结果表明，与基于熵的 NBV 选择相比，CVaR 实现了 2 − 3 倍的中值误差降低。我们进一步进行受控合成实验来分析渐近误差平台。据我们所知，这是第一份关于基于增强现实的 NBV 方法的报告，旨在改善浑浊环境中的计量。</w:t>
      </w:r>
    </w:p>
    <w:p>
      <w:pPr>
        <w:spacing w:before="120"/>
      </w:pPr>
      <w:r>
        <w:rPr>
          <w:rFonts w:ascii="Times New Roman" w:hAnsi="Times New Roman" w:eastAsia="宋体"/>
          <w:b/>
          <w:sz w:val="21"/>
        </w:rPr>
        <w:t>English Abstract:</w:t>
      </w:r>
    </w:p>
    <w:p>
      <w:r>
        <w:rPr>
          <w:rFonts w:ascii="Times New Roman" w:hAnsi="Times New Roman" w:eastAsia="宋体"/>
          <w:sz w:val="21"/>
        </w:rPr>
        <w:t>We propose an underwater multidimensional metrology approach in degraded environments utilizing augmented reality devices. The approach uses a risk-aware next-best-view (NBV) framework for metrology in degraded visual environments, introducing a conditional value-at-risk (CVaR) objective to guide viewpoint selection. Using anisotropy-aware geodesic metrics, local sensitivities, and a CVaR optimization, the approach prioritizes views that reduce worst-case geodesic-length uncertainty. We validated the performance of the proposed system experimentally on turbid scenes with augmented reality device imagery and five-dimensional WaterSplat reconstructions. The results across increasing turbidity demonstrate that CVaR achieves 2 − 3 × greater median error reduction compared to entropy-based NBV selection. We further conduct controlled synthetic experiments to analyze asymptotic error plateaus. To the best of our knowledge, this is the first report on an augmented reality-based NBV approach aimed at improving metrology in turbid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非中心对称非线性晶体中丝诱导超连续谱的产生</w:t>
      </w:r>
    </w:p>
    <w:p>
      <w:r>
        <w:rPr>
          <w:rFonts w:ascii="Times New Roman" w:hAnsi="Times New Roman" w:eastAsia="宋体"/>
          <w:b/>
          <w:color w:val="003264"/>
          <w:sz w:val="24"/>
        </w:rPr>
        <w:t>Filament-induced supercontinuum generation in the non-centrosymmetric nonlinear crystal</w:t>
      </w:r>
    </w:p>
    <w:p>
      <w:r>
        <w:rPr>
          <w:rFonts w:ascii="Times New Roman" w:hAnsi="Times New Roman" w:eastAsia="宋体"/>
          <w:sz w:val="21"/>
        </w:rPr>
        <w:t>作者: Zezi Chang, Feitong Dang, Zhongben Pan, Kejian Yang, Tao Li, Tianli Feng</w:t>
        <w:br/>
      </w:r>
      <w:r>
        <w:rPr>
          <w:rFonts w:ascii="Times New Roman" w:hAnsi="Times New Roman" w:eastAsia="宋体"/>
          <w:sz w:val="21"/>
        </w:rPr>
        <w:t xml:space="preserve">时间: 2026-01-30 | </w:t>
      </w:r>
      <w:r>
        <w:t xml:space="preserve">链接: </w:t>
      </w:r>
      <w:hyperlink r:id="rId165">
        <w:r>
          <w:rPr>
            <w:rFonts w:ascii="Times New Roman" w:hAnsi="Times New Roman" w:eastAsia="宋体"/>
            <w:color w:val="0000FF"/>
            <w:sz w:val="21"/>
            <w:u w:val="single"/>
          </w:rPr>
          <w:t>https://doi.org/10.1364/oe.584320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我们报告了由数百个 1030 nm 飞秒激光脉冲驱动的非中心对称 KTA 非线性晶体中灯丝诱导超连续谱 (SC) 生成的实验研究。在s偏振激光器的驱动下，当驱动激光器的峰值功率超过临界功率的5倍时，即可实现跨度为400 nm至900 nm的可见SC。偏振分析揭示了生成的 s 偏振和 p 偏振超连续谱分量的不同光谱和空间分布。这项工作证明了控制非线性晶体中灯丝引起的非线性过程的可行性，支持它们在级联非线性光学应用中的潜在用途。</w:t>
      </w:r>
    </w:p>
    <w:p>
      <w:pPr>
        <w:spacing w:before="120"/>
      </w:pPr>
      <w:r>
        <w:rPr>
          <w:rFonts w:ascii="Times New Roman" w:hAnsi="Times New Roman" w:eastAsia="宋体"/>
          <w:b/>
          <w:sz w:val="21"/>
        </w:rPr>
        <w:t>English Abstract:</w:t>
      </w:r>
    </w:p>
    <w:p>
      <w:r>
        <w:rPr>
          <w:rFonts w:ascii="Times New Roman" w:hAnsi="Times New Roman" w:eastAsia="宋体"/>
          <w:sz w:val="21"/>
        </w:rPr>
        <w:t>We report on the experimental investigation of filament-induced supercontinuum (SC) generation in a non-centrosymmetric KTA nonlinear crystal driven by hundreds of femtosecond laser pulses at 1030 nm. Driven by the s-polarized laser, a visible SC spanning from 400 nm to 900 nm is achieved when the peak power of the driving laser exceeds 5 times the critical power. Polarization analysis reveals distinct spectral and spatial profiles for the generated s- and p-polarized supercontinuum components. This work demonstrates the feasibility of controlling filament-induced nonlinear processes in nonlinear crystals, supporting their potential use in cascaded nonlinear optical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使用带有监控光电二极管的商用激光二极管进行脉冲持续时间检索</w:t>
      </w:r>
    </w:p>
    <w:p>
      <w:r>
        <w:rPr>
          <w:rFonts w:ascii="Times New Roman" w:hAnsi="Times New Roman" w:eastAsia="宋体"/>
          <w:b/>
          <w:color w:val="003264"/>
          <w:sz w:val="24"/>
        </w:rPr>
        <w:t>Pulse duration retrieval using a commercial laser diode with a monitor photodiode</w:t>
      </w:r>
    </w:p>
    <w:p>
      <w:r>
        <w:rPr>
          <w:rFonts w:ascii="Times New Roman" w:hAnsi="Times New Roman" w:eastAsia="宋体"/>
          <w:sz w:val="21"/>
        </w:rPr>
        <w:t>作者: Adrian Chlebowski, Lukasz Sterczewski, Jaroslaw Sotor</w:t>
        <w:br/>
      </w:r>
      <w:r>
        <w:rPr>
          <w:rFonts w:ascii="Times New Roman" w:hAnsi="Times New Roman" w:eastAsia="宋体"/>
          <w:sz w:val="21"/>
        </w:rPr>
        <w:t xml:space="preserve">时间: 2026-01-15 | </w:t>
      </w:r>
      <w:r>
        <w:t xml:space="preserve">链接: </w:t>
      </w:r>
      <w:hyperlink r:id="rId166">
        <w:r>
          <w:rPr>
            <w:rFonts w:ascii="Times New Roman" w:hAnsi="Times New Roman" w:eastAsia="宋体"/>
            <w:color w:val="0000FF"/>
            <w:sz w:val="21"/>
            <w:u w:val="single"/>
          </w:rPr>
          <w:t>https://doi.org/10.1364/oe.584103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半导体激光器将相干光发射与光电检测相结合，并且由于其活动区域中的三阶非线性，可用作灵敏的室温双光子吸收（TPA）探测器。在这里，我们利用商用 InGaAsP 半导体激光二极管和集成 InGaAs 监控光电二极管提供的这些功能来测量电信波长的飞秒脉冲的持续时间。从两个探测器获得的非线性和线性信号能够以飞秒精度检索脉冲持续时间，而无需移动部件。对于 250 MHz 重复率激光器，该功能的平均光功率低至 2 $\mu$W。</w:t>
      </w:r>
    </w:p>
    <w:p>
      <w:pPr>
        <w:spacing w:before="120"/>
      </w:pPr>
      <w:r>
        <w:rPr>
          <w:rFonts w:ascii="Times New Roman" w:hAnsi="Times New Roman" w:eastAsia="宋体"/>
          <w:b/>
          <w:sz w:val="21"/>
        </w:rPr>
        <w:t>English Abstract:</w:t>
      </w:r>
    </w:p>
    <w:p>
      <w:r>
        <w:rPr>
          <w:rFonts w:ascii="Times New Roman" w:hAnsi="Times New Roman" w:eastAsia="宋体"/>
          <w:sz w:val="21"/>
        </w:rPr>
        <w:t>Semiconductor lasers merge coherent light emission with photodetection and, owing to third-order nonlinearities in their active region, function as sensitive room temperature two-photon absorption (TPA) detectors. Here, we leverage these capabilities offered by a commercially available InGaAsP semiconductor laser diode with an integrated InGaAs monitor photodiode to measure the duration of femtosecond pulses at telecom wavelengths. The nonlinear and linear signals obtained from both detectors enable the retrieval of pulse duration with femtosecond accuracy without moving parts. This capability is demonstrated down to 2 $\mu$W average optical power for a 250 MHz repetition rate laser.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评估激光二极管对基于相位噪声的 QRNG 的适用性的简单方法</w:t>
      </w:r>
    </w:p>
    <w:p>
      <w:r>
        <w:rPr>
          <w:rFonts w:ascii="Times New Roman" w:hAnsi="Times New Roman" w:eastAsia="宋体"/>
          <w:b/>
          <w:color w:val="003264"/>
          <w:sz w:val="24"/>
        </w:rPr>
        <w:t>Simple method of evaluating laser diode suitability for phase-noise-based QRNG</w:t>
      </w:r>
    </w:p>
    <w:p>
      <w:r>
        <w:rPr>
          <w:rFonts w:ascii="Times New Roman" w:hAnsi="Times New Roman" w:eastAsia="宋体"/>
          <w:sz w:val="21"/>
        </w:rPr>
        <w:t>作者: Matthias F. Ostner, Innocenzo De Marco, Christian Roubal</w:t>
        <w:br/>
      </w:r>
      <w:r>
        <w:rPr>
          <w:rFonts w:ascii="Times New Roman" w:hAnsi="Times New Roman" w:eastAsia="宋体"/>
          <w:sz w:val="21"/>
        </w:rPr>
        <w:t xml:space="preserve">时间: 2026-01-27 | </w:t>
      </w:r>
      <w:r>
        <w:t xml:space="preserve">链接: </w:t>
      </w:r>
      <w:hyperlink r:id="rId167">
        <w:r>
          <w:rPr>
            <w:rFonts w:ascii="Times New Roman" w:hAnsi="Times New Roman" w:eastAsia="宋体"/>
            <w:color w:val="0000FF"/>
            <w:sz w:val="21"/>
            <w:u w:val="single"/>
          </w:rPr>
          <w:t>https://doi.org/10.1364/oe.584527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基于半导体激光器相位噪声的量子随机数发生器 (QRNG) 是一种廉价且高效的真随机数资源。商用技术允许设计适合特定用例的 QRNG 设置。然而，重要的是要不断监控 QRNG 在生成号码的独立性和均匀分布方面是否按照所需的安全标准执行。这在密码应用中尤其重要。本文提出了一种测试方案，有助于使用常用方法评估用于 QRNG 操作的半导体激光器可接受的操作条件。这可用于系统监控，但最重要的是还可以帮助用户选择更适合其需求的激光二极管。解释和讨论了确保设备正常运行的两个具体质量测量。提出了用于设置这些措施的接受边界的特定设置方法，并给出了显示其有效性的示例性测量数据。通过遵循此处描述的可理解的过程，可以重现针对特定安全要求定制的 QRNG 资格环境。</w:t>
      </w:r>
    </w:p>
    <w:p>
      <w:pPr>
        <w:spacing w:before="120"/>
      </w:pPr>
      <w:r>
        <w:rPr>
          <w:rFonts w:ascii="Times New Roman" w:hAnsi="Times New Roman" w:eastAsia="宋体"/>
          <w:b/>
          <w:sz w:val="21"/>
        </w:rPr>
        <w:t>English Abstract:</w:t>
      </w:r>
    </w:p>
    <w:p>
      <w:r>
        <w:rPr>
          <w:rFonts w:ascii="Times New Roman" w:hAnsi="Times New Roman" w:eastAsia="宋体"/>
          <w:sz w:val="21"/>
        </w:rPr>
        <w:t>Quantum random number generators (QRNGs) based on semiconductor laser phase noise are an inexpensive and efficient resource for true random numbers. Commercially available technology allows for designing QRNG setups tailored to specific use cases. However, it is important to constantly monitor whether the QRNG is performing according to the desired security standards in terms of independence and uniform distribution of the generated numbers. This is especially important in cryptographic applications. This paper presents a test scheme that helps to assess the acceptable operating conditions of a semiconductor laser for QRNG operation, using commonly accessible methods. This can be used for system monitoring, but crucially also to help the user choose the laser diode that better suits their needs. Two specific quality measurements, ensuring proper operation of the device, are explained and discussed. Setup-specific approaches for setting an acceptance boundary for these measures are presented, and exemplary measurement data showing their effectiveness are given. By following the comprehensible procedure described here, a QRNG qualification environment tailored to specific security requirements can be reproduced.</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00:31 ---</w:t>
      </w:r>
    </w:p>
    <w:p>
      <w:pPr>
        <w:pStyle w:val="Heading2"/>
      </w:pPr>
      <w:r/>
      <w:r>
        <w:rPr>
          <w:rFonts w:ascii="Times New Roman" w:hAnsi="Times New Roman" w:eastAsia="宋体"/>
          <w:b/>
          <w:color w:val="000000"/>
          <w:sz w:val="24"/>
        </w:rPr>
        <w:t>OFDR 使用旋转光纤实现高空间分辨率分布式扭曲测量</w:t>
      </w:r>
    </w:p>
    <w:p>
      <w:r>
        <w:rPr>
          <w:rFonts w:ascii="Times New Roman" w:hAnsi="Times New Roman" w:eastAsia="宋体"/>
          <w:b/>
          <w:color w:val="003264"/>
          <w:sz w:val="24"/>
        </w:rPr>
        <w:t>OFDR enabled high spatial resolution distributed twist measurement using spun fiber</w:t>
      </w:r>
    </w:p>
    <w:p>
      <w:r>
        <w:rPr>
          <w:rFonts w:ascii="Times New Roman" w:hAnsi="Times New Roman" w:eastAsia="宋体"/>
          <w:sz w:val="21"/>
        </w:rPr>
        <w:t>作者: Yalin Gao, Shuyan Chen, Zhiyong Zhao, Chuante Wang, Weijun Tong, Ming Tang</w:t>
        <w:br/>
      </w:r>
      <w:r>
        <w:rPr>
          <w:rFonts w:ascii="Times New Roman" w:hAnsi="Times New Roman" w:eastAsia="宋体"/>
          <w:sz w:val="21"/>
        </w:rPr>
        <w:t xml:space="preserve">时间: 2026-01-29 | </w:t>
      </w:r>
      <w:r>
        <w:t xml:space="preserve">链接: </w:t>
      </w:r>
      <w:hyperlink r:id="rId54">
        <w:r>
          <w:rPr>
            <w:rFonts w:ascii="Times New Roman" w:hAnsi="Times New Roman" w:eastAsia="宋体"/>
            <w:color w:val="0000FF"/>
            <w:sz w:val="21"/>
            <w:u w:val="single"/>
          </w:rPr>
          <w:t>https://doi.org/10.1364/ol.589240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我们提出并演示了一种基于旋转单模光纤（SMF）中的光学频域反射计（OFDR）的高空间分辨率分布式扭转传感器。由于旋转 SMF 中应力棒的独特螺旋结构，外部扭曲会在光纤中产生轴向应力，从而导致瑞利反向散射信号 (RBS) 频谱发生频移。演示了空间分辨率为 1.56 cm 的分布式扭转传感。测得的频移与扭转角在±180°范围内呈现三次拟合关系。此外，所提出的传感器能​​够识别扭曲方向，因为相反方向的扭曲将导致互相关谱的相反方向的频移。该传感器具有空间分辨率高、分布式扭转测量和扭转方向识别等优点，在结构安全监测、医疗干预和仿生设计等领域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We proposed and demonstrated a high spatial resolution distributed twist sensor based on optical frequency-domain reflectometry (OFDR) in spun single-mode fiber (SMF). Due to the unique helical structure of the stress rods in spun SMF, external twist causes axial stress in the fiber, which leads to a frequency shift in the Rayleigh backscattering signal (RBS) spectrum. Distributed twist sensing with a spatial resolution of 1.56 cm is demonstrated. The measured frequency shift exhibits a cubic fitting relationship with the twist angle within the range of ±180°. Moreover, the proposed sensor is able to identify the twist direction, as twist in the opposite direction will cause a frequency shift in the opposite direction of the cross-correlation spectrum. The proposed sensor offers advantages such as high spatial resolution, distributed twist measurement, and twist direction identification, which is very promising in applications such as structural safety monitoring, medical intervention, and biomimetic design, etc.</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00:31 ---</w:t>
      </w:r>
    </w:p>
    <w:p>
      <w:pPr>
        <w:pStyle w:val="Heading2"/>
      </w:pPr>
      <w:r/>
      <w:r>
        <w:rPr>
          <w:rFonts w:ascii="Times New Roman" w:hAnsi="Times New Roman" w:eastAsia="宋体"/>
          <w:b/>
          <w:color w:val="000000"/>
          <w:sz w:val="24"/>
        </w:rPr>
        <w:t>细胞的高分辨率量子增强相位成像</w:t>
      </w:r>
    </w:p>
    <w:p>
      <w:r>
        <w:rPr>
          <w:rFonts w:ascii="Times New Roman" w:hAnsi="Times New Roman" w:eastAsia="宋体"/>
          <w:b/>
          <w:color w:val="003264"/>
          <w:sz w:val="24"/>
        </w:rPr>
        <w:t>High resolution quantum enhanced phase imaging of cells</w:t>
      </w:r>
    </w:p>
    <w:p>
      <w:r>
        <w:rPr>
          <w:rFonts w:ascii="Times New Roman" w:hAnsi="Times New Roman" w:eastAsia="宋体"/>
          <w:sz w:val="21"/>
        </w:rPr>
        <w:t>作者: Alberto Paniate, Giuseppe Ortolano, Sarika Soman, Marco Genovese, Ivano Ruo Berchera</w:t>
        <w:br/>
      </w:r>
      <w:r>
        <w:rPr>
          <w:rFonts w:ascii="Times New Roman" w:hAnsi="Times New Roman" w:eastAsia="宋体"/>
          <w:sz w:val="21"/>
        </w:rPr>
        <w:t xml:space="preserve">时间: 2025-12-22 | </w:t>
      </w:r>
      <w:r>
        <w:t xml:space="preserve">链接: </w:t>
      </w:r>
      <w:hyperlink r:id="rId55">
        <w:r>
          <w:rPr>
            <w:rFonts w:ascii="Times New Roman" w:hAnsi="Times New Roman" w:eastAsia="宋体"/>
            <w:color w:val="0000FF"/>
            <w:sz w:val="21"/>
            <w:u w:val="single"/>
          </w:rPr>
          <w:t>https://doi.org/10.1364/optica.575944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系统中恢复幅度和相位信息是光学成像的基本目标。同时，在低光子剂量下操作以避免改变样品至关重要，特别是在生物应用中。与传统技术相比，量子成像提供了一种强大的途径来提取每个光子更多的信息，而传统技术最终受到散粒噪声的限制。然而，量子降噪和空间分辨率之间的权衡长期以来一直被认为是将量子技术应用于小型细胞和亚细胞结构的主要障碍，而在这些结构中量子技术可以提供最大的好处。在这里，我们通过演示基于强度传输方程的生物细胞亚散粒噪声定量相位成像克服了这一限制，从而实现了关键细胞和亚细胞特征的高保真、无标记成像。我们实现了仅受数值孔径限制的高分辨率相位成像，同时获得了与分辨率无关的量子优势。与其他量子成像方法不同，我们的方法以准单次、宽场配置运行，检索相位和幅度信息，并且不依赖干涉测量，使其本质上快速且稳定。这些结果为亚散粒噪声成像在生物显微镜中的立即应用铺平了道路。</w:t>
      </w:r>
    </w:p>
    <w:p>
      <w:pPr>
        <w:spacing w:before="120"/>
      </w:pPr>
      <w:r>
        <w:rPr>
          <w:rFonts w:ascii="Times New Roman" w:hAnsi="Times New Roman" w:eastAsia="宋体"/>
          <w:b/>
          <w:sz w:val="21"/>
        </w:rPr>
        <w:t>English Abstract:</w:t>
      </w:r>
    </w:p>
    <w:p>
      <w:r>
        <w:rPr>
          <w:rFonts w:ascii="Times New Roman" w:hAnsi="Times New Roman" w:eastAsia="宋体"/>
          <w:sz w:val="21"/>
        </w:rPr>
        <w:t>Recovering both amplitude and phase information from a system is a fundamental goal of optical imaging. At the same time, it is crucial to operate at low photon doses to avoid altering the sample, particularly in biological applications. Quantum imaging provides a powerful route to extract more information per photon than classical techniques, which are ultimately limited by shot-noise. However, the trade-off between quantum noise reduction and spatial resolution has long been regarded as a major obstacle to the application of quantum techniques to small cellular and sub-cellular structures, where they could offer the greatest benefits. Here, we overcome this limitation by demonstrating sub-shot-noise quantitative phase imaging of biological cells based on the transport-of-intensity equation, enabling high-fidelity, label-free imaging of key cellular and sub-cellular features. We achieve high-resolution phase imaging limited only by the numerical aperture, while simultaneously obtaining a resolution-independent quantum advantage. Unlike other quantum imaging approaches, our method operates in a quasi-single-shot, wide-field configuration, retrieves both phase and amplitude information, and does not rely on interferometric measurements, making it intrinsically fast and stable. These results pave the way for the immediate application of sub-shot-noise imaging in biological microscopy.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00:31 ---</w:t>
      </w:r>
    </w:p>
    <w:p>
      <w:pPr>
        <w:pStyle w:val="Heading2"/>
      </w:pPr>
      <w:r/>
      <w:r>
        <w:rPr>
          <w:rFonts w:ascii="Times New Roman" w:hAnsi="Times New Roman" w:eastAsia="宋体"/>
          <w:b/>
          <w:color w:val="000000"/>
          <w:sz w:val="24"/>
        </w:rPr>
        <w:t>用于自适应光学检眼镜中图像失真测量的双镜头远心模型眼</w:t>
      </w:r>
    </w:p>
    <w:p>
      <w:r>
        <w:rPr>
          <w:rFonts w:ascii="Times New Roman" w:hAnsi="Times New Roman" w:eastAsia="宋体"/>
          <w:b/>
          <w:color w:val="003264"/>
          <w:sz w:val="24"/>
        </w:rPr>
        <w:t>Two-lens telecentric model eyes for image distortion measurement in adaptive optics ophthalmoscopes</w:t>
      </w:r>
    </w:p>
    <w:p>
      <w:r>
        <w:rPr>
          <w:rFonts w:ascii="Times New Roman" w:hAnsi="Times New Roman" w:eastAsia="宋体"/>
          <w:sz w:val="21"/>
        </w:rPr>
        <w:t>作者: Yuning Xia, Gastón A. Ayubi, Julie Bentley, Alfredo Dubra</w:t>
        <w:br/>
      </w:r>
      <w:r>
        <w:rPr>
          <w:rFonts w:ascii="Times New Roman" w:hAnsi="Times New Roman" w:eastAsia="宋体"/>
          <w:sz w:val="21"/>
        </w:rPr>
        <w:t xml:space="preserve">时间: 2026-01-29 | </w:t>
      </w:r>
      <w:r>
        <w:t xml:space="preserve">链接: </w:t>
      </w:r>
      <w:hyperlink r:id="rId56">
        <w:r>
          <w:rPr>
            <w:rFonts w:ascii="Times New Roman" w:hAnsi="Times New Roman" w:eastAsia="宋体"/>
            <w:color w:val="0000FF"/>
            <w:sz w:val="21"/>
            <w:u w:val="single"/>
          </w:rPr>
          <w:t>https://doi.org/10.1364/boe.582188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里，我们展示了远心模型眼睛的设计，用于测量自适应光学检眼镜中的图像失真，使用成对的消色差或近消色差商业现成（COTS）和/或定制双合透镜。所提出的模型眼睛可以在可见光或可见光加近红外波长范围内工作，聚焦范围为 15 屈光度，入瞳直径为 8 毫米。 COTS 镜头选择是在优化轴向距离后对目录镜头进行系统评估而实现的。定制镜头优化最初是由源自物移三阶像差理论的波前像差约束指导的，然后才采用传统的表面和距离变化来最小化性能指标。当波前校正器补偿场常数像差时，模型眼睛在 COTS 和混合镜头对的约 6.9° 圆形全视场中实现低于 λ/20 的标称波前 RMS，但受到自强 27.9 mm 通光孔径的渐晕限制。对于定制镜头对，视场约为 10.2°，受到像差的限制。公差研究表明，450-1100 nm 的 COTS 透镜对可以在 95% 的生产良率下实现 0.044 λ @450 nm 的竣工衍射极限波前误差。使用这对镜片的模型眼睛产生的远心度被量化为当与相机组装时每屈光度图像尺寸变化为 0.1%/D，与功率计组装时为 0.01%/D。使用模拟具有 Badal 焦点校正功能的眼底相机的光学装置对模型眼进行测试。</w:t>
      </w:r>
    </w:p>
    <w:p>
      <w:pPr>
        <w:spacing w:before="120"/>
      </w:pPr>
      <w:r>
        <w:rPr>
          <w:rFonts w:ascii="Times New Roman" w:hAnsi="Times New Roman" w:eastAsia="宋体"/>
          <w:b/>
          <w:sz w:val="21"/>
        </w:rPr>
        <w:t>English Abstract:</w:t>
      </w:r>
    </w:p>
    <w:p>
      <w:r>
        <w:rPr>
          <w:rFonts w:ascii="Times New Roman" w:hAnsi="Times New Roman" w:eastAsia="宋体"/>
          <w:sz w:val="21"/>
        </w:rPr>
        <w:t>Here we present the design of telecentric model eyes for measuring image distortion in adaptive optics ophthalmoscopes, using pairs of achromatic or near-achromatic commercial off-the-shelf (COTS) and/or custom doublet lenses. The proposed model eyes can operate over visible or visible plus near infrared wavelength ranges, across a 15-diopter focus range, with an 8 mm entrance pupil diameter. COTS lens selection was implemented as a systematic evaluation of catalog lenses after optimization of axial distances. Custom lens optimization was initially guided by wavefront aberration constraints derived from object-shift 3 rd order aberration theory, before traditional variation of surfaces and distances to minimize a performance metric. When a wavefront corrector compensates for field-constant aberrations, the model eyes achieve nominal wavefront RMS below λ/20 across a ∼6.9° circular full field of view for COTS and hybrid lens pairs, limited by vignetting from a self-imposed 27.9 mm clear aperture. For custom lens pairs, the field of view is about 10.2°, limited by aberrations. A tolerance study indicates that a COTS lens pair for 450-1100 nm can achieve as-built diffraction-limited wavefront error of 0.044 λ @450 nm at 95% production yield. Model eyes with this lens pair yielded telecentricity quantified as image size changed per diopter of 0.1%/D when assembled with a camera and 0.01%/D when assembled with a power meter. The model eye was tested with an optical setup that emulates a fundus camera with Badal focus correction.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漫反射光谱评估镰状细胞性贫血儿童脑血液代谢应激的可靠性</w:t>
      </w:r>
    </w:p>
    <w:p>
      <w:r>
        <w:rPr>
          <w:rFonts w:ascii="Times New Roman" w:hAnsi="Times New Roman" w:eastAsia="宋体"/>
          <w:b/>
          <w:color w:val="003264"/>
          <w:sz w:val="24"/>
        </w:rPr>
        <w:t>Reliability of diffuse optical spectroscopies for evaluation of cerebral hemometabolic stress in children with sickle cell anemia</w:t>
      </w:r>
    </w:p>
    <w:p>
      <w:r>
        <w:rPr>
          <w:rFonts w:ascii="Times New Roman" w:hAnsi="Times New Roman" w:eastAsia="宋体"/>
          <w:sz w:val="21"/>
        </w:rPr>
        <w:t>作者: Giovani G. Martins, Rowan O. Brothers, Kristin Wubbena, Mariam Akbar, Michael Arrington, Katherine B. Turrentine, Sydney Triplett, Hongting Zhao, Tara M. Urner, Shasha Bai, Amy Tang, Kirshma Khemani, Beatrice E. Gee, R. Clark Brown, Erin M. Buckley</w:t>
        <w:br/>
      </w:r>
      <w:r>
        <w:rPr>
          <w:rFonts w:ascii="Times New Roman" w:hAnsi="Times New Roman" w:eastAsia="宋体"/>
          <w:sz w:val="21"/>
        </w:rPr>
        <w:t xml:space="preserve">时间: 2026-02-04 | </w:t>
      </w:r>
      <w:r>
        <w:t xml:space="preserve">链接: </w:t>
      </w:r>
      <w:hyperlink r:id="rId57">
        <w:r>
          <w:rPr>
            <w:rFonts w:ascii="Times New Roman" w:hAnsi="Times New Roman" w:eastAsia="宋体"/>
            <w:color w:val="0000FF"/>
            <w:sz w:val="21"/>
            <w:u w:val="single"/>
          </w:rPr>
          <w:t>https://doi.org/10.1364/boe.582416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漫反射光学光谱是一种很有前景的非侵入性光学技术，可以提供评估脑血液代谢应激的即时护理工具。本研究对镰状细胞性贫血儿童的一系列脑血液代谢参数的术内和术间可靠性进行了量化，这些参数通过漫相关光谱 (DCS) 和频域近红外光谱 (FDNIRS) 进行量化。对于脑血流量、氧提取分数、氧代谢率和脑血容量的测量，我们发现操作者间一致性相关系数 (CCC) 范围为 0.45 至 0.97，操作者内 CCC 范围为 0.81 至 0.98，中位变异系数 &lt; 16%。</w:t>
      </w:r>
    </w:p>
    <w:p>
      <w:pPr>
        <w:spacing w:before="120"/>
      </w:pPr>
      <w:r>
        <w:rPr>
          <w:rFonts w:ascii="Times New Roman" w:hAnsi="Times New Roman" w:eastAsia="宋体"/>
          <w:b/>
          <w:sz w:val="21"/>
        </w:rPr>
        <w:t>English Abstract:</w:t>
      </w:r>
    </w:p>
    <w:p>
      <w:r>
        <w:rPr>
          <w:rFonts w:ascii="Times New Roman" w:hAnsi="Times New Roman" w:eastAsia="宋体"/>
          <w:sz w:val="21"/>
        </w:rPr>
        <w:t>Diffuse optical spectroscopies are promising non-invasive optical techniques that may provide a point-of-care tool to evaluate cerebral hemometabolic stress. This study quantifies the intra- and inter-operator reliability of a battery of cerebral hemometabolic parameters quantified with diffuse correlation spectroscopy (DCS) and frequency-domain near-infrared spectroscopy (FDNIRS) in children with sickle cell anemia. For measures of cerebral blood flow, oxygen extraction fraction, metabolic rate of oxygen, and cerebral blood volume, we found inter-operator concordance correlation coefficients (CCC) ranging from 0.45 to 0.97, intra-operator CCCs ranging from 0.81 to 0.98, and a median coefficient of variation &lt; 16%.</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Nexus</w:t>
      </w:r>
    </w:p>
    <w:p>
      <w:pPr>
        <w:jc w:val="center"/>
      </w:pPr>
      <w:r>
        <w:t>--- 更新: 00:32 ---</w:t>
      </w:r>
    </w:p>
    <w:p>
      <w:pPr>
        <w:pStyle w:val="Heading2"/>
      </w:pPr>
      <w:r/>
      <w:r>
        <w:rPr>
          <w:rFonts w:ascii="Times New Roman" w:hAnsi="Times New Roman" w:eastAsia="宋体"/>
          <w:b/>
          <w:color w:val="000000"/>
          <w:sz w:val="24"/>
        </w:rPr>
        <w:t>太比特非线性频分复用传输对激光频率偏移和相位噪声不敏感</w:t>
      </w:r>
    </w:p>
    <w:p>
      <w:r>
        <w:rPr>
          <w:rFonts w:ascii="Times New Roman" w:hAnsi="Times New Roman" w:eastAsia="宋体"/>
          <w:b/>
          <w:color w:val="003264"/>
          <w:sz w:val="24"/>
        </w:rPr>
        <w:t>Terabit nonlinear frequency division multiplexing transmission desensitized to laser frequency offset and phase noise</w:t>
      </w:r>
    </w:p>
    <w:p>
      <w:r>
        <w:rPr>
          <w:rFonts w:ascii="Times New Roman" w:hAnsi="Times New Roman" w:eastAsia="宋体"/>
          <w:sz w:val="21"/>
        </w:rPr>
        <w:t>作者: Xiang Cai, Xiansong Fang, Jiayu Zheng, Yixiao Zhu, Xinyu Chen, Xian Zhou, Fan Zhang</w:t>
        <w:br/>
      </w:r>
      <w:r>
        <w:rPr>
          <w:rFonts w:ascii="Times New Roman" w:hAnsi="Times New Roman" w:eastAsia="宋体"/>
          <w:sz w:val="21"/>
        </w:rPr>
        <w:t xml:space="preserve">时间: 2026-02-11 | </w:t>
      </w:r>
      <w:r>
        <w:t xml:space="preserve">链接: </w:t>
      </w:r>
      <w:hyperlink r:id="rId58">
        <w:r>
          <w:rPr>
            <w:rFonts w:ascii="Times New Roman" w:hAnsi="Times New Roman" w:eastAsia="宋体"/>
            <w:color w:val="0000FF"/>
            <w:sz w:val="21"/>
            <w:u w:val="single"/>
          </w:rPr>
          <w:t>https://doi.org/10.1117/1.apn.5.2.026006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非线性频分复用 (NFDM) 利用非线性傅里叶变换 (NFT) 将信号分解到非线性频域，从而固有地抵抗光纤克尔非线性失真。然而，实用的 NFDM 因对激光频率偏移和相位噪声的敏感性而受到阻碍。在传统的NFDM接收器中，残余频率偏移通常在NFT之前保留，而在NFT之后执行的相位恢复只能估计每个突发的平均相位旋转，从根本上限制了对频率相位损伤的容忍度。在这项工作中，我们提出并通过实验演示了一种剩余载波方案，以在接收器 NFT 之前以采样点级精度补偿频率偏移和相位噪声。该方案使用 3 MHz 分布式反馈 (DFB) 激光器，可实现超过 320 km 的 1.0 Tb/s PS-256QAM NFDM 传输，频谱效率高达 9.85 b/s/Hz。当总线宽从 200 Hz 增加到 3.1 MHz 时，Q2 因子下降仅为 0.85 dB。与传统的时域导频方法相比，该方案使用 100 kHz 外腔激光器实现了 2.6 dB 的 Q2 因子改进，使用 3 MHz DFB 激光器实​​现了 &gt; 6 dB 的 Q2 因子改进。据我们所知，这是 NFDM 首次表现出与单载波系统相当的频率相位损伤容限。所提出的方案使 NFDM 对频率相位损伤不敏感，克服了实际部署的主要障碍。</w:t>
      </w:r>
    </w:p>
    <w:p>
      <w:pPr>
        <w:spacing w:before="120"/>
      </w:pPr>
      <w:r>
        <w:rPr>
          <w:rFonts w:ascii="Times New Roman" w:hAnsi="Times New Roman" w:eastAsia="宋体"/>
          <w:b/>
          <w:sz w:val="21"/>
        </w:rPr>
        <w:t>English Abstract:</w:t>
      </w:r>
    </w:p>
    <w:p>
      <w:r>
        <w:rPr>
          <w:rFonts w:ascii="Times New Roman" w:hAnsi="Times New Roman" w:eastAsia="宋体"/>
          <w:sz w:val="21"/>
        </w:rPr>
        <w:t>Nonlinear frequency division multiplexing (NFDM) utilizes the nonlinear Fourier transform (NFT) to decompose signals into the nonlinear frequency domain that inherently resists fiber Kerr nonlinearity distortions. However, practical NFDM has been hindered by sensitivity to laser frequency offset and phase noise. In conventional NFDM receivers, a residual frequency offset typically remains before the NFT, whereas phase recovery performed after the NFT can only estimate the average phase rotation per burst, fundamentally limiting tolerance to frequency-phase impairments. In this work, we propose and experimentally demonstrate a residual carrier scheme to compensate for frequency offset and phase noise before the receiver NFT with sampling-point-level precision. Using a 3 MHz distributed feedback (DFB) laser, this scheme enables 1.0 Tb/s PS-256QAM NFDM transmission over 320 km, with a high spectral efficiency of 9.85 b/s/Hz. The Q2-factor degradation is only 0.85 dB as the total linewidth increases from 200 Hz to 3.1 MHz. The scheme achieves a Q2-factor improvement of 2.6 dB with 100 kHz external cavity lasers and &gt;6 dB with a 3 MHz DFB laser, compared with the conventional time-domain pilot method. To our knowledge, this is the first time NFDM demonstrates comparable tolerance to frequency-phase impairments as single-carrier systems. The proposed scheme desensitizes NFDM to frequency-phase impairments, overcoming a major barrier to practical deployment.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APL Photonics</w:t>
      </w:r>
    </w:p>
    <w:p>
      <w:pPr>
        <w:jc w:val="center"/>
      </w:pPr>
      <w:r>
        <w:t>--- 更新: 00:32 ---</w:t>
      </w:r>
    </w:p>
    <w:p>
      <w:pPr>
        <w:pStyle w:val="Heading2"/>
      </w:pPr>
      <w:r/>
      <w:r>
        <w:rPr>
          <w:rFonts w:ascii="Times New Roman" w:hAnsi="Times New Roman" w:eastAsia="宋体"/>
          <w:b/>
          <w:color w:val="000000"/>
          <w:sz w:val="24"/>
        </w:rPr>
        <w:t>高效率、高速的 GHz 门控硅单光子雪崩光电二极管</w:t>
      </w:r>
    </w:p>
    <w:p>
      <w:r>
        <w:rPr>
          <w:rFonts w:ascii="Times New Roman" w:hAnsi="Times New Roman" w:eastAsia="宋体"/>
          <w:b/>
          <w:color w:val="003264"/>
          <w:sz w:val="24"/>
        </w:rPr>
        <w:t>GHz-gated silicon single-photon avalanche photodiode at high efficiency and high speed</w:t>
      </w:r>
    </w:p>
    <w:p>
      <w:r>
        <w:rPr>
          <w:rFonts w:ascii="Times New Roman" w:hAnsi="Times New Roman" w:eastAsia="宋体"/>
          <w:sz w:val="21"/>
        </w:rPr>
        <w:t>作者: Yan Liang, Yiping Zhang, Haoyu Wang, Jing Ma, Kun Huang, Heping Zeng</w:t>
        <w:br/>
      </w:r>
      <w:r>
        <w:rPr>
          <w:rFonts w:ascii="Times New Roman" w:hAnsi="Times New Roman" w:eastAsia="宋体"/>
          <w:sz w:val="21"/>
        </w:rPr>
        <w:t xml:space="preserve">时间: 2026-02-11 | </w:t>
      </w:r>
      <w:r>
        <w:t xml:space="preserve">链接: </w:t>
      </w:r>
      <w:hyperlink r:id="rId59">
        <w:r>
          <w:rPr>
            <w:rFonts w:ascii="Times New Roman" w:hAnsi="Times New Roman" w:eastAsia="宋体"/>
            <w:color w:val="0000FF"/>
            <w:sz w:val="21"/>
            <w:u w:val="single"/>
          </w:rPr>
          <w:t>https://doi.org/10.1063/5.0300006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硅单光子雪崩二极管 (SPAD) 对于从量子通信到激光雷达等应用中的弱光检测至关重要。厚结 Si SPAD 比薄结设计提供更高的量子效率，但通常受到计数率和计时性能有限的影响。在这里，我们展示了一种商用厚结 Si SPAD，在 1 GHz 和 850 nm 的正弦门控盖革模式下运行。通过将高振幅正弦选通（38 V 峰峰值）与级联低通滤波相结合，我们可以有效抑制电容噪声并快速抑制雪崩事件，从而减少后脉冲和自加热。该器件实现了 63.1% 的光子探测效率和 66.2% 的量子效率（对应于~95% 的雪崩概率），同时保持了仅 3.8% 的极低后脉冲概率和半峰全宽~84 ps 的超低定时抖动。在脉冲照明下，最大计数率达到 500 M counts/s，比以前的 Si SPAD 有了很大的改进。这些结果凸显了 GHz 门控 Si SPAD 在高速光通信、测距、深空传感和先进量子技术方面的潜力。</w:t>
      </w:r>
    </w:p>
    <w:p>
      <w:pPr>
        <w:spacing w:before="120"/>
      </w:pPr>
      <w:r>
        <w:rPr>
          <w:rFonts w:ascii="Times New Roman" w:hAnsi="Times New Roman" w:eastAsia="宋体"/>
          <w:b/>
          <w:sz w:val="21"/>
        </w:rPr>
        <w:t>English Abstract:</w:t>
      </w:r>
    </w:p>
    <w:p>
      <w:r>
        <w:rPr>
          <w:rFonts w:ascii="Times New Roman" w:hAnsi="Times New Roman" w:eastAsia="宋体"/>
          <w:sz w:val="21"/>
        </w:rPr>
        <w:t>Silicon single-photon avalanche diodes (SPADs) are essential for low-light detection in applications ranging from quantum communication to LiDAR. Thick-junction Si SPADs offer higher quantum efficiency than thin-junction designs but typically suffer from limited count rates and timing performance. Here, we demonstrate a commercially available thick-junction Si SPAD operated in sinusoidally gated Geiger mode at 1 GHz and 850 nm. By combining high-amplitude sinusoidal gating (38 V peak-to-peak) with cascaded low-pass filtering, we efficiently suppress capacitive noise and rapidly quench avalanche events, reducing afterpulsing and self-heating. The device achieves a photon detection efficiency of 63.1% with a quantum efficiency of 66.2% (corresponding to an avalanche probability of ∼95%), while maintaining an exceptionally low afterpulse probability of only 3.8% and an ultralow timing jitter of ∼84 ps full width at half maximum. Under pulsed illumination, the maximum count rate reaches 500 M counts/s, a substantial improvement over previous Si SPADs. These results highlight the potential of GHz-gated Si SPADs for high-speed optical communication, ranging, deep-space sensing, and advanced quantum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增强氮化硅自支撑纳米图案膜的有效非线性</w:t>
      </w:r>
    </w:p>
    <w:p>
      <w:r>
        <w:rPr>
          <w:rFonts w:ascii="Times New Roman" w:hAnsi="Times New Roman" w:eastAsia="宋体"/>
          <w:b/>
          <w:color w:val="003264"/>
          <w:sz w:val="24"/>
        </w:rPr>
        <w:t>Enhanced effective nonlinearities in silicon nitride free-standing nanopatterned membranes</w:t>
      </w:r>
    </w:p>
    <w:p>
      <w:r>
        <w:rPr>
          <w:rFonts w:ascii="Times New Roman" w:hAnsi="Times New Roman" w:eastAsia="宋体"/>
          <w:sz w:val="21"/>
        </w:rPr>
        <w:t>作者: P. Franceschini, M. Nikitin, A. Tognazzi, K. Brańko, O. Takayama, R. Malureanu, A. C. Cino, C. De Angelis, A. Lavrinenko</w:t>
        <w:br/>
      </w:r>
      <w:r>
        <w:rPr>
          <w:rFonts w:ascii="Times New Roman" w:hAnsi="Times New Roman" w:eastAsia="宋体"/>
          <w:sz w:val="21"/>
        </w:rPr>
        <w:t xml:space="preserve">时间: 2026-02-11 | </w:t>
      </w:r>
      <w:r>
        <w:t xml:space="preserve">链接: </w:t>
      </w:r>
      <w:hyperlink r:id="rId60">
        <w:r>
          <w:rPr>
            <w:rFonts w:ascii="Times New Roman" w:hAnsi="Times New Roman" w:eastAsia="宋体"/>
            <w:color w:val="0000FF"/>
            <w:sz w:val="21"/>
            <w:u w:val="single"/>
          </w:rPr>
          <w:t>https://doi.org/10.1063/5.0309777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氮化硅 (SiN) 因其意想不到的线性和非线性光学特性，成为片上纳米光子学应用中一种很有前景的互补金属氧化物半导体材料。在这里，我们通过实验和数值研究了 SiN 自支撑纳米结构薄膜的线性和非线性响应。与未图案化的平台相比，方晶格图案化的设计产生了非局部谐振模式，根据 Z 扫描实验确定，该模式在谐振波长处将有效三阶光学非线性增强了 3.4-5 倍。有限元模拟表明，克尔系数的晶格诱导频率色散的大小还取决于相互作用的光激发的光谱和几何特性。我们的结果提出图案化 SiN 纳米膜作为增强非线性频率转换过程的有前途的纳米光子学平台。</w:t>
      </w:r>
    </w:p>
    <w:p>
      <w:pPr>
        <w:spacing w:before="120"/>
      </w:pPr>
      <w:r>
        <w:rPr>
          <w:rFonts w:ascii="Times New Roman" w:hAnsi="Times New Roman" w:eastAsia="宋体"/>
          <w:b/>
          <w:sz w:val="21"/>
        </w:rPr>
        <w:t>English Abstract:</w:t>
      </w:r>
    </w:p>
    <w:p>
      <w:r>
        <w:rPr>
          <w:rFonts w:ascii="Times New Roman" w:hAnsi="Times New Roman" w:eastAsia="宋体"/>
          <w:sz w:val="21"/>
        </w:rPr>
        <w:t>Silicon nitride (SiN) represents a promising complementary metal-oxide-semiconductor material for on-chip nanophotonics applications due to its unexpected linear and nonlinear optical properties. Here, we experimentally and numerically investigate the linear and nonlinear response of SiN free-standing nanostructured thin-film membranes. Compared to the unpatterned platform, the design of a square-lattice patterning gives rise to a nonlocal resonant mode that enhances the effective third-order optical nonlinearity by a factor of 3.4–5 at the resonance wavelength, as determined from Z-scan experiments. Finite-element simulations clarify that the magnitude of the lattice-induced frequency dispersion of the Kerr coefficient also depends on the spectral and geometrical properties of the interacting light excitation. Our results propose patterned SiN nanomembranes as a promising nanophotonics platform for enhanced nonlinear frequency conversion processes.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用于热电子辅助电​​吸收调制的石墨烯谷光子晶体波导</w:t>
      </w:r>
    </w:p>
    <w:p>
      <w:r>
        <w:rPr>
          <w:rFonts w:ascii="Times New Roman" w:hAnsi="Times New Roman" w:eastAsia="宋体"/>
          <w:b/>
          <w:color w:val="003264"/>
          <w:sz w:val="24"/>
        </w:rPr>
        <w:t>Graphene-based valley photonic crystal waveguides for hot electron-assisted electro-absorption modulations</w:t>
      </w:r>
    </w:p>
    <w:p>
      <w:r>
        <w:rPr>
          <w:rFonts w:ascii="Times New Roman" w:hAnsi="Times New Roman" w:eastAsia="宋体"/>
          <w:sz w:val="21"/>
        </w:rPr>
        <w:t>作者: Xiumin Song, Zhipeng Qi, Zijian Cheng, Jingyu Zhang, Congtao Yang, Yaohui Sun, Guohua Hu, Hongliang Li, Xuechao Yu</w:t>
        <w:br/>
      </w:r>
      <w:r>
        <w:rPr>
          <w:rFonts w:ascii="Times New Roman" w:hAnsi="Times New Roman" w:eastAsia="宋体"/>
          <w:sz w:val="21"/>
        </w:rPr>
        <w:t xml:space="preserve">时间: 2026-02-11 | </w:t>
      </w:r>
      <w:r>
        <w:t xml:space="preserve">链接: </w:t>
      </w:r>
      <w:hyperlink r:id="rId61">
        <w:r>
          <w:rPr>
            <w:rFonts w:ascii="Times New Roman" w:hAnsi="Times New Roman" w:eastAsia="宋体"/>
            <w:color w:val="0000FF"/>
            <w:sz w:val="21"/>
            <w:u w:val="single"/>
          </w:rPr>
          <w:t>https://doi.org/10.1063/5.0307275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石墨烯卓越的光学和电学特性，其与硅波导的集成可以实现超紧凑的结构、高调制效率和大的工作带宽，这在片上光互连中具有广阔的应用前景。然而，使用二维材料操纵鲁棒光信号的研究仍未充分，因此，实现基于石墨烯的拓扑光子电路是一个巨大的挑战。在本文中，我们通过将单层石墨烯转移到谷光子晶体波导上，实验演示了一种电控谷霍尔器件。通过电流感应热电子改变石墨烯的费米能级，我们实现了基于电吸收效应的锁谷光波的电调制，工作在184-194 THz的近红外区域。使用仅 25 μm 的有源波导长度即可获得接近 -0.08 dB/um 的调制深度。此外，器件在瞬态电调制下的模拟光学响应的​​上升时间和下降时间分别为 5.1 和 1.9s6 ns。这种基于石墨烯的热电子调制机制，与广泛的电信波长范围内的硅基谷光子晶体的集成，为片上有源拓扑光子器件提供了一种新颖的方案。</w:t>
      </w:r>
    </w:p>
    <w:p>
      <w:pPr>
        <w:spacing w:before="120"/>
      </w:pPr>
      <w:r>
        <w:rPr>
          <w:rFonts w:ascii="Times New Roman" w:hAnsi="Times New Roman" w:eastAsia="宋体"/>
          <w:b/>
          <w:sz w:val="21"/>
        </w:rPr>
        <w:t>English Abstract:</w:t>
      </w:r>
    </w:p>
    <w:p>
      <w:r>
        <w:rPr>
          <w:rFonts w:ascii="Times New Roman" w:hAnsi="Times New Roman" w:eastAsia="宋体"/>
          <w:sz w:val="21"/>
        </w:rPr>
        <w:t>Owning to the remarkable optical and electrical properties of graphene, its integration with Si waveguides allows for the achievements of ultracompact structure, high modulation efficiency, and large operation bandwidth, which is promising for the applications in on-chip optical interconnects. However, the manipulation of robust optical signals using 2D materials remains underexplored, and thus, it is a great challenge for realizing graphene-based topological photonic circuits. In this paper, we experimentally demonstrate an electrically controllable valley-Hall device by transferring a single-layer graphene onto the valley photonic crystal waveguide. Through modifying the Fermi level of graphene with current-induced hot electrons, we realize the electrical modulation of valley-locked light waves based on electro-absorption effect, operating at the near-infrared regime of 184–194 THz. The modulation depth of nearly −0.08 dB/um is obtained with an active waveguide length of merely 25 μm. Moreover, the simulated optical responses of the device under the transient electrical modulations exhibit rise and fall times of 5.1 and 1.9s6 ns, respectively. This graphene-based hot electron modulation mechanism, with the integration of Si-based valley photonic crystals across a broad range of telecom wavelengths, supplies a novel scheme for the on-chip active topological photonic devices.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00:32 ---</w:t>
      </w:r>
    </w:p>
    <w:p>
      <w:pPr>
        <w:pStyle w:val="Heading2"/>
      </w:pPr>
      <w:r/>
      <w:r>
        <w:rPr>
          <w:rFonts w:ascii="Times New Roman" w:hAnsi="Times New Roman" w:eastAsia="宋体"/>
          <w:b/>
          <w:color w:val="000000"/>
          <w:sz w:val="24"/>
        </w:rPr>
        <w:t>突破浓度限制：等离子半导体纳米颗粒增强的高效 Tm 3+ 掺杂双钙钛矿 UCL</w:t>
      </w:r>
    </w:p>
    <w:p>
      <w:r>
        <w:rPr>
          <w:rFonts w:ascii="Times New Roman" w:hAnsi="Times New Roman" w:eastAsia="宋体"/>
          <w:b/>
          <w:color w:val="003264"/>
          <w:sz w:val="24"/>
        </w:rPr>
        <w:t>Breaking Concentration Limits: High‐Efficiency Tm 3+ ‐Doped Double Perovskite UCL Enhanced by Plasmon Semiconductor Nanoparticles</w:t>
      </w:r>
    </w:p>
    <w:p>
      <w:r>
        <w:rPr>
          <w:rFonts w:ascii="Times New Roman" w:hAnsi="Times New Roman" w:eastAsia="宋体"/>
          <w:sz w:val="21"/>
        </w:rPr>
        <w:t>作者: Yuxin Han, Guofeng Liu, Wei Gao, Rui Wang, Haonan Xie, Meng Tian, Lijun Ma, Zhen Li, Chonghui Li, Xiaohui Lin, Chao Lv, Jianlei Yang, Zuoling Fu, Shicai Xu, Chao Zhang</w:t>
        <w:br/>
      </w:r>
      <w:r>
        <w:rPr>
          <w:rFonts w:ascii="Times New Roman" w:hAnsi="Times New Roman" w:eastAsia="宋体"/>
          <w:sz w:val="21"/>
        </w:rPr>
        <w:t xml:space="preserve">时间: 2026-02-11 | </w:t>
      </w:r>
      <w:r>
        <w:t xml:space="preserve">链接: </w:t>
      </w:r>
      <w:hyperlink r:id="rId62">
        <w:r>
          <w:rPr>
            <w:rFonts w:ascii="Times New Roman" w:hAnsi="Times New Roman" w:eastAsia="宋体"/>
            <w:color w:val="0000FF"/>
            <w:sz w:val="21"/>
            <w:u w:val="single"/>
          </w:rPr>
          <w:t>https://doi.org/10.1002/lpor.202503112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上转换发光（UCL）材料在生物成像、太阳能电池和光学安全方面具有巨大的应用潜力。然而，它们的效率受到稀土离子固有的低吸收截面和非辐射能量损失的限制。在这项研究中，Cs 2 NaYCl 6 : Yb 3+ /Tm 3+ 核壳纳米颗粒（csUCNPs）通过表面钝化和局域表面等离子共振（LSPR）效应实现了显着的UCL增强。在高 Tm 3+ 掺杂浓度 (10%) 下，该系统表现出最高的荧光强度，超过了具有较大晶格参数的传统系统中报道的低掺杂极限。这标志着该系统中高浓度 Tm 3+ 掺杂诱导强烈荧光的首次报道。通过双钙钛矿涂层和SiO 2 封装的双重策略进一步抑制了表面缺陷和非辐射跃迁，同时提高了材料稳定性和发光效率。此外，Cs x WO 3 的局域表面等离子体共振效应显着提高了csUCNPs的UCL效率，通过局域电磁场增强和能量转移的协同相互作用，发光强度大约放大两倍，为半导体局域表面等离子体共振效应在稀土发光中的作用提供了实验和理论见解。这项工作进一步展示了先进加密技术和生物检测细胞成像的多色防伪应用的广阔前景。</w:t>
      </w:r>
    </w:p>
    <w:p>
      <w:pPr>
        <w:spacing w:before="120"/>
      </w:pPr>
      <w:r>
        <w:rPr>
          <w:rFonts w:ascii="Times New Roman" w:hAnsi="Times New Roman" w:eastAsia="宋体"/>
          <w:b/>
          <w:sz w:val="21"/>
        </w:rPr>
        <w:t>English Abstract:</w:t>
      </w:r>
    </w:p>
    <w:p>
      <w:r>
        <w:rPr>
          <w:rFonts w:ascii="Times New Roman" w:hAnsi="Times New Roman" w:eastAsia="宋体"/>
          <w:sz w:val="21"/>
        </w:rPr>
        <w:t>ABSTRACT Upconversion luminescence (UCL) materials exhibit significant potential for applications in biological imaging, solar cells, and optical security. However, their efficiency is constrained by the low absorption cross‐sections and nonradiative energy losses intrinsic to rare earth ions. In this study, remarkable UCL enhancement was achieved for Cs 2 NaYCl 6 : Yb 3+ /Tm 3+ core–shell nanoparticles (csUCNPs) via surface passivation and the local surface plasmon resonance (LSPR) effect. At a high Tm 3+ doping concentration (10%), the system exhibits the highest fluorescence intensity, surpassing the low‐doping limits reported in conventional systems with larger lattice parameters. This marks the first report of intense fluorescence induced by high‐concentration Tm 3+ doping in this system. Surface defects and non‐radiative transitions were further suppressed via a dual strategy of double perovskite coating and SiO 2 encapsulation, simultaneously enhancing both material stability and luminescence efficiency. Furthermore, the LSPR effect of Cs x WO 3 significantly enhanced the UCL efficiency of csUCNPs, with luminescence intensity amplified by approximately twofold through the synergistic interplay of localized electromagnetic field enhancement and energy transfer, providing experimental and theoretical insights into the role of semiconductor LSPR effects in rare earth luminescence. This work demonstrates further promising potential in multicolor anti‐counterfeiting applications for advanced encryption technologies and cell imaging for biological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由弗兰克尔激子驱动的高效紫罗兰色 3D 钙钛矿发光二极管</w:t>
      </w:r>
    </w:p>
    <w:p>
      <w:r>
        <w:rPr>
          <w:rFonts w:ascii="Times New Roman" w:hAnsi="Times New Roman" w:eastAsia="宋体"/>
          <w:b/>
          <w:color w:val="003264"/>
          <w:sz w:val="24"/>
        </w:rPr>
        <w:t>Efficient Violet 3D Perovskite Light‐Emitting Diode Driven by Frenkel Excitons</w:t>
      </w:r>
    </w:p>
    <w:p>
      <w:r>
        <w:rPr>
          <w:rFonts w:ascii="Times New Roman" w:hAnsi="Times New Roman" w:eastAsia="宋体"/>
          <w:sz w:val="21"/>
        </w:rPr>
        <w:t>作者: Yuzhi Song, Qikai Wang, Ying Cao, Shulin Han, Shenao Qin, Chao Wu, Chuankui Wang, Lei Cai</w:t>
        <w:br/>
      </w:r>
      <w:r>
        <w:rPr>
          <w:rFonts w:ascii="Times New Roman" w:hAnsi="Times New Roman" w:eastAsia="宋体"/>
          <w:sz w:val="21"/>
        </w:rPr>
        <w:t xml:space="preserve">时间: 2026-02-11 | </w:t>
      </w:r>
      <w:r>
        <w:t xml:space="preserve">链接: </w:t>
      </w:r>
      <w:hyperlink r:id="rId63">
        <w:r>
          <w:rPr>
            <w:rFonts w:ascii="Times New Roman" w:hAnsi="Times New Roman" w:eastAsia="宋体"/>
            <w:color w:val="0000FF"/>
            <w:sz w:val="21"/>
            <w:u w:val="single"/>
          </w:rPr>
          <w:t>https://doi.org/10.1002/lpor.202502484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使用量子限制和混合卤化物现在已经实现了高效的蓝色至近红外钙钛矿发光二极管（PeLED）。然而，由于低效的辐射复合和固有的相分离，使用这些方法实现高效的紫光发射具有挑战性。在这里，我们报告了一种通过使用 B 位点组成工程来实现紫色 PeLED 的方法，该方法具有高效的辐射复合和出色的光谱稳定性。通过用环境友好的 Sr 2+ 替代 Pb 2+ ，我们制造了可调谐发射覆盖 400 至 500 nm 光谱范围的薄膜。更重要的是，这种方法促进了激子从万尼尔-莫特（Wannier-Mott）转换为弗伦克尔（Frenkel），其以其高激子结合能（E b ）而闻名，有效地加速了辐射复合。该方法使我们能够制造光谱稳定的紫色钙钛矿薄膜，其光致发光量子产率 (PLQY) 在 420 至 450 nm 的光谱范围内超过 90%。同时，Sr 2+ 的引入显着抑制了离子迁移，同时在恶劣的环境下保持了相稳定性。结果，我们实现了峰值外量子效率 (EQE) 为 0.69% 的紫色 PeLED，成为迄今为止报道的最高效的紫色 PeLED 之一。这些发现为推进紫色 PeLED 的开发提供了宝贵的见解。</w:t>
      </w:r>
    </w:p>
    <w:p>
      <w:pPr>
        <w:spacing w:before="120"/>
      </w:pPr>
      <w:r>
        <w:rPr>
          <w:rFonts w:ascii="Times New Roman" w:hAnsi="Times New Roman" w:eastAsia="宋体"/>
          <w:b/>
          <w:sz w:val="21"/>
        </w:rPr>
        <w:t>English Abstract:</w:t>
      </w:r>
    </w:p>
    <w:p>
      <w:r>
        <w:rPr>
          <w:rFonts w:ascii="Times New Roman" w:hAnsi="Times New Roman" w:eastAsia="宋体"/>
          <w:sz w:val="21"/>
        </w:rPr>
        <w:t>ABSTRACT Using quantum confinement and mixed halides has now enabled efficient blue to near‐infrared perovskite light‐emitting diodes (PeLEDs). However, achieving highly effective violet emission using these methods is challenging due to the inefficient radiative recombination and intrinsic phase segregation. Here we report an approach for violet PeLEDs with efficient radiative recombination and excellent spectral stability, by using B‐site compositional engineering. By substituting Pb 2+ with environmentally benign Sr 2+ , we fabricate films with tunable emission covering the spectral region from 400 to 500 nm. More importantly, this approach promotes the excitons converting from Wannier‐Mott to Frenkel, known for its high exciton binding energy (E b ), which effectively accelerates the radiative recombination. The approach allows us to fabricate spectral stable violet perovskite films with photoluminescence quantum yields (PLQYs) exceeding 90% across the spectral region from 420 to 450 nm. Meanwhile, the incorporation of Sr 2+ significantly suppresses ion migration while maintaining phase stability under severe circumstances. As a result, we achieve violet PeLED with a peak external quantum efficiency (EQE) of 0.69%, ranking as one of the most efficient violet PeLED reported to date. These findings provide valuable insights for advancing the development of violet PeLEDs.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使用光子几何传感器通过直接端到端回归进行 3D 表面分析</w:t>
      </w:r>
    </w:p>
    <w:p>
      <w:r>
        <w:rPr>
          <w:rFonts w:ascii="Times New Roman" w:hAnsi="Times New Roman" w:eastAsia="宋体"/>
          <w:b/>
          <w:color w:val="003264"/>
          <w:sz w:val="24"/>
        </w:rPr>
        <w:t>3D Surface Profiling via Direct End‐to‐End Regression With a Photonic Geometric Sensor</w:t>
      </w:r>
    </w:p>
    <w:p>
      <w:r>
        <w:rPr>
          <w:rFonts w:ascii="Times New Roman" w:hAnsi="Times New Roman" w:eastAsia="宋体"/>
          <w:sz w:val="21"/>
        </w:rPr>
        <w:t>作者: Ziyao Zhang, Yizhi Wang, Chunhui Yao, Huiyu Huang, Rui Ma, Xin Du, Wanlu Zhang, Zhitian Shi, Minjia Chen, Ting Yan, Liang Ming, Yuxiao Ye, Richard Penty, Qixiang Cheng</w:t>
        <w:br/>
      </w:r>
      <w:r>
        <w:rPr>
          <w:rFonts w:ascii="Times New Roman" w:hAnsi="Times New Roman" w:eastAsia="宋体"/>
          <w:sz w:val="21"/>
        </w:rPr>
        <w:t xml:space="preserve">时间: 2026-02-11 | </w:t>
      </w:r>
      <w:r>
        <w:t xml:space="preserve">链接: </w:t>
      </w:r>
      <w:hyperlink r:id="rId64">
        <w:r>
          <w:rPr>
            <w:rFonts w:ascii="Times New Roman" w:hAnsi="Times New Roman" w:eastAsia="宋体"/>
            <w:color w:val="0000FF"/>
            <w:sz w:val="21"/>
            <w:u w:val="single"/>
          </w:rPr>
          <w:t>https://doi.org/10.1002/lpor.202502158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微观表面图案的测量对于半导体、微加工和生物医学等行业的工艺和质量控制至关重要。然而，小型化和智能分析系统的开发仍然是一个长期存在的挑战，这主要是由于扫描大面积样品所需的现有台式系统的复杂性和笨重性。因此，对于动态预测表面形貌来说，非常需要一种实时、原位、快速的检测替代方案。在本文中，我们提出了一种基于光子集成电路的超紧凑几何轮廓仪，它直接编码样品的光学反射率并使用神经网络对其进行解码。该方案避免了复杂干涉光谱和相关拟合算法的显式恢复。我们证明，集成可编程电路可以生成伪随机内核，将输入数据投影到更高维度，从而通过轻量级一维卷积神经网络实现高效特征提取。我们的设备能够对平滑变化的样品和复杂的 3D 打印徽章结构进行可靠、快速扫描的厚度识别，为新型紧凑型几何传感器铺平了道路。</w:t>
      </w:r>
    </w:p>
    <w:p>
      <w:pPr>
        <w:spacing w:before="120"/>
      </w:pPr>
      <w:r>
        <w:rPr>
          <w:rFonts w:ascii="Times New Roman" w:hAnsi="Times New Roman" w:eastAsia="宋体"/>
          <w:b/>
          <w:sz w:val="21"/>
        </w:rPr>
        <w:t>English Abstract:</w:t>
      </w:r>
    </w:p>
    <w:p>
      <w:r>
        <w:rPr>
          <w:rFonts w:ascii="Times New Roman" w:hAnsi="Times New Roman" w:eastAsia="宋体"/>
          <w:sz w:val="21"/>
        </w:rPr>
        <w:t>ABSTRACT Measurements of microscale surface patterns are essential for process and quality control in industries across semiconductors, micro‐machining, and biomedicine. However, the development of miniaturized and intelligent profiling systems remains a longstanding challenge, primarily due to the complexity and bulkiness of existing benchtop systems required to scan large‐area samples. A real‐time, in situ, and fast detection alternative is therefore highly desirable for predicting surface topography on the fly. In this paper, we present an ultracompact geometric profiler based on photonic integrated circuits, which directly encodes the optical reflectance of the sample and decodes it with a neural network. This scheme avoids explicit recovery of complex interferometric spectra and the associated fitting algorithms. We show that an integrated programmable circuit can generate pseudo‐random kernels to project input data into higher dimensions, enabling efficient feature extraction via a lightweight one‐dimensional convolutional neural network. Our device is capable of reliable, fast‐scanning‐rate thickness identification for both smoothly varying samples and intricate 3D printed emblem structures, paving the way for a new class of compact geometric sensors.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具有多色发光和光致变色作用的柔性 Ba 2 LuTaO 6 :Tb 3+ /Eu 3+ 钙钛矿，用于 X 射线成像、视觉剂量测定和加密</w:t>
      </w:r>
    </w:p>
    <w:p>
      <w:r>
        <w:rPr>
          <w:rFonts w:ascii="Times New Roman" w:hAnsi="Times New Roman" w:eastAsia="宋体"/>
          <w:b/>
          <w:color w:val="003264"/>
          <w:sz w:val="24"/>
        </w:rPr>
        <w:t>Flexible Ba 2 LuTaO 6 :Tb 3+ /Eu 3+ Perovskites with Multicolor Luminescence and Photochromism for X‐Ray Imaging, Visual Dosimetry, and Encryption</w:t>
      </w:r>
    </w:p>
    <w:p>
      <w:r>
        <w:rPr>
          <w:rFonts w:ascii="Times New Roman" w:hAnsi="Times New Roman" w:eastAsia="宋体"/>
          <w:sz w:val="21"/>
        </w:rPr>
        <w:t>作者: Yueteng Zhang, Xue Bai, Lu Jiang, Heping Zhao, Yingzhu Zi, Yuewei Li, Zan Xu, Xinhao Cai, Steven J. Langford, Yangke Cun, Yue Liu, Anjun Huang, Zhiguo Song, Jianbei Qiu, Jiayan Liao, Zhengwen Yang</w:t>
        <w:br/>
      </w:r>
      <w:r>
        <w:rPr>
          <w:rFonts w:ascii="Times New Roman" w:hAnsi="Times New Roman" w:eastAsia="宋体"/>
          <w:sz w:val="21"/>
        </w:rPr>
        <w:t xml:space="preserve">时间: 2026-02-11 | </w:t>
      </w:r>
      <w:r>
        <w:t xml:space="preserve">链接: </w:t>
      </w:r>
      <w:hyperlink r:id="rId65">
        <w:r>
          <w:rPr>
            <w:rFonts w:ascii="Times New Roman" w:hAnsi="Times New Roman" w:eastAsia="宋体"/>
            <w:color w:val="0000FF"/>
            <w:sz w:val="21"/>
            <w:u w:val="single"/>
          </w:rPr>
          <w:t>https://doi.org/10.1002/lpor.202502888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摘要：随着X射线技术在医学成像、无损检测、防伪等领域的快速发展，对多模式视觉检测的需求迫切。在这里，通过固态反应合成了 Tb 3+ /Eu 3+ 掺杂的 Ba 2 LuTaO 6 钙钛矿，在紫外线或 X 射线激发下显示出明显的绿色和红色发射，共掺杂可实现可调谐的黄色至红色发光。 Eu 3+ 掺杂的 Ba 2 LuTaO 6 表现出可逆的 X 射线诱导光致变色，几乎完全热恢复（200°C，5 分钟）和 68% 的光致发光调制深度。光致变色响应实现了累积视觉剂量测定，而放射发光强度与剂量率呈线性比例，支持实时监测。不同的掺杂剂会产生不同的颜色和明显不同的光产量，从而使彩色可视化剂量探测器能够用于辐射警告。机理研究证实与氧空位相关的色心是光致变色的起源，多极能量转移是可调谐发光的基础。将荧光粉掺入聚二甲基硅氧烷中可生产出用于高分辨率 X 射线 3D 成像的柔性闪烁体薄膜。集成发光调制和X射线成像的概念验证加密系统进一步展示了强大的防伪性能。这个多功能平台推进了灵活的成像、辐射检测和安全信息加密。</w:t>
      </w:r>
    </w:p>
    <w:p>
      <w:pPr>
        <w:spacing w:before="120"/>
      </w:pPr>
      <w:r>
        <w:rPr>
          <w:rFonts w:ascii="Times New Roman" w:hAnsi="Times New Roman" w:eastAsia="宋体"/>
          <w:b/>
          <w:sz w:val="21"/>
        </w:rPr>
        <w:t>English Abstract:</w:t>
      </w:r>
    </w:p>
    <w:p>
      <w:r>
        <w:rPr>
          <w:rFonts w:ascii="Times New Roman" w:hAnsi="Times New Roman" w:eastAsia="宋体"/>
          <w:sz w:val="21"/>
        </w:rPr>
        <w:t>ABSTRACT With the rapid development of X‐ray technologies in medical imaging, non‐destructive testing, and anti‐counterfeiting, there is an urgent demand for multimode visual detection. Here, Tb 3+ /Eu 3+ ‐doped Ba 2 LuTaO 6 perovskites were synthesized via solid‐state reaction, showing distinct green and red emissions under UV or X‐ray excitation, with co‐doping enabling tunable yellow‐to‐red luminescence. Eu 3+ ‐doped Ba 2 LuTaO 6 exhibited reversible X‐ray‐induced photochromism with nearly full thermal recovery (200°C, 5 min) and a 68% photoluminescence modulation depth. The photochromic response enabled cumulative visual dosimetry, while radioluminescence intensity scaled linearly with dose rate, supporting real‐time monitoring. Different dopants yielded distinct colors and markedly different light yields, enabling color‐visualized dose detectors for radiation warning. Mechanistic studies confirmed oxygen‐vacancy‐related color centers as the origin of photochromism and multipolar energy transfer as the basis of tunable luminescence. Incorporation of phosphors into polydimethylsiloxane produced flexible scintillator films for high‐resolution X‐ray 3D imaging. A proof‐of‐concept encryption system, integrating luminescence modulation and X‐ray imaging, further demonstrated strong anti‐counterfeiting performance. This multifunctional platform advances flexible imaging, radiation detection, and secure information encryption.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用于可切换超连续谱和少周期脉冲生成的单一全光纤平台</w:t>
      </w:r>
    </w:p>
    <w:p>
      <w:r>
        <w:rPr>
          <w:rFonts w:ascii="Times New Roman" w:hAnsi="Times New Roman" w:eastAsia="宋体"/>
          <w:b/>
          <w:color w:val="003264"/>
          <w:sz w:val="24"/>
        </w:rPr>
        <w:t>A Single All‐Fiber Platform for Switchable Supercontinuum and Few‐Cycle Pulse Generation</w:t>
      </w:r>
    </w:p>
    <w:p>
      <w:r>
        <w:rPr>
          <w:rFonts w:ascii="Times New Roman" w:hAnsi="Times New Roman" w:eastAsia="宋体"/>
          <w:sz w:val="21"/>
        </w:rPr>
        <w:t>作者: Tong Xia, He Zhao, Shuyuan Zhu, Tao Ye, Menglin Mai, Kai Qian, Pu Wang</w:t>
        <w:br/>
      </w:r>
      <w:r>
        <w:rPr>
          <w:rFonts w:ascii="Times New Roman" w:hAnsi="Times New Roman" w:eastAsia="宋体"/>
          <w:sz w:val="21"/>
        </w:rPr>
        <w:t xml:space="preserve">时间: 2026-02-11 | </w:t>
      </w:r>
      <w:r>
        <w:t xml:space="preserve">链接: </w:t>
      </w:r>
      <w:hyperlink r:id="rId66">
        <w:r>
          <w:rPr>
            <w:rFonts w:ascii="Times New Roman" w:hAnsi="Times New Roman" w:eastAsia="宋体"/>
            <w:color w:val="0000FF"/>
            <w:sz w:val="21"/>
            <w:u w:val="single"/>
          </w:rPr>
          <w:t>https://doi.org/10.1002/lpor.202502986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超快激光源是精密计量、生物医学成像和阿秒科学等不同领域进步的基石。然而，开发将高性能与强大集成相结合的紧凑型多功能平台仍然是一个关键挑战。在这里，我们展示了一个全光纤集成平台，能够通过简单地控制拼接的高度非线性光纤（HNLF）的长度来生成倍频程相干超连续谱或少周期脉冲。该系统采用自制飞秒光纤激光器作为种子，利用 0.12 m HNLF 产生跨越 400-2400 nm 的高度相干超连续谱。据我们所知，这代表了全光纤结构中产生的第一个飞秒泵浦的可见相干超连续谱。或者，采用 0.02 m HNLF 可以实现对高保真 22.4 fs 脉冲的非线性压缩。该持续时间构成了迄今为止完全光纤集成系统实现的最短脉冲。该光源表现出出色的稳定性（0.12% RMS 功率波动）和近衍射极限的光束质量（M 2 &lt; 1.15）。这项工作提供了一个强大而灵活的架构，为需要超宽带相干性或单一、完全集成格式的少周期脉冲的应用提供了创纪录的性能。</w:t>
      </w:r>
    </w:p>
    <w:p>
      <w:pPr>
        <w:spacing w:before="120"/>
      </w:pPr>
      <w:r>
        <w:rPr>
          <w:rFonts w:ascii="Times New Roman" w:hAnsi="Times New Roman" w:eastAsia="宋体"/>
          <w:b/>
          <w:sz w:val="21"/>
        </w:rPr>
        <w:t>English Abstract:</w:t>
      </w:r>
    </w:p>
    <w:p>
      <w:r>
        <w:rPr>
          <w:rFonts w:ascii="Times New Roman" w:hAnsi="Times New Roman" w:eastAsia="宋体"/>
          <w:sz w:val="21"/>
        </w:rPr>
        <w:t>ABSTRACT Ultrafast laser sources are the cornerstone of advancements in diverse fields such as precision metrology, biomedical imaging, and attosecond science. However, the development of compact, multifunctional platforms that combine high performance with robust integration remains a key challenge. Here, we demonstrate an all‐fiber‐integrated platform capable of generating either an octave‐spanning coherent supercontinuum or few‐cycle pulses by simply controlling the length of spliced highly nonlinear fiber (HNLF). Seeded by a home‐made femtosecond fiber laser, the system utilizing a 0.12 m HNLF generates a highly coherent supercontinuum spanning 400–2400 nm. To the best of our knowledge, this represents the first femtosecond‐pumped, visible coherent supercontinuum generated within an all‐fiber structure. Alternatively, employing a 0.02 m HNLF enables nonlinear compression to high‐fidelity 22.4 fs pulses. This duration constitutes the shortest pulse achieved to date from a fully fiber‐integrated system. The source exhibits excellent stability (0.12% RMS power fluctuation) and near‐diffraction‐limited beam quality (M 2 &lt; 1.15). This work provides a robust and flexible architecture, delivering record‐level performance for applications requiring either ultra‐broadband coherence or few‐cycle pulses in a single, fully integrated format.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使用超表面对全波前参数进行定量传感</w:t>
      </w:r>
    </w:p>
    <w:p>
      <w:r>
        <w:rPr>
          <w:rFonts w:ascii="Times New Roman" w:hAnsi="Times New Roman" w:eastAsia="宋体"/>
          <w:b/>
          <w:color w:val="003264"/>
          <w:sz w:val="24"/>
        </w:rPr>
        <w:t>Quantitative Sensing of Full‐Wavefront Parameters using Metasurface</w:t>
      </w:r>
    </w:p>
    <w:p>
      <w:r>
        <w:rPr>
          <w:rFonts w:ascii="Times New Roman" w:hAnsi="Times New Roman" w:eastAsia="宋体"/>
          <w:sz w:val="21"/>
        </w:rPr>
        <w:t>作者: Xuanguang Wu, Kang Ren, Kai Pan, Xuanyu Wu, Lixu Zhu, Li Ren, Chenyang Zhao, Jiwei Zhang, Dandan Wen, Sheng Liu, Xuetao Gan, Peng Li, Jianlin Zhao</w:t>
        <w:br/>
      </w:r>
      <w:r>
        <w:rPr>
          <w:rFonts w:ascii="Times New Roman" w:hAnsi="Times New Roman" w:eastAsia="宋体"/>
          <w:sz w:val="21"/>
        </w:rPr>
        <w:t xml:space="preserve">时间: 2026-02-11 | </w:t>
      </w:r>
      <w:r>
        <w:t xml:space="preserve">链接: </w:t>
      </w:r>
      <w:hyperlink r:id="rId67">
        <w:r>
          <w:rPr>
            <w:rFonts w:ascii="Times New Roman" w:hAnsi="Times New Roman" w:eastAsia="宋体"/>
            <w:color w:val="0000FF"/>
            <w:sz w:val="21"/>
            <w:u w:val="single"/>
          </w:rPr>
          <w:t>https://doi.org/10.1002/lpor.202502476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快速准确地获取完整的波前信息对于光科学领域的进步至关重要。超表面的最新进展导致紧凑定量相位和偏振成像技术的迅速发展。然而，通过元光学系统同时检索强度、相位和偏振信息仍然有限。这里，提出了一种基于元光学的传感架构，能够同时捕获光场的幅度、相位和偏振。它利用具有偏振编码四焦点相位的多通道超表面来生成空间和偏振复用的强度图案，然后通过强度传输方程从强度图像的纵向微分重建两个自旋分量的复振幅，从而实现全波前参数的单次定量传感。这种非干涉式架构与传统成像系统兼容并可扩展。实验结果证明了其在微光学元件和成骨细胞的高精度、实时、多维表征中的应用。这项工作为需要同时进行相位和偏振测量的生物组织和材料的分析提供了明显的优势。</w:t>
      </w:r>
    </w:p>
    <w:p>
      <w:pPr>
        <w:spacing w:before="120"/>
      </w:pPr>
      <w:r>
        <w:rPr>
          <w:rFonts w:ascii="Times New Roman" w:hAnsi="Times New Roman" w:eastAsia="宋体"/>
          <w:b/>
          <w:sz w:val="21"/>
        </w:rPr>
        <w:t>English Abstract:</w:t>
      </w:r>
    </w:p>
    <w:p>
      <w:r>
        <w:rPr>
          <w:rFonts w:ascii="Times New Roman" w:hAnsi="Times New Roman" w:eastAsia="宋体"/>
          <w:sz w:val="21"/>
        </w:rPr>
        <w:t>ABSTRACT Rapid and accurate access to complete wavefront information is essential for advancing in the field of light science. Recent advances in metasurfaces have led to the swift development of compact quantitative phase and polarization imaging techniques. However, the concurrent retrieval of intensity, phase, and polarization information via meta‐optic systems remains limited. Here, a meta‐optics‐based sensing architecture capable of simultaneously capturing the amplitude, phase, and polarization of light fields is proposed. It utilizes a multichannel metasurface with polarization‐encoded quadrifocal phase to generate space‐ and polarization‐multiplexed intensity patterns, then reconstructs the complex amplitudes of two spin components from longitudinal differentiation of intensity images via the transport of intensity equation, thereby achieves single‐shot quantitative sensing of full‐wavefront parameters. This non‐interferometric architecture is compatible with and scalable to conventional imaging systems. Experimental results demonstrate its application in the high‐accuracy, real‐time, multidimensional characterizations of micro‐optical elements and osteoblasts. This work offers distinct advantages for the analysis of biological tissues and materials that require concurrent phase and polarization measurements.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基于拓扑模式耦合的磁可调谐慢光波导的实现</w:t>
      </w:r>
    </w:p>
    <w:p>
      <w:r>
        <w:rPr>
          <w:rFonts w:ascii="Times New Roman" w:hAnsi="Times New Roman" w:eastAsia="宋体"/>
          <w:b/>
          <w:color w:val="003264"/>
          <w:sz w:val="24"/>
        </w:rPr>
        <w:t>Realization of a Magnetically Tunable Slow Light Waveguide Based on Topological Modes Coupling</w:t>
      </w:r>
    </w:p>
    <w:p>
      <w:r>
        <w:rPr>
          <w:rFonts w:ascii="Times New Roman" w:hAnsi="Times New Roman" w:eastAsia="宋体"/>
          <w:sz w:val="21"/>
        </w:rPr>
        <w:t>作者: Minhan Xu, Chengpeng Liang, Jie Liu, Zheng Gong, Longzhen Fan, Jinke Zhong, Li Liang, Yin Poo</w:t>
        <w:br/>
      </w:r>
      <w:r>
        <w:rPr>
          <w:rFonts w:ascii="Times New Roman" w:hAnsi="Times New Roman" w:eastAsia="宋体"/>
          <w:sz w:val="21"/>
        </w:rPr>
        <w:t xml:space="preserve">时间: 2026-02-11 | </w:t>
      </w:r>
      <w:r>
        <w:t xml:space="preserve">链接: </w:t>
      </w:r>
      <w:hyperlink r:id="rId68">
        <w:r>
          <w:rPr>
            <w:rFonts w:ascii="Times New Roman" w:hAnsi="Times New Roman" w:eastAsia="宋体"/>
            <w:color w:val="0000FF"/>
            <w:sz w:val="21"/>
            <w:u w:val="single"/>
          </w:rPr>
          <w:t>https://doi.org/10.1002/lpor.202502921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慢光因其在光通信、信息存储和信号处理方面的潜力而受到广泛关注。然而，同时实现大的慢光系数和宽的工作带宽仍然具有挑战性。在本文中，我们提出了一种基于分离拓扑绝缘体的磁可调谐慢光波导。模拟和实验结果都表明，两个反向传播拓扑边缘态之间的耦合会在带隙中产生耦合色散曲线。通过调制耦合强度，耦合模式的色散可以被修改得相当平坦，对应于具有停止波点的慢光模式。鉴于拓扑边缘态对铁氧体磁等离子体激元的依赖性，慢光工作频率通过偏置磁场进行调节。这提供了一种可行的策略来解决慢光因素和带宽之间的固有折衷。此外，提出了一种具有梯度偏置磁场的慢光彩虹波导，它允许不同频率的电磁波在不同的空间位置停止。我们的工作为在未来应用中利用拓扑态铺平了一条有希望的途径。</w:t>
      </w:r>
    </w:p>
    <w:p>
      <w:pPr>
        <w:spacing w:before="120"/>
      </w:pPr>
      <w:r>
        <w:rPr>
          <w:rFonts w:ascii="Times New Roman" w:hAnsi="Times New Roman" w:eastAsia="宋体"/>
          <w:b/>
          <w:sz w:val="21"/>
        </w:rPr>
        <w:t>English Abstract:</w:t>
      </w:r>
    </w:p>
    <w:p>
      <w:r>
        <w:rPr>
          <w:rFonts w:ascii="Times New Roman" w:hAnsi="Times New Roman" w:eastAsia="宋体"/>
          <w:sz w:val="21"/>
        </w:rPr>
        <w:t>ABSTRACT Slow light has attracted considerable attention for its potential in optical communication, information storage and signal processing. However, simultaneously achieving a large slow light factor and a wide operational bandwidth remains challenging. In this paper, we propose a magnetically tunable slow light waveguide based on a separated topological insulator. Both the simulated and experimental results reveal the coupling between the two counter‐propagating topological edge states gives rise to a coupling dispersion curve in the bandgap. By modulating the coupling strength, the dispersion of the coupled modes can be modified rather flat, corresponding to slow‐light modes with a stopped wave point. In view of the dependence of topological edge states on ferrites’ magnetic plasmon polaritons, the slow‐light operating frequency is adjusted by the biased magnetic field. This offers a viable strategy to solve the inherent compromise between the slow‐light factor and bandwidth. Further‐more, a slow‐light rainbow waveguide with gradient biased magnetic field is proposed which permits Electro‐magnetic waves at different frequencies to stop at distinct spatial locations. Our work paves a promising avenue for exploiting of topological states in future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光激发范德华半导体中的空间结构载流子密度</w:t>
      </w:r>
    </w:p>
    <w:p>
      <w:r>
        <w:rPr>
          <w:rFonts w:ascii="Times New Roman" w:hAnsi="Times New Roman" w:eastAsia="宋体"/>
          <w:b/>
          <w:color w:val="003264"/>
          <w:sz w:val="24"/>
        </w:rPr>
        <w:t>Spatially Structured Carrier Density in Photoexcited Van der Waals Semiconductors</w:t>
      </w:r>
    </w:p>
    <w:p>
      <w:r>
        <w:rPr>
          <w:rFonts w:ascii="Times New Roman" w:hAnsi="Times New Roman" w:eastAsia="宋体"/>
          <w:sz w:val="21"/>
        </w:rPr>
        <w:t>作者: Xin Zhang, Tianwei Qin, Zijian Yang, Neng Wan, Xiaosheng Yang, Peining Li</w:t>
        <w:br/>
      </w:r>
      <w:r>
        <w:rPr>
          <w:rFonts w:ascii="Times New Roman" w:hAnsi="Times New Roman" w:eastAsia="宋体"/>
          <w:sz w:val="21"/>
        </w:rPr>
        <w:t xml:space="preserve">时间: 2026-02-11 | </w:t>
      </w:r>
      <w:r>
        <w:t xml:space="preserve">链接: </w:t>
      </w:r>
      <w:hyperlink r:id="rId69">
        <w:r>
          <w:rPr>
            <w:rFonts w:ascii="Times New Roman" w:hAnsi="Times New Roman" w:eastAsia="宋体"/>
            <w:color w:val="0000FF"/>
            <w:sz w:val="21"/>
            <w:u w:val="single"/>
          </w:rPr>
          <w:t>https://doi.org/10.1002/lpor.202503038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半导体中非平衡载流子的光激发为超快纳米光子控制提供了一条有前途的途径。虽然载流子激发的时间调制已被广泛探索，但空间可重构的光载流子分布为在纳米尺度上操纵光与物质的相互作用提供了额外的自由度。在这里，我们演示了一种全光学方法，该方法设计由入射泵浦光和扫描尖端顶点附近的边缘散射表面波叠加形成的干涉场，从而在范德华半导体中印上空间结构的载流子图案。超快红外近场显微镜可作为硒化锡纳米片中这些图案的敏感代理，揭示相对于入射光波长压缩高达二十倍的周期性调制红外信号。傅里叶和时间分辨分析表明，条纹周期性是由光学压印载流子调制控制的，而不是由传播等离子体激元控制的，而有限偶极子建模则量化了载流子动力学。这项工作建立了通过近场干涉对红外响应进行全光学、亚波长控制的通用框架，为低维半导体中的可重构纳米光子和等离子体功能提供了新的机会。</w:t>
      </w:r>
    </w:p>
    <w:p>
      <w:pPr>
        <w:spacing w:before="120"/>
      </w:pPr>
      <w:r>
        <w:rPr>
          <w:rFonts w:ascii="Times New Roman" w:hAnsi="Times New Roman" w:eastAsia="宋体"/>
          <w:b/>
          <w:sz w:val="21"/>
        </w:rPr>
        <w:t>English Abstract:</w:t>
      </w:r>
    </w:p>
    <w:p>
      <w:r>
        <w:rPr>
          <w:rFonts w:ascii="Times New Roman" w:hAnsi="Times New Roman" w:eastAsia="宋体"/>
          <w:sz w:val="21"/>
        </w:rPr>
        <w:t>ABSTRACT Photoexcitation of non‐equilibrium carriers in semiconductors provides a promising route for ultrafast nanophotonic control. While temporal modulation of carrier excitation has been widely explored, spatially reconfigurable photocarrier distributions offer an additional degree of freedom for manipulating light–matter interactions at the nanoscale. Here, we demonstrate an all‐optical approach that engineers the interference field formed by the superposition of incident pump light and edge‐scattered surface waves near the apex of a scanning tip, thereby imprinting spatially structured carrier patterns in van der Waals semiconductors. Ultrafast infrared near‐field microscopy serves as a sensitive proxy for these patterns in tin selenide nanosheets, revealing periodically modulated infrared signals with up to twenty‐fold wavelength compression relative to the incident light. Fourier and time‐resolved analyses show that the fringe periodicity is governed by the optically imprinted carrier modulation rather than by propagating plasmons, while finite‐dipole modeling quantifies the carrier dynamics. This work establishes a general framework for all‐optical, subwavelength control of infrared responses through near‐field interference, offering new opportunities for reconfigurable nanophotonic and plasmonic functionalities in low‐dimensional semiconductors.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00:32 ---</w:t>
      </w:r>
    </w:p>
    <w:p>
      <w:pPr>
        <w:pStyle w:val="Heading2"/>
      </w:pPr>
      <w:r/>
      <w:r>
        <w:rPr>
          <w:rFonts w:ascii="Times New Roman" w:hAnsi="Times New Roman" w:eastAsia="宋体"/>
          <w:b/>
          <w:color w:val="000000"/>
          <w:sz w:val="24"/>
        </w:rPr>
        <w:t>在远场和环境空气中通过微球进行飞秒激光照射，形成与偏振无关的表面纳米结构</w:t>
      </w:r>
    </w:p>
    <w:p>
      <w:r>
        <w:rPr>
          <w:rFonts w:ascii="Times New Roman" w:hAnsi="Times New Roman" w:eastAsia="宋体"/>
          <w:b/>
          <w:color w:val="003264"/>
          <w:sz w:val="24"/>
        </w:rPr>
        <w:t>Polarization-independent surface nanostructuring by femtosecond laser irradiation via microsphere in far field and ambient air</w:t>
      </w:r>
    </w:p>
    <w:p>
      <w:r>
        <w:rPr>
          <w:rFonts w:ascii="Times New Roman" w:hAnsi="Times New Roman" w:eastAsia="宋体"/>
          <w:sz w:val="21"/>
        </w:rPr>
        <w:t>作者: Jingbo Yin, Hao Luo, Tun Cao, Minghui Hong</w:t>
        <w:br/>
      </w:r>
      <w:r>
        <w:rPr>
          <w:rFonts w:ascii="Times New Roman" w:hAnsi="Times New Roman" w:eastAsia="宋体"/>
          <w:sz w:val="21"/>
        </w:rPr>
        <w:t xml:space="preserve">时间: 2026-02-11 | </w:t>
      </w:r>
      <w:r>
        <w:t xml:space="preserve">链接: </w:t>
      </w:r>
      <w:hyperlink r:id="rId70">
        <w:r>
          <w:rPr>
            <w:rFonts w:ascii="Times New Roman" w:hAnsi="Times New Roman" w:eastAsia="宋体"/>
            <w:color w:val="0000FF"/>
            <w:sz w:val="21"/>
            <w:u w:val="single"/>
          </w:rPr>
          <w:t>https://doi.org/10.1038/s41377-025-02091-7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超快激光器在表面纳米加工领域引起了人们的极大兴趣。然而，在追求高加工精度时，它们的动态电场分布会受到偏振方向的影响，导致激光纳米结构的偏振依赖性较高。在这里，通过远场和环境空气中的微球进行飞秒激光照射，在Sb 2 S 3 薄膜上实现了与偏振无关的表面纳米结构。纳米凹槽的形成归因于高重复率飞秒激光照射下熔化、再凝固和过冷过程中的表面热应力。分析了激光加工过程中材料熔化和烧蚀对电场分布的影响。在熔融状态下，电场分布不受极化影响，从而能够基于温度梯度引起的热应力实现与极化无关的纳米加工。表面纳米结构的特征尺寸可以通过改变激光能量密度来精确调节，最小尺寸可达到约38 nm（λ/27）。这种创新的激光纳米结构技术在远场和环境空气中运行，为推进下一代纳米制造带来了巨大的希望。</w:t>
      </w:r>
    </w:p>
    <w:p>
      <w:pPr>
        <w:spacing w:before="120"/>
      </w:pPr>
      <w:r>
        <w:rPr>
          <w:rFonts w:ascii="Times New Roman" w:hAnsi="Times New Roman" w:eastAsia="宋体"/>
          <w:b/>
          <w:sz w:val="21"/>
        </w:rPr>
        <w:t>English Abstract:</w:t>
      </w:r>
    </w:p>
    <w:p>
      <w:r>
        <w:rPr>
          <w:rFonts w:ascii="Times New Roman" w:hAnsi="Times New Roman" w:eastAsia="宋体"/>
          <w:sz w:val="21"/>
        </w:rPr>
        <w:t>Abstract Ultrafast lasers have garnered significant interest in the realm of surface nanofabrication. However, their dynamic electric field distribution is influenced by the polarization direction when pursuing high machining precision, which leads to high polarization dependence of laser nanostructuring. Here, polarization-independent surface nanostructuring is realized on Sb 2 S 3 thin films by femtosecond laser irradiation via a microsphere in the far field and ambient air. The formation of nanogrooves is ascribed to surface thermal stress during melting, re-solidification, and super-cooling under high-repetition-rate femtosecond laser irradiation. The influence of materials melting and ablation on the electric field distribution during the laser processing is analyzed. In the molten state, the distribution of the electric field remains unaffected by polarization, enabling the realization of polarization-independent nanoprocessing based on the thermal stress induced by a temperature gradient. The feature sizes of surface nanostructures can be precisely adjusted by varying laser fluence, and the minimum size down to approximately 38 nm (λ/27) is achieved. This innovative laser nanostructuring technique, operating in the far field and ambient air, holds considerable promise for advancing next-generation nanofabrication.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00:32 ---</w:t>
      </w:r>
    </w:p>
    <w:p>
      <w:pPr>
        <w:pStyle w:val="Heading2"/>
      </w:pPr>
      <w:r/>
      <w:r>
        <w:rPr>
          <w:rFonts w:ascii="Times New Roman" w:hAnsi="Times New Roman" w:eastAsia="宋体"/>
          <w:b/>
          <w:color w:val="000000"/>
          <w:sz w:val="24"/>
        </w:rPr>
        <w:t>α-MoO 3 的高灵敏度和可调谐极化法布里-珀罗纳米谐振器</w:t>
      </w:r>
    </w:p>
    <w:p>
      <w:r>
        <w:rPr>
          <w:rFonts w:ascii="Times New Roman" w:hAnsi="Times New Roman" w:eastAsia="宋体"/>
          <w:b/>
          <w:color w:val="003264"/>
          <w:sz w:val="24"/>
        </w:rPr>
        <w:t>Highly Sensitive and Tunable Polaritonic Fabry–Pérot Nanoresonators of α-MoO 3</w:t>
      </w:r>
    </w:p>
    <w:p>
      <w:r>
        <w:rPr>
          <w:rFonts w:ascii="Times New Roman" w:hAnsi="Times New Roman" w:eastAsia="宋体"/>
          <w:sz w:val="21"/>
        </w:rPr>
        <w:t>作者: Ying Liao, Yongqian Zhao, Mengfei Xue, Xinghui Liu, Jiarong Guo, Runkun Chen, Jianing Chen</w:t>
        <w:br/>
      </w:r>
      <w:r>
        <w:rPr>
          <w:rFonts w:ascii="Times New Roman" w:hAnsi="Times New Roman" w:eastAsia="宋体"/>
          <w:sz w:val="21"/>
        </w:rPr>
        <w:t xml:space="preserve">时间: 2026-02-10 | </w:t>
      </w:r>
      <w:r>
        <w:t xml:space="preserve">链接: </w:t>
      </w:r>
      <w:hyperlink r:id="rId71">
        <w:r>
          <w:rPr>
            <w:rFonts w:ascii="Times New Roman" w:hAnsi="Times New Roman" w:eastAsia="宋体"/>
            <w:color w:val="0000FF"/>
            <w:sz w:val="21"/>
            <w:u w:val="single"/>
          </w:rPr>
          <w:t>https://doi.org/10.1021/acsphotonics.5c01340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混合钪氮化铝/氮化硅光子集成电路</w:t>
      </w:r>
    </w:p>
    <w:p>
      <w:r>
        <w:rPr>
          <w:rFonts w:ascii="Times New Roman" w:hAnsi="Times New Roman" w:eastAsia="宋体"/>
          <w:b/>
          <w:color w:val="003264"/>
          <w:sz w:val="24"/>
        </w:rPr>
        <w:t>Hybrid Scandium Aluminum Nitride/Silicon Nitride Photonic Integrated Circuits</w:t>
      </w:r>
    </w:p>
    <w:p>
      <w:r>
        <w:rPr>
          <w:rFonts w:ascii="Times New Roman" w:hAnsi="Times New Roman" w:eastAsia="宋体"/>
          <w:sz w:val="21"/>
        </w:rPr>
        <w:t>作者: Jiangnan Liu, Shuai Liu, Abdur-Raheem Al-Hallak, Huabin Yu, Zhengwei Ye, Yuheng Zhang, Zheshen Zhang, Zetian Mi</w:t>
        <w:br/>
      </w:r>
      <w:r>
        <w:rPr>
          <w:rFonts w:ascii="Times New Roman" w:hAnsi="Times New Roman" w:eastAsia="宋体"/>
          <w:sz w:val="21"/>
        </w:rPr>
        <w:t xml:space="preserve">时间: 2026-02-11 | </w:t>
      </w:r>
      <w:r>
        <w:t xml:space="preserve">链接: </w:t>
      </w:r>
      <w:hyperlink r:id="rId72">
        <w:r>
          <w:rPr>
            <w:rFonts w:ascii="Times New Roman" w:hAnsi="Times New Roman" w:eastAsia="宋体"/>
            <w:color w:val="0000FF"/>
            <w:sz w:val="21"/>
            <w:u w:val="single"/>
          </w:rPr>
          <w:t>https://doi.org/10.1021/acsphotonics.5c01804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通过高度定向晶体生长策略实现快速响应和稳定的自供电苯乙基铵基准二维钙钛矿光电探测器</w:t>
      </w:r>
    </w:p>
    <w:p>
      <w:r>
        <w:rPr>
          <w:rFonts w:ascii="Times New Roman" w:hAnsi="Times New Roman" w:eastAsia="宋体"/>
          <w:b/>
          <w:color w:val="003264"/>
          <w:sz w:val="24"/>
        </w:rPr>
        <w:t>Fast-Response and Stable Self-Powered Phenylethylammonium-Based Quasi-Two-Dimensional Perovskite Photodetectors Enabled by a Highly Oriented Crystal Growth Strategy</w:t>
      </w:r>
    </w:p>
    <w:p>
      <w:r>
        <w:rPr>
          <w:rFonts w:ascii="Times New Roman" w:hAnsi="Times New Roman" w:eastAsia="宋体"/>
          <w:sz w:val="21"/>
        </w:rPr>
        <w:t>作者: Maojun Sun, Rundong Hu, Qiang Lou, Jiahao Wu, Tian Sun, Xianglan Tang, Xin Qiu, Hao Zhang, Xinxin Xu, Tong Chen, Tingchao He, Xiaojin Zhao, Yongbo Yuan, Hang Zhou</w:t>
        <w:br/>
      </w:r>
      <w:r>
        <w:rPr>
          <w:rFonts w:ascii="Times New Roman" w:hAnsi="Times New Roman" w:eastAsia="宋体"/>
          <w:sz w:val="21"/>
        </w:rPr>
        <w:t xml:space="preserve">时间: 2026-02-11 | </w:t>
      </w:r>
      <w:r>
        <w:t xml:space="preserve">链接: </w:t>
      </w:r>
      <w:hyperlink r:id="rId73">
        <w:r>
          <w:rPr>
            <w:rFonts w:ascii="Times New Roman" w:hAnsi="Times New Roman" w:eastAsia="宋体"/>
            <w:color w:val="0000FF"/>
            <w:sz w:val="21"/>
            <w:u w:val="single"/>
          </w:rPr>
          <w:t>https://doi.org/10.1021/acsphotonics.5c02602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双层光子晶体中无限泵浦的拓扑激光</w:t>
      </w:r>
    </w:p>
    <w:p>
      <w:r>
        <w:rPr>
          <w:rFonts w:ascii="Times New Roman" w:hAnsi="Times New Roman" w:eastAsia="宋体"/>
          <w:b/>
          <w:color w:val="003264"/>
          <w:sz w:val="24"/>
        </w:rPr>
        <w:t>Topological Lasing from Thouless Pumping in Bilayer Photonic Crystal</w:t>
      </w:r>
    </w:p>
    <w:p>
      <w:r>
        <w:rPr>
          <w:rFonts w:ascii="Times New Roman" w:hAnsi="Times New Roman" w:eastAsia="宋体"/>
          <w:sz w:val="21"/>
        </w:rPr>
        <w:t>作者: D.-H.-Minh Nguyen, Dung Xuan Nguyen, H. Chau Nguyen, Thibaud Louvet, Emmanuel Drouard, Xavier Letartre, Dario Bercioux, Hai Son Nguyen</w:t>
        <w:br/>
      </w:r>
      <w:r>
        <w:rPr>
          <w:rFonts w:ascii="Times New Roman" w:hAnsi="Times New Roman" w:eastAsia="宋体"/>
          <w:sz w:val="21"/>
        </w:rPr>
        <w:t xml:space="preserve">时间: 2026-02-11 | </w:t>
      </w:r>
      <w:r>
        <w:t xml:space="preserve">链接: </w:t>
      </w:r>
      <w:hyperlink r:id="rId74">
        <w:r>
          <w:rPr>
            <w:rFonts w:ascii="Times New Roman" w:hAnsi="Times New Roman" w:eastAsia="宋体"/>
            <w:color w:val="0000FF"/>
            <w:sz w:val="21"/>
            <w:u w:val="single"/>
          </w:rPr>
          <w:t>https://doi.org/10.1021/acsphotonics.5c02664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基于可编程光子处理器的超低误差多频微波光子频率测量</w:t>
      </w:r>
    </w:p>
    <w:p>
      <w:r>
        <w:rPr>
          <w:rFonts w:ascii="Times New Roman" w:hAnsi="Times New Roman" w:eastAsia="宋体"/>
          <w:b/>
          <w:color w:val="003264"/>
          <w:sz w:val="24"/>
        </w:rPr>
        <w:t>Ultralow-Error and Multifrequency Microwave Photonic Frequency Measurement Based on a Programmable Photonic Processor</w:t>
      </w:r>
    </w:p>
    <w:p>
      <w:r>
        <w:rPr>
          <w:rFonts w:ascii="Times New Roman" w:hAnsi="Times New Roman" w:eastAsia="宋体"/>
          <w:sz w:val="21"/>
        </w:rPr>
        <w:t>作者: Yuxin Liang, Guanyu Chen, Zhihui Li, Yushan Liu, Ziyao Zhang, Shijia Fan, Hanmeng Li, Naidi Cui, Junbo Feng, Tao Zhu</w:t>
        <w:br/>
      </w:r>
      <w:r>
        <w:rPr>
          <w:rFonts w:ascii="Times New Roman" w:hAnsi="Times New Roman" w:eastAsia="宋体"/>
          <w:sz w:val="21"/>
        </w:rPr>
        <w:t xml:space="preserve">时间: 2026-02-11 | </w:t>
      </w:r>
      <w:r>
        <w:t xml:space="preserve">链接: </w:t>
      </w:r>
      <w:hyperlink r:id="rId133">
        <w:r>
          <w:rPr>
            <w:rFonts w:ascii="Times New Roman" w:hAnsi="Times New Roman" w:eastAsia="宋体"/>
            <w:color w:val="0000FF"/>
            <w:sz w:val="21"/>
            <w:u w:val="single"/>
          </w:rPr>
          <w:t>https://doi.org/10.1021/acsphotonics.6c00085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w:t>
      </w:r>
    </w:p>
    <w:p>
      <w:pPr>
        <w:jc w:val="center"/>
      </w:pPr>
      <w:r>
        <w:t>--- 更新: 06:27 ---</w:t>
      </w:r>
    </w:p>
    <w:p>
      <w:pPr>
        <w:pStyle w:val="Heading2"/>
      </w:pPr>
      <w:r/>
      <w:r>
        <w:rPr>
          <w:rFonts w:ascii="Times New Roman" w:hAnsi="Times New Roman" w:eastAsia="宋体"/>
          <w:b/>
          <w:color w:val="000000"/>
          <w:sz w:val="24"/>
        </w:rPr>
        <w:t>星形胶质细胞使杏仁核神经表征支持记忆</w:t>
      </w:r>
    </w:p>
    <w:p>
      <w:r>
        <w:rPr>
          <w:rFonts w:ascii="Times New Roman" w:hAnsi="Times New Roman" w:eastAsia="宋体"/>
          <w:b/>
          <w:color w:val="003264"/>
          <w:sz w:val="24"/>
        </w:rPr>
        <w:t>Astrocytes enable amygdala neural representations supporting memory</w:t>
      </w:r>
    </w:p>
    <w:p>
      <w:r>
        <w:rPr>
          <w:rFonts w:ascii="Times New Roman" w:hAnsi="Times New Roman" w:eastAsia="宋体"/>
          <w:sz w:val="21"/>
        </w:rPr>
        <w:t>作者: Olena Bukalo, Ruairi O’Sullivan, Yuta Tanisumi, Adriana Mendez, Chase Weinholtz, Sydney Zimmerman, Victoria Offenberg, Olivia Carpenter, Hrishikesh Bhagwat, Sophie Mosley, John J. O’Malley, Kerri Lyons, Yulan Fang, Jess Goldschlager, Linnaea E. Ostroff, Mario A. Penzo, Hiroaki Wake, Lindsay R. Halladay, Andrew Holmes</w:t>
        <w:br/>
      </w:r>
      <w:r>
        <w:rPr>
          <w:rFonts w:ascii="Times New Roman" w:hAnsi="Times New Roman" w:eastAsia="宋体"/>
          <w:sz w:val="21"/>
        </w:rPr>
        <w:t xml:space="preserve">时间: 2026-02-11 | </w:t>
      </w:r>
      <w:r>
        <w:t xml:space="preserve">链接: </w:t>
      </w:r>
      <w:hyperlink r:id="rId75">
        <w:r>
          <w:rPr>
            <w:rFonts w:ascii="Times New Roman" w:hAnsi="Times New Roman" w:eastAsia="宋体"/>
            <w:color w:val="0000FF"/>
            <w:sz w:val="21"/>
            <w:u w:val="single"/>
          </w:rPr>
          <w:t>https://doi.org/10.1038/s41586-025-10068-0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大脑系统对先前遇到的威胁进行调解反应，提供关键的生存功能。恐惧记忆和消退是由基底外侧杏仁核 (BLA) 1-7 中的神经表征支撑的，但包括星形胶质细胞在内的非神经元细胞对这些过程的贡献仍未解决。在这里，利用体内钙 (Ca 2+ ) 成像和因果星形胶质细胞操作，我们发现 BLA 星形胶质细胞动态跟踪恐惧状态并支持恐惧记忆检索和消退。通过将星形胶质细胞操作与体内 BLA 神经元 Ca 2+ 成像和电生理记录相结合，我们表明星形胶质细胞 Ca 2+ 信号传导能够实现恐惧记忆检索和消退的神经元编码，并通过 BLA 前额叶回路读出。我们的研究结果揭示了星形胶质细胞在恐惧状态相关神经表征的生成和适应中的关键作用，修正了关键杏仁核介导的适应性功能的神经中心模型。</w:t>
      </w:r>
    </w:p>
    <w:p>
      <w:pPr>
        <w:spacing w:before="120"/>
      </w:pPr>
      <w:r>
        <w:rPr>
          <w:rFonts w:ascii="Times New Roman" w:hAnsi="Times New Roman" w:eastAsia="宋体"/>
          <w:b/>
          <w:sz w:val="21"/>
        </w:rPr>
        <w:t>English Abstract:</w:t>
      </w:r>
    </w:p>
    <w:p>
      <w:r>
        <w:rPr>
          <w:rFonts w:ascii="Times New Roman" w:hAnsi="Times New Roman" w:eastAsia="宋体"/>
          <w:sz w:val="21"/>
        </w:rPr>
        <w:t>Abstract Brain systems mediating responses to previously encountered threats provide critical survival functions. Fear memory and extinction are underpinned by neural representations in the basolateral amygdala (BLA) 1–7 , but the contribution of non-neuronal cells, including astrocytes, to these processes remains unresolved. Here, using in vivo calcium (Ca 2+ ) imaging and causal astrocyte manipulations, we find that BLA astrocytes dynamically track fear state and support fear memory retrieval and extinction. By combining astrocyte manipulations with in vivo BLA neuronal Ca 2+ imaging and electrophysiological recordings, we show that astrocyte Ca 2+ signalling enables neuronal encoding of fear memory retrieval and extinction, and readout through a BLA–prefrontal circuit. Our findings reveal a key role for astrocytes in the generation and adaptation of fear-state-related neural representations, revising neurocentric models of critical amygdala-mediated adaptive functions.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外周血细胞对脑脂质的睡眠依赖性清除</w:t>
      </w:r>
    </w:p>
    <w:p>
      <w:r>
        <w:rPr>
          <w:rFonts w:ascii="Times New Roman" w:hAnsi="Times New Roman" w:eastAsia="宋体"/>
          <w:b/>
          <w:color w:val="003264"/>
          <w:sz w:val="24"/>
        </w:rPr>
        <w:t>Sleep-dependent clearance of brain lipids by peripheral blood cells</w:t>
      </w:r>
    </w:p>
    <w:p>
      <w:r>
        <w:rPr>
          <w:rFonts w:ascii="Times New Roman" w:hAnsi="Times New Roman" w:eastAsia="宋体"/>
          <w:sz w:val="21"/>
        </w:rPr>
        <w:t>作者: Bumsik Cho, Diane E. Youngstrom, Samantha Killiany, Camilo Guevara, Caitlin E. Randolph, Connor H. Beveridge, Pooja Saklani, Gaurav Chopra, Amita Sehgal</w:t>
        <w:br/>
      </w:r>
      <w:r>
        <w:rPr>
          <w:rFonts w:ascii="Times New Roman" w:hAnsi="Times New Roman" w:eastAsia="宋体"/>
          <w:sz w:val="21"/>
        </w:rPr>
        <w:t xml:space="preserve">时间: 2026-02-11 | </w:t>
      </w:r>
      <w:r>
        <w:t xml:space="preserve">链接: </w:t>
      </w:r>
      <w:hyperlink r:id="rId76">
        <w:r>
          <w:rPr>
            <w:rFonts w:ascii="Times New Roman" w:hAnsi="Times New Roman" w:eastAsia="宋体"/>
            <w:color w:val="0000FF"/>
            <w:sz w:val="21"/>
            <w:u w:val="single"/>
          </w:rPr>
          <w:t>https://doi.org/10.1038/s41586-025-10050-w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睡眠通常是通过以大脑为中心的视角来看待的，而对于外围的作用却知之甚少 1,2 。在这里，我们确定了果蝇循环中外周巨噬细胞样细胞（血细胞）的睡眠功能，表明血细胞在睡眠期间追踪大脑并吸收由于唤醒相关的氧化损伤而积累在皮质神经胶质中的脂质。通过对血细胞中表达的吞噬细胞受体的筛选，我们发现食者（Nimrod 受体家族的成员）的敲低会减少睡眠。进食的减少还会扰乱血细胞在大脑中的定位和脂质摄取，从而导致大脑中乙酰辅酶A和乙酰化蛋白（包括线粒体蛋白PGC1α和DRP1）水平升高。线粒体失调，表现为高氧化和 NAD + 减少，伴随着记忆力和寿命受损。因此，我们认为外周血细胞是哺乳动物小胶质细胞的前体，执行日常睡眠功能以维持大脑功能和健康。</w:t>
      </w:r>
    </w:p>
    <w:p>
      <w:pPr>
        <w:spacing w:before="120"/>
      </w:pPr>
      <w:r>
        <w:rPr>
          <w:rFonts w:ascii="Times New Roman" w:hAnsi="Times New Roman" w:eastAsia="宋体"/>
          <w:b/>
          <w:sz w:val="21"/>
        </w:rPr>
        <w:t>English Abstract:</w:t>
      </w:r>
    </w:p>
    <w:p>
      <w:r>
        <w:rPr>
          <w:rFonts w:ascii="Times New Roman" w:hAnsi="Times New Roman" w:eastAsia="宋体"/>
          <w:sz w:val="21"/>
        </w:rPr>
        <w:t>Abstract Sleep is viewed typically through a brain-centric lens, with little known about the role of the periphery 1,2 . Here we identify a sleep function for peripheral macrophage-like cells (haemocytes) in the Drosophila circulation, showing that haemocytes track to the brain during sleep and take up lipids accumulated in cortex glia due to wake-associated oxidative damage. Through a screen of phagocytic receptors expressed in haemocytes, we discovered that knockdown of eater —a member of the Nimrod receptor family—reduces sleep. Loss of eater also disrupts haemocyte localization to the brain and lipid uptake, which results in increased brain levels of acetyl-CoA and acetylated proteins, including mitochondrial proteins PGC1α and DRP1. Dysregulation of mitochondria, reflected in high oxidation and reduced NAD + , is accompanied by impaired memory and lifespan. Thus, peripheral blood cells, which we suggest are precursors of mammalian microglia, perform a daily function of sleep to maintain brain function and fitness.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光学捕获多原子分子中的宇称双峰相干时间</w:t>
      </w:r>
    </w:p>
    <w:p>
      <w:r>
        <w:rPr>
          <w:rFonts w:ascii="Times New Roman" w:hAnsi="Times New Roman" w:eastAsia="宋体"/>
          <w:b/>
          <w:color w:val="003264"/>
          <w:sz w:val="24"/>
        </w:rPr>
        <w:t>Parity-doublet coherence times in optically trapped polyatomic molecules</w:t>
      </w:r>
    </w:p>
    <w:p>
      <w:r>
        <w:rPr>
          <w:rFonts w:ascii="Times New Roman" w:hAnsi="Times New Roman" w:eastAsia="宋体"/>
          <w:sz w:val="21"/>
        </w:rPr>
        <w:t>作者: Paige Robichaud, Christian Hallas, Junheng Tao, Giseok Lee, Nathaniel B. Vilas, John M. Doyle</w:t>
        <w:br/>
      </w:r>
      <w:r>
        <w:rPr>
          <w:rFonts w:ascii="Times New Roman" w:hAnsi="Times New Roman" w:eastAsia="宋体"/>
          <w:sz w:val="21"/>
        </w:rPr>
        <w:t xml:space="preserve">时间: 2026-02-11 | </w:t>
      </w:r>
      <w:r>
        <w:t xml:space="preserve">链接: </w:t>
      </w:r>
      <w:hyperlink r:id="rId77">
        <w:r>
          <w:rPr>
            <w:rFonts w:ascii="Times New Roman" w:hAnsi="Times New Roman" w:eastAsia="宋体"/>
            <w:color w:val="0000FF"/>
            <w:sz w:val="21"/>
            <w:u w:val="single"/>
          </w:rPr>
          <w:t>https://doi.org/10.1038/s41586-026-10133-2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处于宇称双峰态的光捕获 CaOH 分子实现了超过振动寿命的相干时间，这是多原子分子在量子科学中使用的一个决定性里程碑。</w:t>
      </w:r>
    </w:p>
    <w:p>
      <w:pPr>
        <w:spacing w:before="120"/>
      </w:pPr>
      <w:r>
        <w:rPr>
          <w:rFonts w:ascii="Times New Roman" w:hAnsi="Times New Roman" w:eastAsia="宋体"/>
          <w:b/>
          <w:sz w:val="21"/>
        </w:rPr>
        <w:t>English Abstract:</w:t>
      </w:r>
    </w:p>
    <w:p>
      <w:r>
        <w:rPr>
          <w:rFonts w:ascii="Times New Roman" w:hAnsi="Times New Roman" w:eastAsia="宋体"/>
          <w:sz w:val="21"/>
        </w:rPr>
        <w:t>Optically trapped CaOH molecules in parity-doublet states achieve coherence times exceeding vibrational lifetimes, which are a defining milestone for the use of polyatomic molecules in quantum science.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通过合成全息光场进行亚秒级体积 3D 打印</w:t>
      </w:r>
    </w:p>
    <w:p>
      <w:r>
        <w:rPr>
          <w:rFonts w:ascii="Times New Roman" w:hAnsi="Times New Roman" w:eastAsia="宋体"/>
          <w:b/>
          <w:color w:val="003264"/>
          <w:sz w:val="24"/>
        </w:rPr>
        <w:t>Sub-second volumetric 3D printing by synthesis of holographic light fields</w:t>
      </w:r>
    </w:p>
    <w:p>
      <w:r>
        <w:rPr>
          <w:rFonts w:ascii="Times New Roman" w:hAnsi="Times New Roman" w:eastAsia="宋体"/>
          <w:sz w:val="21"/>
        </w:rPr>
        <w:t>作者: Xukang Wang, Yuanzhu Ma, Yihan Niu, Bo Xiong, Anke Zhang, Guoxun Zhang, Yifan Chen, Wei Wei, Lu Fang, Jiamin Wu, Qionghai Dai</w:t>
        <w:br/>
      </w:r>
      <w:r>
        <w:rPr>
          <w:rFonts w:ascii="Times New Roman" w:hAnsi="Times New Roman" w:eastAsia="宋体"/>
          <w:sz w:val="21"/>
        </w:rPr>
        <w:t xml:space="preserve">时间: 2026-02-11 | </w:t>
      </w:r>
      <w:r>
        <w:t xml:space="preserve">链接: </w:t>
      </w:r>
      <w:hyperlink r:id="rId78">
        <w:r>
          <w:rPr>
            <w:rFonts w:ascii="Times New Roman" w:hAnsi="Times New Roman" w:eastAsia="宋体"/>
            <w:color w:val="0000FF"/>
            <w:sz w:val="21"/>
            <w:u w:val="single"/>
          </w:rPr>
          <w:t>https://doi.org/10.1038/s41586-026-10114-5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描述了一种新方法，该方法使用潜望镜生成高速、高分辨率的光场投影，从而能够在不旋转样品的情况下对毫米级物体进行亚秒级体积 3D 打印。</w:t>
      </w:r>
    </w:p>
    <w:p>
      <w:pPr>
        <w:spacing w:before="120"/>
      </w:pPr>
      <w:r>
        <w:rPr>
          <w:rFonts w:ascii="Times New Roman" w:hAnsi="Times New Roman" w:eastAsia="宋体"/>
          <w:b/>
          <w:sz w:val="21"/>
        </w:rPr>
        <w:t>English Abstract:</w:t>
      </w:r>
    </w:p>
    <w:p>
      <w:r>
        <w:rPr>
          <w:rFonts w:ascii="Times New Roman" w:hAnsi="Times New Roman" w:eastAsia="宋体"/>
          <w:sz w:val="21"/>
        </w:rPr>
        <w:t>A new method is described that uses a periscope to generate high-speed, high-resolution projections of light fields, enabling sub-second volumetric 3D printing of millimetre-scale objects without rotating the sample.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切口前结构揭示了 DNA 核苷酸切除修复的原理</w:t>
      </w:r>
    </w:p>
    <w:p>
      <w:r>
        <w:rPr>
          <w:rFonts w:ascii="Times New Roman" w:hAnsi="Times New Roman" w:eastAsia="宋体"/>
          <w:b/>
          <w:color w:val="003264"/>
          <w:sz w:val="24"/>
        </w:rPr>
        <w:t>Pre-incision structures reveal principles of DNA nucleotide excision repair</w:t>
      </w:r>
    </w:p>
    <w:p>
      <w:r>
        <w:rPr>
          <w:rFonts w:ascii="Times New Roman" w:hAnsi="Times New Roman" w:eastAsia="宋体"/>
          <w:sz w:val="21"/>
        </w:rPr>
        <w:t>作者: Eric C. L. Li, Jinseok Kim, Sem J. Brussee, Kaoru Sugasawa, Martijn S. Luijsterburg, Wei Yang</w:t>
        <w:br/>
      </w:r>
      <w:r>
        <w:rPr>
          <w:rFonts w:ascii="Times New Roman" w:hAnsi="Times New Roman" w:eastAsia="宋体"/>
          <w:sz w:val="21"/>
        </w:rPr>
        <w:t xml:space="preserve">时间: 2026-02-11 | </w:t>
      </w:r>
      <w:r>
        <w:t xml:space="preserve">链接: </w:t>
      </w:r>
      <w:hyperlink r:id="rId79">
        <w:r>
          <w:rPr>
            <w:rFonts w:ascii="Times New Roman" w:hAnsi="Times New Roman" w:eastAsia="宋体"/>
            <w:color w:val="0000FF"/>
            <w:sz w:val="21"/>
            <w:u w:val="single"/>
          </w:rPr>
          <w:t>https://doi.org/10.1038/s41586-026-10122-5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核苷酸切除修复复合物的冷冻电镜结构揭示了组成蛋白 XPA、XPB、XPC、XPD、XPF、XPG 和 RPA 在 DNA 气泡形成和损伤链切除中的作用。</w:t>
      </w:r>
    </w:p>
    <w:p>
      <w:pPr>
        <w:spacing w:before="120"/>
      </w:pPr>
      <w:r>
        <w:rPr>
          <w:rFonts w:ascii="Times New Roman" w:hAnsi="Times New Roman" w:eastAsia="宋体"/>
          <w:b/>
          <w:sz w:val="21"/>
        </w:rPr>
        <w:t>English Abstract:</w:t>
      </w:r>
    </w:p>
    <w:p>
      <w:r>
        <w:rPr>
          <w:rFonts w:ascii="Times New Roman" w:hAnsi="Times New Roman" w:eastAsia="宋体"/>
          <w:sz w:val="21"/>
        </w:rPr>
        <w:t>Cryo-electron microscopy structures of nucleotide excision repair complexes reveal the roles of the constituent proteins XPA, XPB, XPC, XPD, XPF, XPG and RPA in DNA bubble formation and excision of the lesion strand.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利用有序 3D/2D 异质结最大化钙钛矿电致发光</w:t>
      </w:r>
    </w:p>
    <w:p>
      <w:r>
        <w:rPr>
          <w:rFonts w:ascii="Times New Roman" w:hAnsi="Times New Roman" w:eastAsia="宋体"/>
          <w:b/>
          <w:color w:val="003264"/>
          <w:sz w:val="24"/>
        </w:rPr>
        <w:t>Maximizing perovskite electroluminescence with ordered 3D/2D heterojunction</w:t>
      </w:r>
    </w:p>
    <w:p>
      <w:r>
        <w:rPr>
          <w:rFonts w:ascii="Times New Roman" w:hAnsi="Times New Roman" w:eastAsia="宋体"/>
          <w:sz w:val="21"/>
        </w:rPr>
        <w:t>作者: Jingyu Peng, Xulan Xue, Shihao Liu, Yingguo Yang, Tianqi Yang, Bingyan Zhu, Xin Wang, Hanzhuang Zhang, Wenfa Xie, Gengsheng Chen, Shanglei Feng, Lina Li, Renzhong Tai, Aiwei Tang, Haizhou Lu, Wenyu Ji</w:t>
        <w:br/>
      </w:r>
      <w:r>
        <w:rPr>
          <w:rFonts w:ascii="Times New Roman" w:hAnsi="Times New Roman" w:eastAsia="宋体"/>
          <w:sz w:val="21"/>
        </w:rPr>
        <w:t xml:space="preserve">时间: 2026-02-11 | </w:t>
      </w:r>
      <w:r>
        <w:t xml:space="preserve">链接: </w:t>
      </w:r>
      <w:hyperlink r:id="rId80">
        <w:r>
          <w:rPr>
            <w:rFonts w:ascii="Times New Roman" w:hAnsi="Times New Roman" w:eastAsia="宋体"/>
            <w:color w:val="0000FF"/>
            <w:sz w:val="21"/>
            <w:u w:val="single"/>
          </w:rPr>
          <w:t>https://doi.org/10.1038/s41586-026-10134-1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描述了一种使用简单的一步旋涂形成 3D/2D 垂直取向钙钛矿异质结的策略，可以制造出绿光发射效率创纪录的 42.9%（认证为 42.3%）的钙钛矿发光二极管。</w:t>
      </w:r>
    </w:p>
    <w:p>
      <w:pPr>
        <w:spacing w:before="120"/>
      </w:pPr>
      <w:r>
        <w:rPr>
          <w:rFonts w:ascii="Times New Roman" w:hAnsi="Times New Roman" w:eastAsia="宋体"/>
          <w:b/>
          <w:sz w:val="21"/>
        </w:rPr>
        <w:t>English Abstract:</w:t>
      </w:r>
    </w:p>
    <w:p>
      <w:r>
        <w:rPr>
          <w:rFonts w:ascii="Times New Roman" w:hAnsi="Times New Roman" w:eastAsia="宋体"/>
          <w:sz w:val="21"/>
        </w:rPr>
        <w:t>A strategy using simple one-step spin-coating to form 3D/2D vertically oriented perovskite heterojunctions is described, allowing the fabrication of perovskite light-emitting diodes with record-high green emission efficiencies of 42.9% (certified 42.3%).</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连续波窄线宽真空紫外激光源</w:t>
      </w:r>
    </w:p>
    <w:p>
      <w:r>
        <w:rPr>
          <w:rFonts w:ascii="Times New Roman" w:hAnsi="Times New Roman" w:eastAsia="宋体"/>
          <w:b/>
          <w:color w:val="003264"/>
          <w:sz w:val="24"/>
        </w:rPr>
        <w:t>Continuous-wave narrow-linewidth vacuum ultraviolet laser source</w:t>
      </w:r>
    </w:p>
    <w:p>
      <w:r>
        <w:rPr>
          <w:rFonts w:ascii="Times New Roman" w:hAnsi="Times New Roman" w:eastAsia="宋体"/>
          <w:sz w:val="21"/>
        </w:rPr>
        <w:t>作者: Qi Xiao, Gleb Penyazkov, Xiangliang Li, Beichen Huang, Wenhao Bu, Juanlang Shi, Haoyu Shi, Tangyin Liao, Gaowei Yan, Haochen Tian, Yixuan Li, Jiatong Li, Bingkun Lu, Li You, Yige Lin, Yuxiang Mo, Shiqian Ding</w:t>
        <w:br/>
      </w:r>
      <w:r>
        <w:rPr>
          <w:rFonts w:ascii="Times New Roman" w:hAnsi="Times New Roman" w:eastAsia="宋体"/>
          <w:sz w:val="21"/>
        </w:rPr>
        <w:t xml:space="preserve">时间: 2026-02-11 | </w:t>
      </w:r>
      <w:r>
        <w:t xml:space="preserve">链接: </w:t>
      </w:r>
      <w:hyperlink r:id="rId81">
        <w:r>
          <w:rPr>
            <w:rFonts w:ascii="Times New Roman" w:hAnsi="Times New Roman" w:eastAsia="宋体"/>
            <w:color w:val="0000FF"/>
            <w:sz w:val="21"/>
            <w:u w:val="single"/>
          </w:rPr>
          <w:t>https://doi.org/10.1038/s41586-026-10107-4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研究表明，与之前 190 nm 以下的单频激光器相比，利用镉蒸气四波混频产生的连续波窄线宽真空紫外激光器可将线宽提高五个数量级。</w:t>
      </w:r>
    </w:p>
    <w:p>
      <w:pPr>
        <w:spacing w:before="120"/>
      </w:pPr>
      <w:r>
        <w:rPr>
          <w:rFonts w:ascii="Times New Roman" w:hAnsi="Times New Roman" w:eastAsia="宋体"/>
          <w:b/>
          <w:sz w:val="21"/>
        </w:rPr>
        <w:t>English Abstract:</w:t>
      </w:r>
    </w:p>
    <w:p>
      <w:r>
        <w:rPr>
          <w:rFonts w:ascii="Times New Roman" w:hAnsi="Times New Roman" w:eastAsia="宋体"/>
          <w:sz w:val="21"/>
        </w:rPr>
        <w:t>A continuous-wave narrow-linewidth vacuum ultraviolet laser generated using four-wave mixing in cadmium vapour is shown to improve linewidth by five orders of magnitude compared with previous single-frequency lasers below 190 nm.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使用原子氢对标准模型进行万亿分之一测试</w:t>
      </w:r>
    </w:p>
    <w:p>
      <w:r>
        <w:rPr>
          <w:rFonts w:ascii="Times New Roman" w:hAnsi="Times New Roman" w:eastAsia="宋体"/>
          <w:b/>
          <w:color w:val="003264"/>
          <w:sz w:val="24"/>
        </w:rPr>
        <w:t>Sub-part-per-trillion test of the Standard Model with atomic hydrogen</w:t>
      </w:r>
    </w:p>
    <w:p>
      <w:r>
        <w:rPr>
          <w:rFonts w:ascii="Times New Roman" w:hAnsi="Times New Roman" w:eastAsia="宋体"/>
          <w:sz w:val="21"/>
        </w:rPr>
        <w:t>作者: Lothar Maisenbacher, Vitaly Wirthl, Arthur Matveev, Alexey Grinin, Randolf Pohl, Theodor W. Hänsch, Thomas Udem</w:t>
        <w:br/>
      </w:r>
      <w:r>
        <w:rPr>
          <w:rFonts w:ascii="Times New Roman" w:hAnsi="Times New Roman" w:eastAsia="宋体"/>
          <w:sz w:val="21"/>
        </w:rPr>
        <w:t xml:space="preserve">时间: 2026-02-11 | </w:t>
      </w:r>
      <w:r>
        <w:t xml:space="preserve">链接: </w:t>
      </w:r>
      <w:hyperlink r:id="rId82">
        <w:r>
          <w:rPr>
            <w:rFonts w:ascii="Times New Roman" w:hAnsi="Times New Roman" w:eastAsia="宋体"/>
            <w:color w:val="0000FF"/>
            <w:sz w:val="21"/>
            <w:u w:val="single"/>
          </w:rPr>
          <w:t>https://doi.org/10.1038/s41586-026-10124-3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量子电动力学（QED）是第一个相对论量子场论，从基本层面描述了光与物质的相互作用，是标准模型（SM）的支柱之一。通过 QED 的非凡精度，SM 可以预测简单系统（例如氢原子）的能级，最多具有 13 个有效数字 1 ，使氢谱成为理想的测试台。使用 QED 从氢的不同跃迁中提取的物理常数的一致性（例如质子电荷半径 r p ）构成了对理论的检验。然而，最近测量的原子氢 2-7 的 r p 值彼此之间存在部分差异，并且与 μ 子氢光谱 8,9 的更精确值存在差异。这阻止了在实验不确定性水平上进行 QED 测试。在这里，我们提出了对原子氢中 2S-6P 跃迁的测量，其精度足以区分 r p 的差异值，并能够对 QED 和 SM 进行严格测试。我们的结果 ν 2S–6P = 730,690,248,610.79(48) kHz 给出 r p = 0.8406(15) fm 的值，比其他原子氢测定精确至少 2.5 倍，并且与 μ 值非常一致。 SM 对跃迁频率 (730,690,248,610.79(23) kHz) 的预测与我们的结果非常一致，测试 SM 至万亿分之 0.7 (ppt)，特别是，束缚态 QED 校正至百万分之 0.5 (ppm)，这是迄今为止最精确的测试。</w:t>
      </w:r>
    </w:p>
    <w:p>
      <w:pPr>
        <w:spacing w:before="120"/>
      </w:pPr>
      <w:r>
        <w:rPr>
          <w:rFonts w:ascii="Times New Roman" w:hAnsi="Times New Roman" w:eastAsia="宋体"/>
          <w:b/>
          <w:sz w:val="21"/>
        </w:rPr>
        <w:t>English Abstract:</w:t>
      </w:r>
    </w:p>
    <w:p>
      <w:r>
        <w:rPr>
          <w:rFonts w:ascii="Times New Roman" w:hAnsi="Times New Roman" w:eastAsia="宋体"/>
          <w:sz w:val="21"/>
        </w:rPr>
        <w:t>Abstract Quantum electrodynamics (QED), the first relativistic quantum field theory, describes light–matter interactions at a fundamental level and is one of the pillars of the Standard Model (SM). Through the extraordinary precision of QED, the SM predicts the energy levels of simple systems such as the hydrogen atom with up to 13 significant digits 1 , making hydrogen spectroscopy an ideal test bed. The consistency of physical constants extracted from different transitions in hydrogen using QED, such as the proton charge radius r p , constitutes a test of the theory. However, values of r p from recent measurements 2–7 of atomic hydrogen are partly discrepant with each other and with a more precise value from spectroscopy of muonic hydrogen 8,9 . This prevents a test of QED at the level of experimental uncertainties. Here we present a measurement of the 2S–6P transition in atomic hydrogen with sufficient precision to distinguish between the discrepant values of r p and enable rigorous testing of QED and the SM overall. Our result ν 2S–6P = 730,690,248,610.79(48) kHz gives a value of r p = 0.8406(15) fm at least 2.5-fold more precise than from other atomic hydrogen determinations and in excellent agreement with the muonic value. The SM prediction of the transition frequency (730,690,248,610.79(23) kHz) is in excellent agreement with our result, testing the SM to 0.7 parts per trillion (ppt) and, specifically, bound-state QED corrections to 0.5 parts per million (ppm), their most precise test so far.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CSN5i-3 是 COP9 信号体的正位分子胶抑制剂</w:t>
      </w:r>
    </w:p>
    <w:p>
      <w:r>
        <w:rPr>
          <w:rFonts w:ascii="Times New Roman" w:hAnsi="Times New Roman" w:eastAsia="宋体"/>
          <w:b/>
          <w:color w:val="003264"/>
          <w:sz w:val="24"/>
        </w:rPr>
        <w:t>CSN5i-3 is an orthosteric molecular glue inhibitor of COP9 signalosome</w:t>
      </w:r>
    </w:p>
    <w:p>
      <w:r>
        <w:rPr>
          <w:rFonts w:ascii="Times New Roman" w:hAnsi="Times New Roman" w:eastAsia="宋体"/>
          <w:sz w:val="21"/>
        </w:rPr>
        <w:t>作者: Huigang Shi, Xiaorong Wang, Clinton Yu, Haibin Mao, Fenglong Jiao, Merav Braitbard, Ben Shor, Zhongsheng Zhang, Thomas R. Hinds, Shiyun Cao, Erkang Fan, Dina Schneidman-Duhovny, Lan Huang, Ning Zheng</w:t>
        <w:br/>
      </w:r>
      <w:r>
        <w:rPr>
          <w:rFonts w:ascii="Times New Roman" w:hAnsi="Times New Roman" w:eastAsia="宋体"/>
          <w:sz w:val="21"/>
        </w:rPr>
        <w:t xml:space="preserve">时间: 2026-02-11 | </w:t>
      </w:r>
      <w:r>
        <w:t xml:space="preserve">链接: </w:t>
      </w:r>
      <w:hyperlink r:id="rId83">
        <w:r>
          <w:rPr>
            <w:rFonts w:ascii="Times New Roman" w:hAnsi="Times New Roman" w:eastAsia="宋体"/>
            <w:color w:val="0000FF"/>
            <w:sz w:val="21"/>
            <w:u w:val="single"/>
          </w:rPr>
          <w:t>https://doi.org/10.1038/s41586-026-10129-y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正位抑制剂阻断酶活性位点并阻止底物结合 1 。通过底物依赖性增强它们的特异性似乎本质上不太可能，因为它们的机制取决于直接竞争而不是选择性识别。在这里，我们展示了分子胶机制出乎意料地赋予 CSN5i-3（COP9 信号体 (CSN) 的正位抑制剂）底物依赖性效力。我们首先确认 CSN5i-3 通过占据其催化亚基 CSN5 的活性位点并直接与异肽键底物竞争来抑制 CSN，CSN 催化 cullin-RING 泛素连接酶的 NEDD8 (N8) 解离。值得注意的是，正位抑制剂仅以微摩尔亲和力结合游离 CSN，但在阻断其 deneddylase 活性方面​​却达到了纳摩尔效力。酶-底物-抑制剂复合物的低温电子显微镜结构表明，活性位点接合的 CSN5i-3 封闭了底物异肽键，同时延伸了 CSN5 的 N8 结合外位点，充当分子胶来巩固 N8-CSN5 相互作用。这种三分子 CSN5i-3–N8–CSN5 组装体的协同作用反过来将 CSN5i-3 隔离在其结合位点，赋予正位抑制剂高效力，尽管它对游离酶的亲和力较低。总之，我们的研究结果强调了分子胶对单个靶蛋白的适度亲和力要求，并将正位分子胶抑制剂确立为一类新型底物依赖性酶拮抗剂。</w:t>
      </w:r>
    </w:p>
    <w:p>
      <w:pPr>
        <w:spacing w:before="120"/>
      </w:pPr>
      <w:r>
        <w:rPr>
          <w:rFonts w:ascii="Times New Roman" w:hAnsi="Times New Roman" w:eastAsia="宋体"/>
          <w:b/>
          <w:sz w:val="21"/>
        </w:rPr>
        <w:t>English Abstract:</w:t>
      </w:r>
    </w:p>
    <w:p>
      <w:r>
        <w:rPr>
          <w:rFonts w:ascii="Times New Roman" w:hAnsi="Times New Roman" w:eastAsia="宋体"/>
          <w:sz w:val="21"/>
        </w:rPr>
        <w:t>Abstract Orthosteric inhibitors block enzyme active sites and prevent substrates from binding 1 . Enhancing their specificity through substrate dependence seems inherently unlikely, as their mechanism hinges on direct competition rather than selective recognition. Here we show that a molecular glue mechanism unexpectedly imparts substrate-dependent potency to CSN5i-3, an orthosteric inhibitor of the COP9 signalosome (CSN). We first confirm that CSN5i-3 inhibits CSN, which catalyses NEDD8 (N8) deconjugation from the cullin-RING ubiquitin ligases, by occupying the active site of its catalytic subunit, CSN5, and directly competing with the iso-peptide bond substrate. Notably, the orthosteric inhibitor binds free CSN with only micromolar affinity, yet achieves nanomolar potency in blocking its deneddylase activity. Cryogenic electron microscopy structures of the enzyme–substrate–inhibitor complex reveal that active site-engaged CSN5i-3 occludes the substrate iso-peptide linkage while simultaneously extending an N8-binding exosite of CSN5, acting as a molecular glue to cement the N8–CSN5 interaction. The cooperativity of this trimolecular CSN5i-3–N8–CSN5 assembly, in turn, sequesters CSN5i-3 at its binding site, conferring high potency to the orthosteric inhibitor despite its low affinity for the free enzyme. Together, our findings highlight the modest affinity requirements of molecule glues for individual target proteins and establish orthosteric molecular glue inhibitors as a new class of substrate-dependent enzyme antagonists.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Science Advances</w:t>
      </w:r>
    </w:p>
    <w:p>
      <w:pPr>
        <w:jc w:val="center"/>
      </w:pPr>
      <w:r>
        <w:t>--- 更新: 06:28 ---</w:t>
      </w:r>
    </w:p>
    <w:p>
      <w:pPr>
        <w:pStyle w:val="Heading2"/>
      </w:pPr>
      <w:r/>
      <w:r>
        <w:rPr>
          <w:rFonts w:ascii="Times New Roman" w:hAnsi="Times New Roman" w:eastAsia="宋体"/>
          <w:b/>
          <w:color w:val="000000"/>
          <w:sz w:val="24"/>
        </w:rPr>
        <w:t>磁电纳米粒子驱动TAF9B + T H 2细胞扩增以减轻炎症</w:t>
      </w:r>
    </w:p>
    <w:p>
      <w:r>
        <w:rPr>
          <w:rFonts w:ascii="Times New Roman" w:hAnsi="Times New Roman" w:eastAsia="宋体"/>
          <w:b/>
          <w:color w:val="003264"/>
          <w:sz w:val="24"/>
        </w:rPr>
        <w:t>Magnetoelectric nanoparticles drive TAF9B + T H 2 cell expansion to alleviate inflammation</w:t>
      </w:r>
    </w:p>
    <w:p>
      <w:r>
        <w:rPr>
          <w:rFonts w:ascii="Times New Roman" w:hAnsi="Times New Roman" w:eastAsia="宋体"/>
          <w:sz w:val="21"/>
        </w:rPr>
        <w:t>作者: Jia Song, Lulu Liu, Ziqi Liu, Shuo Liu, Zhang Zhang, Xinyu Liu, Boon Chin Heng, Yaojin Wang, Dan Lu, Xuehui Zhang, Xuliang Deng</w:t>
        <w:br/>
      </w:r>
      <w:r>
        <w:rPr>
          <w:rFonts w:ascii="Times New Roman" w:hAnsi="Times New Roman" w:eastAsia="宋体"/>
          <w:sz w:val="21"/>
        </w:rPr>
        <w:t xml:space="preserve">时间: 2026-02-13 | </w:t>
      </w:r>
      <w:r>
        <w:t xml:space="preserve">链接: </w:t>
      </w:r>
      <w:hyperlink r:id="rId86">
        <w:r>
          <w:rPr>
            <w:rFonts w:ascii="Times New Roman" w:hAnsi="Times New Roman" w:eastAsia="宋体"/>
            <w:color w:val="0000FF"/>
            <w:sz w:val="21"/>
            <w:u w:val="single"/>
          </w:rPr>
          <w:t>https://doi.org/10.1126/sciadv.adz3199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刺激响应纳米材料代表了一个有前途的免疫调节平台。然而，它们在协调 T 细胞反应方面的应用仍然有限。在这里，我们通过用树突状细胞膜涂覆核壳CoFe 2 O 4 @BiFeO 3 颗粒来开发仿生磁电纳米颗粒（DC@CFO/BFO），以实现选择性靶向CD4 + T细胞。在磁场刺激下，DC@CFO/BFO 定位于核糖体，并通过调节核糖体出口隧道的静电相互作用来增强蛋白质合成。这种核糖体靶向调节通过 IL-4 诱导和 TAF9B 依赖性转录编程促进 II 型免疫反应，从而增强 T 辅助细胞 2 (TH 2) 细胞增殖。在结肠炎和关节炎的小鼠模型中，全身施用 DC@CFO/BFO 和磁电响应 T H 2 细胞的过继转移均可减轻炎症并恢复免疫稳态。相反，这些效应在 Taf9b 缺陷的 T 细胞中被消除，强调了 TAF9B 在介导这种反应中的重要作用。总的来说，我们的研究结果表明磁电纳米复合材料是 T 细胞工程的有效工具，并强调了治疗自身免疫炎症的转化策略。</w:t>
      </w:r>
    </w:p>
    <w:p>
      <w:pPr>
        <w:spacing w:before="120"/>
      </w:pPr>
      <w:r>
        <w:rPr>
          <w:rFonts w:ascii="Times New Roman" w:hAnsi="Times New Roman" w:eastAsia="宋体"/>
          <w:b/>
          <w:sz w:val="21"/>
        </w:rPr>
        <w:t>English Abstract:</w:t>
      </w:r>
    </w:p>
    <w:p>
      <w:r>
        <w:rPr>
          <w:rFonts w:ascii="Times New Roman" w:hAnsi="Times New Roman" w:eastAsia="宋体"/>
          <w:sz w:val="21"/>
        </w:rPr>
        <w:t>Stimuli-responsive nanomaterials represent a promising platform for immunomodulation. However, their application in orchestrating T cell responses remains limited. Here, we develop a biomimetic magnetoelectric nanoparticle (DC@CFO/BFO) by coating core-shell CoFe 2 O 4 @BiFeO 3 particles with dendritic cell membranes to enable selective targeting of CD4 + T cells. Under magnetic field stimulation, DC@CFO/BFO localizes to ribosomes and enhances protein synthesis by modulating electrostatic interactions at the ribosomal exit tunnel. This ribosome-targeted modulation promotes type II immune response via IL-4 induction and TAF9B-dependent transcriptional programming, thereby enhancing T helper 2 (T H 2) cell proliferation. In murine models of colitis and arthritis, both systemic administration of DC@CFO/BFO and adoptive transfer of magnetoelectricity-responsive T H 2 cells attenuated inflammation and restored immune homeostasis. In contrast, these effects were abrogated in Taf9b -deficient T cells, underscoring the essential role of TAF9B in mediating this response. Collectively, our findings identify magnetoelectric nanocomposites as a potent tool for T cell engineering and highlight a translational strategy for the treatment of autoimmune inflammation.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环状RNA circHomer1通过核糖核蛋白颗粒转运和突触RNA的树突靶向介导海马功能</w:t>
      </w:r>
    </w:p>
    <w:p>
      <w:r>
        <w:rPr>
          <w:rFonts w:ascii="Times New Roman" w:hAnsi="Times New Roman" w:eastAsia="宋体"/>
          <w:b/>
          <w:color w:val="003264"/>
          <w:sz w:val="24"/>
        </w:rPr>
        <w:t>Circular RNA circHomer1 mediates hippocampal functions via ribonucleoprotein granule transport and dendritic targeting of synaptic RNAs</w:t>
      </w:r>
    </w:p>
    <w:p>
      <w:r>
        <w:rPr>
          <w:rFonts w:ascii="Times New Roman" w:hAnsi="Times New Roman" w:eastAsia="宋体"/>
          <w:sz w:val="21"/>
        </w:rPr>
        <w:t>作者: Ying Cai, Zhongyu Zheng, Haoyu Xu, Yao Zhu, José C. Zepeda, Brad A. Grueter, Xiaojie Wang, Taeyun Ku, Yangyang Duan, Hayley Wing Sum Tsang, Wing-Yu Fu, Amy Kit Yu Fu, Nikolaos Mellios, Hovy Ho-Wai Wong, Kwok-On Lai, Jacque Pak Kan Ip</w:t>
        <w:br/>
      </w:r>
      <w:r>
        <w:rPr>
          <w:rFonts w:ascii="Times New Roman" w:hAnsi="Times New Roman" w:eastAsia="宋体"/>
          <w:sz w:val="21"/>
        </w:rPr>
        <w:t xml:space="preserve">时间: 2026-02-13 | </w:t>
      </w:r>
      <w:r>
        <w:t xml:space="preserve">链接: </w:t>
      </w:r>
      <w:hyperlink r:id="rId87">
        <w:r>
          <w:rPr>
            <w:rFonts w:ascii="Times New Roman" w:hAnsi="Times New Roman" w:eastAsia="宋体"/>
            <w:color w:val="0000FF"/>
            <w:sz w:val="21"/>
            <w:u w:val="single"/>
          </w:rPr>
          <w:t>https://doi.org/10.1126/sciadv.ads7509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环状 RNA 是反向剪接的闭环 RNA，以前被认为是转录过程中形成的非编码副产物。越来越多的证据表明，环状 RNA 在大脑中具有重要功能，例如调节神经元传递和突触可塑性。然而，环状RNA发挥作用的具体分子机制在很大程度上仍未被探索。在这里，我们研究了 circHomer1（一种源自 Homer1 基因的大脑富集环状 RNA）如何影响海马依赖性学习和记忆。我们的结果表明，circHomer1 在介导编码突触后蛋白的信使 RNA 的树突靶向中发挥着至关重要的作用，它充当运动蛋白驱动蛋白 1 和神经元核糖核蛋白颗粒核心成分（包括树突上的肉瘤融合蛋白和脆性 X 智力迟钝蛋白）之间的分子桥。这种相互作用影响突触功能、树突棘的结构形态以及海马依赖性空间学习和记忆。因此，我们的研究强调了环状 RNA 在介导突触信使 RNA 靶向塑造树突棘和神经元功能中的作用。</w:t>
      </w:r>
    </w:p>
    <w:p>
      <w:pPr>
        <w:spacing w:before="120"/>
      </w:pPr>
      <w:r>
        <w:rPr>
          <w:rFonts w:ascii="Times New Roman" w:hAnsi="Times New Roman" w:eastAsia="宋体"/>
          <w:b/>
          <w:sz w:val="21"/>
        </w:rPr>
        <w:t>English Abstract:</w:t>
      </w:r>
    </w:p>
    <w:p>
      <w:r>
        <w:rPr>
          <w:rFonts w:ascii="Times New Roman" w:hAnsi="Times New Roman" w:eastAsia="宋体"/>
          <w:sz w:val="21"/>
        </w:rPr>
        <w:t>Circular RNAs are backspliced, closed-loop RNAs previously believed to be noncoding by-products formed during transcription. Increasing evidence suggests that circular RNAs have crucial functions in the brain, such as regulating neuronal transmission and synaptic plasticity. However, the specific molecular mechanisms by which circular RNAs function remain largely unexplored. Here, we investigated how circHomer1 , a brain-enriched circular RNA derived from the Homer1 gene, affects hippocampus-dependent learning and memory. Our results demonstrate that circHomer1 plays a vital role in mediating the dendritic targeting of messenger RNAs that encode postsynaptic proteins by acting as a molecular bridge between the motor protein Kinesin 1 and core components of neuronal ribonucleoprotein granules, including Fused in Sarcoma and Fragile X Mental Retardation Protein, at dendrites. This interaction influences synaptic function, the structural morphology of dendritic spines, and hippocampus-dependent spatial learning and memory. Thus, our study highlights a role of circular RNAs in mediating synaptic messenger RNA targeting to shape dendritic spines and consequently neuronal functions.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多孔介质中胶体的扩散电泳传输</w:t>
      </w:r>
    </w:p>
    <w:p>
      <w:r>
        <w:rPr>
          <w:rFonts w:ascii="Times New Roman" w:hAnsi="Times New Roman" w:eastAsia="宋体"/>
          <w:b/>
          <w:color w:val="003264"/>
          <w:sz w:val="24"/>
        </w:rPr>
        <w:t>Diffusiophoretic transport of colloids in porous media</w:t>
      </w:r>
    </w:p>
    <w:p>
      <w:r>
        <w:rPr>
          <w:rFonts w:ascii="Times New Roman" w:hAnsi="Times New Roman" w:eastAsia="宋体"/>
          <w:sz w:val="21"/>
        </w:rPr>
        <w:t>作者: Mobin Alipour, Yiran Li, Haoyu Liu, Amir A. Pahlavan</w:t>
        <w:br/>
      </w:r>
      <w:r>
        <w:rPr>
          <w:rFonts w:ascii="Times New Roman" w:hAnsi="Times New Roman" w:eastAsia="宋体"/>
          <w:sz w:val="21"/>
        </w:rPr>
        <w:t xml:space="preserve">时间: 2026-02-13 | </w:t>
      </w:r>
      <w:r>
        <w:t xml:space="preserve">链接: </w:t>
      </w:r>
      <w:hyperlink r:id="rId88">
        <w:r>
          <w:rPr>
            <w:rFonts w:ascii="Times New Roman" w:hAnsi="Times New Roman" w:eastAsia="宋体"/>
            <w:color w:val="0000FF"/>
            <w:sz w:val="21"/>
            <w:u w:val="single"/>
          </w:rPr>
          <w:t>https://doi.org/10.1126/sciadv.ady9874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化学梯度在多孔介质流中无处不在，从含水层中的潮汐盐梯度到土壤中灌溉驱动的梯度以及组织中代谢活动的离子梯度。尽管已知化学梯度可驱动胶体的扩散电泳迁移，但这些非平衡力在多孔介质流中很大程度上被忽略。在典型的地下条件下，优先路径内的流速超过电泳速度几个数量级，这表明扩散电泳将仅限于停滞区。在这里，通过微流体实验、数值模拟和理论建模，我们表明，即使是自然混合典型的中等溶质梯度，也可以显着改变胶体运输。我们发现了一个以前被忽视的效应：优先流动路径内的跨流线泳动迁移，这将宏观分散改变了几个数量级，并抑制了几何无序对传输的影响。我们的研究结果挑战了胶体运输的经典模型，强调了溶质梯度对技术、生物医学和环境应用的广泛影响。</w:t>
      </w:r>
    </w:p>
    <w:p>
      <w:pPr>
        <w:spacing w:before="120"/>
      </w:pPr>
      <w:r>
        <w:rPr>
          <w:rFonts w:ascii="Times New Roman" w:hAnsi="Times New Roman" w:eastAsia="宋体"/>
          <w:b/>
          <w:sz w:val="21"/>
        </w:rPr>
        <w:t>English Abstract:</w:t>
      </w:r>
    </w:p>
    <w:p>
      <w:r>
        <w:rPr>
          <w:rFonts w:ascii="Times New Roman" w:hAnsi="Times New Roman" w:eastAsia="宋体"/>
          <w:sz w:val="21"/>
        </w:rPr>
        <w:t>Chemical gradients are ubiquitous in porous media flows, from tidal salt gradients in aquifers to irrigation-driven gradients in soils and ionic gradients from metabolic activity in tissues. Although chemical gradients are known to drive diffusiophoretic migration of colloids, these nonequilibrium forces have largely been ignored in porous media flows. Under typical subsurface conditions, flow velocities within preferential pathways exceed phoretic velocities by orders of magnitude, suggesting that diffusiophoresis would be limited to stagnant pockets. Here, using microfluidic experiments, numerical simulations, and theoretical modeling, we show that even moderate solute gradients, typical of natural mixing, can markedly alter colloid transport. We uncover a previously overlooked effect: cross-streamline phoretic migration within preferential flow pathways, which changes macroscopic dispersion by orders of magnitude and suppresses the impact of geometric disorder on transport. Our findings challenge classical models of colloid transport, highlighting the broad implications of solute gradients for technological, biomedical, and environmental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手性铰链——三维磁光拓扑材料中跨维度的表面传输</w:t>
      </w:r>
    </w:p>
    <w:p>
      <w:r>
        <w:rPr>
          <w:rFonts w:ascii="Times New Roman" w:hAnsi="Times New Roman" w:eastAsia="宋体"/>
          <w:b/>
          <w:color w:val="003264"/>
          <w:sz w:val="24"/>
        </w:rPr>
        <w:t>Chiral hinge–surface transport across dimensions in three-dimensional magneto-optical topological materials</w:t>
      </w:r>
    </w:p>
    <w:p>
      <w:r>
        <w:rPr>
          <w:rFonts w:ascii="Times New Roman" w:hAnsi="Times New Roman" w:eastAsia="宋体"/>
          <w:sz w:val="21"/>
        </w:rPr>
        <w:t>作者: Hua-Shan Lai, Yan-Chen Zhou, Ze-Qun Sun, Cheng He, Yan-Feng Chen</w:t>
        <w:br/>
      </w:r>
      <w:r>
        <w:rPr>
          <w:rFonts w:ascii="Times New Roman" w:hAnsi="Times New Roman" w:eastAsia="宋体"/>
          <w:sz w:val="21"/>
        </w:rPr>
        <w:t xml:space="preserve">时间: 2026-02-13 | </w:t>
      </w:r>
      <w:r>
        <w:t xml:space="preserve">链接: </w:t>
      </w:r>
      <w:hyperlink r:id="rId89">
        <w:r>
          <w:rPr>
            <w:rFonts w:ascii="Times New Roman" w:hAnsi="Times New Roman" w:eastAsia="宋体"/>
            <w:color w:val="0000FF"/>
            <w:sz w:val="21"/>
            <w:u w:val="single"/>
          </w:rPr>
          <w:t>https://doi.org/10.1126/sciadv.aeb4171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具有完美导电通道的手性边界态是磁性拓扑材料的基本特征。突出的例子包括分别在磁场下的 2D 和 3D 量子霍尔材料中发现的一维 (1D) 手性边缘和 2D 手性表面态。然而，这些边界态仅限于特定的固定维度，因此它们很难促进跨维度的能量和信息传输。在这里，我们制造了一种独特的具有净零磁化强度的3D光子反铁磁拓扑绝缘体，它可以同时支持不同维度的铰链状态和相邻面上不成对的表面狄拉克锥。由于有限尺寸样本中存在手性反常，与具有相反符号的表面狄拉克质量的面相邻的无间隙表面狄拉克锥体被进一步转换，表现出二维平面单向传播。结合一维铰链态，我们通过实验观察到拓扑光子学中跨维度非互易铰链表面传输的闭合手性环，类似于 3D 量子反常霍尔材料中理论上提出的情况。我们的研究结果丰富了 3D 磁拓扑绝缘体的手性边界特征，并为探索理想的跨维度器件提供了拓扑策略。</w:t>
      </w:r>
    </w:p>
    <w:p>
      <w:pPr>
        <w:spacing w:before="120"/>
      </w:pPr>
      <w:r>
        <w:rPr>
          <w:rFonts w:ascii="Times New Roman" w:hAnsi="Times New Roman" w:eastAsia="宋体"/>
          <w:b/>
          <w:sz w:val="21"/>
        </w:rPr>
        <w:t>English Abstract:</w:t>
      </w:r>
    </w:p>
    <w:p>
      <w:r>
        <w:rPr>
          <w:rFonts w:ascii="Times New Roman" w:hAnsi="Times New Roman" w:eastAsia="宋体"/>
          <w:sz w:val="21"/>
        </w:rPr>
        <w:t>Chiral boundary states with perfect conducting channels are essential characteristics of magnetic topological materials. Prominent examples include the one-dimensional (1D) chiral edge and 2D chiral surface states found in 2D and 3D quantum Hall materials under magnetic fields, respectively. However, these boundary states are restricted to specific fixed dimensions, so they hardly facilitate cross-dimensional energy and information transport. Here, we fabricate a unique 3D photonic antiferromagnetic topological insulator with net zero magnetization that can simultaneously support different-dimensional hinge states and unpaired surface Dirac cones on neighboring facets. Owing to the chiral anomaly present in a finite-size sample, the gapless surface Dirac cone, neighbored by facets with surface Dirac masses of opposite signs, is further converted, exhibiting 2D planar one-way propagation. In conjunction with 1D hinge states, we experimentally observe a closed chiral loop for nonreciprocal hinge–surface transport across dimensions in topological photonics, similar to that theoretically proposed in 3D quantum anomalous Hall materials. Our findings enrich the chiral boundary features of 3D magnetic topological insulators and offer a topological strategy for exploring ideal cross-dimensional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拟南芥中一型蛋白磷酸酶 (TOPP) 催化 EIN2 去磷酸化调节乙烯信号传导</w:t>
      </w:r>
    </w:p>
    <w:p>
      <w:r>
        <w:rPr>
          <w:rFonts w:ascii="Times New Roman" w:hAnsi="Times New Roman" w:eastAsia="宋体"/>
          <w:b/>
          <w:color w:val="003264"/>
          <w:sz w:val="24"/>
        </w:rPr>
        <w:t>Type one protein phosphatases (TOPPs) catalyze EIN2 dephosphorylation to regulate ethylene signaling in Arabidopsis</w:t>
      </w:r>
    </w:p>
    <w:p>
      <w:r>
        <w:rPr>
          <w:rFonts w:ascii="Times New Roman" w:hAnsi="Times New Roman" w:eastAsia="宋体"/>
          <w:sz w:val="21"/>
        </w:rPr>
        <w:t>作者: Meifei Su, Qianqian Qin, Jing Zhang, Yingdong Li, Ailin Ye, Suomin Wang, Suiwen Hou</w:t>
        <w:br/>
      </w:r>
      <w:r>
        <w:rPr>
          <w:rFonts w:ascii="Times New Roman" w:hAnsi="Times New Roman" w:eastAsia="宋体"/>
          <w:sz w:val="21"/>
        </w:rPr>
        <w:t xml:space="preserve">时间: 2026-02-13 | </w:t>
      </w:r>
      <w:r>
        <w:t xml:space="preserve">链接: </w:t>
      </w:r>
      <w:hyperlink r:id="rId90">
        <w:r>
          <w:rPr>
            <w:rFonts w:ascii="Times New Roman" w:hAnsi="Times New Roman" w:eastAsia="宋体"/>
            <w:color w:val="0000FF"/>
            <w:sz w:val="21"/>
            <w:u w:val="single"/>
          </w:rPr>
          <w:t>https://doi.org/10.1126/sciadv.aec5937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一型蛋白磷酸酶 (TOPP) 广泛调节植物激素信号传导和应激反应，但它们在乙烯信号传导中的作用仍然未知。这项研究揭示了 TOPP 和乙烯不敏感 2 (EIN2) 介导的乙烯信号传导之间的相互调节关系。我们发现乙烯可以诱导 TOPPs 的表达，topp1/4/5 突变体表现出部分乙烯不敏感性，EIN3 蛋白减少。从机制上讲，TOPP 在 EIN2 上游发挥作用，并与其羧基末端结构域 (CEND) 相互作用，使 S655 残基去磷酸化。这种位点特异性去磷酸化促进 EIN2 稳定性和 EIN2 CEND 核积累，从而激活乙烯反应。值得注意的是，EIN2 S655A -YFP/ein2-5 植物表现出组成型乙烯反应和改善的耐盐性。进一步的研究表明，EIN3/EIN3 like 1 (EIL1) 通过结合 TOPPs 的启动子来激活 TOPPs 的表达，从而相应地放大乙烯信号传导。总之，我们的发现确立了 TOPP 作为乙烯信号传导的关键调节因子，并揭示了控制 EIN2 功能的去磷酸化开关机制，为 EIN2 翻译后修饰如何介导植物逆境适应提供了重要的见解。</w:t>
      </w:r>
    </w:p>
    <w:p>
      <w:pPr>
        <w:spacing w:before="120"/>
      </w:pPr>
      <w:r>
        <w:rPr>
          <w:rFonts w:ascii="Times New Roman" w:hAnsi="Times New Roman" w:eastAsia="宋体"/>
          <w:b/>
          <w:sz w:val="21"/>
        </w:rPr>
        <w:t>English Abstract:</w:t>
      </w:r>
    </w:p>
    <w:p>
      <w:r>
        <w:rPr>
          <w:rFonts w:ascii="Times New Roman" w:hAnsi="Times New Roman" w:eastAsia="宋体"/>
          <w:sz w:val="21"/>
        </w:rPr>
        <w:t>Type one protein phosphatases (TOPPs) widely modulate phytohormone signaling and stress responses, but their roles in ethylene signaling remain unknown. This study reveals a reciprocal regulatory relationship between TOPPs and ethylene insensitive 2 (EIN2)–mediated ethylene signaling. We identified that ethylene can induce TOPPs ’ expression, and topp1/4/5 mutants exhibited partial ethylene insensitivity with reduced EIN3 protein. Mechanistically, TOPPs function upstream of EIN2 and interact with its carboxyl-terminal domain (CEND) to dephosphorylate the S655 residue. This site-specific dephosphorylation promotes EIN2 stability and EIN2 CEND nuclear accumulation, thereby activating ethylene responses. Notably, EIN2 S655A -YFP/ein2-5 plants displayed constitutive ethylene responses and improved salt tolerance. Further investigation showed that EIN3/EIN3 like 1 (EIL1) activates TOPPs ’ expression by binding to their promoters, amplifying ethylene signaling accordingly. Together, our finding establishes TOPPs as key regulators in ethylene signaling and reveal a dephosphorylation switch mechanism governing EIN2 function, providing critical insight into how EIN2 posttranslational modifications mediate plant stress adaptation.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VMAT2 功能障碍会损害囊泡多巴胺的摄取，从而驱动 DJ-1 相关帕金森神经元的氧化和 α-突触核蛋白病理学</w:t>
      </w:r>
    </w:p>
    <w:p>
      <w:r>
        <w:rPr>
          <w:rFonts w:ascii="Times New Roman" w:hAnsi="Times New Roman" w:eastAsia="宋体"/>
          <w:b/>
          <w:color w:val="003264"/>
          <w:sz w:val="24"/>
        </w:rPr>
        <w:t>VMAT2 dysfunction impairs vesicular dopamine uptake, driving its oxidation and α-synuclein pathology in DJ-1–linked Parkinson’s neurons</w:t>
      </w:r>
    </w:p>
    <w:p>
      <w:r>
        <w:rPr>
          <w:rFonts w:ascii="Times New Roman" w:hAnsi="Times New Roman" w:eastAsia="宋体"/>
          <w:sz w:val="21"/>
        </w:rPr>
        <w:t>作者: Leonie M. Heger, Francesco Gubinelli, Andreas J. Huber, Aida Cardona-Alberich, Matteo Rovere, Ulf Matti, Stephan A. Müller, Sankarshana R. Nagaraja, Lena Jaschkowitz, Martina Schifferer, Wolfgang Wurst, Stefan F. Lichtenthaler, Christian Behrends, Sivakumar Sambandan, Lena F. Burbulla</w:t>
        <w:br/>
      </w:r>
      <w:r>
        <w:rPr>
          <w:rFonts w:ascii="Times New Roman" w:hAnsi="Times New Roman" w:eastAsia="宋体"/>
          <w:sz w:val="21"/>
        </w:rPr>
        <w:t xml:space="preserve">时间: 2026-02-13 | </w:t>
      </w:r>
      <w:r>
        <w:t xml:space="preserve">链接: </w:t>
      </w:r>
      <w:hyperlink r:id="rId91">
        <w:r>
          <w:rPr>
            <w:rFonts w:ascii="Times New Roman" w:hAnsi="Times New Roman" w:eastAsia="宋体"/>
            <w:color w:val="0000FF"/>
            <w:sz w:val="21"/>
            <w:u w:val="single"/>
          </w:rPr>
          <w:t>https://doi.org/10.1126/sciadv.adz5645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帕金森病 (PD) 的特点是 α-突触核蛋白积累和多巴胺能神经元变性，其中多巴胺 (DA) 氧化成为关键的病理驱动因素。然而，这种神经毒性过程的机制仍不清楚。使用源自 PD 患者且 CRISPR 工程诱导的缺乏 DJ-1 的多能干细胞中脑多巴胺能神经元，我们发现了胞质 DA 进入突触小泡的缺陷性隔离，最终导致 DA 氧化和 α-突触核蛋白病理学。深入的蛋白质组学、最先进的成像和超灵敏的 DA 探针发现，囊泡单胺转运蛋白 2 (VMAT2) 蛋白和功能的减少会损害囊泡 DA 的摄取，导致囊泡可用性降低和囊泡形态异常。此外，VMAT2 活性和囊泡内吞作用依赖于 5′-三磷酸腺苷 (ATP)，而 DJ-1 缺陷的多巴胺能神经元中的 ATP 显着降低。 ATP 补充可恢复突变多巴胺能神经元的囊泡功能并减轻 DA 相关病理。这项研究揭示了一种 ATP 敏感机制，通过中脑多巴胺能神经元中的 VMAT2 和囊泡动力学调节 DA 稳态，强调增强 DA 隔离是一种有前途的 PD 治疗策略。</w:t>
      </w:r>
    </w:p>
    <w:p>
      <w:pPr>
        <w:spacing w:before="120"/>
      </w:pPr>
      <w:r>
        <w:rPr>
          <w:rFonts w:ascii="Times New Roman" w:hAnsi="Times New Roman" w:eastAsia="宋体"/>
          <w:b/>
          <w:sz w:val="21"/>
        </w:rPr>
        <w:t>English Abstract:</w:t>
      </w:r>
    </w:p>
    <w:p>
      <w:r>
        <w:rPr>
          <w:rFonts w:ascii="Times New Roman" w:hAnsi="Times New Roman" w:eastAsia="宋体"/>
          <w:sz w:val="21"/>
        </w:rPr>
        <w:t>Parkinson’s disease (PD) is characterized by α-synuclein accumulation and dopaminergic neuron degeneration, with dopamine (DA) oxidation emerging as a key pathological driver. However, the mechanisms underlying this neurotoxic process remain unclear. Using PD patient-derived and CRISPR-engineered induced pluripotent stem cell midbrain dopaminergic neurons lacking DJ-1, we identified defective sequestration of cytosolic DA into synaptic vesicles, which culminated in DA oxidation and α-synuclein pathology. In-depth proteomics, state-of-the-art imaging, and ultrasensitive DA probes uncovered that decreased vesicular monoamine transporter 2 (VMAT2) protein and function impaired vesicular DA uptake, resulting in reduced vesicle availability and abnormal vesicle morphology. Furthermore, VMAT2 activity and vesicle endocytosis are processes dependent on adenosine 5′-triphosphate (ATP), which is notably reduced in DJ-1–deficient dopaminergic neurons. ATP supplementation restored vesicular function and alleviated DA-related pathologies in mutant dopaminergic neurons. This study reveals an ATP-sensitive mechanism that regulates DA homeostasis through VMAT2 and vesicle dynamics in midbrain dopaminergic neurons, highlighting enhanced DA sequestration as a promising therapeutic strategy for PD.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通过主动采样光子纠缠态进行实验量子态认证</w:t>
      </w:r>
    </w:p>
    <w:p>
      <w:r>
        <w:rPr>
          <w:rFonts w:ascii="Times New Roman" w:hAnsi="Times New Roman" w:eastAsia="宋体"/>
          <w:b/>
          <w:color w:val="003264"/>
          <w:sz w:val="24"/>
        </w:rPr>
        <w:t>Experimental quantum state certification by actively sampling photonic entangled states</w:t>
      </w:r>
    </w:p>
    <w:p>
      <w:r>
        <w:rPr>
          <w:rFonts w:ascii="Times New Roman" w:hAnsi="Times New Roman" w:eastAsia="宋体"/>
          <w:sz w:val="21"/>
        </w:rPr>
        <w:t>作者: Michael Antesberger, Mariana M. E. Schmid, Huan Cao, Borivoje Dakić, Lee A. Rozema, Philip Walther</w:t>
        <w:br/>
      </w:r>
      <w:r>
        <w:rPr>
          <w:rFonts w:ascii="Times New Roman" w:hAnsi="Times New Roman" w:eastAsia="宋体"/>
          <w:sz w:val="21"/>
        </w:rPr>
        <w:t xml:space="preserve">时间: 2026-02-13 | </w:t>
      </w:r>
      <w:r>
        <w:t xml:space="preserve">链接: </w:t>
      </w:r>
      <w:hyperlink r:id="rId92">
        <w:r>
          <w:rPr>
            <w:rFonts w:ascii="Times New Roman" w:hAnsi="Times New Roman" w:eastAsia="宋体"/>
            <w:color w:val="0000FF"/>
            <w:sz w:val="21"/>
            <w:u w:val="single"/>
          </w:rPr>
          <w:t>https://doi.org/10.1126/sciadv.aea4144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纠缠量子态是许多量子技术的重要组成部分，但在使用之前必须对其进行验证。由于完整的表征需要大量资源，因此最近的工作重点是开发在所谓的验证框架中有效提取一些感兴趣参数的方法。大多数现有方法都是基于准备名义上相同且独立分布（IID）量子态的系综，然后测量该系综的每个副本。然而，这不会为预期的量子任务留下任何状态，并且 IID 假设在实验上并不总是成立。为了克服这些挑战，我们通过实验实现了量子态认证（QSC），它仅测量整体的一个子集，证明其余状态的多个副本的保真度。我们使用有源光开关从双光子贝尔态和三光子 GHZ（格林伯格-霍恩-蔡林格）态源中随机采样，实时报告统计声音保真度，而不会破坏整个整体。此外，我们的 QSC 协议消除了状态相同分布的假设（但仍然假设独立副本）；可以在测量的状态数量 N 中实现接近 N −1 的缩放；并且可以以与设备无关的方式实现。总之，这些优势使我们的 QSC 协议适合对大规模量子计算设备进行基准测试，并在标准和对抗情况下依赖于纠缠来部署量子通信设置。</w:t>
      </w:r>
    </w:p>
    <w:p>
      <w:pPr>
        <w:spacing w:before="120"/>
      </w:pPr>
      <w:r>
        <w:rPr>
          <w:rFonts w:ascii="Times New Roman" w:hAnsi="Times New Roman" w:eastAsia="宋体"/>
          <w:b/>
          <w:sz w:val="21"/>
        </w:rPr>
        <w:t>English Abstract:</w:t>
      </w:r>
    </w:p>
    <w:p>
      <w:r>
        <w:rPr>
          <w:rFonts w:ascii="Times New Roman" w:hAnsi="Times New Roman" w:eastAsia="宋体"/>
          <w:sz w:val="21"/>
        </w:rPr>
        <w:t>Entangled quantum states are essential ingredients for many quantum technologies, but they must be validated before they are used. As a full characterization is prohibitively resource intensive, recent work has focused on developing methods to efficiently extract a few parameters of interest, in a so-called verification framework. Most existing approaches are based on preparing an ensemble of nominally identical and independently distributed (IID) quantum states and then measuring each copy of the ensemble. However, this leaves no states left for the intended quantum tasks and the IID assumptions do not always hold experimentally. To overcome these challenges, we experimentally implement quantum state certification (QSC), which measures only a subset of the ensemble, certifying the fidelity of multiple copies of the remaining states. We use active optical switches to randomly sample from sources of two-photon Bell states and three-photon GHZ (Greenberger-Horn-Zeilinger) states, reporting statistically sound fidelities in real time without destroying the entire ensemble. In addition, our QSC protocol removes the assumption that the states are identically distributed (but still assumes independent copies); can achieve close N −1 scaling, in the number of states measured N ; and can be implemented in a device-independent manner. Together, these benefits make our QSC protocol suitable for benchmarking large-scale quantum computing devices and deployed quantum communication setups relying on entanglement in both standard and adversarial situations.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揭示植物叶绿体光合膜蛋白质景观的设计原理</w:t>
      </w:r>
    </w:p>
    <w:p>
      <w:r>
        <w:rPr>
          <w:rFonts w:ascii="Times New Roman" w:hAnsi="Times New Roman" w:eastAsia="宋体"/>
          <w:b/>
          <w:color w:val="003264"/>
          <w:sz w:val="24"/>
        </w:rPr>
        <w:t>Unraveling design principles of protein landscapes in photosynthetic membranes in plant chloroplasts</w:t>
      </w:r>
    </w:p>
    <w:p>
      <w:r>
        <w:rPr>
          <w:rFonts w:ascii="Times New Roman" w:hAnsi="Times New Roman" w:eastAsia="宋体"/>
          <w:sz w:val="21"/>
        </w:rPr>
        <w:t>作者: Ashraf Mohamed, Yuval Garty, Hui Min Olivia Oung, Sujith Puthiyaveetil, Kajwal K. Patra, Andrea Tagliabue, Steven Lenhert, Dana Charuvi, Reinat Nevo, Helmut Kirchhoff, Doran I. G. B. Raccah</w:t>
        <w:br/>
      </w:r>
      <w:r>
        <w:rPr>
          <w:rFonts w:ascii="Times New Roman" w:hAnsi="Times New Roman" w:eastAsia="宋体"/>
          <w:sz w:val="21"/>
        </w:rPr>
        <w:t xml:space="preserve">时间: 2026-02-13 | </w:t>
      </w:r>
      <w:r>
        <w:t xml:space="preserve">链接: </w:t>
      </w:r>
      <w:hyperlink r:id="rId93">
        <w:r>
          <w:rPr>
            <w:rFonts w:ascii="Times New Roman" w:hAnsi="Times New Roman" w:eastAsia="宋体"/>
            <w:color w:val="0000FF"/>
            <w:sz w:val="21"/>
            <w:u w:val="single"/>
          </w:rPr>
          <w:t>https://doi.org/10.1126/sciadv.aeb2410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合膜内蛋白质的超分子组织对于植物的能量转换至关重要。在这里，我们介绍了一个分析和计算管道，它集成了高分辨率冷冻扫描电子显微镜、生化定量、先进的蒙特卡罗计算机模拟和统计方法，以阐明完整拟南芥叶子中基粒膜难以捉摸的蛋白质景观。我们的综合分析挑战了一种普遍观点，即冷冻断裂样品中外质断裂面上的颗粒仅代表光系统 II。相反，这些颗粒还包含细胞色素b 6 f 复合物。此外，我们的空间冲突分析表明，除了较小的复合物（C 2 ）之外，堆叠膜还包含较大的 PSII 超复合物（C 2 S 2 M 2 和 C 2 S 2 ）的混合物。这表明体内 PSII 超复合物以不同大小的平衡分布存在。此外，我们发现，虽然尺寸排阻效应控制着整体蛋白质排列，但局部堆积表现出指示横向吸引力蛋白质-蛋白质相互作用的方向顺序。</w:t>
      </w:r>
    </w:p>
    <w:p>
      <w:pPr>
        <w:spacing w:before="120"/>
      </w:pPr>
      <w:r>
        <w:rPr>
          <w:rFonts w:ascii="Times New Roman" w:hAnsi="Times New Roman" w:eastAsia="宋体"/>
          <w:b/>
          <w:sz w:val="21"/>
        </w:rPr>
        <w:t>English Abstract:</w:t>
      </w:r>
    </w:p>
    <w:p>
      <w:r>
        <w:rPr>
          <w:rFonts w:ascii="Times New Roman" w:hAnsi="Times New Roman" w:eastAsia="宋体"/>
          <w:sz w:val="21"/>
        </w:rPr>
        <w:t>The supramolecular organization of proteins within photosynthetic membranes is crucial for energy conversion in plants. Here, we introduce an analytical and computational pipeline that integrates high-resolution cryo–scanning electron microscopy, biochemical quantification, advanced Monte Carlo computer simulations, and statistical methods to elucidate the elusive protein landscapes of grana membranes in intact Arabidopsis leaves. Our integrated analysis challenges the prevailing view that particles on the exoplasmic fracture faces in freeze-fracture samples represent photosystem II exclusively. Instead, these particles also include cytochrome b 6 f complexes. Furthermore, our steric clash analysis demonstrates that stacked membranes contain a mixture of larger PSII supercomplexes (C 2 S 2 M 2 and C 2 S 2 ) in addition to a smaller complex (C 2 ). This suggests that in vivo PSII supercomplexes exist in an equilibrium distribution of differing sizes. Furthermore, we discovered that, although size exclusion effects govern the global protein arrangement, local packing exhibits orientational order indicative of lateral attractive protein-protein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液晶弹性体的机器人保形 4D 打印</w:t>
      </w:r>
    </w:p>
    <w:p>
      <w:r>
        <w:rPr>
          <w:rFonts w:ascii="Times New Roman" w:hAnsi="Times New Roman" w:eastAsia="宋体"/>
          <w:b/>
          <w:color w:val="003264"/>
          <w:sz w:val="24"/>
        </w:rPr>
        <w:t>Robotic conformal 4D printing of liquid crystal elastomers</w:t>
      </w:r>
    </w:p>
    <w:p>
      <w:r>
        <w:rPr>
          <w:rFonts w:ascii="Times New Roman" w:hAnsi="Times New Roman" w:eastAsia="宋体"/>
          <w:sz w:val="21"/>
        </w:rPr>
        <w:t>作者: Christopher Chung, Huan Jiang, Alston X. Gracego, Martin L. Dunn, Kai Yu</w:t>
        <w:br/>
      </w:r>
      <w:r>
        <w:rPr>
          <w:rFonts w:ascii="Times New Roman" w:hAnsi="Times New Roman" w:eastAsia="宋体"/>
          <w:sz w:val="21"/>
        </w:rPr>
        <w:t xml:space="preserve">时间: 2026-02-13 | </w:t>
      </w:r>
      <w:r>
        <w:t xml:space="preserve">链接: </w:t>
      </w:r>
      <w:hyperlink r:id="rId94">
        <w:r>
          <w:rPr>
            <w:rFonts w:ascii="Times New Roman" w:hAnsi="Times New Roman" w:eastAsia="宋体"/>
            <w:color w:val="0000FF"/>
            <w:sz w:val="21"/>
            <w:u w:val="single"/>
          </w:rPr>
          <w:t>https://doi.org/10.1126/sciadv.aeb2417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液晶弹性体 (LCE) 的四维 (4D) 打印是一种很有前景的方法，可为软机器人、可部署系统和自适应表面等多种应用创建可逆形状变化的结构。编程这些形状变换的核心是微米级液晶介晶的空间排列。现有的 LCE 4D 打印方法受到 2D 平面内介晶排列的限制，从而限制了可实现的变形范围。这项工作提出了一种机器人直接墨水书写保形 4D 打印技术，能够将 LCE 沉积到复杂的非平面 3D 基材上。开发了一种算法来生成打印路径、点法线和控制代码以引导六轴机械臂的运动。在具有不同印刷路径的各种表面上演示了保形印刷，并研究了由此产生的形状变化行为，以突出未锁定的设计空间。与 3D 扫描的集成进一步允许打印到具有未知几何形状的基材上，例如鸡蛋表面，从而能够应用于按需保护涂层和结构修复。</w:t>
      </w:r>
    </w:p>
    <w:p>
      <w:pPr>
        <w:spacing w:before="120"/>
      </w:pPr>
      <w:r>
        <w:rPr>
          <w:rFonts w:ascii="Times New Roman" w:hAnsi="Times New Roman" w:eastAsia="宋体"/>
          <w:b/>
          <w:sz w:val="21"/>
        </w:rPr>
        <w:t>English Abstract:</w:t>
      </w:r>
    </w:p>
    <w:p>
      <w:r>
        <w:rPr>
          <w:rFonts w:ascii="Times New Roman" w:hAnsi="Times New Roman" w:eastAsia="宋体"/>
          <w:sz w:val="21"/>
        </w:rPr>
        <w:t>Four-dimensional (4D) printing of liquid crystal elastomers (LCEs) serves as a promising approach to create reversibly shape-changing structures for diverse applications, including soft robotics, deployable systems, and adaptive surfaces. Central to programming these shape transformations is the spatial alignment of microscale liquid crystal mesogens. Existing 4D printing methods for LCEs are constrained by the alignment of mesogens within 2D planes, thereby limiting the range of achievable deformation. This work presents a robotic direct-ink-writing conformal 4D printing technology that enables deposition of LCEs onto complex, nonplanar 3D substrates. An algorithm is developed to generate printing paths, point normals, and control codes to guide the motion of a six-axis robotic arm. Conformal printing is demonstrated on various surfaces with different printing paths, and the resulting shape-changing behaviors are studied to highlight the unlocked design space. Integration with 3D scanning further allows printing onto substrates with unknown geometries, such as egg surfaces, which enables applications in on-demand protective coatings and structural repair.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深海鱼类揭示了脊椎动物视觉的另一种发育轨迹</w:t>
      </w:r>
    </w:p>
    <w:p>
      <w:r>
        <w:rPr>
          <w:rFonts w:ascii="Times New Roman" w:hAnsi="Times New Roman" w:eastAsia="宋体"/>
          <w:b/>
          <w:color w:val="003264"/>
          <w:sz w:val="24"/>
        </w:rPr>
        <w:t>Deep-sea fish reveal an alternative developmental trajectory for vertebrate vision</w:t>
      </w:r>
    </w:p>
    <w:p>
      <w:r>
        <w:rPr>
          <w:rFonts w:ascii="Times New Roman" w:hAnsi="Times New Roman" w:eastAsia="宋体"/>
          <w:sz w:val="21"/>
        </w:rPr>
        <w:t>作者: Lily G. Fogg, Stamatina Isari, Jonathan E. Barnes, Jagdish Suresh Patel, N. Marshall, Walter Salzburger, Fanny de Busserolles, Fabio Cortesi</w:t>
        <w:br/>
      </w:r>
      <w:r>
        <w:rPr>
          <w:rFonts w:ascii="Times New Roman" w:hAnsi="Times New Roman" w:eastAsia="宋体"/>
          <w:sz w:val="21"/>
        </w:rPr>
        <w:t xml:space="preserve">时间: 2026-02-13 | </w:t>
      </w:r>
      <w:r>
        <w:t xml:space="preserve">链接: </w:t>
      </w:r>
      <w:hyperlink r:id="rId95">
        <w:r>
          <w:rPr>
            <w:rFonts w:ascii="Times New Roman" w:hAnsi="Times New Roman" w:eastAsia="宋体"/>
            <w:color w:val="0000FF"/>
            <w:sz w:val="21"/>
            <w:u w:val="single"/>
          </w:rPr>
          <w:t>https://doi.org/10.1126/sciadv.adx2596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脊椎动物的视觉依赖于两种感光器类型：用于亮光的视锥细胞和用于暗光的视杆细胞。目前的教条是，脊椎动物首先发育出视锥细胞为主的视网膜，然后再发育出视杆细胞。在这里，我们发现深海鱼类幼体具有“混合”光感受器，在杆状细胞中表达视锥细胞特异性基因。通过发育，它们要么保留这些杆状锥体（在Maurolicus mucronatus中），要么转变为表达杆状特异性基因和转录因子的真正杆状体（在Vinciguerria mabahiss和Benthosema pterotum中）。与大多数栖息在明亮水域的海洋鱼类幼虫不同，深海鱼类幼虫生活在更深、更昏暗的环境中。通过将杆状形态与锥状分子机械相结合，混合光感受器可能会在这种条件下最大限度地提高视觉性能。一致地，光谱最大值预测和环境光估计建议在整个生命周期中适应普遍的光环境。我们的研究结果为脊椎动物视觉的另一种发育轨迹的进化提供了分子、形态学和功能证据。</w:t>
      </w:r>
    </w:p>
    <w:p>
      <w:pPr>
        <w:spacing w:before="120"/>
      </w:pPr>
      <w:r>
        <w:rPr>
          <w:rFonts w:ascii="Times New Roman" w:hAnsi="Times New Roman" w:eastAsia="宋体"/>
          <w:b/>
          <w:sz w:val="21"/>
        </w:rPr>
        <w:t>English Abstract:</w:t>
      </w:r>
    </w:p>
    <w:p>
      <w:r>
        <w:rPr>
          <w:rFonts w:ascii="Times New Roman" w:hAnsi="Times New Roman" w:eastAsia="宋体"/>
          <w:sz w:val="21"/>
        </w:rPr>
        <w:t>Vertebrate vision relies on two photoreceptor types: cones for bright light and rods for dim light. The current dogma is that vertebrates develop cone-dominated retinas first, adding rods later. Here we show that larval deep-sea fishes have “hybrid” photoreceptors, expressing cone-specific genes in rod-like cells. Through development, they either retain these rod-like cones (in Maurolicus mucronatus ) or transition to true rods expressing rod-specific genes and transcription factors (in Vinciguerria mabahiss and Benthosema pterotum ). Unlike most marine fish larvae, which inhabit brightly lit waters, deep-sea fish larvae experience deeper and dimmer environments. By combining rod-like morphology with cone-like molecular machinery, hybrid photoreceptors likely maximize visual performance under such conditions. Consistently, spectral maxima predictions and environmental light estimations suggest tuning to the prevailing light environment throughout life. Our findings provide molecular, morphological, and functional evidence for the evolution of an alternative developmental trajectory for vertebrate vision.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通过非相干光的数据混响实现非线性光学极限学习器</w:t>
      </w:r>
    </w:p>
    <w:p>
      <w:r>
        <w:rPr>
          <w:rFonts w:ascii="Times New Roman" w:hAnsi="Times New Roman" w:eastAsia="宋体"/>
          <w:b/>
          <w:color w:val="003264"/>
          <w:sz w:val="24"/>
        </w:rPr>
        <w:t>Nonlinear optical extreme learner via data reverberation with incoherent light</w:t>
      </w:r>
    </w:p>
    <w:p>
      <w:r>
        <w:rPr>
          <w:rFonts w:ascii="Times New Roman" w:hAnsi="Times New Roman" w:eastAsia="宋体"/>
          <w:sz w:val="21"/>
        </w:rPr>
        <w:t>作者: Bofeng Liu, Xu Mei, Sadman Shafi, Tunan Xia, Iam-Choon Khoo, Zhiwen Liu, Xingjie Ni</w:t>
        <w:br/>
      </w:r>
      <w:r>
        <w:rPr>
          <w:rFonts w:ascii="Times New Roman" w:hAnsi="Times New Roman" w:eastAsia="宋体"/>
          <w:sz w:val="21"/>
        </w:rPr>
        <w:t xml:space="preserve">时间: 2026-02-13 | </w:t>
      </w:r>
      <w:r>
        <w:t xml:space="preserve">链接: </w:t>
      </w:r>
      <w:hyperlink r:id="rId96">
        <w:r>
          <w:rPr>
            <w:rFonts w:ascii="Times New Roman" w:hAnsi="Times New Roman" w:eastAsia="宋体"/>
            <w:color w:val="0000FF"/>
            <w:sz w:val="21"/>
            <w:u w:val="single"/>
          </w:rPr>
          <w:t>https://doi.org/10.1126/sciadv.aeb4237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神经网络彻底改变了从计算机视觉到自然语言处理的领域，但其不断增长的能量和计算需求威胁着未来的进步。光神经网络有望提供更高的速度、带宽和能源效率，但其光学非线性较弱。在这里，我们演示了一种低功率、非相干光兼容的光学极限学习器，它利用光学图案混响的“数据非线性”，消除了对固有非线性材料的依赖。通过在定制光学腔的空间偏振分布中对输入数据进行编码并允许光多次通过它，我们以极低的光功率实现了非线性变换。加上简单的可训练读数，我们的光学学习器在标准图像分类任务和 XOR 基准测试中始终优于线性数字网络，提供与完全非线性数字模型相匹配的精度。我们紧凑、节能的方法大大降低了复杂性、成本和能耗，为实用、可扩展的全光学机器学习平台铺平了道路。</w:t>
      </w:r>
    </w:p>
    <w:p>
      <w:pPr>
        <w:spacing w:before="120"/>
      </w:pPr>
      <w:r>
        <w:rPr>
          <w:rFonts w:ascii="Times New Roman" w:hAnsi="Times New Roman" w:eastAsia="宋体"/>
          <w:b/>
          <w:sz w:val="21"/>
        </w:rPr>
        <w:t>English Abstract:</w:t>
      </w:r>
    </w:p>
    <w:p>
      <w:r>
        <w:rPr>
          <w:rFonts w:ascii="Times New Roman" w:hAnsi="Times New Roman" w:eastAsia="宋体"/>
          <w:sz w:val="21"/>
        </w:rPr>
        <w:t>Artificial neural networks have revolutionized fields from computer vision to natural language processing, yet their growing energy and computational demands threaten future progress. Optical neural networks promise greater speed, bandwidth, and energy efficiency but suffer from weak optical nonlinearities. Here, we demonstrate a low-power, incoherent-light-compatible optical extreme learner that leverages “data nonlinearity” from optical pattern reverberations, eliminating reliance on intrinsic nonlinear materials. By encoding input data in the spatial polarization distribution of a tailored optical cavity and allowing light to pass through it multiple times, we achieve nonlinear transformations at extremely low optical power. Coupled with a simple trainable readout, our optical learner consistently outperforms linear digital networks in standard image classification tasks and XOR benchmarks, delivering accuracy matching fully nonlinear digital models. Our compact, energy-efficient approach substantially reduces complexity, cost, and energy consumption, paving the way for practical, scalable all-optical machine learning platforms.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灵长类动物灵巧的手部运动是由功能不同的前运动神经系统控制的</w:t>
      </w:r>
    </w:p>
    <w:p>
      <w:r>
        <w:rPr>
          <w:rFonts w:ascii="Times New Roman" w:hAnsi="Times New Roman" w:eastAsia="宋体"/>
          <w:b/>
          <w:color w:val="003264"/>
          <w:sz w:val="24"/>
        </w:rPr>
        <w:t>Primate dexterous hand movements are controlled by functionally distinct premotoneuronal systems</w:t>
      </w:r>
    </w:p>
    <w:p>
      <w:r>
        <w:rPr>
          <w:rFonts w:ascii="Times New Roman" w:hAnsi="Times New Roman" w:eastAsia="宋体"/>
          <w:sz w:val="21"/>
        </w:rPr>
        <w:t>作者: Tomohiko Takei, Tomomichi Oya, Kazuhiko Seki</w:t>
        <w:br/>
      </w:r>
      <w:r>
        <w:rPr>
          <w:rFonts w:ascii="Times New Roman" w:hAnsi="Times New Roman" w:eastAsia="宋体"/>
          <w:sz w:val="21"/>
        </w:rPr>
        <w:t xml:space="preserve">时间: 2026-02-13 | </w:t>
      </w:r>
      <w:r>
        <w:t xml:space="preserve">链接: </w:t>
      </w:r>
      <w:hyperlink r:id="rId97">
        <w:r>
          <w:rPr>
            <w:rFonts w:ascii="Times New Roman" w:hAnsi="Times New Roman" w:eastAsia="宋体"/>
            <w:color w:val="0000FF"/>
            <w:sz w:val="21"/>
            <w:u w:val="single"/>
          </w:rPr>
          <w:t>https://doi.org/10.1126/sciadv.aea1184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灵巧的手部动作是灵长类动物所特有的，对于它们的日常活动来说是不可或缺的。传统上，它们被认为主要依赖于进化上“更新的”直接皮质运动神经元（CM）途径。然而，最近的研究表明，由脊髓前运动中间神经元（PreM-IN）介导的“较古老”的间接皮质脊髓通路也有贡献，这凸显了澄清其功能差异的必要性。在这里，我们记录了猕猴在精确握力任务期间 PreM-IN 和 CM 细胞的神经元活动，以比较它们在产生手部肌肉活动中的作用。我们的结果表明，PreM-IN 在更广泛的肌肉中发挥更强的促进作用，促进协同共激活，而 CM 细胞提供更具选择性的促进作用，从而能够控制相对单个的肌肉。分解分析进一步表明，这些系统对应于不同的控制模式——基于协同的控制和基于个体的控制——平衡稳定性和灵活性。这些发现重新定义了我们对灵长类灵巧手控制的理解，认为它是从进化上不同的前运动神经系统的合作整合中产生的。</w:t>
      </w:r>
    </w:p>
    <w:p>
      <w:pPr>
        <w:spacing w:before="120"/>
      </w:pPr>
      <w:r>
        <w:rPr>
          <w:rFonts w:ascii="Times New Roman" w:hAnsi="Times New Roman" w:eastAsia="宋体"/>
          <w:b/>
          <w:sz w:val="21"/>
        </w:rPr>
        <w:t>English Abstract:</w:t>
      </w:r>
    </w:p>
    <w:p>
      <w:r>
        <w:rPr>
          <w:rFonts w:ascii="Times New Roman" w:hAnsi="Times New Roman" w:eastAsia="宋体"/>
          <w:sz w:val="21"/>
        </w:rPr>
        <w:t>Dexterous hand movements are uniquely developed in primates and indispensable for their daily activities. Traditionally, they were thought to depend primarily on the evolutionarily “newer” direct corticomotoneuronal (CM) pathway. However, recent studies suggest that the “older” indirect corticospinal pathways, mediated by spinal premotor interneurons (PreM-INs), also contribute, highlighting the need to clarify their functional differences. Here, we recorded neuronal activity from PreM-INs and CM cells in macaques during a precision grip task to compare their roles in generating hand muscle activity. Our results show that PreM-INs exert stronger facilitation across a broader set of muscles, promoting synergistic coactivation, whereas CM cells provide more selective facilitation, enabling control of relatively individual muscles. Decomposition analysis further revealed that these systems correspond to different control modes—synergy-based and individual-based control—balancing stability and flexibility. These findings redefine our understanding of primate dexterous hand control as emerging from the cooperative integration of evolutionarily distinct premotoneuronal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宽带隙半导体 Ga 2 O 3 具有鲁棒的室温铁电性</w:t>
      </w:r>
    </w:p>
    <w:p>
      <w:r>
        <w:rPr>
          <w:rFonts w:ascii="Times New Roman" w:hAnsi="Times New Roman" w:eastAsia="宋体"/>
          <w:b/>
          <w:color w:val="003264"/>
          <w:sz w:val="24"/>
        </w:rPr>
        <w:t>Robust room-temperature ferroelectricity in the wide-bandgap semiconductor Ga 2 O 3</w:t>
      </w:r>
    </w:p>
    <w:p>
      <w:r>
        <w:rPr>
          <w:rFonts w:ascii="Times New Roman" w:hAnsi="Times New Roman" w:eastAsia="宋体"/>
          <w:sz w:val="21"/>
        </w:rPr>
        <w:t>作者: Jiaying Shen, Weng Fu Io, Chang Liu, Yiyang Wen, Han Wu, Yilin Cao, Yongtao Yang, Dianmeng Dong, Fan Zhang, Songhua Cai, Wei Ren, Xianran Xing, Yang Zhang, Zhenping Wu, Jianhua Hao</w:t>
        <w:br/>
      </w:r>
      <w:r>
        <w:rPr>
          <w:rFonts w:ascii="Times New Roman" w:hAnsi="Times New Roman" w:eastAsia="宋体"/>
          <w:sz w:val="21"/>
        </w:rPr>
        <w:t xml:space="preserve">时间: 2026-02-13 | </w:t>
      </w:r>
      <w:r>
        <w:t xml:space="preserve">链接: </w:t>
      </w:r>
      <w:hyperlink r:id="rId98">
        <w:r>
          <w:rPr>
            <w:rFonts w:ascii="Times New Roman" w:hAnsi="Times New Roman" w:eastAsia="宋体"/>
            <w:color w:val="0000FF"/>
            <w:sz w:val="21"/>
            <w:u w:val="single"/>
          </w:rPr>
          <w:t>https://doi.org/10.1126/sciadv.aec5225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几十年来，宽带隙半导体和铁电材料之间的不兼容性从根本上阻碍了功率处理和非易失性存储器的集成。我们通过在外延亚稳态 κ-Ga 2 O 3 中展示强大的室温铁电性来解决这一挑战，该外延亚稳态 κ-Ga 2 O 3 通过工业兼容的金属有机化学气相沉积生长，从而创建了本质上铁电宽带隙半导体。通过系统表征，包括压电响应力显微镜、极化磁滞测量和正上负下测试，我们提供了通过独特的八面体-四面体变换稳定铁电切换至 5 纳米厚度（超出传统铁电极限）的结论性证据。铁电隧道结实现了超过10 5 的巨大隧道电阻。主流半导体中的这一基本发现挑战了传统材料范式，并实现了在统一平台上实现电源和存储功能的单片集成。</w:t>
      </w:r>
    </w:p>
    <w:p>
      <w:pPr>
        <w:spacing w:before="120"/>
      </w:pPr>
      <w:r>
        <w:rPr>
          <w:rFonts w:ascii="Times New Roman" w:hAnsi="Times New Roman" w:eastAsia="宋体"/>
          <w:b/>
          <w:sz w:val="21"/>
        </w:rPr>
        <w:t>English Abstract:</w:t>
      </w:r>
    </w:p>
    <w:p>
      <w:r>
        <w:rPr>
          <w:rFonts w:ascii="Times New Roman" w:hAnsi="Times New Roman" w:eastAsia="宋体"/>
          <w:sz w:val="21"/>
        </w:rPr>
        <w:t>For decades, the integration of power handling and nonvolatile memory has been fundamentally impeded by the incompatibility between wide-bandgap semiconductors and ferroelectric materials. We resolve this challenge by demonstrating robust room-temperature ferroelectricity in epitaxial metastable κ-Ga 2 O 3 , grown via industry-compatible metal-organic chemical vapor deposition, creating an intrinsically ferroelectric wide-bandgap semiconductor. Through systematic characterization including piezoresponse force microscopy, polarization hysteresis measurements, and positive up–negative down tests, we provide conclusive evidence of stable ferroelectric switching down to 5-nanometer thickness—exceeding conventional ferroelectric limits—via a unique octahedral-tetrahedral transformation. Ferroelectric tunnel junctions achieve giant tunneling electroresistance exceeding 10 5 . This fundamental discovery in a mainstream semiconductor challenges conventional materials paradigms and enables monolithic integration of power and memory functionalities on a unified platform.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来自光学相位梯度驱动胶体组件的可调谐 3D 光流体动力扭矩</w:t>
      </w:r>
    </w:p>
    <w:p>
      <w:r>
        <w:rPr>
          <w:rFonts w:ascii="Times New Roman" w:hAnsi="Times New Roman" w:eastAsia="宋体"/>
          <w:b/>
          <w:color w:val="003264"/>
          <w:sz w:val="24"/>
        </w:rPr>
        <w:t>Tunable 3D optohydrodynamic torques from optical phase gradient–driven colloidal assemblies</w:t>
      </w:r>
    </w:p>
    <w:p>
      <w:r>
        <w:rPr>
          <w:rFonts w:ascii="Times New Roman" w:hAnsi="Times New Roman" w:eastAsia="宋体"/>
          <w:sz w:val="21"/>
        </w:rPr>
        <w:t>作者: Xiao Li, Chenchen Liu, Zongpeng Huang, Jack Ng, Fan Nan</w:t>
        <w:br/>
      </w:r>
      <w:r>
        <w:rPr>
          <w:rFonts w:ascii="Times New Roman" w:hAnsi="Times New Roman" w:eastAsia="宋体"/>
          <w:sz w:val="21"/>
        </w:rPr>
        <w:t xml:space="preserve">时间: 2026-02-13 | </w:t>
      </w:r>
      <w:r>
        <w:t xml:space="preserve">链接: </w:t>
      </w:r>
      <w:hyperlink r:id="rId99">
        <w:r>
          <w:rPr>
            <w:rFonts w:ascii="Times New Roman" w:hAnsi="Times New Roman" w:eastAsia="宋体"/>
            <w:color w:val="0000FF"/>
            <w:sz w:val="21"/>
            <w:u w:val="single"/>
          </w:rPr>
          <w:t>https://doi.org/10.1126/sciadv.aec6957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流体动力学操纵为控制微观物体提供了一种多功能、非侵入性和可重构的方法。在这里，我们提出了一种通过相梯度驱动的纳米颗粒组件产生可调谐三维光流体动力扭矩的策略。使用可编程光学环形涡流（拉盖尔高斯光束），我们组装并旋转具有一定颗粒数量的胶体簇，其诱导的流体动力流对目标颗粒施加可切换的面内和面外扭矩。扭矩控制是通过两种机制实现的：(i) 反转圆偏振的旋向性以打破旋转对称性；(ii) 移动光学环涡旋并调制簇旋转速度。这些互补的控制提供了在任意方向上调节的稳健、高分辨率的扭矩。作为概念证明，我们演示了单个细胞的完整三维方向控制。该框架通过明确结合光驱动的颗粒间相互作用，极大地扩展了光流体动力学系统的能力，并为生物物理学、微型机器人和生物医学工程的高级应用奠定了基础。</w:t>
      </w:r>
    </w:p>
    <w:p>
      <w:pPr>
        <w:spacing w:before="120"/>
      </w:pPr>
      <w:r>
        <w:rPr>
          <w:rFonts w:ascii="Times New Roman" w:hAnsi="Times New Roman" w:eastAsia="宋体"/>
          <w:b/>
          <w:sz w:val="21"/>
        </w:rPr>
        <w:t>English Abstract:</w:t>
      </w:r>
    </w:p>
    <w:p>
      <w:r>
        <w:rPr>
          <w:rFonts w:ascii="Times New Roman" w:hAnsi="Times New Roman" w:eastAsia="宋体"/>
          <w:sz w:val="21"/>
        </w:rPr>
        <w:t>Optohydrodynamic manipulation offers a versatile, noninvasive, and reconfigurable approach for controlling microscopic objects. Here, we present a strategy for generating tunable three-dimensional optohydrodynamic torques through phase gradient–driven nanoparticle assemblies. Using programmable optical ring vortices (Laguerre-Gaussian beams), we assemble and rotate colloidal clusters with certain particle numbers, whose induced hydrodynamic flows apply switchable in-plane and out-of-plane torques on target particles. Torque control is achieved via two mechanisms: (i) reversing the handedness of circular polarization to break rotational symmetry and (ii) displacing optical ring vortices and modulating cluster rotation speed. These complementary controls provide robust, high-resolution torques tuned in arbitrary directions. As a proof of concept, we demonstrate full three-dimensional orientation control of a single cell. This framework greatly expands the capabilities of optohydrodynamic systems by explicitly incorporating light-driven interparticle interactions and establishes a foundation for advanced applications in biophysics, microrobotics, and biomedical engineering.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遗传遗产和最近两个古老谱系的杂交是世界上最稀有灵长类动物反弹的基础</w:t>
      </w:r>
    </w:p>
    <w:p>
      <w:r>
        <w:rPr>
          <w:rFonts w:ascii="Times New Roman" w:hAnsi="Times New Roman" w:eastAsia="宋体"/>
          <w:b/>
          <w:color w:val="003264"/>
          <w:sz w:val="24"/>
        </w:rPr>
        <w:t>Genetic legacy and recent cross of two ancient lineages underlie the rebound of the world’s rarest primate</w:t>
      </w:r>
    </w:p>
    <w:p>
      <w:r>
        <w:rPr>
          <w:rFonts w:ascii="Times New Roman" w:hAnsi="Times New Roman" w:eastAsia="宋体"/>
          <w:sz w:val="21"/>
        </w:rPr>
        <w:t>作者: Xian Hou, Shengkai Pan, Jiliang Xu, Li Hu, Weiming He, Xin Liu, Siying Huang, Zhongru Gu, Zhenzhen Lin, Yangkang Chen, Wei Li, Tao Luo, Xinrui Zhao, Qingyan Dai, Peng Cao, Feng Liu, Xiaotian Feng, Qiaomei Fu, Jiang Zhou, Jinliang Wang, Xiangjiang Zhan</w:t>
        <w:br/>
      </w:r>
      <w:r>
        <w:rPr>
          <w:rFonts w:ascii="Times New Roman" w:hAnsi="Times New Roman" w:eastAsia="宋体"/>
          <w:sz w:val="21"/>
        </w:rPr>
        <w:t xml:space="preserve">时间: 2026-02-13 | </w:t>
      </w:r>
      <w:r>
        <w:t xml:space="preserve">链接: </w:t>
      </w:r>
      <w:hyperlink r:id="rId100">
        <w:r>
          <w:rPr>
            <w:rFonts w:ascii="Times New Roman" w:hAnsi="Times New Roman" w:eastAsia="宋体"/>
            <w:color w:val="0000FF"/>
            <w:sz w:val="21"/>
            <w:u w:val="single"/>
          </w:rPr>
          <w:t>https://doi.org/10.1126/sciadv.adw3298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尽管最近发生了大规模灭绝，但仍有一些物种从濒临灭绝的边缘恢复过来，但人们对其内在机制知之甚少。海南长臂猿 (Nomascus hainanus) 出现了神秘的反弹，从 2003 年的约 13 只增加到目前的 42 只。利用通过系统建立的管道产生的 18 只长臂猿粪便样本和四个博物馆标本的可靠基因组数据，我们的分析表明，海南长臂猿的有效种群规模最小，遗传多样性较低，但出乎意料的是，迄今为止评估的受威胁灵长类动物中近亲繁殖和遗传负荷较低。这是由于千年扩张减轻了瓶颈效应和保持选择效率的高局部重组所致。值得注意的是，我们发现了两个神秘的谱系，它们最近的杂交导致了杂合性增加的新家族群体。我们的研究揭示了人口历史、基因组结构和行为调节在濒危物种恢复中的重要性，并强调了粪便基因组研究在保护生物学中的巨大潜力。</w:t>
      </w:r>
    </w:p>
    <w:p>
      <w:pPr>
        <w:spacing w:before="120"/>
      </w:pPr>
      <w:r>
        <w:rPr>
          <w:rFonts w:ascii="Times New Roman" w:hAnsi="Times New Roman" w:eastAsia="宋体"/>
          <w:b/>
          <w:sz w:val="21"/>
        </w:rPr>
        <w:t>English Abstract:</w:t>
      </w:r>
    </w:p>
    <w:p>
      <w:r>
        <w:rPr>
          <w:rFonts w:ascii="Times New Roman" w:hAnsi="Times New Roman" w:eastAsia="宋体"/>
          <w:sz w:val="21"/>
        </w:rPr>
        <w:t>Despite a recent mass extinction, a few species have bounced back from the brink, but little is known about their intrinsic mechanisms. Hainan gibbons ( Nomascus hainanus ) feature a mysterious rebound, from ~13 individuals in 2003 to 42 currently. Using reliable genomic data from the fecal samples of 18 gibbons, generated through a systematically established pipeline, and from four museum specimens, our analyses reveal that Hainan gibbons have the smallest effective population size and low genetic diversity but, unexpectedly, low inbreeding and genetic load among threatened primates assessed thus far. This results from a millennial expansion mitigating bottleneck effects and a high local recombination maintaining selection efficiency. Notably, we uncover two cryptic lineages, whose recent crosses led to new family groups with increased heterozygosity. Our study reveals the importance of demographic history, genome architecture, and behavioral regulation in the recovery of endangered species and highlights the great potential of fecal genomic research in conservation biology.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Methods</w:t>
      </w:r>
    </w:p>
    <w:p>
      <w:pPr>
        <w:jc w:val="center"/>
      </w:pPr>
      <w:r>
        <w:t>--- 更新: 06:30 ---</w:t>
      </w:r>
    </w:p>
    <w:p>
      <w:pPr>
        <w:pStyle w:val="Heading2"/>
      </w:pPr>
      <w:r/>
      <w:r>
        <w:rPr>
          <w:rFonts w:ascii="Times New Roman" w:hAnsi="Times New Roman" w:eastAsia="宋体"/>
          <w:b/>
          <w:color w:val="000000"/>
          <w:sz w:val="24"/>
        </w:rPr>
        <w:t>在科学出版中负责任地使用人工智能</w:t>
      </w:r>
    </w:p>
    <w:p>
      <w:r>
        <w:rPr>
          <w:rFonts w:ascii="Times New Roman" w:hAnsi="Times New Roman" w:eastAsia="宋体"/>
          <w:b/>
          <w:color w:val="003264"/>
          <w:sz w:val="24"/>
        </w:rPr>
        <w:t>Using AI responsibly in scientific publishing</w:t>
      </w:r>
    </w:p>
    <w:p>
      <w:r>
        <w:rPr>
          <w:rFonts w:ascii="Times New Roman" w:hAnsi="Times New Roman" w:eastAsia="宋体"/>
          <w:sz w:val="21"/>
        </w:rPr>
        <w:t>作者: Unknown</w:t>
        <w:br/>
      </w:r>
      <w:r>
        <w:rPr>
          <w:rFonts w:ascii="Times New Roman" w:hAnsi="Times New Roman" w:eastAsia="宋体"/>
          <w:sz w:val="21"/>
        </w:rPr>
        <w:t xml:space="preserve">时间: 2026-02-11 | </w:t>
      </w:r>
      <w:r>
        <w:t xml:space="preserve">链接: </w:t>
      </w:r>
      <w:hyperlink r:id="rId119">
        <w:r>
          <w:rPr>
            <w:rFonts w:ascii="Times New Roman" w:hAnsi="Times New Roman" w:eastAsia="宋体"/>
            <w:color w:val="0000FF"/>
            <w:sz w:val="21"/>
            <w:u w:val="single"/>
          </w:rPr>
          <w:t>https://doi.org/10.1038/s41592-026-03020-1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生成式人工智能技术正在对整个社会产生重大影响，科学出版也绝不能幸免。我们重点介绍有关使用生成人工智能的期刊政策，并讨论其在写作、同行评审和出版科学研究中负责任的使用。</w:t>
      </w:r>
    </w:p>
    <w:p>
      <w:pPr>
        <w:spacing w:before="120"/>
      </w:pPr>
      <w:r>
        <w:rPr>
          <w:rFonts w:ascii="Times New Roman" w:hAnsi="Times New Roman" w:eastAsia="宋体"/>
          <w:b/>
          <w:sz w:val="21"/>
        </w:rPr>
        <w:t>English Abstract:</w:t>
      </w:r>
    </w:p>
    <w:p>
      <w:r>
        <w:rPr>
          <w:rFonts w:ascii="Times New Roman" w:hAnsi="Times New Roman" w:eastAsia="宋体"/>
          <w:sz w:val="21"/>
        </w:rPr>
        <w:t>Generative AI technology is having substantial impacts across society, and scientific publishing is by no means immune. We highlight journal policies around the use of generative AI and discuss its responsible use in writing, peer reviewing and publishing scientific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小鼠胚胎大脑的长期成像</w:t>
      </w:r>
    </w:p>
    <w:p>
      <w:r>
        <w:rPr>
          <w:rFonts w:ascii="Times New Roman" w:hAnsi="Times New Roman" w:eastAsia="宋体"/>
          <w:b/>
          <w:color w:val="003264"/>
          <w:sz w:val="24"/>
        </w:rPr>
        <w:t>Long-term imaging in the embryonic mouse brain</w:t>
      </w:r>
    </w:p>
    <w:p>
      <w:r>
        <w:rPr>
          <w:rFonts w:ascii="Times New Roman" w:hAnsi="Times New Roman" w:eastAsia="宋体"/>
          <w:sz w:val="21"/>
        </w:rPr>
        <w:t>作者: Nina Vogt</w:t>
        <w:br/>
      </w:r>
      <w:r>
        <w:rPr>
          <w:rFonts w:ascii="Times New Roman" w:hAnsi="Times New Roman" w:eastAsia="宋体"/>
          <w:sz w:val="21"/>
        </w:rPr>
        <w:t xml:space="preserve">时间: 2026-02-11 | </w:t>
      </w:r>
      <w:r>
        <w:t xml:space="preserve">链接: </w:t>
      </w:r>
      <w:hyperlink r:id="rId120">
        <w:r>
          <w:rPr>
            <w:rFonts w:ascii="Times New Roman" w:hAnsi="Times New Roman" w:eastAsia="宋体"/>
            <w:color w:val="0000FF"/>
            <w:sz w:val="21"/>
            <w:u w:val="single"/>
          </w:rPr>
          <w:t>https://doi.org/10.1038/s41592-026-03012-1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06:30 ---</w:t>
      </w:r>
    </w:p>
    <w:p>
      <w:pPr>
        <w:pStyle w:val="Heading2"/>
      </w:pPr>
      <w:r/>
      <w:r>
        <w:rPr>
          <w:rFonts w:ascii="Times New Roman" w:hAnsi="Times New Roman" w:eastAsia="宋体"/>
          <w:b/>
          <w:color w:val="000000"/>
          <w:sz w:val="24"/>
        </w:rPr>
        <w:t>高效集成光量子存储器</w:t>
      </w:r>
    </w:p>
    <w:p>
      <w:r>
        <w:rPr>
          <w:rFonts w:ascii="Times New Roman" w:hAnsi="Times New Roman" w:eastAsia="宋体"/>
          <w:b/>
          <w:color w:val="003264"/>
          <w:sz w:val="24"/>
        </w:rPr>
        <w:t>Efficient integrated quantum memory for light</w:t>
      </w:r>
    </w:p>
    <w:p>
      <w:r>
        <w:rPr>
          <w:rFonts w:ascii="Times New Roman" w:hAnsi="Times New Roman" w:eastAsia="宋体"/>
          <w:sz w:val="21"/>
        </w:rPr>
        <w:t>作者: Ruo-Ran Meng, Pei-Xi Liu, Xiao Liu, Tian-Xiang Zhu, Peng-Jun Liang, Chao Zhang, Zhong-Yang Tang, Hong-Zhe Zhang, Jin-Ming Cui, Ming Jin, Zong-Quan Zhou, Chuan-Feng Li, Guang-Can Guo</w:t>
        <w:br/>
      </w:r>
      <w:r>
        <w:rPr>
          <w:rFonts w:ascii="Times New Roman" w:hAnsi="Times New Roman" w:eastAsia="宋体"/>
          <w:sz w:val="21"/>
        </w:rPr>
        <w:t xml:space="preserve">时间: 2026-02-11 | </w:t>
      </w:r>
      <w:r>
        <w:t xml:space="preserve">链接: </w:t>
      </w:r>
      <w:hyperlink r:id="rId121">
        <w:r>
          <w:rPr>
            <w:rFonts w:ascii="Times New Roman" w:hAnsi="Times New Roman" w:eastAsia="宋体"/>
            <w:color w:val="0000FF"/>
            <w:sz w:val="21"/>
            <w:u w:val="single"/>
          </w:rPr>
          <w:t>https://doi.org/10.1038/s41566-026-01845-y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演示了基于 151Eu3+:Y2SiO5 晶体与阻抗匹配光学腔耦合的集成量子存储器。对于弱相干脉冲和电信单光子，复用量子存储效率分别达到 80.3% 和 69.8%。</w:t>
      </w:r>
    </w:p>
    <w:p>
      <w:pPr>
        <w:spacing w:before="120"/>
      </w:pPr>
      <w:r>
        <w:rPr>
          <w:rFonts w:ascii="Times New Roman" w:hAnsi="Times New Roman" w:eastAsia="宋体"/>
          <w:b/>
          <w:sz w:val="21"/>
        </w:rPr>
        <w:t>English Abstract:</w:t>
      </w:r>
    </w:p>
    <w:p>
      <w:r>
        <w:rPr>
          <w:rFonts w:ascii="Times New Roman" w:hAnsi="Times New Roman" w:eastAsia="宋体"/>
          <w:sz w:val="21"/>
        </w:rPr>
        <w:t>Integrated quantum memories based on 151Eu3+:Y2SiO5 crystals coupled with impedance-matched optical cavities are demonstrated. Multiplexed quantum storage efficiencies of 80.3% and 69.8% are achieved for weak coherent pulses and telecom-heralded single photons, respectively.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06:31 ---</w:t>
      </w:r>
    </w:p>
    <w:p>
      <w:pPr>
        <w:pStyle w:val="Heading2"/>
      </w:pPr>
      <w:r/>
      <w:r>
        <w:rPr>
          <w:rFonts w:ascii="Times New Roman" w:hAnsi="Times New Roman" w:eastAsia="宋体"/>
          <w:b/>
          <w:color w:val="000000"/>
          <w:sz w:val="24"/>
        </w:rPr>
        <w:t>基于ε近零材料集成等离子体超表面的动态可调谐短波红外热发射器</w:t>
      </w:r>
    </w:p>
    <w:p>
      <w:r>
        <w:rPr>
          <w:rFonts w:ascii="Times New Roman" w:hAnsi="Times New Roman" w:eastAsia="宋体"/>
          <w:b/>
          <w:color w:val="003264"/>
          <w:sz w:val="24"/>
        </w:rPr>
        <w:t>Dynamically tunable SWIR thermal emitter based on epsilon-near-zero materials-integrated plasmonic metasurface</w:t>
      </w:r>
    </w:p>
    <w:p>
      <w:r>
        <w:rPr>
          <w:rFonts w:ascii="Times New Roman" w:hAnsi="Times New Roman" w:eastAsia="宋体"/>
          <w:sz w:val="21"/>
        </w:rPr>
        <w:t>作者: Xiujuan Zou, Peng Zhou, Lei Chen, Ruozhang Xing, Wei Zhou, Jing Chen</w:t>
        <w:br/>
      </w:r>
      <w:r>
        <w:rPr>
          <w:rFonts w:ascii="Times New Roman" w:hAnsi="Times New Roman" w:eastAsia="宋体"/>
          <w:sz w:val="21"/>
        </w:rPr>
        <w:t xml:space="preserve">时间: 2026-02-01 | </w:t>
      </w:r>
      <w:r>
        <w:t xml:space="preserve">链接: </w:t>
      </w:r>
      <w:hyperlink r:id="rId128">
        <w:r>
          <w:rPr>
            <w:rFonts w:ascii="Times New Roman" w:hAnsi="Times New Roman" w:eastAsia="宋体"/>
            <w:color w:val="0000FF"/>
            <w:sz w:val="21"/>
            <w:u w:val="single"/>
          </w:rPr>
          <w:t>https://doi.org/10.1016/j.optcom.2026.133013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基于非对称光纤马赫曾德干涉仪的高灵敏度液位传感器</w:t>
      </w:r>
    </w:p>
    <w:p>
      <w:r>
        <w:rPr>
          <w:rFonts w:ascii="Times New Roman" w:hAnsi="Times New Roman" w:eastAsia="宋体"/>
          <w:b/>
          <w:color w:val="003264"/>
          <w:sz w:val="24"/>
        </w:rPr>
        <w:t>High Sensitivity Liquid Level Sensor Based On Asymmetric Fiber Mach-Zehnder Interferometer</w:t>
      </w:r>
    </w:p>
    <w:p>
      <w:r>
        <w:rPr>
          <w:rFonts w:ascii="Times New Roman" w:hAnsi="Times New Roman" w:eastAsia="宋体"/>
          <w:sz w:val="21"/>
        </w:rPr>
        <w:t>作者: Jialong Luo, Jiyuan Cai, Zhuorui Wei, Zhichao Hu, Weichun Chen, Chunhua Tan, Faqiang Wang, Hongyun Meng</w:t>
        <w:br/>
      </w:r>
      <w:r>
        <w:rPr>
          <w:rFonts w:ascii="Times New Roman" w:hAnsi="Times New Roman" w:eastAsia="宋体"/>
          <w:sz w:val="21"/>
        </w:rPr>
        <w:t xml:space="preserve">时间: 2026-02-01 | </w:t>
      </w:r>
      <w:r>
        <w:t xml:space="preserve">链接: </w:t>
      </w:r>
      <w:hyperlink r:id="rId163">
        <w:r>
          <w:rPr>
            <w:rFonts w:ascii="Times New Roman" w:hAnsi="Times New Roman" w:eastAsia="宋体"/>
            <w:color w:val="0000FF"/>
            <w:sz w:val="21"/>
            <w:u w:val="single"/>
          </w:rPr>
          <w:t>https://doi.org/10.1016/j.optcom.2026.133009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编委会</w:t>
      </w:r>
    </w:p>
    <w:p>
      <w:r>
        <w:rPr>
          <w:rFonts w:ascii="Times New Roman" w:hAnsi="Times New Roman" w:eastAsia="宋体"/>
          <w:b/>
          <w:color w:val="003264"/>
          <w:sz w:val="24"/>
        </w:rPr>
        <w:t>Editorial Board</w:t>
      </w:r>
    </w:p>
    <w:p>
      <w:r>
        <w:rPr>
          <w:rFonts w:ascii="Times New Roman" w:hAnsi="Times New Roman" w:eastAsia="宋体"/>
          <w:sz w:val="21"/>
        </w:rPr>
        <w:t>作者: Unknown</w:t>
        <w:br/>
      </w:r>
      <w:r>
        <w:rPr>
          <w:rFonts w:ascii="Times New Roman" w:hAnsi="Times New Roman" w:eastAsia="宋体"/>
          <w:sz w:val="21"/>
        </w:rPr>
        <w:t xml:space="preserve">时间: 2026-06-01 | </w:t>
      </w:r>
      <w:r>
        <w:t xml:space="preserve">链接: </w:t>
      </w:r>
      <w:hyperlink r:id="rId164">
        <w:r>
          <w:rPr>
            <w:rFonts w:ascii="Times New Roman" w:hAnsi="Times New Roman" w:eastAsia="宋体"/>
            <w:color w:val="0000FF"/>
            <w:sz w:val="21"/>
            <w:u w:val="single"/>
          </w:rPr>
          <w:t>https://doi.org/10.1016/s0030-4018(26)00094-5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06:31 ---</w:t>
      </w:r>
    </w:p>
    <w:p>
      <w:pPr>
        <w:pStyle w:val="Heading2"/>
      </w:pPr>
      <w:r/>
      <w:r>
        <w:rPr>
          <w:rFonts w:ascii="Times New Roman" w:hAnsi="Times New Roman" w:eastAsia="宋体"/>
          <w:b/>
          <w:color w:val="000000"/>
          <w:sz w:val="24"/>
        </w:rPr>
        <w:t>基于掺镱光纤激光器的宽带长波红外产生</w:t>
      </w:r>
    </w:p>
    <w:p>
      <w:r>
        <w:rPr>
          <w:rFonts w:ascii="Times New Roman" w:hAnsi="Times New Roman" w:eastAsia="宋体"/>
          <w:b/>
          <w:color w:val="003264"/>
          <w:sz w:val="24"/>
        </w:rPr>
        <w:t>Broadband LWIR generation based on a Yb-doped fiber laser</w:t>
      </w:r>
    </w:p>
    <w:p>
      <w:r>
        <w:rPr>
          <w:rFonts w:ascii="Times New Roman" w:hAnsi="Times New Roman" w:eastAsia="宋体"/>
          <w:sz w:val="21"/>
        </w:rPr>
        <w:t>作者: Xiong Qin, Chenhao Sun, Daping Luo, Xinyin Yang, Zejiang Deng, Gehui Xie, Jintao Fan, Zhiwei Zhu, Chenglin Gu, Wenxue Li</w:t>
        <w:br/>
      </w:r>
      <w:r>
        <w:rPr>
          <w:rFonts w:ascii="Times New Roman" w:hAnsi="Times New Roman" w:eastAsia="宋体"/>
          <w:sz w:val="21"/>
        </w:rPr>
        <w:t xml:space="preserve">时间: 2025-10-24 | </w:t>
      </w:r>
      <w:r>
        <w:t xml:space="preserve">链接: </w:t>
      </w:r>
      <w:hyperlink r:id="rId129">
        <w:r>
          <w:rPr>
            <w:rFonts w:ascii="Times New Roman" w:hAnsi="Times New Roman" w:eastAsia="宋体"/>
            <w:color w:val="0000FF"/>
            <w:sz w:val="21"/>
            <w:u w:val="single"/>
          </w:rPr>
          <w:t>https://doi.org/10.1364/prj.566625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长波中红外（LWIR）区域的激光光谱揭示了各种生化物质的结构和性质。在这里，我们展示了基于磷化锌锗 (ZGP) 晶体中的差频生成 (DFG) 的宽带长波红外激光器，覆盖范围为 5.7–11.0 μm，平均功率为 13 mW，重复频率为 108 MHz。该激光器还可以在 4.6–11.0 μm 范围内广泛调谐，最大平均功率为 40 mW。 DFG 的泵浦脉冲和信号脉冲由掺镱光纤激光器泵浦的宽带光参量振荡器 (OPO) 系统产生。有机化合物的吸收光谱由长波红外光源证明。此外，结合额外的复杂锁相，它有可能实现双梳光谱（DCS）以实现更高的测量速度和分辨率。具有瞬时宽带光谱的免调节长波红外激光器降低了系统复杂性和对准难度，是灵敏的平行分子光谱和生物大分子检测的理想选择。</w:t>
      </w:r>
    </w:p>
    <w:p>
      <w:pPr>
        <w:spacing w:before="120"/>
      </w:pPr>
      <w:r>
        <w:rPr>
          <w:rFonts w:ascii="Times New Roman" w:hAnsi="Times New Roman" w:eastAsia="宋体"/>
          <w:b/>
          <w:sz w:val="21"/>
        </w:rPr>
        <w:t>English Abstract:</w:t>
      </w:r>
    </w:p>
    <w:p>
      <w:r>
        <w:rPr>
          <w:rFonts w:ascii="Times New Roman" w:hAnsi="Times New Roman" w:eastAsia="宋体"/>
          <w:sz w:val="21"/>
        </w:rPr>
        <w:t>Laser spectroscopy in the longwave mid-infrared (LWIR) region reveals the structures and properties of various biochemical substances. Here, we demonstrate a broadband LWIR laser covering 5.7–11.0 μm with 13 mW average power and 108 MHz repetition rate based on difference frequency generation (DFG) in a zinc germanium phosphide (ZGP) crystal. The laser can also be widely tuned over 4.6–11.0 μm with a maximum average power of 40 mW. The pump and signal pulses of DFG are generated from a broadband optical parametric oscillator (OPO) system pumped by a Yb-doped fiber laser. Absorption spectroscopy of an organic compound was demonstrated by the LWIR source. Furthermore, combining additional complex phase locking, it has the potential to achieve dual comb spectroscopy (DCS) for higher measurement speed and resolution. The adjustment-free LWIR lasers with instantaneous broadband spectra reduce system complexity and alignment difficulty, and they are desirable for sensitive parallel molecular spectroscopy and biological macromolecule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基于高自由度曲线的任意角度多模波导弯曲设计</w:t>
      </w:r>
    </w:p>
    <w:p>
      <w:r>
        <w:rPr>
          <w:rFonts w:ascii="Times New Roman" w:hAnsi="Times New Roman" w:eastAsia="宋体"/>
          <w:b/>
          <w:color w:val="003264"/>
          <w:sz w:val="24"/>
        </w:rPr>
        <w:t>Design of a multimode waveguide bend with an arbitrary angle based on high degree of freedom curves</w:t>
      </w:r>
    </w:p>
    <w:p>
      <w:r>
        <w:rPr>
          <w:rFonts w:ascii="Times New Roman" w:hAnsi="Times New Roman" w:eastAsia="宋体"/>
          <w:sz w:val="21"/>
        </w:rPr>
        <w:t>作者: Xing Yu, Shenghang Zhou, Yangming Ren, Xinyu Li, Zhiyuan Yu, Yulin Deng, Ji Shen, Binhao Wang, Qian Chen, Xiubao Sui, Wenfu Zhang</w:t>
        <w:br/>
      </w:r>
      <w:r>
        <w:rPr>
          <w:rFonts w:ascii="Times New Roman" w:hAnsi="Times New Roman" w:eastAsia="宋体"/>
          <w:sz w:val="21"/>
        </w:rPr>
        <w:t xml:space="preserve">时间: 2026-01-30 | </w:t>
      </w:r>
      <w:r>
        <w:t xml:space="preserve">链接: </w:t>
      </w:r>
      <w:hyperlink r:id="rId130">
        <w:r>
          <w:rPr>
            <w:rFonts w:ascii="Times New Roman" w:hAnsi="Times New Roman" w:eastAsia="宋体"/>
            <w:color w:val="0000FF"/>
            <w:sz w:val="21"/>
            <w:u w:val="single"/>
          </w:rPr>
          <w:t>https://doi.org/10.1364/prj.574190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紧凑、低损耗的多模波导弯在多模通道和高密度片上光互连架构中发挥着重要作用，已成为光子集成芯片的关键部件。在此，我们提出了一种基于高自由度高阶贝塞尔曲线分阶段优化的逆向设计方法，有效克服了传统几何曲线设计的优化局限性。利用这种方法，我们在 220 nm 绝缘体上硅 (SOI) 平台上演示了超紧凑的 90° 多模波导弯曲，其有效弯曲半径小至 9 μm，并支持四种 TE 模式。此外，弯曲还扩展到任意角度互连，以60°、120°和180°配置为例，显着增强了片上紧凑型多模互连的灵活性和适应性。仿真结果表明，90°弯曲在1550 nm处表现出优异的性能，额外损耗低于0.038 dB，串扰低于-30 dB。所提出的设计被进一步制造和实验表征。测得的最大额外损耗为 0.13 dB，模间串扰在 1550 nm 处均低于 -25 dB。该器件结合了超紧凑的占板面积、低损耗和出色的可扩展性，适用于高密度片上互连。</w:t>
      </w:r>
    </w:p>
    <w:p>
      <w:pPr>
        <w:spacing w:before="120"/>
      </w:pPr>
      <w:r>
        <w:rPr>
          <w:rFonts w:ascii="Times New Roman" w:hAnsi="Times New Roman" w:eastAsia="宋体"/>
          <w:b/>
          <w:sz w:val="21"/>
        </w:rPr>
        <w:t>English Abstract:</w:t>
      </w:r>
    </w:p>
    <w:p>
      <w:r>
        <w:rPr>
          <w:rFonts w:ascii="Times New Roman" w:hAnsi="Times New Roman" w:eastAsia="宋体"/>
          <w:sz w:val="21"/>
        </w:rPr>
        <w:t>A compact and low-loss multimode waveguide bend plays a significant role in multimode channels and high-density on-chip optical interconnection architectures, and it has become a key component of photonic integrated chips. Here, we propose an inverse design method based on staged optimization of high-order Bezier curves with high degrees of freedom, which effectively overcomes the optimization limitations of traditional geometric curve design. Using this approach, we demonstrate an ultra-compact 90° multimode waveguide bend on a 220 nm silicon-on-insulator (SOI) platform, featuring an effective bending radius as small as 9 μm and supporting four TE modes. Furthermore, the bend is extended to arbitrary angle interconnects, with 60°, 120°, and 180° configurations as examples, significantly enhancing the flexibility and adaptability of on-chip compact multimode interconnections. Simulation results show that 90° bend exhibits excellent performance at 1550 nm with excess losses below 0.038 dB and crosstalk below −30 dB . The proposed design was further fabricated and experimentally characterized. The maximum measured excess loss is 0.13 dB, and the inter-mode crosstalk is all below −25 dB at 1550 nm. This device combines ultra-compact footprint, low loss, and excellent scalability, suitable for high-density on-chip interconnects.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06:31 ---</w:t>
      </w:r>
    </w:p>
    <w:p>
      <w:pPr>
        <w:pStyle w:val="Heading2"/>
      </w:pPr>
      <w:r/>
      <w:r>
        <w:rPr>
          <w:rFonts w:ascii="Times New Roman" w:hAnsi="Times New Roman" w:eastAsia="宋体"/>
          <w:b/>
          <w:color w:val="000000"/>
          <w:sz w:val="24"/>
        </w:rPr>
        <w:t>对“说明性纹理的感知均匀构造”的更正</w:t>
      </w:r>
    </w:p>
    <w:p>
      <w:r>
        <w:rPr>
          <w:rFonts w:ascii="Times New Roman" w:hAnsi="Times New Roman" w:eastAsia="宋体"/>
          <w:b/>
          <w:color w:val="003264"/>
          <w:sz w:val="24"/>
        </w:rPr>
        <w:t>Corrections to “Perceptually Uniform Construction of Illustrative Textures”</w:t>
      </w:r>
    </w:p>
    <w:p>
      <w:r>
        <w:rPr>
          <w:rFonts w:ascii="Times New Roman" w:hAnsi="Times New Roman" w:eastAsia="宋体"/>
          <w:sz w:val="21"/>
        </w:rPr>
        <w:t>作者: Anna Sterzik, Monique Meuschke, Douglas W. Cunningham, Kai Lawonn</w:t>
        <w:br/>
      </w:r>
      <w:r>
        <w:rPr>
          <w:rFonts w:ascii="Times New Roman" w:hAnsi="Times New Roman" w:eastAsia="宋体"/>
          <w:sz w:val="21"/>
        </w:rPr>
        <w:t xml:space="preserve">时间: 2026-03-01 | </w:t>
      </w:r>
      <w:r>
        <w:t xml:space="preserve">链接: </w:t>
      </w:r>
      <w:hyperlink r:id="rId131">
        <w:r>
          <w:rPr>
            <w:rFonts w:ascii="Times New Roman" w:hAnsi="Times New Roman" w:eastAsia="宋体"/>
            <w:color w:val="0000FF"/>
            <w:sz w:val="21"/>
            <w:u w:val="single"/>
          </w:rPr>
          <w:t>https://doi.org/10.1109/tvcg.2025.3646304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本注释纠正了图 2 和 3 中的错误。 12 和 13 以及 IEEE Transactions on Visualization and Computer Graphics, Vol. 1 发表的论文“Perceptually Uniform Construction of Illustrative Textures”中参数函数的描述。 30，第 1 期，2024 年。</w:t>
      </w:r>
    </w:p>
    <w:p>
      <w:pPr>
        <w:spacing w:before="120"/>
      </w:pPr>
      <w:r>
        <w:rPr>
          <w:rFonts w:ascii="Times New Roman" w:hAnsi="Times New Roman" w:eastAsia="宋体"/>
          <w:b/>
          <w:sz w:val="21"/>
        </w:rPr>
        <w:t>English Abstract:</w:t>
      </w:r>
    </w:p>
    <w:p>
      <w:r>
        <w:rPr>
          <w:rFonts w:ascii="Times New Roman" w:hAnsi="Times New Roman" w:eastAsia="宋体"/>
          <w:sz w:val="21"/>
        </w:rPr>
        <w:t>This note corrects errors in Figs. 12 and 13 and the description of the parametric function in the paper ”Perceptually Uniform Construction of Illustrative Textures” published in IEEE Transactions on Visualization and Computer Graphics, Vol. 30, Issue 1, 2024.</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ACM Trans. Graphics (TOG)</w:t>
      </w:r>
    </w:p>
    <w:p>
      <w:pPr>
        <w:jc w:val="center"/>
      </w:pPr>
      <w:r>
        <w:t>--- 更新: 06:31 ---</w:t>
      </w:r>
    </w:p>
    <w:p>
      <w:pPr>
        <w:pStyle w:val="Heading2"/>
      </w:pPr>
      <w:r/>
      <w:r>
        <w:rPr>
          <w:rFonts w:ascii="Times New Roman" w:hAnsi="Times New Roman" w:eastAsia="宋体"/>
          <w:b/>
          <w:color w:val="000000"/>
          <w:sz w:val="24"/>
        </w:rPr>
        <w:t>MAROON：近场高分辨率射频和光学深度成像技术联合表征的数据集</w:t>
      </w:r>
    </w:p>
    <w:p>
      <w:r>
        <w:rPr>
          <w:rFonts w:ascii="Times New Roman" w:hAnsi="Times New Roman" w:eastAsia="宋体"/>
          <w:b/>
          <w:color w:val="003264"/>
          <w:sz w:val="24"/>
        </w:rPr>
        <w:t>MAROON: A Dataset for the Joint Characterization of Near-Field High-Resolution Radio-Frequency and Optical Depth Imaging Techniques</w:t>
      </w:r>
    </w:p>
    <w:p>
      <w:r>
        <w:rPr>
          <w:rFonts w:ascii="Times New Roman" w:hAnsi="Times New Roman" w:eastAsia="宋体"/>
          <w:sz w:val="21"/>
        </w:rPr>
        <w:t>作者: Vanessa Wirth, Johanna Bräunig, Nikolai Hofmann, Martin Vossiek, Tim Weyrich, Marc Stamminger</w:t>
        <w:br/>
      </w:r>
      <w:r>
        <w:rPr>
          <w:rFonts w:ascii="Times New Roman" w:hAnsi="Times New Roman" w:eastAsia="宋体"/>
          <w:sz w:val="21"/>
        </w:rPr>
        <w:t xml:space="preserve">时间: 2026-02-11 | </w:t>
      </w:r>
      <w:r>
        <w:t xml:space="preserve">链接: </w:t>
      </w:r>
      <w:hyperlink r:id="rId132">
        <w:r>
          <w:rPr>
            <w:rFonts w:ascii="Times New Roman" w:hAnsi="Times New Roman" w:eastAsia="宋体"/>
            <w:color w:val="0000FF"/>
            <w:sz w:val="21"/>
            <w:u w:val="single"/>
          </w:rPr>
          <w:t>https://doi.org/10.1145/3796224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特定波长范围或深度传感器的互补优势对于自动驾驶等强大的计算机辅助任务至关重要。尽管如此，在光学深度传感器和近距离操作雷达的交叉点上仍然很少进行研究，其中目标距离传感器只有分米。随着人们对近场高分辨率成像雷达的兴趣日益浓厚，随之而来的问题是这些传感器与传统光学传感器相比的表现如何。在这项工作中，我们接受了独特的挑战，使用多模态空间校准从光学和射频域联合表征深度成像仪。我们从四个深度成像仪收集数据，其中三个光学传感器具有不同的工作原理和一个成像雷达。我们根据不同的物体材料、几何形状和物体到传感器的距离对其深度测量进行全面评估。具体来说，我们揭示了部分透射材料的散射效应并研究了射频信号的响应。所有物体测量结果均以名为 MAROON 的多模态数据集的形式公开，可通过以下网址访问：https://vwirth.github.io/maroon。</w:t>
      </w:r>
    </w:p>
    <w:p>
      <w:pPr>
        <w:spacing w:before="120"/>
      </w:pPr>
      <w:r>
        <w:rPr>
          <w:rFonts w:ascii="Times New Roman" w:hAnsi="Times New Roman" w:eastAsia="宋体"/>
          <w:b/>
          <w:sz w:val="21"/>
        </w:rPr>
        <w:t>English Abstract:</w:t>
      </w:r>
    </w:p>
    <w:p>
      <w:r>
        <w:rPr>
          <w:rFonts w:ascii="Times New Roman" w:hAnsi="Times New Roman" w:eastAsia="宋体"/>
          <w:sz w:val="21"/>
        </w:rPr>
        <w:t>Utilizing the complementary strengths of wavelength-specific range or depth sensors is crucial for robust computer-assisted tasks such as autonomous driving. Despite this, there is still little research done at the intersection of optical depth sensors and radars operating close range, where the target is decimeters away from the sensors. Together with a growing interest in high-resolution imaging radars operating in the near field, the question arises how these sensors behave in comparison to their traditional optical counterparts. In this work, we take on the unique challenge of jointly characterizing depth imagers from both, the optical and radio-frequency domain using a multimodal spatial calibration. We collect data from four depth imagers, with three optical sensors of varying operation principle and an imaging radar. We provide a comprehensive evaluation of their depth measurements with respect to distinct object materials, geometries, and object-to-sensor distances. Specifically, we reveal scattering effects of partially transmissive materials and investigate the response of radio-frequency signals. All object measurements are made public in form of a multimodal dataset, called MAROON, which can be accessed at: https://vwirth.github.io/maroon.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Comp. Imaging</w:t>
      </w:r>
    </w:p>
    <w:p>
      <w:pPr>
        <w:jc w:val="center"/>
      </w:pPr>
      <w:r>
        <w:t>--- 更新: 06:31 ---</w:t>
      </w:r>
    </w:p>
    <w:p>
      <w:pPr>
        <w:pStyle w:val="Heading2"/>
      </w:pPr>
      <w:r/>
      <w:r>
        <w:rPr>
          <w:rFonts w:ascii="Times New Roman" w:hAnsi="Times New Roman" w:eastAsia="宋体"/>
          <w:b/>
          <w:color w:val="000000"/>
          <w:sz w:val="24"/>
        </w:rPr>
        <w:t>使用适用于移动设备的多光谱图像传感器的广色域成像系统</w:t>
      </w:r>
    </w:p>
    <w:p>
      <w:r>
        <w:rPr>
          <w:rFonts w:ascii="Times New Roman" w:hAnsi="Times New Roman" w:eastAsia="宋体"/>
          <w:b/>
          <w:color w:val="003264"/>
          <w:sz w:val="24"/>
        </w:rPr>
        <w:t>Wide Color Gamut Imaging System Using a Multispectral Image Sensor for a Mobile Device</w:t>
      </w:r>
    </w:p>
    <w:p>
      <w:r>
        <w:rPr>
          <w:rFonts w:ascii="Times New Roman" w:hAnsi="Times New Roman" w:eastAsia="宋体"/>
          <w:sz w:val="21"/>
        </w:rPr>
        <w:t>作者: Woo-Shik Kim, Satoshi Nagayama, Jisu Ohk, Sangyoon Lee, Jaesung Lee, Youngshin Kwak, Hyochul Kim</w:t>
        <w:br/>
      </w:r>
      <w:r>
        <w:rPr>
          <w:rFonts w:ascii="Times New Roman" w:hAnsi="Times New Roman" w:eastAsia="宋体"/>
          <w:sz w:val="21"/>
        </w:rPr>
        <w:t xml:space="preserve">时间: 2026 | </w:t>
      </w:r>
      <w:r>
        <w:t xml:space="preserve">链接: </w:t>
      </w:r>
      <w:hyperlink r:id="rId134">
        <w:r>
          <w:rPr>
            <w:rFonts w:ascii="Times New Roman" w:hAnsi="Times New Roman" w:eastAsia="宋体"/>
            <w:color w:val="0000FF"/>
            <w:sz w:val="21"/>
            <w:u w:val="single"/>
          </w:rPr>
          <w:t>https://doi.org/10.1109/tci.2026.3663972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In this paper a system for a mobile device to generate a wide color gamut image is proposed.智能手机上的 RGB 摄像头与多光谱图像传感器相结合，该传感器是在移动设备的互补金属氧化物半导体图像传感器之上制造的，可捕获 16 个光谱带的场景。来自这些传感器的图像使用颜色传输技术进行融合，以利用多光谱图像传感器的准确颜色再现能力，同时保留 RGB 图像中的图像结构。据称，与移动 RGB 传感器相比，所提出的多光谱图像传感器将色彩再现精度提高了 25%，并且所提出的系统有效地产生了具有高色彩保真度的高分辨率宽色域图像。</w:t>
      </w:r>
    </w:p>
    <w:p>
      <w:pPr>
        <w:spacing w:before="120"/>
      </w:pPr>
      <w:r>
        <w:rPr>
          <w:rFonts w:ascii="Times New Roman" w:hAnsi="Times New Roman" w:eastAsia="宋体"/>
          <w:b/>
          <w:sz w:val="21"/>
        </w:rPr>
        <w:t>English Abstract:</w:t>
      </w:r>
    </w:p>
    <w:p>
      <w:r>
        <w:rPr>
          <w:rFonts w:ascii="Times New Roman" w:hAnsi="Times New Roman" w:eastAsia="宋体"/>
          <w:sz w:val="21"/>
        </w:rPr>
        <w:t>In this paper a system for a mobile device to generate a wide color gamut image is proposed. A RGB camera on a smartphone is combined with a multispectral image sensor, which is fabricated on top of a complementary metal-oxide semiconductor image sensor for a mobile device, capturing scenes with 16 spectral bands. Images from these sensors are fused using a color transfer technique to leverage the accurate color reproduction capability of the multispectral image sensor while preserving the image structures in the RGB image. It is claimed that the proposed multispectral image sensor improved color reproduction accuracy by 25% compared to a mobile RGB sensor, and the proposed system effectively produce a high-resolution wide color gamut image with high color fidelity.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基于学习的概率子阵列切换，实现稳健的低成本干涉成像</w:t>
      </w:r>
    </w:p>
    <w:p>
      <w:r>
        <w:rPr>
          <w:rFonts w:ascii="Times New Roman" w:hAnsi="Times New Roman" w:eastAsia="宋体"/>
          <w:b/>
          <w:color w:val="003264"/>
          <w:sz w:val="24"/>
        </w:rPr>
        <w:t>Learning-based probabilistic subarray switching for robust low-cost interferometric imaging</w:t>
      </w:r>
    </w:p>
    <w:p>
      <w:r>
        <w:rPr>
          <w:rFonts w:ascii="Times New Roman" w:hAnsi="Times New Roman" w:eastAsia="宋体"/>
          <w:sz w:val="21"/>
        </w:rPr>
        <w:t>作者: Jianhua Wang, Mohammed Nabil El Korso, Lucien Bacharach, Pascal Larzabal</w:t>
        <w:br/>
      </w:r>
      <w:r>
        <w:rPr>
          <w:rFonts w:ascii="Times New Roman" w:hAnsi="Times New Roman" w:eastAsia="宋体"/>
          <w:sz w:val="21"/>
        </w:rPr>
        <w:t xml:space="preserve">时间: 2026 | </w:t>
      </w:r>
      <w:r>
        <w:t xml:space="preserve">链接: </w:t>
      </w:r>
      <w:hyperlink r:id="rId135">
        <w:r>
          <w:rPr>
            <w:rFonts w:ascii="Times New Roman" w:hAnsi="Times New Roman" w:eastAsia="宋体"/>
            <w:color w:val="0000FF"/>
            <w:sz w:val="21"/>
            <w:u w:val="single"/>
          </w:rPr>
          <w:t>https://doi.org/10.1109/tci.2026.3663899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计算成本对下一代干涉成像系统提出了重大挑战。在这些系统中，由于计算能力的限制，大量天线使得同时处理所有测量结果变得不切实际。为了减少计算负担，同时保持图像重建质量，我们提出了一种利用更少天线和不同天线配置的子阵列切换策略。为了考虑图像重建算法对子阵切换模式设计的影响，并充分发挥切换策略的灵活性，我们提出了一种基于概率深度学习的天线切换模式设计方法，命名为概率天线切换器（PAS）。除了计算挑战之外，干涉测量系统对射频干扰 (RFI) 的存在也特别敏感，这严重影响成像质量。为了解决这个问题，我们证明可以将所提出的 PAS 与 RFI 检测模块结合起来。具体来说，该模块是一个神经网络，经过训练可以识别并最小化子阵列选择过程中受 RFI 影响的天线的影响。这产生了 RFI 感知 PAS (RaPAS)，它平衡了计算效率、成像质量和 RFI 鲁棒性。完整代码可在 https://github.com/jianhua-WANG-ENS/PAS_RaPAS 获取。</w:t>
      </w:r>
    </w:p>
    <w:p>
      <w:pPr>
        <w:spacing w:before="120"/>
      </w:pPr>
      <w:r>
        <w:rPr>
          <w:rFonts w:ascii="Times New Roman" w:hAnsi="Times New Roman" w:eastAsia="宋体"/>
          <w:b/>
          <w:sz w:val="21"/>
        </w:rPr>
        <w:t>English Abstract:</w:t>
      </w:r>
    </w:p>
    <w:p>
      <w:r>
        <w:rPr>
          <w:rFonts w:ascii="Times New Roman" w:hAnsi="Times New Roman" w:eastAsia="宋体"/>
          <w:sz w:val="21"/>
        </w:rPr>
        <w:t>Computational cost poses a significant challenge in next-generation interferometric imaging systems. In these systems, the large number of antennas makes it impractical to process all measurements simultaneously due to computational capacity constraints. To reduce the computational burden while preserving image reconstruction quality, we propose a subarray switching strategy that utilizes fewer antennas and different antenna configurations. To take into consideration the influence of the image reconstruction algorithm on the design of the subarray switching pattern and to fully exploit the flexibility of the switching strategy, we propose a probabilistic deep learning-based method for designing antenna switching patterns, named by Probabilistic Antenna Switcher (PAS). In addition to the computational challenge, interferometric systems are also particularly sensitive to the presence of radio frequency interferences (RFI), which heavily affects imaging quality. In order to address this issue, we show that it is possible to combine the proposed PAS with a RFI detection module. Specifically, this module is a neural network that is trained to identify and minimize the impact of RFI-affected antennas in the subarray selection process. This results in a RFI-aware PAS (RaPAS), which balances computational efficiency, imaging quality, and robustness against RFI. The full code will be available at https://github.com/jianhua-WANG-ENS/PAS_RaPAS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使用高效 2D-SLIM 的高分辨率涡旋电磁波雷达稀疏成像</w:t>
      </w:r>
    </w:p>
    <w:p>
      <w:r>
        <w:rPr>
          <w:rFonts w:ascii="Times New Roman" w:hAnsi="Times New Roman" w:eastAsia="宋体"/>
          <w:b/>
          <w:color w:val="003264"/>
          <w:sz w:val="24"/>
        </w:rPr>
        <w:t>High-Resolution Vortex Electromagnetic Wave Radar Sparse Imaging Using Efficient 2D-SLIM</w:t>
      </w:r>
    </w:p>
    <w:p>
      <w:r>
        <w:rPr>
          <w:rFonts w:ascii="Times New Roman" w:hAnsi="Times New Roman" w:eastAsia="宋体"/>
          <w:sz w:val="21"/>
        </w:rPr>
        <w:t>作者: Ting Yang, Hongyin Shi, Da Liu, Hu Hao, Liying Tian, Xing Wang, Jiuru Wang</w:t>
        <w:br/>
      </w:r>
      <w:r>
        <w:rPr>
          <w:rFonts w:ascii="Times New Roman" w:hAnsi="Times New Roman" w:eastAsia="宋体"/>
          <w:sz w:val="21"/>
        </w:rPr>
        <w:t xml:space="preserve">时间: 2026 | </w:t>
      </w:r>
      <w:r>
        <w:t xml:space="preserve">链接: </w:t>
      </w:r>
      <w:hyperlink r:id="rId136">
        <w:r>
          <w:rPr>
            <w:rFonts w:ascii="Times New Roman" w:hAnsi="Times New Roman" w:eastAsia="宋体"/>
            <w:color w:val="0000FF"/>
            <w:sz w:val="21"/>
            <w:u w:val="single"/>
          </w:rPr>
          <w:t>https://doi.org/10.1109/tci.2026.3663911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涡旋电磁波 (VEMW) 雷达利用轨道角动量 (OAM) 模式进行方位角信息编码，已成为一种有前途的高分辨率凝视成像技术。然而，其性能从根本上受到贝塞尔函数调制 (BFM) 效应和有限的 OAM 模式可用性的限制，导致方位角-距离耦合伪影和能量效率低下。现有的压缩感知（CS）方法，特别是传统的稀疏恢复技术，面临着旁瓣干扰、噪声敏感性和计算瓶颈的困扰。为了应对这些挑战，本文提出了一种通过迭代最小化的高效二维稀疏学习（2D-SLIM）框架，将物理驱动的预处理与加速优化相结合。首先，我们建立了一个全面的 VEMW 雷达信号模型，明确结合了 BFM 效应和 OAM 模式正交性。其次，在波束控制策略的基础上，我们引入了显式解析补偿因子来抑制由平方贝塞尔项引起的方位角相关能量衰减，从而恢复方位角和 OAM 模式指数之间的傅立叶对偶性。第三，我们开发了一种维度一致的二维共轭梯度最小二乘 (2D-CGLS) 算法，结合了自适应 Barzilai-Borwein 步长和非凸群稀疏正则化。通过利用克罗内克乘积分解和矩阵形式运算，该框架消除了冗余的向量到矩阵转换。广泛的数值和电磁仿真表明，该方法的图像相关值提高了 20% 以上，收敛速度提高了 30% 以上，同时在有限 OAM 模式（例如 | | 20 α ≤）和低 SNR（低至 -5 dB）的挑战性条件下保持了鲁棒的成像性能，优于几种现有的 CS 技术。</w:t>
      </w:r>
    </w:p>
    <w:p>
      <w:pPr>
        <w:spacing w:before="120"/>
      </w:pPr>
      <w:r>
        <w:rPr>
          <w:rFonts w:ascii="Times New Roman" w:hAnsi="Times New Roman" w:eastAsia="宋体"/>
          <w:b/>
          <w:sz w:val="21"/>
        </w:rPr>
        <w:t>English Abstract:</w:t>
      </w:r>
    </w:p>
    <w:p>
      <w:r>
        <w:rPr>
          <w:rFonts w:ascii="Times New Roman" w:hAnsi="Times New Roman" w:eastAsia="宋体"/>
          <w:sz w:val="21"/>
        </w:rPr>
        <w:t>Vortex electromagnetic wave (VEMW) radar, leveraging orbital angular momentum (OAM) modes for azimuthal information encoding, has emerged as a promising technology for high-resolution staring imaging. However, its performance is fundamentally constrained by the Bessel function modulation (BFM) effect and limited OAM mode availability, leading to azimuth-range coupling artifacts and energy inefficiency. Existing compressive sensing (CS) methods, particularly conventional sparse recovery techniques, struggle with sidelobe interference, noise sensitivity, and computational bottlenecks. To address these challenges, this paper proposes an efficient two-dimensional sparse learning via iterative minimization (2D-SLIM) framework, integrating physics-driven preprocessing with accelerated optimization. First, we establish a comprehensive VEMW radar signal model that explicitly incorporates BFM effects and OAM mode orthogonality. Second, building upon the beam steering strategy, we introduce an explicit analytical compensation factor to suppress the azimuth dependent energy attenuation caused by the squared Bessel term, thereby restoring the Fourier duality between azimuth angles and OAM mode indices. Third, we develop a dimensionally consistent 2D conjugate gradient least squares (2D-CGLS) algorithm, incorporating adaptive Barzilai-Borwein step sizes and non-convex group sparsity regularization. By leveraging Kronecker product factorization and matrix-form operations, the framework eliminates redundant vector-to-matrix conversions. Extensive numerical and EM simulations demonstrate that the proposed method achieves an improvement of more than 20% in image correlation value and a convergence rate more than 30% faster, while maintaining robust imaging performance under challenging conditions of limited OAM modes (e.g., | | 20 α ≤) and low SNR (down to -5 dB), outperforming several established CS techniques.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06:31 ---</w:t>
      </w:r>
    </w:p>
    <w:p>
      <w:pPr>
        <w:pStyle w:val="Heading2"/>
      </w:pPr>
      <w:r/>
      <w:r>
        <w:rPr>
          <w:rFonts w:ascii="Times New Roman" w:hAnsi="Times New Roman" w:eastAsia="宋体"/>
          <w:b/>
          <w:color w:val="000000"/>
          <w:sz w:val="24"/>
        </w:rPr>
        <w:t>用于自监督鱼眼单目深度估计的失真感知深度自更新</w:t>
      </w:r>
    </w:p>
    <w:p>
      <w:r>
        <w:rPr>
          <w:rFonts w:ascii="Times New Roman" w:hAnsi="Times New Roman" w:eastAsia="宋体"/>
          <w:b/>
          <w:color w:val="003264"/>
          <w:sz w:val="24"/>
        </w:rPr>
        <w:t>Distortion-Aware Depth Self-Updating for Self-Supervised Fisheye Monocular Depth Estimation</w:t>
      </w:r>
    </w:p>
    <w:p>
      <w:r>
        <w:rPr>
          <w:rFonts w:ascii="Times New Roman" w:hAnsi="Times New Roman" w:eastAsia="宋体"/>
          <w:sz w:val="21"/>
        </w:rPr>
        <w:t>作者: Yihang Xu, Qiulei Dong</w:t>
        <w:br/>
      </w:r>
      <w:r>
        <w:rPr>
          <w:rFonts w:ascii="Times New Roman" w:hAnsi="Times New Roman" w:eastAsia="宋体"/>
          <w:sz w:val="21"/>
        </w:rPr>
        <w:t xml:space="preserve">时间: 2026 | </w:t>
      </w:r>
      <w:r>
        <w:t xml:space="preserve">链接: </w:t>
      </w:r>
      <w:hyperlink r:id="rId137">
        <w:r>
          <w:rPr>
            <w:rFonts w:ascii="Times New Roman" w:hAnsi="Times New Roman" w:eastAsia="宋体"/>
            <w:color w:val="0000FF"/>
            <w:sz w:val="21"/>
            <w:u w:val="single"/>
          </w:rPr>
          <w:t>https://doi.org/10.1109/tip.2026.3661813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鱼眼相机的自监督单目深度估计由于其大视野范围近年来引起了广泛关注。然而，由于鱼眼图像不可避免地存在严重失真，该领域现有方法的性能普遍受到限制。为了解决这个问题，我们提出了一种用于自监督鱼眼单目深度估计的失真感知深度自更新网络，称为 DDS-Net。所提出的 DDS-Net 方法采用从粗到精的学习策略，其中用于预测最终深度的探索性精细深度预测器通过预训练的粗略深度预测器使用预测的场景深度进行优化。精细深度预测器包含失真感知鱼眼成本体积构建模块和深度自更新模块。失真感知鱼眼成本体积构建模块旨在通过学习连续鱼眼帧之间相应的特征匹配成本来构建鱼眼成本体积，从而能够在严重扭曲的情况下捕获更准确的像素级深度线索。基于构建的成本量和预训练粗略深度预测器估计的初始深度，深度自更新模块被设计为以迭代方式自更新深度图。对 3 个鱼眼数据集的广泛实验结果表明，所提出的方法明显优于 14 种最先进的鱼眼单目深度估计方法。</w:t>
      </w:r>
    </w:p>
    <w:p>
      <w:pPr>
        <w:spacing w:before="120"/>
      </w:pPr>
      <w:r>
        <w:rPr>
          <w:rFonts w:ascii="Times New Roman" w:hAnsi="Times New Roman" w:eastAsia="宋体"/>
          <w:b/>
          <w:sz w:val="21"/>
        </w:rPr>
        <w:t>English Abstract:</w:t>
      </w:r>
    </w:p>
    <w:p>
      <w:r>
        <w:rPr>
          <w:rFonts w:ascii="Times New Roman" w:hAnsi="Times New Roman" w:eastAsia="宋体"/>
          <w:sz w:val="21"/>
        </w:rPr>
        <w:t>Self-supervised monocular depth estimation for fisheye cameras has attracted much attention in recent years due to their large view range. However, the performances of existing methods in this field are generally limited due to the inevitable severe distortions in fisheye images. To address this problem, we propose a distortion-aware depth self-updating network for self-supervised fisheye monocular depth estimation called DDS-Net. The proposed DDS-Net method employs a coarse-to-fine learning strategy, in which an explored fine depth predictor for predicting final depth is optimized with the predicted scene depths by a pretrained coarse depth predictor. The fine depth predictor contains a distortion-aware fisheye cost volume construction module and a depth self-updating module. The distortion-aware fisheye cost volume construction module is designed to construct a fisheye cost volume by learning the corresponding feature matching cost between continuous fisheye frames, which enables more accurate pixel-level depth cues to be captured under severe distortions. Based on the constructed cost volume and the initial depth estimated by the pretrained coarse depth predictor, the depth self-updating module is designed to self-update the depth map in an iterative manner. Extensive experimental results on 3 fisheye datasets demonstrate that the proposed method significantly outperforms 14 state-of-the-art methods for fisheye monocular depth estimation.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图割的贪心策略</w:t>
      </w:r>
    </w:p>
    <w:p>
      <w:r>
        <w:rPr>
          <w:rFonts w:ascii="Times New Roman" w:hAnsi="Times New Roman" w:eastAsia="宋体"/>
          <w:b/>
          <w:color w:val="003264"/>
          <w:sz w:val="24"/>
        </w:rPr>
        <w:t>A Greedy Strategy for Graph Cut</w:t>
      </w:r>
    </w:p>
    <w:p>
      <w:r>
        <w:rPr>
          <w:rFonts w:ascii="Times New Roman" w:hAnsi="Times New Roman" w:eastAsia="宋体"/>
          <w:sz w:val="21"/>
        </w:rPr>
        <w:t>作者: Shenfei Pei, Huijuan Dong, Nianci Guan, Zhongqi Lin, Feiping Nie, Xudong Jiang, Zengwei Zheng</w:t>
        <w:br/>
      </w:r>
      <w:r>
        <w:rPr>
          <w:rFonts w:ascii="Times New Roman" w:hAnsi="Times New Roman" w:eastAsia="宋体"/>
          <w:sz w:val="21"/>
        </w:rPr>
        <w:t xml:space="preserve">时间: 2026 | </w:t>
      </w:r>
      <w:r>
        <w:t xml:space="preserve">链接: </w:t>
      </w:r>
      <w:hyperlink r:id="rId138">
        <w:r>
          <w:rPr>
            <w:rFonts w:ascii="Times New Roman" w:hAnsi="Times New Roman" w:eastAsia="宋体"/>
            <w:color w:val="0000FF"/>
            <w:sz w:val="21"/>
            <w:u w:val="single"/>
          </w:rPr>
          <w:t>https://doi.org/10.1109/tip.2026.3661874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颖的贪婪图割（GGC）算法来解决图划分问题。该算法首先将每个数据点视为一个单独的聚类，然后迭代合并聚类对，从而最大限度地减少全局目标函数，直到达到所需的聚类数量。我们提供了整个过程中目标函数值单调收敛的理论证明。为了提高计算效率，该算法将合并操作限制在相邻的簇中，从而导致计算复杂度几乎与样本大小成线性比例。我们的贪婪方法的一个显着优势是其确定性，这确保了多次运行的结果一致。这与许多对随机初始化效应敏感的现有算法形成鲜明对比。我们通过将所提出的算法应用于标准化切割（N-Cut）问题（一种经过充分研究的图划分变体）来证明其有效性。大量实验结果表明，在解决 N 割问题时，GGC 始终优于传统的两阶段优化方法（涉及特征分解和 k 均值聚类）。此外，比较分析表明，与几种最先进的聚类算法相比，GGC 具有更优越的性能。</w:t>
      </w:r>
    </w:p>
    <w:p>
      <w:pPr>
        <w:spacing w:before="120"/>
      </w:pPr>
      <w:r>
        <w:rPr>
          <w:rFonts w:ascii="Times New Roman" w:hAnsi="Times New Roman" w:eastAsia="宋体"/>
          <w:b/>
          <w:sz w:val="21"/>
        </w:rPr>
        <w:t>English Abstract:</w:t>
      </w:r>
    </w:p>
    <w:p>
      <w:r>
        <w:rPr>
          <w:rFonts w:ascii="Times New Roman" w:hAnsi="Times New Roman" w:eastAsia="宋体"/>
          <w:sz w:val="21"/>
        </w:rPr>
        <w:t>We propose a novel Greedy Graph Cut (GGC) algorithm to address the graph partitioning problem. The algorithm begins by treating each data point as an individual cluster and iteratively merges cluster pairs that maximize the reduction in the global objective function until the desired number of clusters is achieved. We provide a theoretical proof of the monotonic convergence of the objective function values throughout this process. To improve computational efficiency, the algorithm restricts merging operations to adjacent clusters, resulting in a computational complexity that scales nearly linearly with the sample size. A significant advantage of our greedy approach is its deterministic nature, which ensures consistent results across multiple runs. This stands in contrast to many existing algorithms that are sensitive to random initialization effects. We demonstrate the effectiveness of the proposed algorithm by applying it to the Normalized Cut (N-Cut) problem, a well-studied variant of graph partitioning. Extensive experimental results show that GGC consistently outperforms the conventional two-stage optimization approach—which involves eigendecomposition followed by k-means clustering—in solving the N-Cut problem. Furthermore, comparative analyses reveal that GGC achieves superior performance compared to several state-of-the-art clustering algorithms.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用于多模态无人机目标检测的自适应细粒度融合网络</w:t>
      </w:r>
    </w:p>
    <w:p>
      <w:r>
        <w:rPr>
          <w:rFonts w:ascii="Times New Roman" w:hAnsi="Times New Roman" w:eastAsia="宋体"/>
          <w:b/>
          <w:color w:val="003264"/>
          <w:sz w:val="24"/>
        </w:rPr>
        <w:t>Adaptive Fine-Grained Fusion Network for Multimodal UAV Object Detection</w:t>
      </w:r>
    </w:p>
    <w:p>
      <w:r>
        <w:rPr>
          <w:rFonts w:ascii="Times New Roman" w:hAnsi="Times New Roman" w:eastAsia="宋体"/>
          <w:sz w:val="21"/>
        </w:rPr>
        <w:t>作者: Zhanyan Tang, Zhihao Wu, Mu Li, Jie Wen, Bob Zhang, Yong Xu, Jianqiang Li</w:t>
        <w:br/>
      </w:r>
      <w:r>
        <w:rPr>
          <w:rFonts w:ascii="Times New Roman" w:hAnsi="Times New Roman" w:eastAsia="宋体"/>
          <w:sz w:val="21"/>
        </w:rPr>
        <w:t xml:space="preserve">时间: 2026 | </w:t>
      </w:r>
      <w:r>
        <w:t xml:space="preserve">链接: </w:t>
      </w:r>
      <w:hyperlink r:id="rId139">
        <w:r>
          <w:rPr>
            <w:rFonts w:ascii="Times New Roman" w:hAnsi="Times New Roman" w:eastAsia="宋体"/>
            <w:color w:val="0000FF"/>
            <w:sz w:val="21"/>
            <w:u w:val="single"/>
          </w:rPr>
          <w:t>https://doi.org/10.1109/tip.2026.3661868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多模态感知和融合在无人机（UAV）目标检测中发挥着至关重要的作用。现有方法通常采用跨模态的全局融合策略。然而，由于光照变化，RGB 和红外模态的有效性可能会在同一图像内的不同局部区域中有所不同，特别是在普遍存在遮挡和密集小物体的无人机视角中，导致全局融合方法的性能不佳。为了解决这个问题，我们提出了一种用于多模态无人机目标检测的自适应细粒度融合网络。首先，我们设计了一个基于局部特征一致性的模态融合模块，该模块根据跨模态高响应区域的结构一致性自适应地分配局部融合权重，从而能够更有效地聚合对象相关特征。其次，我们引入了一种相互信息引导的特征对比损失，以鼓励在早期训练阶段保存特定于模态的信息。实验结果表明，所提出的方法有效解决了无人机视角中的目标遮挡问题，在多模态无人机目标检测基准上实现了最先进的性能。代码可在 https://github.com/lingf5877/AFFNet 获取。</w:t>
      </w:r>
    </w:p>
    <w:p>
      <w:pPr>
        <w:spacing w:before="120"/>
      </w:pPr>
      <w:r>
        <w:rPr>
          <w:rFonts w:ascii="Times New Roman" w:hAnsi="Times New Roman" w:eastAsia="宋体"/>
          <w:b/>
          <w:sz w:val="21"/>
        </w:rPr>
        <w:t>English Abstract:</w:t>
      </w:r>
    </w:p>
    <w:p>
      <w:r>
        <w:rPr>
          <w:rFonts w:ascii="Times New Roman" w:hAnsi="Times New Roman" w:eastAsia="宋体"/>
          <w:sz w:val="21"/>
        </w:rPr>
        <w:t>Multimodal perception and fusion play a vital role in unmanned aerial vehicle (UAV) object detection. Existing methods typically adopt global fusion strategies across modalities. However, due to illumination variation, the effectiveness of RGB and infrared modalities may differ across local regions within the same image, particularly in UAV perspectives where occlusions and dense small objects are prevalent, leading to suboptimal performance of global fusion methods. To address this issue, we propose an adaptive fine-grained fusion network for multimodal UAV object detection. First, we design a local feature consistency-based modality fusion module, which adaptively assigns local fusion weights according to the structural consistency of high-response regions across modalities, thereby enabling more effective aggregation of object-relevant features. Second, we introduce a mutual information-guided feature contrastive loss to encourage the preservation of modality-specific information during the early training phase. Experimental results demonstrate that the proposed method effectively addresses the issue of object occlusion in UAV perspectives, achieving state-of-the-art performance on multimodal UAV object detection benchmarks. Code will be available at https://github.com/lingf5877/AFFNet.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少样本学习的混合粒度分布估计：来自类别和实例的统计迁移</w:t>
      </w:r>
    </w:p>
    <w:p>
      <w:r>
        <w:rPr>
          <w:rFonts w:ascii="Times New Roman" w:hAnsi="Times New Roman" w:eastAsia="宋体"/>
          <w:b/>
          <w:color w:val="003264"/>
          <w:sz w:val="24"/>
        </w:rPr>
        <w:t>Hybrid Granularity Distribution Estimation for Few-Shot Learning: Statistics Transfer from Categories and Instances</w:t>
      </w:r>
    </w:p>
    <w:p>
      <w:r>
        <w:rPr>
          <w:rFonts w:ascii="Times New Roman" w:hAnsi="Times New Roman" w:eastAsia="宋体"/>
          <w:sz w:val="21"/>
        </w:rPr>
        <w:t>作者: Shuo Wang, Tianyu Qi, Xingyu Zhu, Yanbin Hao, Beier Zhu, Hanwang Zhang, Meng Wang</w:t>
        <w:br/>
      </w:r>
      <w:r>
        <w:rPr>
          <w:rFonts w:ascii="Times New Roman" w:hAnsi="Times New Roman" w:eastAsia="宋体"/>
          <w:sz w:val="21"/>
        </w:rPr>
        <w:t xml:space="preserve">时间: 2026 | </w:t>
      </w:r>
      <w:r>
        <w:t xml:space="preserve">链接: </w:t>
      </w:r>
      <w:hyperlink r:id="rId140">
        <w:r>
          <w:rPr>
            <w:rFonts w:ascii="Times New Roman" w:hAnsi="Times New Roman" w:eastAsia="宋体"/>
            <w:color w:val="0000FF"/>
            <w:sz w:val="21"/>
            <w:u w:val="single"/>
          </w:rPr>
          <w:t>https://doi.org/10.1109/tip.2026.3661814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分布估计是少样本学习 (FSL) 中的关键策略，通过利用从相关基本类别转移的统计属性（均值和方差）从估计分布中进行采样来缓解数据稀缺性。然而，由于基本类别和新类别之间存在显着差异，仅类别级别估计通常无法生成代表性样本，从而导致性能不佳。为了解决这个限制，我们提出了混合粒度分布估计（HGDE），它集成了粗粒度的类别级统计和细粒度的实例级统计。通过利用最近基础样本的实例统计数据，HGDE 增强了新类别的表征，捕捉类别级别估计忽略的微妙特征。这些统计数据通过线性插值融合，形成新类别的稳健分布，确保生成样本的多样性和代表性。此外，HGDE 采用精细估计技术，例如用于均值计算的加权求和和用于协方差的主成分保留，以进一步提高准确性。对 Mini-ImageNet、Tiered-ImageNet、CUB 和 CIFAR-FS 等四个 FSL 基准的实证评估表明，HGDE 提供了有效的分布估计功能，并带来了显着的精度提升，在 CUB 上的 1-shot 任务中提高了 1.8% 以上。这些结果凸显了 HGDE 平衡平均精度和方差多样性的能力，使其成为 FSL 的通用且有效的解决方案。</w:t>
      </w:r>
    </w:p>
    <w:p>
      <w:pPr>
        <w:spacing w:before="120"/>
      </w:pPr>
      <w:r>
        <w:rPr>
          <w:rFonts w:ascii="Times New Roman" w:hAnsi="Times New Roman" w:eastAsia="宋体"/>
          <w:b/>
          <w:sz w:val="21"/>
        </w:rPr>
        <w:t>English Abstract:</w:t>
      </w:r>
    </w:p>
    <w:p>
      <w:r>
        <w:rPr>
          <w:rFonts w:ascii="Times New Roman" w:hAnsi="Times New Roman" w:eastAsia="宋体"/>
          <w:sz w:val="21"/>
        </w:rPr>
        <w:t>Distribution estimation is a pivotal strategy in few-shot learning (FSL) to mitigate data scarcity by sampling from estimated distributions, utilizing statistical properties (mean and variance) transferred from related base categories. However, category-level estimation alone often fails to generate representative samples due to significant dissimilarities between base and novel categories, leading to suboptimal performance. To address this limitation, we propose Hybrid Granularity Distribution Estimation (HGDE), which integrates both coarse-grained category-level statistics and fine-grained instance-level statistics. By leveraging instance statistics from the nearest base samples, HGDE enhances the characterization of novel categories, capturing subtle features that category-level estimation overlooks. These statistics are fused through linear interpolation to form a robust distribution for novel categories, ensuring both diversity and representativeness in generated samples. Additionally, HGDE employs refined estimation techniques, such as weighted summation for mean calculation and principal component retention for covariance, to further improve accuracy. Empirical evaluations on four FSL benchmarks, including Mini-ImageNet, Tiered-ImageNet, CUB and CIFAR-FS, demonstrate that HGDE offers effective distribution estimation capabilities and leads to notable accuracy gains, with improvements of more than 1.8% in 1-shot tasks on CUB. These results highlight HGDE’s ability to balance mean precision and variance diversity, making it a versatile and effective solution for FSL.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CGMNet：用于高光谱变化检测的基于中心像素和门控机制的注意网络</w:t>
      </w:r>
    </w:p>
    <w:p>
      <w:r>
        <w:rPr>
          <w:rFonts w:ascii="Times New Roman" w:hAnsi="Times New Roman" w:eastAsia="宋体"/>
          <w:b/>
          <w:color w:val="003264"/>
          <w:sz w:val="24"/>
        </w:rPr>
        <w:t>CGMNet: A Center-Pixel and Gated Mechanism-based Attention Network for Hyperspectral Change Detection</w:t>
      </w:r>
    </w:p>
    <w:p>
      <w:r>
        <w:rPr>
          <w:rFonts w:ascii="Times New Roman" w:hAnsi="Times New Roman" w:eastAsia="宋体"/>
          <w:sz w:val="21"/>
        </w:rPr>
        <w:t>作者: Lanxin Wu, Jiangtao Peng, Bing Yang, Weiwei Sun, Mingzhu Huang</w:t>
        <w:br/>
      </w:r>
      <w:r>
        <w:rPr>
          <w:rFonts w:ascii="Times New Roman" w:hAnsi="Times New Roman" w:eastAsia="宋体"/>
          <w:sz w:val="21"/>
        </w:rPr>
        <w:t xml:space="preserve">时间: 2026 | </w:t>
      </w:r>
      <w:r>
        <w:t xml:space="preserve">链接: </w:t>
      </w:r>
      <w:hyperlink r:id="rId141">
        <w:r>
          <w:rPr>
            <w:rFonts w:ascii="Times New Roman" w:hAnsi="Times New Roman" w:eastAsia="宋体"/>
            <w:color w:val="0000FF"/>
            <w:sz w:val="21"/>
            <w:u w:val="single"/>
          </w:rPr>
          <w:t>https://doi.org/10.1109/tip.2026.3661851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高光谱图像（HSI）中的变化检测（CD）已成为遥感中日益重要的研究领域。在过去的几年中，深度学习方法的采用，特别是卷积神经网络（CNN）和基于 Transformer 的架构，在该领域取得了显着的进步。虽然这些模型有效地捕获了光谱空间特征，但它们也可能引入冗余或不相关的空间信息，从而可能降低 HSI CD 的准确性。为了应对这一挑战，针对 HSI CD 提出了一种基于中心像素和门控机制的注意网络（CGMNet），利用中心像素的重要性来提高准确性和鲁棒性。首先，设计基于门控的中心空间注意力（GCSA）模块来强调中心像素周围的空间关系。通过结合门控机制，GCSA 选择性地增强相关的空间特征，同时抑制不相关的信息。其次，提出了基于门控的光谱注意（GSA）模块来动态突出最重要的光谱特征，确保有效的光谱表示。最后，提出了全局变换融合（GTF）模块来捕获全局上下文信息并将其与提取的空间和光谱特征融合。此外，我们引入了一个新颖的基准数据集，名为杭州湾（HZB），专门为推进沿海遥感研究而设计。对三个公开可用的数据集以及 HZB 数据集进行的实验评估表明，我们的 CGMNet 在 HSI CD 任务中始终优于一些最先进的方法。拟议的 CGMNet 源代码以及 HZB 数据集将在 https://github.com/creativeXin/CGMNet 上公开提供。</w:t>
      </w:r>
    </w:p>
    <w:p>
      <w:pPr>
        <w:spacing w:before="120"/>
      </w:pPr>
      <w:r>
        <w:rPr>
          <w:rFonts w:ascii="Times New Roman" w:hAnsi="Times New Roman" w:eastAsia="宋体"/>
          <w:b/>
          <w:sz w:val="21"/>
        </w:rPr>
        <w:t>English Abstract:</w:t>
      </w:r>
    </w:p>
    <w:p>
      <w:r>
        <w:rPr>
          <w:rFonts w:ascii="Times New Roman" w:hAnsi="Times New Roman" w:eastAsia="宋体"/>
          <w:sz w:val="21"/>
        </w:rPr>
        <w:t>Change detection (CD) in hyperspectral images (HSIs) has become an increasingly vital research field in remote sensing. Over the past few years, the adoption of deep learning approaches, particularly convolutional neural network (CNN) and transformer-based architectures have significantly advanced performance in this field. While these models effectively capture spectral-spatial features, they may also introduce redundant or irrelevant spatial information, potentially degrading the accuracy of HSI CD. To address this challenge, a center-pixel and gated mechanism-based attention network (CGMNet) is proposed for HSI CD, leveraging the central pixel’s significance to enhance accuracy and robustness. First, a gated-based center spatial attention (GCSA) module is designed to emphasize spatial relationships surrounding the central pixel. By incorporating gating mechanisms, GCSA selectively enhances relevant spatial features while suppressing irrelevant information. Second, a gated-based spectral attention (GSA) module is proposed to dynamically highlight the most significant spectral features, ensuring an effective spectral representation. Finally, a global transform fusion (GTF) module is proposed to capture global contextual information and to fuse it with the extracted spatial and spectral features. Moreover, we introduce a novel benchmark dataset, named the Hangzhou Bay (HZB), specifically designed to advance coastal remote sensing research. Experimental evaluations conducted on three publicly available datasets, as well as the HZB dataset, show that our CGMNet consistently outperforms some state-of-the-art methods in the HSI CD task. The source code of the proposed CGMNet, along with the HZB dataset, will be made publicly available at https://github.com/creativeXin/CGMNet.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06:32 ---</w:t>
      </w:r>
    </w:p>
    <w:p>
      <w:pPr>
        <w:pStyle w:val="Heading2"/>
      </w:pPr>
      <w:r/>
      <w:r>
        <w:rPr>
          <w:rFonts w:ascii="Times New Roman" w:hAnsi="Times New Roman" w:eastAsia="宋体"/>
          <w:b/>
          <w:color w:val="000000"/>
          <w:sz w:val="24"/>
        </w:rPr>
        <w:t>增强基于 MMDiT 的文本到图像模型以生成类似主题</w:t>
      </w:r>
    </w:p>
    <w:p>
      <w:r>
        <w:rPr>
          <w:rFonts w:ascii="Times New Roman" w:hAnsi="Times New Roman" w:eastAsia="宋体"/>
          <w:b/>
          <w:color w:val="003264"/>
          <w:sz w:val="24"/>
        </w:rPr>
        <w:t>Enhancing MMDiT-Based Text-to-Image Models for Similar Subject Generation</w:t>
      </w:r>
    </w:p>
    <w:p>
      <w:r>
        <w:rPr>
          <w:rFonts w:ascii="Times New Roman" w:hAnsi="Times New Roman" w:eastAsia="宋体"/>
          <w:sz w:val="21"/>
        </w:rPr>
        <w:t>作者: Tianyi Wei, Dongdong Chen, Yifan Zhou, Xingang Pan</w:t>
        <w:br/>
      </w:r>
      <w:r>
        <w:rPr>
          <w:rFonts w:ascii="Times New Roman" w:hAnsi="Times New Roman" w:eastAsia="宋体"/>
          <w:sz w:val="21"/>
        </w:rPr>
        <w:t xml:space="preserve">时间: 2026 | </w:t>
      </w:r>
      <w:r>
        <w:t xml:space="preserve">链接: </w:t>
      </w:r>
      <w:hyperlink r:id="rId142">
        <w:r>
          <w:rPr>
            <w:rFonts w:ascii="Times New Roman" w:hAnsi="Times New Roman" w:eastAsia="宋体"/>
            <w:color w:val="0000FF"/>
            <w:sz w:val="21"/>
            <w:u w:val="single"/>
          </w:rPr>
          <w:t>https://doi.org/10.1109/tpami.2026.3663759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最新的多模态扩散变换器 (MMDiT) 代表了文本到图像模型的尖端技术，在很大程度上缓解了先前模型中存在的许多生成问题。然而，我们发现当输入文本提示包含多个具有相似语义或外观的主题时，它仍然会遭受主题忽略或混合的问题。我们确定了 MMDiT 架构中导致此问题的三种可能的歧义：块间歧义、文本编码器歧义和语义歧义。为了解决这些问题，我们建议通过早期去噪步骤的测试时优化来修复不明确的潜在潜在问题。具体来说，我们设计了三个损失函数：块对齐损失、文本编码器对齐损失和重叠损失，每个损失函数都是为了减轻这些歧义而定制的。尽管有了显着的改进，但我们观察到，在生成多个相似主题时，语义歧义仍然存在，因为重叠损失提供的指导不够明确。因此，我们进一步提出重叠在线检测和回开始采样策略来缓解该问题。在类似主题的新构建的具有挑战性的数据集上的实验结果验证了我们的方法的有效性，显示出优于现有方法的卓越的生成质量和更高的成功率。在多个基于 MMDiT 的文本到图像模型（例如 SD3、SD3.5 和 FLUX）中观察到的一致且实质性的改进为我们的方法的普遍适用性提供了有力的证据。项目页面：https://wtybest.github.io/projects/EnMMDiT/</w:t>
      </w:r>
    </w:p>
    <w:p>
      <w:pPr>
        <w:spacing w:before="120"/>
      </w:pPr>
      <w:r>
        <w:rPr>
          <w:rFonts w:ascii="Times New Roman" w:hAnsi="Times New Roman" w:eastAsia="宋体"/>
          <w:b/>
          <w:sz w:val="21"/>
        </w:rPr>
        <w:t>English Abstract:</w:t>
      </w:r>
    </w:p>
    <w:p>
      <w:r>
        <w:rPr>
          <w:rFonts w:ascii="Times New Roman" w:hAnsi="Times New Roman" w:eastAsia="宋体"/>
          <w:sz w:val="21"/>
        </w:rPr>
        <w:t>Representing the cutting-edge technique of text-to-image models, the latest Multimodal Diffusion Transformer (MMDiT) largely mitigates many generation issues existing in previous models. However, we discover that it still suffers from subject neglect or mixing when the input text prompt contains multiple subjects of similar semantics or appearance. We identify three possible ambiguities within the MMDiT architecture that cause this problem: Inter-block Ambiguity, Text Encoder Ambiguity, and Semantic Ambiguity. To address these issues, we propose to repair the ambiguous latent on-the-fly by test-time optimization at early denoising steps. In detail, we design three loss functions: Block Alignment Loss, Text Encoder Alignment Loss, and Overlap Loss, each tailored to mitigate these ambiguities. Despite significant improvements, we observe that semantic ambiguity persists when generating multiple similar subjects, as the guidance provided by overlap loss is not explicit enough. Therefore, we further propose Overlap Online Detection and Back-to-Start Sampling Strategy to alleviate the problem. Experimental results on a newly constructed challenging dataset of similar subjects validate the effectiveness of our approach, showing superior generation quality and much higher success rates over existing methods. The consistent and substantial improvements observed across multiple MMDiT based text-to-image models such as SD3, SD3.5 and FLUX provide strong evidence of the general applicability of our method. Project page: https://wtybest.github.io/projects/EnMMDiT/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鲁棒可信冲突多视图协作对比学习</w:t>
      </w:r>
    </w:p>
    <w:p>
      <w:r>
        <w:rPr>
          <w:rFonts w:ascii="Times New Roman" w:hAnsi="Times New Roman" w:eastAsia="宋体"/>
          <w:b/>
          <w:color w:val="003264"/>
          <w:sz w:val="24"/>
        </w:rPr>
        <w:t>Robust Trusted Conflictive Multiview Collaborative Contrastive Learning</w:t>
      </w:r>
    </w:p>
    <w:p>
      <w:r>
        <w:rPr>
          <w:rFonts w:ascii="Times New Roman" w:hAnsi="Times New Roman" w:eastAsia="宋体"/>
          <w:sz w:val="21"/>
        </w:rPr>
        <w:t>作者: Shaobo Hu, Hui Huang, Nan Zhang, Shiliang Sun</w:t>
        <w:br/>
      </w:r>
      <w:r>
        <w:rPr>
          <w:rFonts w:ascii="Times New Roman" w:hAnsi="Times New Roman" w:eastAsia="宋体"/>
          <w:sz w:val="21"/>
        </w:rPr>
        <w:t xml:space="preserve">时间: 2026 | </w:t>
      </w:r>
      <w:r>
        <w:t xml:space="preserve">链接: </w:t>
      </w:r>
      <w:hyperlink r:id="rId143">
        <w:r>
          <w:rPr>
            <w:rFonts w:ascii="Times New Roman" w:hAnsi="Times New Roman" w:eastAsia="宋体"/>
            <w:color w:val="0000FF"/>
            <w:sz w:val="21"/>
            <w:u w:val="single"/>
          </w:rPr>
          <w:t>https://doi.org/10.1109/tpami.2026.3663788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多视图学习方法已被广泛研究，但它们大多侧重于提高准确性，而忽略了决策的不确定性。在现实世界中，多视图数据经常遇到错位问题，导致冲突实例，并进一步限制这些方法在安全关键领域的应用。最近，人们通过估计决策不确定性来提高多视图学习方法的可靠性，但大多数方法常常由于无法处理冲突实例而导致性能下降。为了解决这个问题，我们提出了一种鲁棒可信冲突多视图协作对比学习（RCMCL）方法，该方法增强了模型在冲突多视图场景中的鲁棒性和泛化能力。具体来说，RCMCL 首先使用证据深度神经网络构建特定观点的观点，然后采用基于不和谐的证据对比学习来增强这些观点在不同观点之间的一致性。随后，RCMCL 对一致证据和补充证据进行协作学习。它首先将空缺度引入补充证据中以提取更多有用的信息，然后采用类别级别的对比学习来分离一致证据和补充证据。此外，结合一致和补充的证据来做出联合决定。最后，八个基准数据集的实验结果验证了 RCMCL 相对于最先进方法的优越性。代码已发布在 https://github.com/hushaobo01/RCMCL-main 。</w:t>
      </w:r>
    </w:p>
    <w:p>
      <w:pPr>
        <w:spacing w:before="120"/>
      </w:pPr>
      <w:r>
        <w:rPr>
          <w:rFonts w:ascii="Times New Roman" w:hAnsi="Times New Roman" w:eastAsia="宋体"/>
          <w:b/>
          <w:sz w:val="21"/>
        </w:rPr>
        <w:t>English Abstract:</w:t>
      </w:r>
    </w:p>
    <w:p>
      <w:r>
        <w:rPr>
          <w:rFonts w:ascii="Times New Roman" w:hAnsi="Times New Roman" w:eastAsia="宋体"/>
          <w:sz w:val="21"/>
        </w:rPr>
        <w:t>Although multiview learning methods have been widely studied, they mostly focus on improving accuracy while ignoring decision uncertainty. In the real world, multiview data often encounters misalignment issues, resulting in conflictive instances and further limiting the application of these methods in safety-critical domains. Recently, some efforts have been made to improve the reliability of multiview learning methods by estimating decision uncertainty, but most methods often experience performance degradation due to their inability to handle conflictive instances. To address this issue, we propose a Robust Trusted Conflictive Multiview Collaborative Contrastive Learning (RCMCL) method, which enhances the model's robustness and generalization ability in conflictive multiview scenarios. Specifically, RCMCL first uses an evidential deep neural network to construct view-specific opinions, and then employs dissonance-based evidence contrastive learning to enhance the consistency of these opinions across different views. Subsequently, RCMCL performs collaborative learning of consistent evidence and complementary evidence. It first introduces the vacuity degree into the complementary evidence to extract more useful information, and then employs category-level contrastive learning to separate consistent and complementary evidence. In addition, consistent and complementary evidence is combined to make a joint decision. Finally, experimental results on eight benchmark datasets verify the superiority of RCMCL over state-of-the-art methods. The codes have been released at https://github.com/hushaobo01/RCMCL-main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通过层自适应 PID 控制提高少样本任务的学习效率</w:t>
      </w:r>
    </w:p>
    <w:p>
      <w:r>
        <w:rPr>
          <w:rFonts w:ascii="Times New Roman" w:hAnsi="Times New Roman" w:eastAsia="宋体"/>
          <w:b/>
          <w:color w:val="003264"/>
          <w:sz w:val="24"/>
        </w:rPr>
        <w:t>Boosting Learning Efficiency in Few-Shot Tasks With Layer-Adaptive PID Control</w:t>
      </w:r>
    </w:p>
    <w:p>
      <w:r>
        <w:rPr>
          <w:rFonts w:ascii="Times New Roman" w:hAnsi="Times New Roman" w:eastAsia="宋体"/>
          <w:sz w:val="21"/>
        </w:rPr>
        <w:t>作者: Pengfei Zhang, Xinde Li, Le Yu, Zhentong Zhang, Fir Dunkin, Huaping Liu, Zhijun Li</w:t>
        <w:br/>
      </w:r>
      <w:r>
        <w:rPr>
          <w:rFonts w:ascii="Times New Roman" w:hAnsi="Times New Roman" w:eastAsia="宋体"/>
          <w:sz w:val="21"/>
        </w:rPr>
        <w:t xml:space="preserve">时间: 2026 | </w:t>
      </w:r>
      <w:r>
        <w:t xml:space="preserve">链接: </w:t>
      </w:r>
      <w:hyperlink r:id="rId144">
        <w:r>
          <w:rPr>
            <w:rFonts w:ascii="Times New Roman" w:hAnsi="Times New Roman" w:eastAsia="宋体"/>
            <w:color w:val="0000FF"/>
            <w:sz w:val="21"/>
            <w:u w:val="single"/>
          </w:rPr>
          <w:t>https://doi.org/10.1109/tpami.2026.3663608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小样本学习旨在从有限的例子中识别新的类别。与模型无关的元学习 (MAML) 以其简单性和灵活性而闻名，它学习有效的初始化，以便在数据稀缺的环境中快速适应。然而，当训练和测试任务之间存在显着的分配变化时，基于 MAML 的方法面临挑战，导致学习效率低下和跨领域泛化能力差。在这项工作中，我们确定了核心问题：不灵活的权重更新规则和有限的自适应学习能力。我们的目标不是仅仅关注更好的初始化，而是增强适应过程。因此，我们提出了一种集成到元学习框架中的新型层自适应比例积分微分（LA-PID）优化器。该设计结合了经典控制理论，利用 PID 控制来动态调整每个网络层的特定任务增益。此外，还从控制和优化的角度解决了最佳超参数初始化和全局模型收敛的理论条件。基准数据集上的实验表明，LA-PID 在少样本分类、跨域和回归任务中实现了最先进的性能，同时需要更少的训练步骤。</w:t>
      </w:r>
    </w:p>
    <w:p>
      <w:pPr>
        <w:spacing w:before="120"/>
      </w:pPr>
      <w:r>
        <w:rPr>
          <w:rFonts w:ascii="Times New Roman" w:hAnsi="Times New Roman" w:eastAsia="宋体"/>
          <w:b/>
          <w:sz w:val="21"/>
        </w:rPr>
        <w:t>English Abstract:</w:t>
      </w:r>
    </w:p>
    <w:p>
      <w:r>
        <w:rPr>
          <w:rFonts w:ascii="Times New Roman" w:hAnsi="Times New Roman" w:eastAsia="宋体"/>
          <w:sz w:val="21"/>
        </w:rPr>
        <w:t>Few-shot learning seeks to recognize novel classes from limited examples. Model-agnostic meta-learning (MAML), known for its simplicity and flexibility, learns an effective initialization for fast adaptation in data-scarce settings. However, MAML-based methods face challenges when there is a significant distributional shift between training and testing tasks, leading to inefficient learning and poor generalization across domains. In this work, we identify the core issues: inflexible weight update rules and limited adaptive learning capabilities. Instead of focusing solely on better initialization, we aim to enhance the adaptation process. Consequently, we propose a novel Layer-Adaptive Proportional-Integral-Derivative (LA-PID) optimizer integrated into a meta-learning framework. This design incorporates classical control theory, utilizing PID control to dynamically adjust task-specific gains at each network layer. Additionally, the theoretical conditions for optimal hyperparameter initialization and global model convergence are addressed from both control and optimization perspectives. Experiments on benchmark datasets show that LA-PID achieves state-of-the-art performance in few-shot classification, cross-domain, and regression tasks, while requiring fewer training steps.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ADVersa：绑架驾驶事故视频理解</w:t>
      </w:r>
    </w:p>
    <w:p>
      <w:r>
        <w:rPr>
          <w:rFonts w:ascii="Times New Roman" w:hAnsi="Times New Roman" w:eastAsia="宋体"/>
          <w:b/>
          <w:color w:val="003264"/>
          <w:sz w:val="24"/>
        </w:rPr>
        <w:t>ADVersa: Abductive Driving Accident Video Understanding</w:t>
      </w:r>
    </w:p>
    <w:p>
      <w:r>
        <w:rPr>
          <w:rFonts w:ascii="Times New Roman" w:hAnsi="Times New Roman" w:eastAsia="宋体"/>
          <w:sz w:val="21"/>
        </w:rPr>
        <w:t>作者: Lei-Lei Li, Jianwu Fang, Junbin Xiao, Hongkai Yu, Chen Lv, Jianru Xue, Zhengguo Li, Tat-Seng Chua</w:t>
        <w:br/>
      </w:r>
      <w:r>
        <w:rPr>
          <w:rFonts w:ascii="Times New Roman" w:hAnsi="Times New Roman" w:eastAsia="宋体"/>
          <w:sz w:val="21"/>
        </w:rPr>
        <w:t xml:space="preserve">时间: 2026 | </w:t>
      </w:r>
      <w:r>
        <w:t xml:space="preserve">链接: </w:t>
      </w:r>
      <w:hyperlink r:id="rId145">
        <w:r>
          <w:rPr>
            <w:rFonts w:ascii="Times New Roman" w:hAnsi="Times New Roman" w:eastAsia="宋体"/>
            <w:color w:val="0000FF"/>
            <w:sz w:val="21"/>
            <w:u w:val="single"/>
          </w:rPr>
          <w:t>https://doi.org/10.1109/tpami.2026.3663545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理解交通事故场景是基于视觉的安全驾驶的长期研究。它试图回答事故发生的原因、接近事故的场景是如何发展的以及事故的关键要素是什么。由于事故数据的稀缺性和碎片化以及事故环境的复杂性，这项研究具有挑战性。为了研究这一点，我们提出了一个归纳驾驶事故视频理解（ADVersa）的框架，它为不存在的近乎碰撞的场景推断出合理的视觉和文本解释。 ADVersa 强调三组任务：1）接近碰撞场景的视觉过去恢复，2）接近碰撞场景的视觉预测，以及 3）涉及视频合成的事故原因。为了支持这项研究，我们首先贡献 MM-AU，这是一个用于多模态事故视频理解的新颖数据集。 MM-AU 包含 11,727 个野外驾驶事故视频以及时间对齐的文本描述、223 万个注释良好的对象框以及 58,650 对基于视频的事故原因文本。然后，我们提出了溯因 CLIP 模型和对比图视频预训练（CGVP）模型，它们利用关系感知跨模态语义学习来驱动空间溯因和时间溯因事故视频扩散。大量实验验证了 ADVersa 在不同任务上相对于最先进方法的优越性，即历史近崩溃视频帧恢复、崩溃视频帧预测、文本事故原因和类别推理、正常到事故视频合成和事故视频编辑。通过这些努力，我们希望这项研究能够推动多模态事故视频理解的进展。</w:t>
      </w:r>
    </w:p>
    <w:p>
      <w:pPr>
        <w:spacing w:before="120"/>
      </w:pPr>
      <w:r>
        <w:rPr>
          <w:rFonts w:ascii="Times New Roman" w:hAnsi="Times New Roman" w:eastAsia="宋体"/>
          <w:b/>
          <w:sz w:val="21"/>
        </w:rPr>
        <w:t>English Abstract:</w:t>
      </w:r>
    </w:p>
    <w:p>
      <w:r>
        <w:rPr>
          <w:rFonts w:ascii="Times New Roman" w:hAnsi="Times New Roman" w:eastAsia="宋体"/>
          <w:sz w:val="21"/>
        </w:rPr>
        <w:t>Understanding traffic accident scenes is a long-standing research for vision-based safe driving. It seeks to answer why accidents occur, how near-crash scenes develop, and what the key elements of an accident are. This research is challenging due to the scarcity and fragmentation of accident data, as well as the complex accident environments. To study this, we present a framework of A bductive D riving accident V ideo und ers t a nding ( ADVersa ), which infers a plausible visual and textual explanation for the absent near-crash scenes. ADVersa underscores three groups of tasks: 1) visual past recovery of near-crash scenes , 2) visual prediction of near-crash scenes , and 3) accident cause involved video synthesis . To support the study, we first contribute MM-AU , a novel dataset for M ulti- M odal A ccident video U nderstanding. MM-AU contains 11,727 in-the-wild driving accident videos with temporally aligned text descriptions, 2.23 million well-annotated object boxes, and 58,650 pairs of video-based accident cause texts. We then propose an Abductive CLIP model and a Contrastive Graph Video Pre-training (CGVP) model, which exploit relation-aware cross-modal semantic learning to drive spatially abductive and temporally abductive accident video diffusion. Extensive experiments verify the superiority of ADVersa to the state-of-the-art approaches on different tasks, i.e. , historical near-crash video frame recovering, crashing video frame prediction, textual accident cause and category reasoning, normal-to-accident video synthesis, and accident video editing. With these efforts, we hope this research can advance the progress on multimodal accident video understanding.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DREAM：Deepfake 照片真实感评估基准研究</w:t>
      </w:r>
    </w:p>
    <w:p>
      <w:r>
        <w:rPr>
          <w:rFonts w:ascii="Times New Roman" w:hAnsi="Times New Roman" w:eastAsia="宋体"/>
          <w:b/>
          <w:color w:val="003264"/>
          <w:sz w:val="24"/>
        </w:rPr>
        <w:t>DREAM: A Benchmark Study for Deepfake photoREalism AssessMent</w:t>
      </w:r>
    </w:p>
    <w:p>
      <w:r>
        <w:rPr>
          <w:rFonts w:ascii="Times New Roman" w:hAnsi="Times New Roman" w:eastAsia="宋体"/>
          <w:sz w:val="21"/>
        </w:rPr>
        <w:t>作者: Bo Peng, Zichuan Wang, Sheng Yu, Xiaochuan Jin, Wei Wang, Jing Dong</w:t>
        <w:br/>
      </w:r>
      <w:r>
        <w:rPr>
          <w:rFonts w:ascii="Times New Roman" w:hAnsi="Times New Roman" w:eastAsia="宋体"/>
          <w:sz w:val="21"/>
        </w:rPr>
        <w:t xml:space="preserve">时间: 2026 | </w:t>
      </w:r>
      <w:r>
        <w:t xml:space="preserve">链接: </w:t>
      </w:r>
      <w:hyperlink r:id="rId146">
        <w:r>
          <w:rPr>
            <w:rFonts w:ascii="Times New Roman" w:hAnsi="Times New Roman" w:eastAsia="宋体"/>
            <w:color w:val="0000FF"/>
            <w:sz w:val="21"/>
            <w:u w:val="single"/>
          </w:rPr>
          <w:t>https://doi.org/10.1109/tpami.2026.3663547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基于深度学习的换脸视频，即众所周知的 Deepfakes，由于对信息可信度的威胁而引起了广泛关注。最近的工作主要集中在深度伪造品检测问题上，旨在以客观的方式可靠地区分深度伪造品和真实的伪造品。另一方面，深度伪造品的主观感知，尤其是其计算建模和模仿，也是一个重要问题，但缺乏足够的研究。在本文中，我们重点关注 Deepfakes 的真实感评估，其定义为对 Deepfakes 真实感的自动评估，接近人类对 Deepfakes 的感知。它对于评估 Deepfakes 的质量和欺骗性具有重要意义，可用于预测 Deepfakes 对互联网的影响，并且还具有作为批评者改进 Deepfakes 生成过程的潜力。本文通过提出一个名为 DREAM 的综合基准来推动这一新方向，DREAM 代表 Deepfake photoREalism AssessMent。它由不同质量的 Deepfake 视频数据集、包括从 3,500 名人类注释者获得的 140,000 个真实感评分和文本描述的大规模注释，以及对 18 种代表性真实感评估方法（包括最近基于大型视觉语言模型的方法和新提出的描述对齐 CLIP 方法）的综合评估和分析组成。本研究中包含的基准和见解可以为该方向和其他相关领域的未来研究奠定基础。我们将数据集提供给研究社区：https://github.com/bomb2peng/DREAM-A-Benchmark-Study-for-Deepfake-photoREalism-AssessMent。</w:t>
      </w:r>
    </w:p>
    <w:p>
      <w:pPr>
        <w:spacing w:before="120"/>
      </w:pPr>
      <w:r>
        <w:rPr>
          <w:rFonts w:ascii="Times New Roman" w:hAnsi="Times New Roman" w:eastAsia="宋体"/>
          <w:b/>
          <w:sz w:val="21"/>
        </w:rPr>
        <w:t>English Abstract:</w:t>
      </w:r>
    </w:p>
    <w:p>
      <w:r>
        <w:rPr>
          <w:rFonts w:ascii="Times New Roman" w:hAnsi="Times New Roman" w:eastAsia="宋体"/>
          <w:sz w:val="21"/>
        </w:rPr>
        <w:t>Deep learning based face-swap videos, widely known as deepfakes, have drawn wide attention due to their threat to information credibility. Recent works mainly focus on the problem of deepfake detection that aims to reliably tell deepfakes apart from real ones, in an objective way. On the other hand, the subjective perception of deepfakes, especially its computational modeling and imitation, is also a significant problem but lacks adequate study. In this paper, we focus on the photorealism assessment of deepfakes, which is defined as the automatic assessment of deepfake photorealism that approximates human perception of deepfakes. It is important for evaluating the quality and deceptiveness of deepfakes which can be used for predicting the influence of deepfakes on Internet, and it also has potentials in improving the deepfake generation process by serving as a critic. This paper promotes this new direction by presenting a comprehensive benchmark called DREAM, which stands for Deepfake photoREalism AssessMent. It is comprised of a deepfake video dataset of diverse quality, a large scale annotation that includes 140,000 photorealism scores and textual descriptions obtained from 3,500 human annotators, and a comprehensive evaluation and analysis of 18 representative photorealism assessment methods, including recent large vision language model based methods and a newly proposed description-aligned CLIP method. The benchmark and insights included in this study can lay the foundation for future research in this direction and other related areas. We make the dataset available to the research community at https://github.com/bomb2peng/DREAM-A-Benchmark-Study-for-Deepfake-photoREalism-AssessMent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探索和定制顺序推荐的测试时间增强</w:t>
      </w:r>
    </w:p>
    <w:p>
      <w:r>
        <w:rPr>
          <w:rFonts w:ascii="Times New Roman" w:hAnsi="Times New Roman" w:eastAsia="宋体"/>
          <w:b/>
          <w:color w:val="003264"/>
          <w:sz w:val="24"/>
        </w:rPr>
        <w:t>Exploring and Tailoring the Test-Time Augmentation for Sequential Recommendation</w:t>
      </w:r>
    </w:p>
    <w:p>
      <w:r>
        <w:rPr>
          <w:rFonts w:ascii="Times New Roman" w:hAnsi="Times New Roman" w:eastAsia="宋体"/>
          <w:sz w:val="21"/>
        </w:rPr>
        <w:t>作者: Yizhou Dang, Enneng Yang, Yuting Liu, Jianzhe Zhao, Xingwei Wang, Guibing Guo</w:t>
        <w:br/>
      </w:r>
      <w:r>
        <w:rPr>
          <w:rFonts w:ascii="Times New Roman" w:hAnsi="Times New Roman" w:eastAsia="宋体"/>
          <w:sz w:val="21"/>
        </w:rPr>
        <w:t xml:space="preserve">时间: 2026 | </w:t>
      </w:r>
      <w:r>
        <w:t xml:space="preserve">链接: </w:t>
      </w:r>
      <w:hyperlink r:id="rId147">
        <w:r>
          <w:rPr>
            <w:rFonts w:ascii="Times New Roman" w:hAnsi="Times New Roman" w:eastAsia="宋体"/>
            <w:color w:val="0000FF"/>
            <w:sz w:val="21"/>
            <w:u w:val="single"/>
          </w:rPr>
          <w:t>https://doi.org/10.1109/tpami.2026.3663633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据增强是解决顺序推荐（SR）中数据稀疏性的有效技术。现有方法在模型训练期间生成新数据以提高性能。然而，将它们部署在骨干模型上需要重新训练、架构修改或引入额外的模块和可学习的参数。对于训练有素的模型来说，这些过程非常耗时且成本高昂，尤其是当模型和数据规模变大时。在这项工作中，我们探索了 SR 的测试时间增强 (TTA)，它在推理阶段增强输入序列，然后融合模型的预测以提高最终准确性。它避免了与训练时间增加相关的大量开销。我们首先通过实验检查现有增强算子在 TTA 中的潜力，发现 Substitute 和 Mask 始终能够实现更好的性能。进一步的分析表明，这两个算子保留了原始的顺序模式，同时添加了适当的扰动。此外，随机选择增强位置可以从语义和时间角度创建合适的增强样本。同时，我们发现固定的操作比率限制了增强数据的多样性，并且TTA可能会损害模型在长序列上的性能。此外，这两个操作员仍然面临着耗时的基于相似性的项目选择或来自掩模标记的干扰。基于分析和局限性，我们提出了 TNoise 和 TMask。前者将均匀的噪声注入到表示中，避免了项目选择的计算开销。后者阻止掩码令牌参与模型计算（TMask-B）或直接删除本应用掩码令牌替换的交互（TMask-R）。此外，我们从均匀分布中对增强率进行采样，以提高数据多样性。对于短序列，我们引入了基于项间插值的序列平滑和延长方法。对于长序列，我们设置一个阈值来避免 TTA 的负面影响。综合实验证明了我们方法的有效性、效率和普遍性。</w:t>
      </w:r>
    </w:p>
    <w:p>
      <w:pPr>
        <w:spacing w:before="120"/>
      </w:pPr>
      <w:r>
        <w:rPr>
          <w:rFonts w:ascii="Times New Roman" w:hAnsi="Times New Roman" w:eastAsia="宋体"/>
          <w:b/>
          <w:sz w:val="21"/>
        </w:rPr>
        <w:t>English Abstract:</w:t>
      </w:r>
    </w:p>
    <w:p>
      <w:r>
        <w:rPr>
          <w:rFonts w:ascii="Times New Roman" w:hAnsi="Times New Roman" w:eastAsia="宋体"/>
          <w:sz w:val="21"/>
        </w:rPr>
        <w:t>Data augmentation is an effective technique for tackling data sparsity in sequential recommendation (SR). Existing methods generate new data during the model training to improve the performance. However, deploying them on a backbone model requires retraining, architecture modification, or introducing additional modules and learnable parameters. These processes are time-consuming and costly for well-trained models, especially when the model and data scales become large. In this work, we explore the test-time augmentation (TTA) for SR, which augments the input sequences during the inference phase and then fuses the model's predictions to improve final accuracy. It avoids the significant overhead associated with training-time augmentation. We first experimentally examine the potential of existing augmentation operators for TTA and find that the Substitute and Mask consistently achieve better performance. Further analysis reveals that these two operators retain the original sequential pattern while adding appropriate perturbations. Moreover, the random selection of augmentation positions creates suitable augmented samples from both semantic and temporal perspectives. Meanwhile, we find that the fixed operation ratio limits the diversity of augmented data, and the TTA may impair the model's performance on long sequences. In addition, the two operators still face time-consuming similarity-based item selection or interference from mask tokens. Based on the analysis and limitations, we present TNoise and TMask. The former injects uniform noise into the representation, avoiding the computational overhead of item selection. The latter blocks mask tokens from participating in model calculations (TMask-B) or directly removes interactions that should have been replaced with mask tokens (TMask-R). Further, we sample the augmentation ratio from a uniform distribution to improve the data diversity. For short sequences, we introduce a sequence smoothing and lengthening method based on inter-item interpolation. For long sequences, we set a threshold to avoid the negative effects of TTA. Comprehensive experiments demonstrate the effectiveness, efficiency, and generalizability of our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联邦统计异质性的广义分布聚合协议</w:t>
      </w:r>
    </w:p>
    <w:p>
      <w:r>
        <w:rPr>
          <w:rFonts w:ascii="Times New Roman" w:hAnsi="Times New Roman" w:eastAsia="宋体"/>
          <w:b/>
          <w:color w:val="003264"/>
          <w:sz w:val="24"/>
        </w:rPr>
        <w:t>Generalized Distribution Aggregation Protocol for Federated Statistical Heterogeneity</w:t>
      </w:r>
    </w:p>
    <w:p>
      <w:r>
        <w:rPr>
          <w:rFonts w:ascii="Times New Roman" w:hAnsi="Times New Roman" w:eastAsia="宋体"/>
          <w:sz w:val="21"/>
        </w:rPr>
        <w:t>作者: Mingwei Xu, Xiaofeng Cao, Ivor W. Tsang, James T. Kwok, Heng Tao Shen</w:t>
        <w:br/>
      </w:r>
      <w:r>
        <w:rPr>
          <w:rFonts w:ascii="Times New Roman" w:hAnsi="Times New Roman" w:eastAsia="宋体"/>
          <w:sz w:val="21"/>
        </w:rPr>
        <w:t xml:space="preserve">时间: 2026 | </w:t>
      </w:r>
      <w:r>
        <w:t xml:space="preserve">链接: </w:t>
      </w:r>
      <w:hyperlink r:id="rId148">
        <w:r>
          <w:rPr>
            <w:rFonts w:ascii="Times New Roman" w:hAnsi="Times New Roman" w:eastAsia="宋体"/>
            <w:color w:val="0000FF"/>
            <w:sz w:val="21"/>
            <w:u w:val="single"/>
          </w:rPr>
          <w:t>https://doi.org/10.1109/tpami.2026.3663744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联合异构性是指不同设备或机构实体之间的数据分布、模型架构和通信能力的差异。在现实场景中，统计异质性通常会导致无效聚合，严重影响泛化性能并导致模型权重有偏差或不稳定。理论上，分布稳健性分析表明学习模型的泛化性能对于任何异质性分布都是有界的。这种见解促使我们重新考虑联合统计异质性场景中的聚合策略，因此我们提出了一种新的加权聚合协议，该协议考虑每个局部模型的泛化界限分歧。具体来说，我们估计当前局部模型的平移分布的二阶原点矩的上下界，并使用这些界限分歧作为每轮通信中权重的聚合比例。我们的实验表明，这种提出的聚合协议显着提高了基准数据集上几种代表性联邦学习算法的性能。</w:t>
      </w:r>
    </w:p>
    <w:p>
      <w:pPr>
        <w:spacing w:before="120"/>
      </w:pPr>
      <w:r>
        <w:rPr>
          <w:rFonts w:ascii="Times New Roman" w:hAnsi="Times New Roman" w:eastAsia="宋体"/>
          <w:b/>
          <w:sz w:val="21"/>
        </w:rPr>
        <w:t>English Abstract:</w:t>
      </w:r>
    </w:p>
    <w:p>
      <w:r>
        <w:rPr>
          <w:rFonts w:ascii="Times New Roman" w:hAnsi="Times New Roman" w:eastAsia="宋体"/>
          <w:sz w:val="21"/>
        </w:rPr>
        <w:t>Federated heterogeneity refers to the disparities in data distributions, model architectures, and communication capabilities across various devices or institutional entities. In real-world scenarios, statistical heterogeneity can often lead to ineffective aggregation, severely impacting generalization performance and resulting in biased or unstable model weights. Theoretically, distributional robustness analysis indicates that the generalization performance of a learning model can be bounded with respect to any heterogeneity distribution. This insight motivates us to reconsider the aggregation strategy in federated statistical heterogeneity scenarios, and we thus propose a new weighting aggregation protocol that considers the generalization bound disagreement of each local model. Specifically, we estimate the upper and lower bounds of the second-order origin moment of the shifted distribution for the current local model, and using these bound disagreements as the aggregation proportions for weights in each communication round. Our experiments demonstrate that this proposed aggregation protocol significantly improves the performance of several representative Federated Learning algorithms on benchmark datasets.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OmniHD 场景：用于自动驾驶的下一代多模态数据集</w:t>
      </w:r>
    </w:p>
    <w:p>
      <w:r>
        <w:rPr>
          <w:rFonts w:ascii="Times New Roman" w:hAnsi="Times New Roman" w:eastAsia="宋体"/>
          <w:b/>
          <w:color w:val="003264"/>
          <w:sz w:val="24"/>
        </w:rPr>
        <w:t>OmniHD-Scenes: A Next-Generation Multimodal Dataset for Autonomous Driving</w:t>
      </w:r>
    </w:p>
    <w:p>
      <w:r>
        <w:rPr>
          <w:rFonts w:ascii="Times New Roman" w:hAnsi="Times New Roman" w:eastAsia="宋体"/>
          <w:sz w:val="21"/>
        </w:rPr>
        <w:t>作者: Lianqing Zheng, Long Yang, Qunshu Lin, Wenjin Ai, Minghao Liu, Shouyi Lu, Jianan Liu, Hongze Ren, Jingyue Mo, Xiaokai Bai, Jie Bai, Zhixiong Ma, Xichan Zhu</w:t>
        <w:br/>
      </w:r>
      <w:r>
        <w:rPr>
          <w:rFonts w:ascii="Times New Roman" w:hAnsi="Times New Roman" w:eastAsia="宋体"/>
          <w:sz w:val="21"/>
        </w:rPr>
        <w:t xml:space="preserve">时间: 2026 | </w:t>
      </w:r>
      <w:r>
        <w:t xml:space="preserve">链接: </w:t>
      </w:r>
      <w:hyperlink r:id="rId149">
        <w:r>
          <w:rPr>
            <w:rFonts w:ascii="Times New Roman" w:hAnsi="Times New Roman" w:eastAsia="宋体"/>
            <w:color w:val="0000FF"/>
            <w:sz w:val="21"/>
            <w:u w:val="single"/>
          </w:rPr>
          <w:t>https://doi.org/10.1109/tpami.2026.3663672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的快速发展加剧了自动驾驶算法对综合数据的需求。高质量的数据集对于开发有效的数据驱动的自动驾驶解决方案至关重要。下一代自动驾驶数据集必须是多模式的，包含来自先进传感器的数据，这些传感器具有广泛的数据覆盖范围、详细的注释和多样化的场景表示。为了满足这一需求，我们推出了 OmniHD-Scenes，这是一个大规模多模态数据集，可提供全面的全向高清数据。 OmniHD-Scenes 数据集结合了来自 128 束激光雷达、六个摄像头和六个 4D 成像雷达系统的数据，以实现完整的环境感知。该数据集包含 1501 个片段，每个片段长约 30 秒，总计超过 45 万个同步帧和超过 585 万个同步传感器数据点。我们还提出了一种新颖的 4D 注释管道。迄今为止，我们已使用超过 514 K 的精确 3D 边界框对 200 个剪辑进行了注释。这些剪辑还包括静态场景元素的语义分割注释。此外，我们引入了一种新颖的自动化管道，用于生成密集占用地面实况，它有效地利用非关键帧的信息。除了提出的数据集之外，我们还为 3D 检测和语义占用预测建立了全面的评估指标、基线模型和基准。这些基准测试利用环视摄像头和 4D 成像雷达来探索适用于自动驾驶应用的经济高效的传感器解决方案。大量的实验证明了我们的低成本传感器配置的有效性及其在不利条件下的鲁棒性。该数据集可从 https://www.2077ai.com/OmniHD-Scenes 获取。</w:t>
      </w:r>
    </w:p>
    <w:p>
      <w:pPr>
        <w:spacing w:before="120"/>
      </w:pPr>
      <w:r>
        <w:rPr>
          <w:rFonts w:ascii="Times New Roman" w:hAnsi="Times New Roman" w:eastAsia="宋体"/>
          <w:b/>
          <w:sz w:val="21"/>
        </w:rPr>
        <w:t>English Abstract:</w:t>
      </w:r>
    </w:p>
    <w:p>
      <w:r>
        <w:rPr>
          <w:rFonts w:ascii="Times New Roman" w:hAnsi="Times New Roman" w:eastAsia="宋体"/>
          <w:sz w:val="21"/>
        </w:rPr>
        <w:t>The rapid advancement of deep learning has intensified the need for comprehensive data for use by autonomous driving algorithms. High-quality datasets are crucial for the development of effective data-driven autonomous driving solutions. Next-generation autonomous driving datasets must be multimodal, incorporating data from advanced sensors that feature extensive data coverage, detailed annotations, and diverse scene representation. To address this need, we present OmniHD-Scenes, a large-scale multimodal dataset that provides comprehensive omnidirectional high-definition data. The OmniHD-Scenes dataset combines data from 128-beam LiDAR, six cameras, and six 4D imaging radar systems to achieve full environmental perception. The dataset comprises 1501 clips, each approximately 30-s long, totaling more than 450 K synchronized frames and more than 5.85 million synchronized sensor data points. We also propose a novel 4D annotation pipeline. To date, we have annotated 200 clips with more than 514 K precise 3D bounding boxes. These clips also include semantic segmentation annotations for static scene elements. Additionally, we introduce a novel automated pipeline for generation of the dense occupancy ground truth, which effectively leverages information from non-key frames. Alongside the proposed dataset, we establish comprehensive evaluation metrics, baseline models, and benchmarks for 3D detection and semantic occupancy prediction. These benchmarks utilize surround-view cameras and 4D imaging radar to explore cost-effective sensor solutions for autonomous driving applications. Extensive experiments demonstrate the effectiveness of our low-cost sensor configuration and its robustness under adverse conditions. The dataset is available at https://www.2077ai.com/OmniHD-Scenes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Thermal3D-GS：物理诱导的 3D 高斯，用于大规模数据集的热红外新颖视图合成</w:t>
      </w:r>
    </w:p>
    <w:p>
      <w:r>
        <w:rPr>
          <w:rFonts w:ascii="Times New Roman" w:hAnsi="Times New Roman" w:eastAsia="宋体"/>
          <w:b/>
          <w:color w:val="003264"/>
          <w:sz w:val="24"/>
        </w:rPr>
        <w:t>Thermal3D-GS: Physics-induced 3D Gaussians for Thermal Infrared Novel-view Synthesis with a Large-Scale Dataset</w:t>
      </w:r>
    </w:p>
    <w:p>
      <w:r>
        <w:rPr>
          <w:rFonts w:ascii="Times New Roman" w:hAnsi="Times New Roman" w:eastAsia="宋体"/>
          <w:sz w:val="21"/>
        </w:rPr>
        <w:t>作者: Qian Chen, Shihao Shu, Heng Sun, Junzhang Chen, Xiangzhi Bai</w:t>
        <w:br/>
      </w:r>
      <w:r>
        <w:rPr>
          <w:rFonts w:ascii="Times New Roman" w:hAnsi="Times New Roman" w:eastAsia="宋体"/>
          <w:sz w:val="21"/>
        </w:rPr>
        <w:t xml:space="preserve">时间: 2026 | </w:t>
      </w:r>
      <w:r>
        <w:t xml:space="preserve">链接: </w:t>
      </w:r>
      <w:hyperlink r:id="rId150">
        <w:r>
          <w:rPr>
            <w:rFonts w:ascii="Times New Roman" w:hAnsi="Times New Roman" w:eastAsia="宋体"/>
            <w:color w:val="0000FF"/>
            <w:sz w:val="21"/>
            <w:u w:val="single"/>
          </w:rPr>
          <w:t>https://doi.org/10.1109/tpami.2026.3663966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热红外成像由于全天候成像、穿透力强等优点，受到了众多领域的广泛关注。然而，现有的热红外新颖视图合成方法经常产生细节粗糙和浮动伪影的结果，这主要是由大气传输效应和热传导等物理因素引起的。这些挑战阻碍了热场景中复杂结构和温度分布的准确重建，限制了先前方法的实际用途。为了解决这些限制，本文引入了一种物理诱导的 3D 高斯喷射方法，名为 Thermal3D-GS，这是第一个完全依赖于热红外图像的新颖视图合成方法。 Thermal3D-GS 首先使用神经网络对三维介质中的大气传输效应和热传导进行建模。此外，考虑到红外图像的稀疏特征，设计稀疏特征先验以提高热红外图像的重建精度。此外，为了验证我们方法的有效性，创建了第一个名为热红外小说视图综合数据集（TI-NSD）的大规模基准数据集。该数据集包含50个真实的热红外视频场景，涵盖室内、室外、交通和无人机场景，共有15,213帧热红外图像数据。此外，还构建了一个扩展的验证热红外数据集，其中包括不同大气条件和复杂传播介质下的三个高分辨率场景和五个特殊场景，以评估所提方法的泛化性能。基于该数据集，本文通过实验验证了Thermal3D-GS的有效性。结果表明，我们的方法优于基线方法，PSNR 提高了 3.19 dB，并且显着解决了基线方法中存在的飞蚊症和模糊边缘特征的问题。数据集和我们的代码均可在 https://github.com/mzzcdf/Thermal3DGS 中公开获取。</w:t>
      </w:r>
    </w:p>
    <w:p>
      <w:pPr>
        <w:spacing w:before="120"/>
      </w:pPr>
      <w:r>
        <w:rPr>
          <w:rFonts w:ascii="Times New Roman" w:hAnsi="Times New Roman" w:eastAsia="宋体"/>
          <w:b/>
          <w:sz w:val="21"/>
        </w:rPr>
        <w:t>English Abstract:</w:t>
      </w:r>
    </w:p>
    <w:p>
      <w:r>
        <w:rPr>
          <w:rFonts w:ascii="Times New Roman" w:hAnsi="Times New Roman" w:eastAsia="宋体"/>
          <w:sz w:val="21"/>
        </w:rPr>
        <w:t>Thermal infrared imaging has attracted widespread attention in many fields due to the advantages of all-weather imaging and strong penetration. However, existing methods for thermal infrared novel-view synthesis often produce results with coarse details and floating artifacts, primarily caused by physical factors such as atmospheric transmission effects and thermal conduction. These challenges hinder accurate reconstruction of intricate structures and temperature distributions in thermal scenes, limiting the practical utility of previous approaches. To address these limitations, this paper introduces a physics-induced 3D Gaussian splatting method named Thermal3D-GS, the first novel-view synthesis method that relies exclusively on thermal infrared image. Thermal3D-GS begins by modeling atmospheric transmission effects and thermal conduction in three-dimensional media using neural networks. Additionally, considering the sparse features of infrared images, sparse feature priors are designed to improve the reconstruction accuracy of thermal infrared images. Furthermore, to validate the effectiveness of our method, the first large-scale benchmark dataset named Thermal Infrared Novel-view Synthesis Dataset (TI-NSD) is created. This dataset comprises 50 authentic thermal infrared video scenes, covering indoor, outdoor, traffic and UAV(Unmanned Aerial Vehicle) scenarios, with a total of 15,213 frames of thermal infrared image data. In addition, an expanded validation thermal infrared dataset, which includes three high-resolution scenes and five special scenes under varying atmospheric conditions and complex propagation media is constructed to assess generalization performance of the proposed method. Based on this dataset, this paper experimentally verifies the effectiveness of Thermal3D-GS. The results indicate that our method outperforms the baseline method with a 3.19 dB improvement in PSNR and significantly addresses the issues of floaters and indistinct edge features present in the baseline method. The dataset and our code are both publicly available in https://github.com/mzzcdf/Thermal3DGS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用于多语言情感分析的个性化且保护隐私的联合 Transformer 框架</w:t>
      </w:r>
    </w:p>
    <w:p>
      <w:r>
        <w:rPr>
          <w:rFonts w:ascii="Times New Roman" w:hAnsi="Times New Roman" w:eastAsia="宋体"/>
          <w:b/>
          <w:color w:val="003264"/>
          <w:sz w:val="24"/>
        </w:rPr>
        <w:t>A Personalized and Privacy-Preserving Federated Transformer Framework for Multilingual Sentiment Analysis</w:t>
      </w:r>
    </w:p>
    <w:p>
      <w:r>
        <w:rPr>
          <w:rFonts w:ascii="Times New Roman" w:hAnsi="Times New Roman" w:eastAsia="宋体"/>
          <w:sz w:val="21"/>
        </w:rPr>
        <w:t>作者: Jothi Prakash V, Arul Antran Vijay S, Gopikrishnan Sundaram</w:t>
        <w:br/>
      </w:r>
      <w:r>
        <w:rPr>
          <w:rFonts w:ascii="Times New Roman" w:hAnsi="Times New Roman" w:eastAsia="宋体"/>
          <w:sz w:val="21"/>
        </w:rPr>
        <w:t xml:space="preserve">时间: 2026 | </w:t>
      </w:r>
      <w:r>
        <w:t xml:space="preserve">链接: </w:t>
      </w:r>
      <w:hyperlink r:id="rId151">
        <w:r>
          <w:rPr>
            <w:rFonts w:ascii="Times New Roman" w:hAnsi="Times New Roman" w:eastAsia="宋体"/>
            <w:color w:val="0000FF"/>
            <w:sz w:val="21"/>
            <w:u w:val="single"/>
          </w:rPr>
          <w:t>https://doi.org/10.1109/tpami.2026.3663617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用于多语言情感分析的个性化联合学习因语言异质性、非独立同分布数据分布和严格的隐私要求而带来了重大挑战。本文提出了 FedPerX，一种联合变压器框架，它将基于残差适配器的个性化与自适应多粒度差分隐私集成在一起。该架构利用冻结的多语言主干（XLM-R），同时使每个客户端能够训练轻量级、特定于客户端的适配器。通过在功能和适配器级别上进行动态噪声注入来加强隐私，并使用梯度灵敏度进行校准。 FedPerX 根据两个多语言基准（MARC 和 TSMD）进行评估，涵盖十多种语言的结构化评论和非正式社交媒体内容。实验结果表明，与七个最先进的基线相比，得到了一致的改进，宏观 F1 的增益高达 +4.3%，通信开销减少了 70%，客户端级别性能的差异最小。综合分析，包括公平性、个性化差距、隐私与效用权衡以及消融研究，验证了该框架的稳健性和适应性。 FedPerX 推进了可扩展、个性化和隐私保护模型的设计，用于联合多语言情感分析。</w:t>
      </w:r>
    </w:p>
    <w:p>
      <w:pPr>
        <w:spacing w:before="120"/>
      </w:pPr>
      <w:r>
        <w:rPr>
          <w:rFonts w:ascii="Times New Roman" w:hAnsi="Times New Roman" w:eastAsia="宋体"/>
          <w:b/>
          <w:sz w:val="21"/>
        </w:rPr>
        <w:t>English Abstract:</w:t>
      </w:r>
    </w:p>
    <w:p>
      <w:r>
        <w:rPr>
          <w:rFonts w:ascii="Times New Roman" w:hAnsi="Times New Roman" w:eastAsia="宋体"/>
          <w:sz w:val="21"/>
        </w:rPr>
        <w:t>Personalized federated learning for multilingual sentiment analysis poses significant challenges arising from linguistic heterogeneity, non-IID data distributions, and strict privacy requirements. This paper proposes FedPerX, a federated transformer framework that integrates residual adapter-based personalization with adaptive multi-granular differential privacy. The architecture leverages a frozen multilingual backbone (XLM-R) while enabling each client to train lightweight, client-specific adapters. Privacy is enforced through dynamic noise injection at both the feature and adapter levels, calibrated using gradient sensitivity. FedPerX is evaluated on two multilingual benchmarks—MARC and TSMD—spanning structured reviews and informal social media content across more than ten languages. Experimental results demonstrate consistent improvements over seven state-of-the-art baselines, with up to +4.3% gains in macro-F1, a 70% reduction in communication overhead, and the lowest variance in client-level performance. Comprehensive analyses, including fairness, personalization gap, privacy-utility trade-off, and ablation studies, validate the framework's robustness and adaptability. FedPerX advances the design of scalable, personalized, and privacy-preserving models for federated multilingual sentiment analysis.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eLight</w:t>
      </w:r>
    </w:p>
    <w:p>
      <w:pPr>
        <w:jc w:val="center"/>
      </w:pPr>
      <w:r>
        <w:t>--- 更新: 11:28 ---</w:t>
      </w:r>
    </w:p>
    <w:p>
      <w:pPr>
        <w:pStyle w:val="Heading2"/>
      </w:pPr>
      <w:r/>
      <w:r>
        <w:rPr>
          <w:rFonts w:ascii="Times New Roman" w:hAnsi="Times New Roman" w:eastAsia="宋体"/>
          <w:b/>
          <w:color w:val="000000"/>
          <w:sz w:val="24"/>
        </w:rPr>
        <w:t>通过 k 空间超振荡进行远场超分辨率成像</w:t>
      </w:r>
    </w:p>
    <w:p>
      <w:r>
        <w:rPr>
          <w:rFonts w:ascii="Times New Roman" w:hAnsi="Times New Roman" w:eastAsia="宋体"/>
          <w:b/>
          <w:color w:val="003264"/>
          <w:sz w:val="24"/>
        </w:rPr>
        <w:t>Far-field superresolution imaging via k-space superoscillation</w:t>
      </w:r>
    </w:p>
    <w:p>
      <w:r>
        <w:rPr>
          <w:rFonts w:ascii="Times New Roman" w:hAnsi="Times New Roman" w:eastAsia="宋体"/>
          <w:sz w:val="21"/>
        </w:rPr>
        <w:t>作者: Bohan Zhang, Hao Zhang, Fei Zhang, Wei Liu, Yuanmu Yang</w:t>
        <w:br/>
      </w:r>
      <w:r>
        <w:rPr>
          <w:rFonts w:ascii="Times New Roman" w:hAnsi="Times New Roman" w:eastAsia="宋体"/>
          <w:sz w:val="21"/>
        </w:rPr>
        <w:t xml:space="preserve">时间: 2026-02-12 | </w:t>
      </w:r>
      <w:r>
        <w:t xml:space="preserve">链接: </w:t>
      </w:r>
      <w:hyperlink r:id="rId159">
        <w:r>
          <w:rPr>
            <w:rFonts w:ascii="Times New Roman" w:hAnsi="Times New Roman" w:eastAsia="宋体"/>
            <w:color w:val="0000FF"/>
            <w:sz w:val="21"/>
            <w:u w:val="single"/>
          </w:rPr>
          <w:t>https://doi.org/10.1186/s43593-026-00121-4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成像系统的分辨率长期以来受到阿贝-瑞利衍射极限的限制。尽管在开发超分辨率技术方面取得了重大进展，但许多方法依赖于近场扫描、荧光标记，并且受到分辨率、视场和能源效率之间权衡的阻碍。在这里，我们引入了一种概念上的新方法，该方法能够实现远场、无标记超分辨率成像，同时避免真实空间超振荡成像系统固有的图像平面边带。通过利用在实空间和 k（波矢量）空间中具有拓扑优化响应的 3D 图案超透镜，我们破坏了经典成像系统中的空间平移不变性假设，通过我们称为 k 空间超振荡的机制显着扩大了有效镜头孔径。这实现了超出瑞利准则的分辨率。微波频率下的原型实验表明，无需计算后处理，分辨率就比衍射极限提高了一倍。这项工作为生物学、天文学和材料科学等领域的应用开辟了途径。</w:t>
      </w:r>
    </w:p>
    <w:p>
      <w:pPr>
        <w:spacing w:before="120"/>
      </w:pPr>
      <w:r>
        <w:rPr>
          <w:rFonts w:ascii="Times New Roman" w:hAnsi="Times New Roman" w:eastAsia="宋体"/>
          <w:b/>
          <w:sz w:val="21"/>
        </w:rPr>
        <w:t>English Abstract:</w:t>
      </w:r>
    </w:p>
    <w:p>
      <w:r>
        <w:rPr>
          <w:rFonts w:ascii="Times New Roman" w:hAnsi="Times New Roman" w:eastAsia="宋体"/>
          <w:sz w:val="21"/>
        </w:rPr>
        <w:t>Abstract The resolution of an imaging system has long been constrained by the Abbe-Rayleigh diffraction limit. While significant progress has been made in developing superresolution techniques, many approaches rely on near-field scanning, fluorescence labeling, and are hindered by trade-offs among resolution, field-of-view, and energy efficiency. Here, we introduce a conceptually new approach that enables far-field, label-free superresolution imaging while avoiding the image-plane sidebands inherent to real-space superoscillatory imaging systems. By exploiting a 3D-patterned metalens with a topology-optimized response in both real- and k (wavevector)-space, we disrupt the spatially shift-invariance assumption in classical imaging systems, significantly expanding the effective lens aperture through a mechanism we term k -space superoscillation. This achieves resolution beyond the Rayleigh criterion. Prototype experiments at microwave frequencies demonstrate a twofold resolution enhancement over the diffraction limit without computational post-processing. This work opens avenues for applications ranging from biology, astronomy, and materials science.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11:28 ---</w:t>
      </w:r>
    </w:p>
    <w:p>
      <w:pPr>
        <w:pStyle w:val="Heading2"/>
      </w:pPr>
      <w:r/>
      <w:r>
        <w:rPr>
          <w:rFonts w:ascii="Times New Roman" w:hAnsi="Times New Roman" w:eastAsia="宋体"/>
          <w:b/>
          <w:color w:val="000000"/>
          <w:sz w:val="24"/>
        </w:rPr>
        <w:t>作者更正：无监督学习实现了无标签单像素成像，通过未知的动态散射介质实现弹性信息传输</w:t>
      </w:r>
    </w:p>
    <w:p>
      <w:r>
        <w:rPr>
          <w:rFonts w:ascii="Times New Roman" w:hAnsi="Times New Roman" w:eastAsia="宋体"/>
          <w:b/>
          <w:color w:val="003264"/>
          <w:sz w:val="24"/>
        </w:rPr>
        <w:t>Author correction: Unsupervised learning enabled label-free single-pixel imaging for resilient information transmission through unknown dynamic scattering media</w:t>
      </w:r>
    </w:p>
    <w:p>
      <w:r>
        <w:rPr>
          <w:rFonts w:ascii="Times New Roman" w:hAnsi="Times New Roman" w:eastAsia="宋体"/>
          <w:sz w:val="21"/>
        </w:rPr>
        <w:t>作者: Fujie Li, Haoyu Zhang, Zhilan Lu, Li Yao, Yuan Wei, Ziwei Li, Feng Bao, Junwen Zhang, Yingjun Zhou, Nan Chi</w:t>
        <w:br/>
      </w:r>
      <w:r>
        <w:rPr>
          <w:rFonts w:ascii="Times New Roman" w:hAnsi="Times New Roman" w:eastAsia="宋体"/>
          <w:sz w:val="21"/>
        </w:rPr>
        <w:t xml:space="preserve">时间: 2026 | </w:t>
      </w:r>
      <w:r>
        <w:t xml:space="preserve">链接: </w:t>
      </w:r>
      <w:hyperlink r:id="rId160">
        <w:r>
          <w:rPr>
            <w:rFonts w:ascii="Times New Roman" w:hAnsi="Times New Roman" w:eastAsia="宋体"/>
            <w:color w:val="0000FF"/>
            <w:sz w:val="21"/>
            <w:u w:val="single"/>
          </w:rPr>
          <w:t>https://doi.org/10.29026/oea.2025.250013c</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11:29 ---</w:t>
      </w:r>
    </w:p>
    <w:p>
      <w:pPr>
        <w:pStyle w:val="Heading2"/>
      </w:pPr>
      <w:r/>
      <w:r>
        <w:rPr>
          <w:rFonts w:ascii="Times New Roman" w:hAnsi="Times New Roman" w:eastAsia="宋体"/>
          <w:b/>
          <w:color w:val="000000"/>
          <w:sz w:val="24"/>
        </w:rPr>
        <w:t>使用现有和未来的仪器观测太阳涡旋。太阳物理学国际漩涡网络 (SPINS) 白皮书 (Helio)</w:t>
      </w:r>
    </w:p>
    <w:p>
      <w:r>
        <w:rPr>
          <w:rFonts w:ascii="Times New Roman" w:hAnsi="Times New Roman" w:eastAsia="宋体"/>
          <w:b/>
          <w:color w:val="003264"/>
          <w:sz w:val="24"/>
        </w:rPr>
        <w:t>Observing solar vortices with existing and future instrumentation. Solar Physics International Network for Swirls (SPINS) white paper (Helio)</w:t>
      </w:r>
    </w:p>
    <w:p>
      <w:r>
        <w:rPr>
          <w:rFonts w:ascii="Times New Roman" w:hAnsi="Times New Roman" w:eastAsia="宋体"/>
          <w:sz w:val="21"/>
        </w:rPr>
        <w:t>作者: Luiz Augusto Camargo Aranha Schiavo</w:t>
        <w:br/>
      </w:r>
      <w:r>
        <w:rPr>
          <w:rFonts w:ascii="Times New Roman" w:hAnsi="Times New Roman" w:eastAsia="宋体"/>
          <w:sz w:val="21"/>
        </w:rPr>
        <w:t xml:space="preserve">时间: 2026-02-10T13:55:23Z | </w:t>
      </w:r>
      <w:r>
        <w:t xml:space="preserve">链接: </w:t>
      </w:r>
      <w:hyperlink r:id="rId168">
        <w:r>
          <w:rPr>
            <w:rFonts w:ascii="Times New Roman" w:hAnsi="Times New Roman" w:eastAsia="宋体"/>
            <w:color w:val="0000FF"/>
            <w:sz w:val="21"/>
            <w:u w:val="single"/>
          </w:rPr>
          <w:t>https://arxiv.org/abs/2602.10170v1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太阳涡旋是太阳大气动力学的基本组成部分，是磁场扭曲、能量集中和传输、波导以及跨大气层等离子体耦合的天然实验室。数值和观测研究表明，太阳涡旋与磁重联、大气加热、湍流和波产生等关键物理过程密切相关。这份为英国太空前沿 2035 号召准备的白皮书概述了五个高度优先的科学问题，涉及涡旋产生机制、跨层耦合、磁重组、集体波导结构及其在触发爆炸事件和调节太阳风中的作用。确定了未来十年取得重大进展所需的关键观察和能力。英国太阳物理学界在涡动力学方面建立了世界领先的专业知识，结合了高分辨率观测、MHD 湍流理论、数值模拟和空间仪器方面的优势。英国研究人员为太阳轨道飞行器做出了基础性贡献，为 DKIST 提供了关键系统，并积极参与 MUSE 和 SOLAR-C EUVST 任务。我们的技术方法集中于开发下一代仪器：一个多波段、符合太空要求的系统，采用四个可调谐法布里-珀罗干涉仪，提供从深光球层到低日冕的衍射极限、高节奏光谱偏振覆盖。这种能力将通过从气球承载演示器开始的分阶段任务架构进行验证。在未来十年继续这项努力对于保持英国在该领域的领导地位并实现太阳系研究路线图的目标至关重要。</w:t>
      </w:r>
    </w:p>
    <w:p>
      <w:pPr>
        <w:spacing w:before="120"/>
      </w:pPr>
      <w:r>
        <w:rPr>
          <w:rFonts w:ascii="Times New Roman" w:hAnsi="Times New Roman" w:eastAsia="宋体"/>
          <w:b/>
          <w:sz w:val="21"/>
        </w:rPr>
        <w:t>English Abstract:</w:t>
      </w:r>
    </w:p>
    <w:p>
      <w:r>
        <w:rPr>
          <w:rFonts w:ascii="Times New Roman" w:hAnsi="Times New Roman" w:eastAsia="宋体"/>
          <w:sz w:val="21"/>
        </w:rPr>
        <w:t>Solar vortices are fundamental components of solar atmospheric dynamics, serving as natural laboratories for magnetic field twisting, energy concentration and transport, wave guidance, and plasma coupling across atmospheric layers. Numerical and observational studies show that solar vortices are intimately connected to key physical processes including magnetic reconnection, atmospheric heating, turbulence, and wave generation. This white paper, prepared for the UK Space Frontiers 2035 call, outline five high-priority scientific questions addressing vortex generation mechanisms, cross-layer coupling, magnetic restructuring, collective wave-guidance structures, and their role in triggering explosive events and modulating the solar wind. Key observations and capabilities required to make significant advancements over the coming decade are identified. The UK solar physics community has established world-leading expertise in vortex dynamics, combining strengths in high-resolution observations, MHD turbulence theory, numerical modelling, and space instrumentation. UK researchers have made foundational contributions to Solar Orbiter, delivered critical systems for DKIST, and maintain active involvement in MUSE and SOLAR-C EUVST missions. Our technical approach centres on developing next-generation instrumentation: a multi-band, space-qualified system employing four tunable Fabry-Pérot Interferometers providing diffraction-limited, high-cadence spectropolarimetric coverage from the deep photosphere to the low corona. This capability will be validated through a staged mission architecture beginning with balloon-borne demonstrators. Continuing this effort over the coming decade is vital to maintain UK leadership in this field and achieve the goals of roadmap for solar system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成像盲源分离</w:t>
      </w:r>
    </w:p>
    <w:p>
      <w:r>
        <w:rPr>
          <w:rFonts w:ascii="Times New Roman" w:hAnsi="Times New Roman" w:eastAsia="宋体"/>
          <w:b/>
          <w:color w:val="003264"/>
          <w:sz w:val="24"/>
        </w:rPr>
        <w:t>Blind source separation for imaging</w:t>
      </w:r>
    </w:p>
    <w:p>
      <w:r>
        <w:rPr>
          <w:rFonts w:ascii="Times New Roman" w:hAnsi="Times New Roman" w:eastAsia="宋体"/>
          <w:sz w:val="21"/>
        </w:rPr>
        <w:t>作者: Olivier Pinaud</w:t>
        <w:br/>
      </w:r>
      <w:r>
        <w:rPr>
          <w:rFonts w:ascii="Times New Roman" w:hAnsi="Times New Roman" w:eastAsia="宋体"/>
          <w:sz w:val="21"/>
        </w:rPr>
        <w:t xml:space="preserve">时间: 2026-02-10T20:44:42Z | </w:t>
      </w:r>
      <w:r>
        <w:t xml:space="preserve">链接: </w:t>
      </w:r>
      <w:hyperlink r:id="rId169">
        <w:r>
          <w:rPr>
            <w:rFonts w:ascii="Times New Roman" w:hAnsi="Times New Roman" w:eastAsia="宋体"/>
            <w:color w:val="0000FF"/>
            <w:sz w:val="21"/>
            <w:u w:val="single"/>
          </w:rPr>
          <w:t>https://arxiv.org/abs/2602.10277v1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涉及盲源分离问题及其在成像中的应用。我们首先建立我们在上一篇关于扩散环境中成像的文章中所述的理论结果。该结果是文献中发现的可分离性标准对具有加性噪声的任意相关复值源的概括。第二步，我们在成像中经常遇到的两种传播机制中验证这些可分离性条件：散斑机制和随机几何光学机制。最后，我们提出了一种基于盲源分离问题的新成像方法，该方法改进了通过时间反转算子方法的经典分解获得的图像。</w:t>
      </w:r>
    </w:p>
    <w:p>
      <w:pPr>
        <w:spacing w:before="120"/>
      </w:pPr>
      <w:r>
        <w:rPr>
          <w:rFonts w:ascii="Times New Roman" w:hAnsi="Times New Roman" w:eastAsia="宋体"/>
          <w:b/>
          <w:sz w:val="21"/>
        </w:rPr>
        <w:t>English Abstract:</w:t>
      </w:r>
    </w:p>
    <w:p>
      <w:r>
        <w:rPr>
          <w:rFonts w:ascii="Times New Roman" w:hAnsi="Times New Roman" w:eastAsia="宋体"/>
          <w:sz w:val="21"/>
        </w:rPr>
        <w:t>This work is concerned with the problem of blind source separation and its applications to imaging. We first establish a theoretical result that we stated in our previous article on imaging in diffusive environments. This result is a generalization of separability criteria found in the literature to arbitrary correlated complex-valued sources with additive noise. In a second step, we verify these separability conditions in two propagation regimes frequently encountered in imaging: the speckle regime and the random geometrical optics regime. Finally, we propose a new imaging method based on the blind source separation problem that improves on images obtained with the classical decomposition of the time reversal operator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非平稳偏振光学力，考虑色散和衍射的影响</w:t>
      </w:r>
    </w:p>
    <w:p>
      <w:r>
        <w:rPr>
          <w:rFonts w:ascii="Times New Roman" w:hAnsi="Times New Roman" w:eastAsia="宋体"/>
          <w:b/>
          <w:color w:val="003264"/>
          <w:sz w:val="24"/>
        </w:rPr>
        <w:t>Nonstationary polarization optical forces, considering the influence of dispersion and diffraction</w:t>
      </w:r>
    </w:p>
    <w:p>
      <w:r>
        <w:rPr>
          <w:rFonts w:ascii="Times New Roman" w:hAnsi="Times New Roman" w:eastAsia="宋体"/>
          <w:sz w:val="21"/>
        </w:rPr>
        <w:t>作者: D. Dakova</w:t>
        <w:br/>
      </w:r>
      <w:r>
        <w:rPr>
          <w:rFonts w:ascii="Times New Roman" w:hAnsi="Times New Roman" w:eastAsia="宋体"/>
          <w:sz w:val="21"/>
        </w:rPr>
        <w:t xml:space="preserve">时间: 2026-02-10T20:52:36Z | </w:t>
      </w:r>
      <w:r>
        <w:t xml:space="preserve">链接: </w:t>
      </w:r>
      <w:hyperlink r:id="rId170">
        <w:r>
          <w:rPr>
            <w:rFonts w:ascii="Times New Roman" w:hAnsi="Times New Roman" w:eastAsia="宋体"/>
            <w:color w:val="0000FF"/>
            <w:sz w:val="21"/>
            <w:u w:val="single"/>
          </w:rPr>
          <w:t>https://arxiv.org/abs/2602.10283v1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在目前的工作中，介绍了由于超短激光脉冲在空气中以几个衍射和色散长度传播的距离的衍射和色散而引起的纵向光学力的动态特性和所施加的电势。结果基于线性 3D+1 近轴振幅方程的解析解及其在纵向光学力随时间演化中的应用。目前的研究为中性粒子激光加速器的开发和制造提供了宝贵的指导，在激光驱动核聚变领域具有潜在的应用。</w:t>
      </w:r>
    </w:p>
    <w:p>
      <w:pPr>
        <w:spacing w:before="120"/>
      </w:pPr>
      <w:r>
        <w:rPr>
          <w:rFonts w:ascii="Times New Roman" w:hAnsi="Times New Roman" w:eastAsia="宋体"/>
          <w:b/>
          <w:sz w:val="21"/>
        </w:rPr>
        <w:t>English Abstract:</w:t>
      </w:r>
    </w:p>
    <w:p>
      <w:r>
        <w:rPr>
          <w:rFonts w:ascii="Times New Roman" w:hAnsi="Times New Roman" w:eastAsia="宋体"/>
          <w:sz w:val="21"/>
        </w:rPr>
        <w:t>In the present work, the dynamic properties of an attractive longitudinal optical force and the applied potential, due to diffraction and dispersion of ultrashort laser pulses, propagating in air at distances of several diffraction and dispersion lengths, are presented. The results are based on an analytical solution of the linear 3D+1 paraxial amplitude equation and its application to the evolution in time of the longitudinal optical force. The current research provides valuable guidance for the development and creation of neutral particle laser accelerators with potential applications in the field of laser driven nuclear fusion.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11:29 ---</w:t>
      </w:r>
    </w:p>
    <w:p>
      <w:pPr>
        <w:pStyle w:val="Heading2"/>
      </w:pPr>
      <w:r/>
      <w:r>
        <w:rPr>
          <w:rFonts w:ascii="Times New Roman" w:hAnsi="Times New Roman" w:eastAsia="宋体"/>
          <w:b/>
          <w:color w:val="000000"/>
          <w:sz w:val="24"/>
        </w:rPr>
        <w:t>具有用于量子网络的本地振荡器参考的高性能不可区分偏振纠缠光子源</w:t>
      </w:r>
    </w:p>
    <w:p>
      <w:r>
        <w:rPr>
          <w:rFonts w:ascii="Times New Roman" w:hAnsi="Times New Roman" w:eastAsia="宋体"/>
          <w:b/>
          <w:color w:val="003264"/>
          <w:sz w:val="24"/>
        </w:rPr>
        <w:t>High-performance source of indistinguishable polarization-entangled photons with a local oscillator reference for quantum networking</w:t>
      </w:r>
    </w:p>
    <w:p>
      <w:r>
        <w:rPr>
          <w:rFonts w:ascii="Times New Roman" w:hAnsi="Times New Roman" w:eastAsia="宋体"/>
          <w:sz w:val="21"/>
        </w:rPr>
        <w:t>作者: L. Krister Shalm</w:t>
        <w:br/>
      </w:r>
      <w:r>
        <w:rPr>
          <w:rFonts w:ascii="Times New Roman" w:hAnsi="Times New Roman" w:eastAsia="宋体"/>
          <w:sz w:val="21"/>
        </w:rPr>
        <w:t xml:space="preserve">时间: 2026-02-10T21:46:54Z | </w:t>
      </w:r>
      <w:r>
        <w:t xml:space="preserve">链接: </w:t>
      </w:r>
      <w:hyperlink r:id="rId171">
        <w:r>
          <w:rPr>
            <w:rFonts w:ascii="Times New Roman" w:hAnsi="Times New Roman" w:eastAsia="宋体"/>
            <w:color w:val="0000FF"/>
            <w:sz w:val="21"/>
            <w:u w:val="single"/>
          </w:rPr>
          <w:t>https://arxiv.org/abs/2602.10317v1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光量子网络协议对纠缠源产生的状态提出了严格的要求。我们展示了一个自由空间、紧凑的、无法区分的偏振纠缠光子对的源，并集成了本地振荡器参考，这是实现这一目标的重要一步。该源实现了 $(99.11 \pm 0.01)\%$ 偏振纠缠可见度、$(96.3 \pm 0.6)\%$ 连续光子 Hong-Ou-Mandel 干涉可见度、$(68.0 \pm 0.1)\%$ 检测到的预示效率以及 $(88.6 \pm 0.2)\%$ 本地振荡器的干扰可见度。这种同时实现的最先进指标展示了一个适应性强的量子网络平台。</w:t>
      </w:r>
    </w:p>
    <w:p>
      <w:pPr>
        <w:spacing w:before="120"/>
      </w:pPr>
      <w:r>
        <w:rPr>
          <w:rFonts w:ascii="Times New Roman" w:hAnsi="Times New Roman" w:eastAsia="宋体"/>
          <w:b/>
          <w:sz w:val="21"/>
        </w:rPr>
        <w:t>English Abstract:</w:t>
      </w:r>
    </w:p>
    <w:p>
      <w:r>
        <w:rPr>
          <w:rFonts w:ascii="Times New Roman" w:hAnsi="Times New Roman" w:eastAsia="宋体"/>
          <w:sz w:val="21"/>
        </w:rPr>
        <w:t>Optical quantum networking protocols impose stringent requirements on the states produced by sources of entanglement. We demonstrate a free-space, compact, source of indistinguishable pairs of polarization entangled photons, with an integrated local oscillator reference as a significant step towards this goal. This source achieves $(99.11 \pm 0.01)\%$ polarization entanglement visibility, $(96.3 \pm 0.6)\%$ successive-photon Hong-Ou-Mandel interference visibility, $(68.0 \pm 0.1)\%$ heralded efficiency as detected, and $(88.6 \pm 0.2)\%$ interference visibility with a local oscillator. This simultaneous achievement of state-of-the-art metrics demonstrates an adaptable platform for quantum networking.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体光子谐振器的二次谐波稳定性</w:t>
      </w:r>
    </w:p>
    <w:p>
      <w:r>
        <w:rPr>
          <w:rFonts w:ascii="Times New Roman" w:hAnsi="Times New Roman" w:eastAsia="宋体"/>
          <w:b/>
          <w:color w:val="003264"/>
          <w:sz w:val="24"/>
        </w:rPr>
        <w:t>Second-harmonic stabilization of a bulk photonic resonator</w:t>
      </w:r>
    </w:p>
    <w:p>
      <w:r>
        <w:rPr>
          <w:rFonts w:ascii="Times New Roman" w:hAnsi="Times New Roman" w:eastAsia="宋体"/>
          <w:sz w:val="21"/>
        </w:rPr>
        <w:t>作者: Scott B. Papp</w:t>
        <w:br/>
      </w:r>
      <w:r>
        <w:rPr>
          <w:rFonts w:ascii="Times New Roman" w:hAnsi="Times New Roman" w:eastAsia="宋体"/>
          <w:sz w:val="21"/>
        </w:rPr>
        <w:t xml:space="preserve">时间: 2026-02-10T22:18:47Z | </w:t>
      </w:r>
      <w:r>
        <w:t xml:space="preserve">链接: </w:t>
      </w:r>
      <w:hyperlink r:id="rId172">
        <w:r>
          <w:rPr>
            <w:rFonts w:ascii="Times New Roman" w:hAnsi="Times New Roman" w:eastAsia="宋体"/>
            <w:color w:val="0000FF"/>
            <w:sz w:val="21"/>
            <w:u w:val="single"/>
          </w:rPr>
          <w:t>https://arxiv.org/abs/2602.10338v1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腔的谐振模式为激光频率稳定提供了强大的资源，为高精度计量和相干信号生成提供了基础。光学模式通过材料传播的光子谐振器提供了真空法布里-珀罗腔系统的紧凑替代方案，但其性能受到材料对周围环境的敏感性的限制。在这项工作中，我们探索了二次谐波（SH）稳定性，它利用色散模式结构与二次谐波产生的严格能量守恒之间的相互作用。在操作上，我们使用两个 1550 nm 激光器来 PDH 检测超高 Q 光子谐振器的倍频程谐振模式，其中一个激光器频率倍频至 775 nm。在 SH 稳定下，1550 nm 激光器之间的微波频率偏移，我们将其称为 SH 信号 ($f_{SH}$)，将 1550 nm 激光器的绝对频率映射为电子信号。我们通过将 $f_{SH}$ 提供的绝对光学频率推断与环外光学测量进行比较来表征这种映射，我们的结果表明 $f_{SH}$ 准确地代表了频率漂移。我们评估了该技术的灵敏度和本底噪声，考虑了激光锁定和块体材料特性的贡献，并得出结论，$f_{SH}$ 足够敏感，可以增强谐振器的长期激光频率稳定性。这些结果表明，SH 稳定性是一种有用的技术，可以推断绝对漂移，从而提高未来紧凑型精密频率基准的稳定性。</w:t>
      </w:r>
    </w:p>
    <w:p>
      <w:pPr>
        <w:spacing w:before="120"/>
      </w:pPr>
      <w:r>
        <w:rPr>
          <w:rFonts w:ascii="Times New Roman" w:hAnsi="Times New Roman" w:eastAsia="宋体"/>
          <w:b/>
          <w:sz w:val="21"/>
        </w:rPr>
        <w:t>English Abstract:</w:t>
      </w:r>
    </w:p>
    <w:p>
      <w:r>
        <w:rPr>
          <w:rFonts w:ascii="Times New Roman" w:hAnsi="Times New Roman" w:eastAsia="宋体"/>
          <w:sz w:val="21"/>
        </w:rPr>
        <w:t>The resonant modes of optical cavities provide a powerful resource for laser-frequency stabilization, underpinning high-precision metrology and coherent signal generation. Photonic resonators in which the optical mode propagates through material offer a compact alternative to vacuum Fabry-Perot cavity systems, but their performance is limited by sensitivity of the material to the ambient environment. In this work, we explore second-harmonic (SH) stabilization, which exploits the interplay of a dispersive mode structure against the strict energy conservation of second-harmonic generation. Operationally, we use two, 1550 nm lasers to PDH-detect octave-spaced resonant modes of an ultra-high-Q photonic resonator with one laser frequency-doubled to 775 nm. Under SH stabilization, the microwave frequency offset between the 1550 nm lasers, which we refer to as the SH signal ($f_{SH}$) maps the absolute frequency of the 1550 nm laser to an electronic signal. We characterize this mapping through comparison of the absolute optical frequency inference provided by $f_{SH}$ to an out-of-loop optical measurement, and our results suggest $f_{SH}$ accurately proxies frequency drift. We evaluate the sensitivity and noise floor of this technique, considering contributions from laser locking and bulk material properties, and conclude that $f_{SH}$ is sufficiently sensitive to enhance long-term laser-frequency stability with respect to the resonator. These results demonstrate SH stabilization as a useful technique that infers absolute drift, thereby enabling the increased stability of future compact, precision frequency references.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基于在线学习的概念漂移适应光网络​​故障检测的实验演示</w:t>
      </w:r>
    </w:p>
    <w:p>
      <w:r>
        <w:rPr>
          <w:rFonts w:ascii="Times New Roman" w:hAnsi="Times New Roman" w:eastAsia="宋体"/>
          <w:b/>
          <w:color w:val="003264"/>
          <w:sz w:val="24"/>
        </w:rPr>
        <w:t>Experimental Demonstration of Online Learning-Based Concept Drift Adaptation for Failure Detection in Optical Networks</w:t>
      </w:r>
    </w:p>
    <w:p>
      <w:r>
        <w:rPr>
          <w:rFonts w:ascii="Times New Roman" w:hAnsi="Times New Roman" w:eastAsia="宋体"/>
          <w:sz w:val="21"/>
        </w:rPr>
        <w:t>作者: Pedro Freire</w:t>
        <w:br/>
      </w:r>
      <w:r>
        <w:rPr>
          <w:rFonts w:ascii="Times New Roman" w:hAnsi="Times New Roman" w:eastAsia="宋体"/>
          <w:sz w:val="21"/>
        </w:rPr>
        <w:t xml:space="preserve">时间: 2026-02-11T01:07:52Z | </w:t>
      </w:r>
      <w:r>
        <w:t xml:space="preserve">链接: </w:t>
      </w:r>
      <w:hyperlink r:id="rId173">
        <w:r>
          <w:rPr>
            <w:rFonts w:ascii="Times New Roman" w:hAnsi="Times New Roman" w:eastAsia="宋体"/>
            <w:color w:val="0000FF"/>
            <w:sz w:val="21"/>
            <w:u w:val="single"/>
          </w:rPr>
          <w:t>https://arxiv.org/abs/2602.10401v1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我们提出了一种新颖的基于在线学习的方法，用于光网络故障检测中的概念漂移适应，与传统静态模型相比，性能提高了 70%，同时保持了低延迟。</w:t>
      </w:r>
    </w:p>
    <w:p>
      <w:pPr>
        <w:spacing w:before="120"/>
      </w:pPr>
      <w:r>
        <w:rPr>
          <w:rFonts w:ascii="Times New Roman" w:hAnsi="Times New Roman" w:eastAsia="宋体"/>
          <w:b/>
          <w:sz w:val="21"/>
        </w:rPr>
        <w:t>English Abstract:</w:t>
      </w:r>
    </w:p>
    <w:p>
      <w:r>
        <w:rPr>
          <w:rFonts w:ascii="Times New Roman" w:hAnsi="Times New Roman" w:eastAsia="宋体"/>
          <w:sz w:val="21"/>
        </w:rPr>
        <w:t>We present a novel online learning-based approach for concept drift adaptation in optical network failure detection, achieving up to a 70% improvement in performance over conventional static models while maintaining low latency.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范德华磁性材料中的激子</w:t>
      </w:r>
    </w:p>
    <w:p>
      <w:r>
        <w:rPr>
          <w:rFonts w:ascii="Times New Roman" w:hAnsi="Times New Roman" w:eastAsia="宋体"/>
          <w:b/>
          <w:color w:val="003264"/>
          <w:sz w:val="24"/>
        </w:rPr>
        <w:t>Excitons in van der Waals magnetic materials</w:t>
      </w:r>
    </w:p>
    <w:p>
      <w:r>
        <w:rPr>
          <w:rFonts w:ascii="Times New Roman" w:hAnsi="Times New Roman" w:eastAsia="宋体"/>
          <w:sz w:val="21"/>
        </w:rPr>
        <w:t>作者: Vinod M. Menon</w:t>
        <w:br/>
      </w:r>
      <w:r>
        <w:rPr>
          <w:rFonts w:ascii="Times New Roman" w:hAnsi="Times New Roman" w:eastAsia="宋体"/>
          <w:sz w:val="21"/>
        </w:rPr>
        <w:t xml:space="preserve">时间: 2026-02-11T01:44:36Z | </w:t>
      </w:r>
      <w:r>
        <w:t xml:space="preserve">链接: </w:t>
      </w:r>
      <w:hyperlink r:id="rId174">
        <w:r>
          <w:rPr>
            <w:rFonts w:ascii="Times New Roman" w:hAnsi="Times New Roman" w:eastAsia="宋体"/>
            <w:color w:val="0000FF"/>
            <w:sz w:val="21"/>
            <w:u w:val="single"/>
          </w:rPr>
          <w:t>https://arxiv.org/abs/2602.10409v1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二维磁性半导体提供了一个独特的材料平台，其中长程磁序与强束缚激子共存。由于激子态和磁矩源自相同的电子轨道，并通过内在交换相互作用耦合，因此这些系统中的光激发表现出对磁序的显着敏感性。最近的实验揭示了异常强烈的磁光响应，以及激子和磁振子之间的直接耦合，建立了通过自旋自由度控制光与物质相互作用的新途径。本综述调查了该领域的关键进展，重点关注代表性材料系统、激子-磁耦合的实验特征以及用于描述这些现象的理论框架。最后，我们对这个快速发展的领域如何利用光、电荷和自旋的耦合动力学实现下一代光电和量子技术进行了展望。</w:t>
      </w:r>
    </w:p>
    <w:p>
      <w:pPr>
        <w:spacing w:before="120"/>
      </w:pPr>
      <w:r>
        <w:rPr>
          <w:rFonts w:ascii="Times New Roman" w:hAnsi="Times New Roman" w:eastAsia="宋体"/>
          <w:b/>
          <w:sz w:val="21"/>
        </w:rPr>
        <w:t>English Abstract:</w:t>
      </w:r>
    </w:p>
    <w:p>
      <w:r>
        <w:rPr>
          <w:rFonts w:ascii="Times New Roman" w:hAnsi="Times New Roman" w:eastAsia="宋体"/>
          <w:sz w:val="21"/>
        </w:rPr>
        <w:t>Two-dimensional magnetic semiconductors provide a unique materials platform in which long-range magnetic order coexists with strongly bound excitons. Because excitonic states and magnetic moments originate from the same electronic orbitals and are coupled through intrinsic exchange interactions, optical excitations in these systems exhibit pronounced sensitivity to magnetic order. Recent experiments have revealed unusually strong magneto-optical responses, as well as direct coupling between excitons and magnons, establishing new routes for controlling light-matter interactions with spin degrees of freedom. This Review surveys key developments in the field, focusing on representative material systems, experimental signatures of exciton-magnetism coupling, and the theoretical frameworks used to describe these phenomena. We conclude with perspectives on how this rapidly evolving field could enable next-generation optoelectronic and quantum technologies leveraging the coupled dynamics of light, charge, and spin.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达到真空光学非线性干涉测量的量子噪声极限</w:t>
      </w:r>
    </w:p>
    <w:p>
      <w:r>
        <w:rPr>
          <w:rFonts w:ascii="Times New Roman" w:hAnsi="Times New Roman" w:eastAsia="宋体"/>
          <w:b/>
          <w:color w:val="003264"/>
          <w:sz w:val="24"/>
        </w:rPr>
        <w:t>Reaching the quantum noise limit for interferometric measurement of optical nonlinearity in vacuum</w:t>
      </w:r>
    </w:p>
    <w:p>
      <w:r>
        <w:rPr>
          <w:rFonts w:ascii="Times New Roman" w:hAnsi="Times New Roman" w:eastAsia="宋体"/>
          <w:sz w:val="21"/>
        </w:rPr>
        <w:t>作者: Moana Pittman</w:t>
        <w:br/>
      </w:r>
      <w:r>
        <w:rPr>
          <w:rFonts w:ascii="Times New Roman" w:hAnsi="Times New Roman" w:eastAsia="宋体"/>
          <w:sz w:val="21"/>
        </w:rPr>
        <w:t xml:space="preserve">时间: 2026-02-11T14:25:48Z | </w:t>
      </w:r>
      <w:r>
        <w:t xml:space="preserve">链接: </w:t>
      </w:r>
      <w:hyperlink r:id="rId175">
        <w:r>
          <w:rPr>
            <w:rFonts w:ascii="Times New Roman" w:hAnsi="Times New Roman" w:eastAsia="宋体"/>
            <w:color w:val="0000FF"/>
            <w:sz w:val="21"/>
            <w:u w:val="single"/>
          </w:rPr>
          <w:t>https://arxiv.org/abs/2602.10896v1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量子电动力学预测真空必须表现为非线性光学介质：当真空受到强电磁场的压力时，真空光学指数应该增加。DeLLight（光的偏转）项目旨在通过使用 IJCLab（巴黎萨克雷大学）LASERIX 设施提供的强超短激光脉冲来测量真空。其原理是通过干涉测量法测量低强度探测脉冲穿过外部高强度泵浦脉冲产生的真空光学折射率梯度时的偏转。预期信号的检测需要以高空间分辨率测量干涉强度分布的位置，但受到最终量子噪声的限制。然而，干涉仪机械振动引起的相位噪声严重降低了空间分辨率。为了抑制这种干涉相位噪声，我们开发了一种新方法，称为高频相位噪声抑制（HFPNS）方法，该方法基于使用延迟参考信号来校正探测光束中出现的任何与噪声相关的信号。在这项工作中，我们提出了这种新方法的实验验证。结果证明了实现皮米级灵敏度的可靠途径，并为观察 QED 引起的真空折射迈出了关键一步。</w:t>
      </w:r>
    </w:p>
    <w:p>
      <w:pPr>
        <w:spacing w:before="120"/>
      </w:pPr>
      <w:r>
        <w:rPr>
          <w:rFonts w:ascii="Times New Roman" w:hAnsi="Times New Roman" w:eastAsia="宋体"/>
          <w:b/>
          <w:sz w:val="21"/>
        </w:rPr>
        <w:t>English Abstract:</w:t>
      </w:r>
    </w:p>
    <w:p>
      <w:r>
        <w:rPr>
          <w:rFonts w:ascii="Times New Roman" w:hAnsi="Times New Roman" w:eastAsia="宋体"/>
          <w:sz w:val="21"/>
        </w:rPr>
        <w:t>Quantum Electrodynamics predicts that the vacuum must behave as a nonlinear optical medium:the vacuum optical index should increase when vacuum is stressed by intense electromagnetic fields.The DeLLight (Deflection of Light by Light) project aims to measure it by using intense and ultra-short laser pulses delivered by the LASERIX facility at IJCLab (Paris-Saclay University). Theprinciple is to measure by interferometry the deflection of a low-intensity probe pulse when crossingthe vacuum optical index gradient produced by an external high-intensity pump pulse. The detectionof the expected signal requires measuring the position of the interference intensity profile with a highspatial resolution, limited by the ultimate quantum noise. However, the spatial resolution is highlydegraded by the phase noise induced by the mechanical vibrations of the interferometer. In order tosuppress this interferometric phase noise, we have developed a new method, named High-FrequencyPhase Noise Suppression (HFPNS) method, based on the use of a delayed reference signal to correctany noise-related signal appearing in the probe beam. In this work, we present the experimentalvalidation of this novel method. The results demonstrate a robust path toward picometer-scalesensitivity and provide a key step toward the observation of QED-induced vacuum refraction.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通过反演波动方程的非厄米弯曲空间</w:t>
      </w:r>
    </w:p>
    <w:p>
      <w:r>
        <w:rPr>
          <w:rFonts w:ascii="Times New Roman" w:hAnsi="Times New Roman" w:eastAsia="宋体"/>
          <w:b/>
          <w:color w:val="003264"/>
          <w:sz w:val="24"/>
        </w:rPr>
        <w:t>Non-Hermitian curved space via inverted wave equation</w:t>
      </w:r>
    </w:p>
    <w:p>
      <w:r>
        <w:rPr>
          <w:rFonts w:ascii="Times New Roman" w:hAnsi="Times New Roman" w:eastAsia="宋体"/>
          <w:sz w:val="21"/>
        </w:rPr>
        <w:t>作者: B. Zhou</w:t>
        <w:br/>
      </w:r>
      <w:r>
        <w:rPr>
          <w:rFonts w:ascii="Times New Roman" w:hAnsi="Times New Roman" w:eastAsia="宋体"/>
          <w:sz w:val="21"/>
        </w:rPr>
        <w:t xml:space="preserve">时间: 2026-02-11T15:18:54Z | </w:t>
      </w:r>
      <w:r>
        <w:t xml:space="preserve">链接: </w:t>
      </w:r>
      <w:hyperlink r:id="rId176">
        <w:r>
          <w:rPr>
            <w:rFonts w:ascii="Times New Roman" w:hAnsi="Times New Roman" w:eastAsia="宋体"/>
            <w:color w:val="0000FF"/>
            <w:sz w:val="21"/>
            <w:u w:val="single"/>
          </w:rPr>
          <w:t>https://arxiv.org/abs/2602.10937v1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预定义的振幅和相位求解无源渐变材料的反演设计方法是沿着变换光学（TO）的路线开发的，然而，这排除了实用世界中源和汇的存在。因此，在这封信中，我们将这种逆方法扩展到非厄米介质，为操纵波流提供了更多自由。我们的由增益和损耗驱动的弯曲空间模拟图像的原理可以通过三种类型来举例说明：幅度控制、相位转换和方向分流。我们的数值示例以令人惊讶的简单方式展示了精确的波操纵，这超越了 TO 的对流范例，并且很容易在现实的光子平台中实现。</w:t>
      </w:r>
    </w:p>
    <w:p>
      <w:pPr>
        <w:spacing w:before="120"/>
      </w:pPr>
      <w:r>
        <w:rPr>
          <w:rFonts w:ascii="Times New Roman" w:hAnsi="Times New Roman" w:eastAsia="宋体"/>
          <w:b/>
          <w:sz w:val="21"/>
        </w:rPr>
        <w:t>English Abstract:</w:t>
      </w:r>
    </w:p>
    <w:p>
      <w:r>
        <w:rPr>
          <w:rFonts w:ascii="Times New Roman" w:hAnsi="Times New Roman" w:eastAsia="宋体"/>
          <w:sz w:val="21"/>
        </w:rPr>
        <w:t>Inverting design method of solving passive graded materials from predefined amplitude and phase was developed along the line of transformation optics (TO), which however precludes the presence of source and sink in the pragmatic world. So in this Letter we extend such an inverse method to non-Hermitian media, offering more freedom to manipulate the wave flows. Our principle of a curved-space analogue picture powered with gain and loss, is exemplified by three types: amplitude controlling, phase conversion, and direction shunting. Our numeric examples showcase precise wave manipulation in a surprisingly simple manner, which goes beyond convectional paradigms of TO and is readily implementable in realistic photonic platform.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基于重加权振幅流算法的激光波前传感器</w:t>
      </w:r>
    </w:p>
    <w:p>
      <w:r>
        <w:rPr>
          <w:rFonts w:ascii="Times New Roman" w:hAnsi="Times New Roman" w:eastAsia="宋体"/>
          <w:b/>
          <w:color w:val="003264"/>
          <w:sz w:val="24"/>
        </w:rPr>
        <w:t>Wavefront Sensor for Laser Beams Based on Reweighted Amplitude Flow Algorithm</w:t>
      </w:r>
    </w:p>
    <w:p>
      <w:r>
        <w:rPr>
          <w:rFonts w:ascii="Times New Roman" w:hAnsi="Times New Roman" w:eastAsia="宋体"/>
          <w:sz w:val="21"/>
        </w:rPr>
        <w:t>作者: Tomas Mocek</w:t>
        <w:br/>
      </w:r>
      <w:r>
        <w:rPr>
          <w:rFonts w:ascii="Times New Roman" w:hAnsi="Times New Roman" w:eastAsia="宋体"/>
          <w:sz w:val="21"/>
        </w:rPr>
        <w:t xml:space="preserve">时间: 2026-02-11T16:21:49Z | </w:t>
      </w:r>
      <w:r>
        <w:t xml:space="preserve">链接: </w:t>
      </w:r>
      <w:hyperlink r:id="rId177">
        <w:r>
          <w:rPr>
            <w:rFonts w:ascii="Times New Roman" w:hAnsi="Times New Roman" w:eastAsia="宋体"/>
            <w:color w:val="0000FF"/>
            <w:sz w:val="21"/>
            <w:u w:val="single"/>
          </w:rPr>
          <w:t>https://arxiv.org/abs/2602.10998v1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基于二进制幅度调制和相位检索的无参考计算波前传感器。该方法采用数字微镜器件作为可编程幅度调制器，并使用具有最佳光谱初始化的重加权幅度流算法从多个远场强度测量中重建复杂光场。与经典的光瞳平面波前传感器不同，所提出的架构不包括任何特定于波长的光学元件，从而能够在广泛的光谱范围内直接适应。重建波前可实现的空间分辨率可随调制器分辨率缩放。我们通过实验演示了 650 nm 和 2116 nm 处的波前重建，其中商业波前传感器尚未广泛使用。重建的波前在 650 nm 处针对商用横向剪切干涉仪进行了验证，并且该方法进一步集成到使用可变形镜的闭环自适应光学系统中。该方法特别适合在缓慢变化或准静态激光场中需要高空间分辨率和大动态范围的应用，其中计算重建速度不是主要考虑的问题。</w:t>
      </w:r>
    </w:p>
    <w:p>
      <w:pPr>
        <w:spacing w:before="120"/>
      </w:pPr>
      <w:r>
        <w:rPr>
          <w:rFonts w:ascii="Times New Roman" w:hAnsi="Times New Roman" w:eastAsia="宋体"/>
          <w:b/>
          <w:sz w:val="21"/>
        </w:rPr>
        <w:t>English Abstract:</w:t>
      </w:r>
    </w:p>
    <w:p>
      <w:r>
        <w:rPr>
          <w:rFonts w:ascii="Times New Roman" w:hAnsi="Times New Roman" w:eastAsia="宋体"/>
          <w:sz w:val="21"/>
        </w:rPr>
        <w:t>We present a reference-free computational wavefront sensor based on binary amplitude modulation and phase retrieval. The method employs Digital Micro-mirror Device as a programmable amplitude modulator and reconstructs the complex optical field from multiple far-field intensity measurements using the Reweighted Amplitude Flow algo-rithm with Optimal Spectral Initialization. Unlike classical pupil-plane wavefront sen-sors, the proposed architecture does not include any wavelength-specific optical elements, enabling straightforward adaptation across a broad spectral range. The achievable spatial resolution of the reconstructed wavefront is scalable with the modulator resolution. We experimentally demonstrate wavefront reconstruction at 650 nm and at 2116 nm, where commercial wavefront sensors are not widely available. The reconstructed wavefront is validated against a commercial lateral shearing interferometer at 650 nm, and the method is further integrated into a closed-loop adaptive optics system using a deformable mirror. The approach is particularly suited for applications requiring high spatial resolution and large dynamic range in slowly varying or quasi-static laser fields, where computational reconstruction speed is not of the primary concern.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光学物质系统中的赝旋转和 N 体力</w:t>
      </w:r>
    </w:p>
    <w:p>
      <w:r>
        <w:rPr>
          <w:rFonts w:ascii="Times New Roman" w:hAnsi="Times New Roman" w:eastAsia="宋体"/>
          <w:b/>
          <w:color w:val="003264"/>
          <w:sz w:val="24"/>
        </w:rPr>
        <w:t>Pseudorotation and N-body Forces in an Optical Matter System</w:t>
      </w:r>
    </w:p>
    <w:p>
      <w:r>
        <w:rPr>
          <w:rFonts w:ascii="Times New Roman" w:hAnsi="Times New Roman" w:eastAsia="宋体"/>
          <w:sz w:val="21"/>
        </w:rPr>
        <w:t>作者: Norbert F. Scherer</w:t>
        <w:br/>
      </w:r>
      <w:r>
        <w:rPr>
          <w:rFonts w:ascii="Times New Roman" w:hAnsi="Times New Roman" w:eastAsia="宋体"/>
          <w:sz w:val="21"/>
        </w:rPr>
        <w:t xml:space="preserve">时间: 2026-02-11T17:14:10Z | </w:t>
      </w:r>
      <w:r>
        <w:t xml:space="preserve">链接: </w:t>
      </w:r>
      <w:hyperlink r:id="rId178">
        <w:r>
          <w:rPr>
            <w:rFonts w:ascii="Times New Roman" w:hAnsi="Times New Roman" w:eastAsia="宋体"/>
            <w:color w:val="0000FF"/>
            <w:sz w:val="21"/>
            <w:u w:val="single"/>
          </w:rPr>
          <w:t>https://arxiv.org/abs/2602.11043v1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化学键的性质，分子系统中的异构化几乎总是通过三维运动发生。赝旋转是一种不寻常的异构化类型，发生在一些高对称性系统中，呈现出刚体旋转的外观，但仅涉及原子重排。本文证明了金属纳米颗粒成分的光学物质 (OM) 系统中的二维伪旋转发生。动力学维度的差异源于多原子分子中光学结合与量子力学结合的电动场干涉性质。我们在实验和模拟中研究的 8 纳米粒子 OM“风筝”结构具有 D2 (D2h) 对称性和 D4 对称过渡态。伪旋转机制涉及所有 8 个纳米粒子的相关运动，其相互作用平滑（连续）演化，并且粒子不会跳入或跳出 OM 阵列。虽然与其他 OM 异构体相比，OM 风筝结构仅以 10% 的概率出现，但其假旋转速率相对于向其他结构异构体（例如“泪滴”）的转变来说很快。其他异构体的结构位于三角晶格上，颗粒间间隔一定距离，可增强场干扰和诱发极化。尽管风筝异构体具有粒子间分离，会在粒子对（即二体）基础上表现出破坏性干扰，但风筝结构重排成任何其他异构体的速度最慢。我们表明，风筝光学物质系统的不寻常结构和动力学是由 N 体相互作用和力造成的，这表明 N 体效应在此类活性物质中很重要，并且可能更普遍。</w:t>
      </w:r>
    </w:p>
    <w:p>
      <w:pPr>
        <w:spacing w:before="120"/>
      </w:pPr>
      <w:r>
        <w:rPr>
          <w:rFonts w:ascii="Times New Roman" w:hAnsi="Times New Roman" w:eastAsia="宋体"/>
          <w:b/>
          <w:sz w:val="21"/>
        </w:rPr>
        <w:t>English Abstract:</w:t>
      </w:r>
    </w:p>
    <w:p>
      <w:r>
        <w:rPr>
          <w:rFonts w:ascii="Times New Roman" w:hAnsi="Times New Roman" w:eastAsia="宋体"/>
          <w:sz w:val="21"/>
        </w:rPr>
        <w:t>Isomerization in molecular systems almost invariably occurs through 3-dimensional motion due to the nature of chemical bonding. Pseudorotation is an unusual type of isomerization that occurs in some high symmetry systems that gives the appearance of rigid-body rotation yet only involves atom rearrangements. This paper demonstrates that pseudorotation occurs in 2-dimensions in an optical matter (OM) system of metal nanoparticle constituents. The difference in dimensionality of the dynamics arises from the electrodynamic field-interference nature of optical binding vs. quantum mechanical bonding in polyatomic molecules. The 8-nanoparticle OM "kite" structure we study in experiments and simulations has D2 (D2h) symmetry and a D4 symmetric transition state. The mechanism for pseudorotation involves correlated motion of all 8 nanoparticles with smooth (continuous) evolution of their interactions and without particles jumping in or out of the OM array. While the OM kite structure only occurs with 10% probability vs. other OM isomers, its rate of pseudorotation is rapid relative to transitions to other structural isomers (e.g., "teardrop"). The other isomers have structures that lie on a trigonal lattice with inter-particle separations at distances that enhance field interference and induced polarizations. Even though the kite isomer has inter-particle separations that would manifest destructive interference on a particle pair (i.e., 2-body) basis, the kite structure is the slowest to rearrange into any other isomer. We show that the unusual structure and dynamics of the kite optical matter system result from N-body interactions and forces demonstrating that N-body effects are important in this class of active matter and presumably more generally.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介电板中的相干虚拟吸收：对称和不对称几何形状的时间分析</w:t>
      </w:r>
    </w:p>
    <w:p>
      <w:r>
        <w:rPr>
          <w:rFonts w:ascii="Times New Roman" w:hAnsi="Times New Roman" w:eastAsia="宋体"/>
          <w:b/>
          <w:color w:val="003264"/>
          <w:sz w:val="24"/>
        </w:rPr>
        <w:t>Coherent Virtual Absorption in Dielectric Slabs: A Temporal Analysis of Symmetric and Asymmetric Geometries</w:t>
      </w:r>
    </w:p>
    <w:p>
      <w:r>
        <w:rPr>
          <w:rFonts w:ascii="Times New Roman" w:hAnsi="Times New Roman" w:eastAsia="宋体"/>
          <w:sz w:val="21"/>
        </w:rPr>
        <w:t>作者: Nooshin M. Estakhri</w:t>
        <w:br/>
      </w:r>
      <w:r>
        <w:rPr>
          <w:rFonts w:ascii="Times New Roman" w:hAnsi="Times New Roman" w:eastAsia="宋体"/>
          <w:sz w:val="21"/>
        </w:rPr>
        <w:t xml:space="preserve">时间: 2026-02-11T17:35:55Z | </w:t>
      </w:r>
      <w:r>
        <w:t xml:space="preserve">链接: </w:t>
      </w:r>
      <w:hyperlink r:id="rId179">
        <w:r>
          <w:rPr>
            <w:rFonts w:ascii="Times New Roman" w:hAnsi="Times New Roman" w:eastAsia="宋体"/>
            <w:color w:val="0000FF"/>
            <w:sz w:val="21"/>
            <w:u w:val="single"/>
          </w:rPr>
          <w:t>https://arxiv.org/abs/2602.11067v1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相干虚拟吸收是指由于通过入射波的适当时间工程激发复杂的零频率而以无损配置进行光能的时间有限存储。考虑到该效应背后的动力学以及有限激励脉冲发生的存储-释放机制，研究和理解相关的时间动力学对于实现未来的应用至关重要。在这项工作中，我们仔细研究了对称和非对称几何中的这种现象，阐明了在无法轻易获得封闭式解析解的情况下的实际考虑因素。时域分析和频谱滤波的组合用于对这些结构进行系统分析。我们的方法可以推广到更复杂的结构，包括多层和非均匀情况，为优化能量存储和利用无损设计中的复杂频率动态的高级传感应用提供新的机会。</w:t>
      </w:r>
    </w:p>
    <w:p>
      <w:pPr>
        <w:spacing w:before="120"/>
      </w:pPr>
      <w:r>
        <w:rPr>
          <w:rFonts w:ascii="Times New Roman" w:hAnsi="Times New Roman" w:eastAsia="宋体"/>
          <w:b/>
          <w:sz w:val="21"/>
        </w:rPr>
        <w:t>English Abstract:</w:t>
      </w:r>
    </w:p>
    <w:p>
      <w:r>
        <w:rPr>
          <w:rFonts w:ascii="Times New Roman" w:hAnsi="Times New Roman" w:eastAsia="宋体"/>
          <w:sz w:val="21"/>
        </w:rPr>
        <w:t>Coherent virtual absorption refers to time-limited storage of optical energy in lossless configurations due to excitation of a complex zero frequency through proper temporal engineering of the incident wave. Given the dynamics underlying the effect and the storage-release mechanism occurring for finite excitation pulses, studying and understanding the associated time dynamics are crucial for enabling future applications. In this work, we carefully investigate this phenomenon in symmetric and asymmetric geometries, shedding light on practical considerations in situations when a closed-form analytical solution is not readily available. Combinations of time domain analysis and spectral filtering are used to enable systematic analysis of these structures. Our approach can be generalized to more complex structures, including multilayered and inhomogeneous cases, providing new opportunities for optimized energy storage and advanced sensing applications utilizing complex-frequency dynamics in lossless designs.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11:29 ---</w:t>
      </w:r>
    </w:p>
    <w:p>
      <w:pPr>
        <w:pStyle w:val="Heading2"/>
      </w:pPr>
      <w:r/>
      <w:r>
        <w:rPr>
          <w:rFonts w:ascii="Times New Roman" w:hAnsi="Times New Roman" w:eastAsia="宋体"/>
          <w:b/>
          <w:color w:val="000000"/>
          <w:sz w:val="24"/>
        </w:rPr>
        <w:t>重新思考基于扩散的生成隐写术的安全性</w:t>
      </w:r>
    </w:p>
    <w:p>
      <w:r>
        <w:rPr>
          <w:rFonts w:ascii="Times New Roman" w:hAnsi="Times New Roman" w:eastAsia="宋体"/>
          <w:b/>
          <w:color w:val="003264"/>
          <w:sz w:val="24"/>
        </w:rPr>
        <w:t>Rethinking Security of Diffusion-based Generative Steganography</w:t>
      </w:r>
    </w:p>
    <w:p>
      <w:r>
        <w:rPr>
          <w:rFonts w:ascii="Times New Roman" w:hAnsi="Times New Roman" w:eastAsia="宋体"/>
          <w:sz w:val="21"/>
        </w:rPr>
        <w:t>作者: Xiaohua Xie</w:t>
        <w:br/>
      </w:r>
      <w:r>
        <w:rPr>
          <w:rFonts w:ascii="Times New Roman" w:hAnsi="Times New Roman" w:eastAsia="宋体"/>
          <w:sz w:val="21"/>
        </w:rPr>
        <w:t xml:space="preserve">时间: 2026-02-10T19:12:01Z | </w:t>
      </w:r>
      <w:r>
        <w:t xml:space="preserve">链接: </w:t>
      </w:r>
      <w:hyperlink r:id="rId180">
        <w:r>
          <w:rPr>
            <w:rFonts w:ascii="Times New Roman" w:hAnsi="Times New Roman" w:eastAsia="宋体"/>
            <w:color w:val="0000FF"/>
            <w:sz w:val="21"/>
            <w:u w:val="single"/>
          </w:rPr>
          <w:t>https://arxiv.org/abs/2602.10219v1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图像隐写术是一种在生成的图像中隐藏秘密消息的技术，而不依赖于预先存在的封面图像。最近，一些基于扩散模型的生成图像隐写术（DM-GIS）方法被引入，有效对抗传统的隐写分析技术。在本文中，我们确定了影响 DM-GIS 安全性的关键因素，并重新审视了现有方法的安全性。具体来说，我们首先概述了当前 DM-GIS 方法的一般流程，发现扩散模型的噪声空间作为主要嵌入域。此外，我们分析了 DM-GIS 安全性与扩散模型噪声分布之间的关系，从理论上证明了任何破坏噪声分布的隐写操作都会损害 DM-GIS 安全性。基于这一见解，我们提出了一种基于噪声空间的扩散隐写分析器（NS-DSer）——一种简单而有效的隐写分析框架，允许在扩散模型噪声空间中检测 DM-GIS 生成的图像。我们在日益具有挑战性的检测场景中使用 NS-DSer 重新评估现有 DM-GIS 方法的安全性。实验结果验证了我们对 DM-GIS 安全性的理论分析，并显示了 NS-DSer 在不同检测场景中的有效性。</w:t>
      </w:r>
    </w:p>
    <w:p>
      <w:pPr>
        <w:spacing w:before="120"/>
      </w:pPr>
      <w:r>
        <w:rPr>
          <w:rFonts w:ascii="Times New Roman" w:hAnsi="Times New Roman" w:eastAsia="宋体"/>
          <w:b/>
          <w:sz w:val="21"/>
        </w:rPr>
        <w:t>English Abstract:</w:t>
      </w:r>
    </w:p>
    <w:p>
      <w:r>
        <w:rPr>
          <w:rFonts w:ascii="Times New Roman" w:hAnsi="Times New Roman" w:eastAsia="宋体"/>
          <w:sz w:val="21"/>
        </w:rPr>
        <w:t>Generative image steganography is a technique that conceals secret messages within generated images, without relying on pre-existing cover images. Recently, a number of diffusion model-based generative image steganography (DM-GIS) methods have been introduced, which effectively combat traditional steganalysis techniques. In this paper, we identify the key factors that influence DM-GIS security and revisit the security of existing methods. Specifically, we first provide an overview of the general pipelines of current DM-GIS methods, finding that the noise space of diffusion models serves as the primary embedding domain. Further, we analyze the relationship between DM-GIS security and noise distribution of diffusion models, theoretically demonstrating that any steganographic operation that disrupts the noise distribution compromise DM-GIS security. Building on this insight, we propose a Noise Space-based Diffusion Steganalyzer (NS-DSer)-a simple yet effective steganalysis framework allowing for detecting DM-GIS generated images in the diffusion model noise space. We reevaluate the security of existing DM-GIS methods using NS-DSer across increasingly challenging detection scenarios. Experimental results validate our theoretical analysis of DM-GIS security and show the effectiveness of NS-DSer across diverse detection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用于跨数据集糖尿病视网膜病变分级的不确定性有序深度学习</w:t>
      </w:r>
    </w:p>
    <w:p>
      <w:r>
        <w:rPr>
          <w:rFonts w:ascii="Times New Roman" w:hAnsi="Times New Roman" w:eastAsia="宋体"/>
          <w:b/>
          <w:color w:val="003264"/>
          <w:sz w:val="24"/>
        </w:rPr>
        <w:t>Uncertainty-Aware Ordinal Deep Learning for cross-Dataset Diabetic Retinopathy Grading</w:t>
      </w:r>
    </w:p>
    <w:p>
      <w:r>
        <w:rPr>
          <w:rFonts w:ascii="Times New Roman" w:hAnsi="Times New Roman" w:eastAsia="宋体"/>
          <w:sz w:val="21"/>
        </w:rPr>
        <w:t>作者: Mohammed-Amine Cheddadi</w:t>
        <w:br/>
      </w:r>
      <w:r>
        <w:rPr>
          <w:rFonts w:ascii="Times New Roman" w:hAnsi="Times New Roman" w:eastAsia="宋体"/>
          <w:sz w:val="21"/>
        </w:rPr>
        <w:t xml:space="preserve">时间: 2026-02-10T21:44:04Z | </w:t>
      </w:r>
      <w:r>
        <w:t xml:space="preserve">链接: </w:t>
      </w:r>
      <w:hyperlink r:id="rId181">
        <w:r>
          <w:rPr>
            <w:rFonts w:ascii="Times New Roman" w:hAnsi="Times New Roman" w:eastAsia="宋体"/>
            <w:color w:val="0000FF"/>
            <w:sz w:val="21"/>
            <w:u w:val="single"/>
          </w:rPr>
          <w:t>https://arxiv.org/abs/2602.10315v1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糖尿病是一种慢性代谢性疾病，其特征是由于胰岛素产生不足或胰岛素利用受损而导致持续高血糖。其最严重的并发症之一是糖尿病视网膜病变（DR），这是一种由微血管损伤引起的进行性视网膜疾病，导致出血、渗出和潜在的视力丧失。因此，早期、可靠地检测 DR 对于预防不可逆性失明至关重要。在这项工作中，我们提出了一种用于自动 DR 严重程度分级的不确定性感知深度学习框架，该框架明确地模拟了疾病进展的顺序性质。我们的方法将卷积骨干与病变查询注意力池和基于证据狄利克雷的序数回归头相结合，从而实现准确的严重性预测和预测不确定性的原则估计。该模型使用序数证据损失和退火正则化进行训练，以鼓励域转移下的校准置信度。我们在结合 APTOS、Messidor-2 和 EyePACS 眼底数据集子集的多域训练设置上评估所提出的方法。实验结果证明了强大的跨数据集泛化能力，在保留的测试集上实现了有竞争力的分类精度和高二次加权 kappa，同时为低置信度案例提供了有意义的不确定性估计。这些结果表明，有序证据学习是稳健且临床可靠的糖尿病视网膜病变分级的一个有前途的方向。</w:t>
      </w:r>
    </w:p>
    <w:p>
      <w:pPr>
        <w:spacing w:before="120"/>
      </w:pPr>
      <w:r>
        <w:rPr>
          <w:rFonts w:ascii="Times New Roman" w:hAnsi="Times New Roman" w:eastAsia="宋体"/>
          <w:b/>
          <w:sz w:val="21"/>
        </w:rPr>
        <w:t>English Abstract:</w:t>
      </w:r>
    </w:p>
    <w:p>
      <w:r>
        <w:rPr>
          <w:rFonts w:ascii="Times New Roman" w:hAnsi="Times New Roman" w:eastAsia="宋体"/>
          <w:sz w:val="21"/>
        </w:rPr>
        <w:t>Diabetes mellitus is a chronic metabolic disorder characterized by persistent hyperglycemia due to insufficient insulin production or impaired insulin utilization. One of its most severe complications is diabetic retinopathy (DR), a progressive retinal disease caused by microvascular damage, leading to hemorrhages, exudates, and potential vision loss. Early and reliable detection of DR is therefore critical for preventing irreversible blindness. In this work, we propose an uncertainty-aware deep learning framework for automated DR severity grading that explicitly models the ordinal nature of disease progression. Our approach combines a convolutional backbone with lesion-query attention pooling and an evidential Dirichlet-based ordinal regression head, enabling both accurate severity prediction and principled estimation of predictive uncertainty. The model is trained using an ordinal evidential loss with annealed regularization to encourage calibrated confidence under domain shift. We evaluate the proposed method on a multi-domain training setup combining APTOS, Messidor-2, and a subset of EyePACS fundus datasets. Experimental results demonstrate strong cross-dataset generalization, achieving competitive classification accuracy and high quadratic weighted kappa on held-out test sets, while providing meaningful uncertainty estimates for low-confidence cases. These results suggest that ordinal evidential learning is a promising direction for robust and clinically reliable diabetic retinopathy grading.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分析定量 MRI 中的模型错误：在灌注 ASL 中的应用</w:t>
      </w:r>
    </w:p>
    <w:p>
      <w:r>
        <w:rPr>
          <w:rFonts w:ascii="Times New Roman" w:hAnsi="Times New Roman" w:eastAsia="宋体"/>
          <w:b/>
          <w:color w:val="003264"/>
          <w:sz w:val="24"/>
        </w:rPr>
        <w:t>Analyzing Model Misspecification in Quantitative MRI: Application to Perfusion ASL</w:t>
      </w:r>
    </w:p>
    <w:p>
      <w:r>
        <w:rPr>
          <w:rFonts w:ascii="Times New Roman" w:hAnsi="Times New Roman" w:eastAsia="宋体"/>
          <w:sz w:val="21"/>
        </w:rPr>
        <w:t>作者: Adam Bush</w:t>
        <w:br/>
      </w:r>
      <w:r>
        <w:rPr>
          <w:rFonts w:ascii="Times New Roman" w:hAnsi="Times New Roman" w:eastAsia="宋体"/>
          <w:sz w:val="21"/>
        </w:rPr>
        <w:t xml:space="preserve">时间: 2026-02-10T22:17:10Z | </w:t>
      </w:r>
      <w:r>
        <w:t xml:space="preserve">链接: </w:t>
      </w:r>
      <w:hyperlink r:id="rId182">
        <w:r>
          <w:rPr>
            <w:rFonts w:ascii="Times New Roman" w:hAnsi="Times New Roman" w:eastAsia="宋体"/>
            <w:color w:val="0000FF"/>
            <w:sz w:val="21"/>
            <w:u w:val="single"/>
          </w:rPr>
          <w:t>https://arxiv.org/abs/2602.10336v1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定量 MRI (qMRI) 涉及由显式信号模型控制的参数估计。然而，这些模型往往很混乱并且难以在体内验证。当假设的信号模型与真实的数据生成过程不同时，模型被错误指定。在错误指定的情况下，任何无偏估计量的方差均受到错误指定的 Cramer-Rao 界 (MCRB) 的下限，并且最大似然估计 (MLE) 可能会出现偏差和不一致。基于这些原则，我们使用两个测试来评估 qMRI 中的错误指定：（i）随着重复测量的增加，检查经验 MCRB 是否渐近接近 CRB； (ii) 比较两个大小相等的子集的 MLE 估计值，并评估它们的经验方差是否与理论 CRB 预测一致。我们使用动脉自旋标记（ASL）作为说明性示例来演示该框架。我们的结果表明，常用的 ASL 信号模型似乎是在大脑中指定的，而在肾脏中则有一定程度的错误指定。所提出的框架提供了一种通用的、有理论基础的方法来评估定量 MRI 模型的有效性。</w:t>
      </w:r>
    </w:p>
    <w:p>
      <w:pPr>
        <w:spacing w:before="120"/>
      </w:pPr>
      <w:r>
        <w:rPr>
          <w:rFonts w:ascii="Times New Roman" w:hAnsi="Times New Roman" w:eastAsia="宋体"/>
          <w:b/>
          <w:sz w:val="21"/>
        </w:rPr>
        <w:t>English Abstract:</w:t>
      </w:r>
    </w:p>
    <w:p>
      <w:r>
        <w:rPr>
          <w:rFonts w:ascii="Times New Roman" w:hAnsi="Times New Roman" w:eastAsia="宋体"/>
          <w:sz w:val="21"/>
        </w:rPr>
        <w:t>Quantitative MRI (qMRI) involves parameter estimation governed by an explicit signal model. However, these models are often confounded and difficult to validate in vivo. A model is misspecified when the assumed signal model differs from the true data-generating process. Under misspecification, the variance of any unbiased estimator is lower-bounded by the misspecified Cramer-Rao bound (MCRB), and maximum-likelihood estimates (MLE) may exhibit bias and inconsistency. Based on these principles, we assess misspecification in qMRI using two tests: (i) examining whether empirical MCRB asymptotically approaches the CRB as repeated measurements increase; (ii) comparing MLE estimates from two equal-sized subsets and evaluating whether their empirical variance aligns with theoretical CRB predictions. We demonstrate the framework using arterial spin labeling (ASL) as an illustrative example. Our result shows the commonly used ASL signal model appears to be specified in the brain and moderately misspecified in the kidney. The proposed framework offers a general, theoretically grounded approach for assessing model validity in quantitative MRI.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超越校准：混杂的病理学限制了腹部创伤 CT 中基础模型的特异性</w:t>
      </w:r>
    </w:p>
    <w:p>
      <w:r>
        <w:rPr>
          <w:rFonts w:ascii="Times New Roman" w:hAnsi="Times New Roman" w:eastAsia="宋体"/>
          <w:b/>
          <w:color w:val="003264"/>
          <w:sz w:val="24"/>
        </w:rPr>
        <w:t>Beyond Calibration: Confounding Pathology Limits Foundation Model Specificity in Abdominal Trauma CT</w:t>
      </w:r>
    </w:p>
    <w:p>
      <w:r>
        <w:rPr>
          <w:rFonts w:ascii="Times New Roman" w:hAnsi="Times New Roman" w:eastAsia="宋体"/>
          <w:sz w:val="21"/>
        </w:rPr>
        <w:t>作者: Jinman Kim</w:t>
        <w:br/>
      </w:r>
      <w:r>
        <w:rPr>
          <w:rFonts w:ascii="Times New Roman" w:hAnsi="Times New Roman" w:eastAsia="宋体"/>
          <w:sz w:val="21"/>
        </w:rPr>
        <w:t xml:space="preserve">时间: 2026-02-10T23:08:06Z | </w:t>
      </w:r>
      <w:r>
        <w:t xml:space="preserve">链接: </w:t>
      </w:r>
      <w:hyperlink r:id="rId183">
        <w:r>
          <w:rPr>
            <w:rFonts w:ascii="Times New Roman" w:hAnsi="Times New Roman" w:eastAsia="宋体"/>
            <w:color w:val="0000FF"/>
            <w:sz w:val="21"/>
            <w:u w:val="single"/>
          </w:rPr>
          <w:t>https://arxiv.org/abs/2602.10359v1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目的：将基础模型转化为临床实践需要评估其在复合分布变化下的性能，其中严重的类别不平衡与异质成像外观共存。这一挑战与创伤性肠损伤有关，这是一种罕见但死亡率很高的诊断。我们研究了基础模型中的特异性缺陷是否与负类的异质性相关。方法：这项回顾性研究使用了多机构 RSNA 腹部创伤 CT 数据集（2019-2023 年），包括来自 23 个中心的扫描。将两种基础模型（MedCLIP、零样本；RadDINO、线性探针）与三种特定于任务的方法（CNN、Transformer、Ensemble）进行比较。模型在 3,147 名患者（2.3% 肠损伤患病率）上进行了训练，并在包含 100 名患者的丰富测试集上进行了评估。为了分离负类效应，对无肠损伤但同时发生实体器官损伤的患者 (n=58) 与无腹部病变 (n=50) 的患者进行了特异性评估。结果：基础模型实现了与特定任务模型相同的区分度（AUC，0.64-0.68 与 0.58-0.64），灵敏度更高（79-91% vs 41-74%），但特异性较低（33-50% vs 50-88%）。所有模型均在无腹部病变的患者中表现出高度特异性 (84-100%)。当存在实体器官损伤时，基础模型的特异性大幅下降（50-51 个百分点），而任务特定模型的特异性下降幅度较小，为 12-41 个百分点。结论：基础模型在没有特定任务训练的情况下匹配了特定任务歧视，但它们的特异性缺陷主要是由混杂负类异质性而不是仅由普遍性引起的。随着标记训练的进行，对负类异质性的敏感性逐渐降低，这表明在临床实施之前需要进行适应。</w:t>
      </w:r>
    </w:p>
    <w:p>
      <w:pPr>
        <w:spacing w:before="120"/>
      </w:pPr>
      <w:r>
        <w:rPr>
          <w:rFonts w:ascii="Times New Roman" w:hAnsi="Times New Roman" w:eastAsia="宋体"/>
          <w:b/>
          <w:sz w:val="21"/>
        </w:rPr>
        <w:t>English Abstract:</w:t>
      </w:r>
    </w:p>
    <w:p>
      <w:r>
        <w:rPr>
          <w:rFonts w:ascii="Times New Roman" w:hAnsi="Times New Roman" w:eastAsia="宋体"/>
          <w:sz w:val="21"/>
        </w:rPr>
        <w:t>Purpose: Translating foundation models into clinical practice requires evaluating their performance under compound distribution shift, where severe class imbalance coexists with heterogeneous imaging appearances. This challenge is relevant for traumatic bowel injury, a rare but high-mortality diagnosis. We investigated whether specificity deficits in foundation models are associated with heterogeneity in the negative class. Methods: This retrospective study used the multi-institutional, RSNA Abdominal Traumatic Injury CT dataset (2019-2023), comprising scans from 23 centres. Two foundation models (MedCLIP, zero-shot; RadDINO, linear probe) were compared against three task-specific approaches (CNN, Transformer, Ensemble). Models were trained on 3,147 patients (2.3% bowel injury prevalence) and evaluated on an enriched 100-patient test set. To isolate negative-class effects, specificity was assessed in patients without bowel injury who had concurrent solid organ injury (n=58) versus no abdominal pathology (n=50). Results: Foundation models achieved equivalent discrimination to task-specific models (AUC, 0.64-0.68 versus 0.58-0.64) with higher sensitivity (79-91% vs 41-74%) but lower specificity (33-50% vs 50-88%). All models demonstrated high specificity in patients without abdominal pathology (84-100%). When solid organ injuries were present, specificity declined substantially for foundation models (50-51 percentage points) compared with smaller reductions of 12-41 percentage points for task-specific models. Conclusion: Foundation models matched task-specific discrimination without task-specific training, but their specificity deficits were driven primarily by confounding negative-class heterogeneity rather than prevalence alone. Susceptibility to negative-class heterogeneity decreased progressively with labelled training, suggesting adaptation is required before clinical implementation.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二元流匹配：用于鲁棒学习的预测损失空间对齐</w:t>
      </w:r>
    </w:p>
    <w:p>
      <w:r>
        <w:rPr>
          <w:rFonts w:ascii="Times New Roman" w:hAnsi="Times New Roman" w:eastAsia="宋体"/>
          <w:b/>
          <w:color w:val="003264"/>
          <w:sz w:val="24"/>
        </w:rPr>
        <w:t>Binary Flow Matching: Prediction-Loss Space Alignment for Robust Learning</w:t>
      </w:r>
    </w:p>
    <w:p>
      <w:r>
        <w:rPr>
          <w:rFonts w:ascii="Times New Roman" w:hAnsi="Times New Roman" w:eastAsia="宋体"/>
          <w:sz w:val="21"/>
        </w:rPr>
        <w:t>作者: Zhaoyang Zhang</w:t>
        <w:br/>
      </w:r>
      <w:r>
        <w:rPr>
          <w:rFonts w:ascii="Times New Roman" w:hAnsi="Times New Roman" w:eastAsia="宋体"/>
          <w:sz w:val="21"/>
        </w:rPr>
        <w:t xml:space="preserve">时间: 2026-02-11T02:02:30Z | </w:t>
      </w:r>
      <w:r>
        <w:t xml:space="preserve">链接: </w:t>
      </w:r>
      <w:hyperlink r:id="rId184">
        <w:r>
          <w:rPr>
            <w:rFonts w:ascii="Times New Roman" w:hAnsi="Times New Roman" w:eastAsia="宋体"/>
            <w:color w:val="0000FF"/>
            <w:sz w:val="21"/>
            <w:u w:val="single"/>
          </w:rPr>
          <w:t>https://arxiv.org/abs/2602.10420v1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流匹配已成为生成建模的强大框架，最近的经验成功凸显了信号空间预测（$x$-预测）的有效性。在这项工作中，我们研究了这种范式到二元流形的转移，这是离散数据生成建模的基本设置。虽然$x$-预测仍然有效，但我们发现当它与基于速度的目标（$v$-loss）结合时会出现潜在的结构失配，从而导致依赖于时间的奇异权重，从而放大了对近似误差的梯度敏感性。受这一观察的启发，我们将预测损失对齐形式化为流匹配训练的必要条件。我们证明，将目标重新与信号空间（$x$-loss）对齐可以消除奇异权重，产生均匀有界的梯度，并在均匀时间步采样下实现稳健的训练，而无需依赖启发式计划。最后，在确保对齐的情况下，我们检查特定于二进制数据的设计选择，揭示概率目标（例如交叉熵）和几何损失（例如均方误差）之间依赖于拓扑的区别。总之，这些结果为二进制域和相关离散域上的鲁棒流匹配提供了理论基础和实践指南，将信号空间对齐定位为鲁棒扩散学习的关键原则。</w:t>
      </w:r>
    </w:p>
    <w:p>
      <w:pPr>
        <w:spacing w:before="120"/>
      </w:pPr>
      <w:r>
        <w:rPr>
          <w:rFonts w:ascii="Times New Roman" w:hAnsi="Times New Roman" w:eastAsia="宋体"/>
          <w:b/>
          <w:sz w:val="21"/>
        </w:rPr>
        <w:t>English Abstract:</w:t>
      </w:r>
    </w:p>
    <w:p>
      <w:r>
        <w:rPr>
          <w:rFonts w:ascii="Times New Roman" w:hAnsi="Times New Roman" w:eastAsia="宋体"/>
          <w:sz w:val="21"/>
        </w:rPr>
        <w:t>Flow matching has emerged as a powerful framework for generative modeling, with recent empirical successes highlighting the effectiveness of signal-space prediction ($x$-prediction). In this work, we investigate the transfer of this paradigm to binary manifolds, a fundamental setting for generative modeling of discrete data. While $x$-prediction remains effective, we identify a latent structural mismatch that arises when it is coupled with velocity-based objectives ($v$-loss), leading to a time-dependent singular weighting that amplifies gradient sensitivity to approximation errors. Motivated by this observation, we formalize prediction-loss alignment as a necessary condition for flow matching training. We prove that re-aligning the objective to the signal space ($x$-loss) eliminates the singular weighting, yielding uniformly bounded gradients and enabling robust training under uniform timestep sampling without reliance on heuristic schedules. Finally, with alignment secured, we examine design choices specific to binary data, revealing a topology-dependent distinction between probabilistic objectives (e.g., cross-entropy) and geometric losses (e.g., mean squared error). Together, these results provide theoretical foundations and practical guidelines for robust flow matching on binary -- and related discrete -- domains, positioning signal-space alignment as a key principle for robust diffusion learning.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无人机高光谱图像中 PFM-1 地雷检测深度学习和统计目标检测方法的基准测试</w:t>
      </w:r>
    </w:p>
    <w:p>
      <w:r>
        <w:rPr>
          <w:rFonts w:ascii="Times New Roman" w:hAnsi="Times New Roman" w:eastAsia="宋体"/>
          <w:b/>
          <w:color w:val="003264"/>
          <w:sz w:val="24"/>
        </w:rPr>
        <w:t>Benchmarking Deep Learning and Statistical Target Detection Methods for PFM-1 Landmine Detection in UAV Hyperspectral Imagery</w:t>
      </w:r>
    </w:p>
    <w:p>
      <w:r>
        <w:rPr>
          <w:rFonts w:ascii="Times New Roman" w:hAnsi="Times New Roman" w:eastAsia="宋体"/>
          <w:sz w:val="21"/>
        </w:rPr>
        <w:t>作者: Emmett J. Ientilucci</w:t>
        <w:br/>
      </w:r>
      <w:r>
        <w:rPr>
          <w:rFonts w:ascii="Times New Roman" w:hAnsi="Times New Roman" w:eastAsia="宋体"/>
          <w:sz w:val="21"/>
        </w:rPr>
        <w:t xml:space="preserve">时间: 2026-02-11T02:25:32Z | </w:t>
      </w:r>
      <w:r>
        <w:t xml:space="preserve">链接: </w:t>
      </w:r>
      <w:hyperlink r:id="rId185">
        <w:r>
          <w:rPr>
            <w:rFonts w:ascii="Times New Roman" w:hAnsi="Times New Roman" w:eastAsia="宋体"/>
            <w:color w:val="0000FF"/>
            <w:sz w:val="21"/>
            <w:u w:val="single"/>
          </w:rPr>
          <w:t>https://arxiv.org/abs/2602.10434v1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近年来，配备成像传感器和自动处理算法的无人机（UAV）已成为一种很有前途的工具，可以加速大面积勘测，同时降低操作人员的风险。尽管高光谱成像 (HSI) 可以使用光谱特征来区分材料，但基于无人机的地雷探测的标准化基准仍然很少。在这项工作中，我们提出了四种经典统计检测算法的系统基准，包括光谱角度映射器 (SAM)、匹配滤波器 (MF)、自适应余弦估计器 (ACE) 和约束能量最小化 (CEM)，以及提出的利用参数 Mish 激活进行 PFM-1 地雷检测的轻量级光谱神经网络。我们还发布了像素级二进制地面真实掩模（目标/背景），以实现标准化、可重复的评估。使用最近发布的 VNIR 高光谱数据集对多个场景作物的惰性 PFM-1 目标进行了评估。使用了受试者工作特征（ROC）曲线、曲线下面积（AUC）、精确回忆（PR）曲线和平均精确度（AP）等指标。虽然所有方法在独立测试集上都实现了较高的 ROC-AUC，但 ACE 方法观察到的 AUC 最高为 0.989。然而，由于目标像素相对于背景极其稀疏，单独的 ROC-AUC 可能会产生误导；在以精度为中心的评估（PR 和 AP）下，Spectral-NN 的性能优于经典检测器，实现了最高的 AP。这些结果强调需要精确评估、场景感知基准测试和基于学习的光谱模型，以实现可靠的基于无人机的高光谱地雷探测。代码和像素级注释将被发布。</w:t>
      </w:r>
    </w:p>
    <w:p>
      <w:pPr>
        <w:spacing w:before="120"/>
      </w:pPr>
      <w:r>
        <w:rPr>
          <w:rFonts w:ascii="Times New Roman" w:hAnsi="Times New Roman" w:eastAsia="宋体"/>
          <w:b/>
          <w:sz w:val="21"/>
        </w:rPr>
        <w:t>English Abstract:</w:t>
      </w:r>
    </w:p>
    <w:p>
      <w:r>
        <w:rPr>
          <w:rFonts w:ascii="Times New Roman" w:hAnsi="Times New Roman" w:eastAsia="宋体"/>
          <w:sz w:val="21"/>
        </w:rPr>
        <w:t>In recent years, unmanned aerial vehicles (UAVs) equipped with imaging sensors and automated processing algorithms have emerged as a promising tool to accelerate large-area surveys while reducing risk to human operators. Although hyperspectral imaging (HSI) enables material discrimination using spectral signatures, standardized benchmarks for UAV-based landmine detection remain scarce. In this work, we present a systematic benchmark of four classical statistical detection algorithms, including Spectral Angle Mapper (SAM), Matched Filter (MF), Adaptive Cosine Estimator (ACE), and Constrained Energy Minimization (CEM), alongside a proposed lightweight Spectral Neural Network utilizing Parametric Mish activations for PFM-1 landmine detection. We also release pixel-level binary ground truth masks (target/background) to enable standardized, reproducible evaluation. Evaluations were conducted on inert PFM-1 targets across multiple scene crops using a recently released VNIR hyperspectral dataset. Metrics such as receiver operating characteristic (ROC) curve, area under the curve (AUC), precision-recall (PR) curve, and average precision (AP) were used. While all methods achieve high ROC-AUC on an independent test set, the ACE method observes the highest AUC of 0.989. However, because target pixels are extremely sparse relative to background, ROC-AUC alone can be misleading; under precision-focused evaluation (PR and AP), the Spectral-NN outperforms classical detectors, achieving the highest AP. These results emphasize the need for precision-focused evaluation, scene-aware benchmarking, and learning-based spectral models for reliable UAV-based hyperspectral landmine detection. The code and pixel-level annotations will be released.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低空无人机的鲁棒语义传输：预测信道感知调度和生成重建</w:t>
      </w:r>
    </w:p>
    <w:p>
      <w:r>
        <w:rPr>
          <w:rFonts w:ascii="Times New Roman" w:hAnsi="Times New Roman" w:eastAsia="宋体"/>
          <w:b/>
          <w:color w:val="003264"/>
          <w:sz w:val="24"/>
        </w:rPr>
        <w:t>Robust Semantic Transmission for Low-Altitude UAVs: Predictive Channel-Aware Scheduling and Generative Reconstruction</w:t>
      </w:r>
    </w:p>
    <w:p>
      <w:r>
        <w:rPr>
          <w:rFonts w:ascii="Times New Roman" w:hAnsi="Times New Roman" w:eastAsia="宋体"/>
          <w:sz w:val="21"/>
        </w:rPr>
        <w:t>作者: Pooi-Yuen Kam</w:t>
        <w:br/>
      </w:r>
      <w:r>
        <w:rPr>
          <w:rFonts w:ascii="Times New Roman" w:hAnsi="Times New Roman" w:eastAsia="宋体"/>
          <w:sz w:val="21"/>
        </w:rPr>
        <w:t xml:space="preserve">时间: 2026-02-11T03:39:41Z | </w:t>
      </w:r>
      <w:r>
        <w:t xml:space="preserve">链接: </w:t>
      </w:r>
      <w:hyperlink r:id="rId186">
        <w:r>
          <w:rPr>
            <w:rFonts w:ascii="Times New Roman" w:hAnsi="Times New Roman" w:eastAsia="宋体"/>
            <w:color w:val="0000FF"/>
            <w:sz w:val="21"/>
            <w:u w:val="single"/>
          </w:rPr>
          <w:t>https://arxiv.org/abs/2602.10482v1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无人机（UAV）下行链路传输有助于关键的时间敏感视觉应用，但从根本上受到带宽稀缺和动态信道损伤的限制。空对地 (A2G) 链路的快速波动造成可靠的传输时隙是间歇性的，并且只能不确定地预测未来的信道质量。传统的深度联合源信道编码（DeepJSCC）方法传输耦合特征流，当特定时隙经历深度衰落时，会导致全局重建失败。将语义内容解耦为确定性结构组件和随机纹理组件，可以实现与通道可靠性一致的差异化错误保护策略。开发了一种预测传输框架，该框架利用分流变分编解码器和通道感知调度器来优先考虑结构布局的传送而不是可靠的时隙。实验评估表明，该方法在单流基线上实现了 5.6 dB 的峰值信噪比 (SNR) 增益，并在严重预测失配的情况下保持了结构保真度。</w:t>
      </w:r>
    </w:p>
    <w:p>
      <w:pPr>
        <w:spacing w:before="120"/>
      </w:pPr>
      <w:r>
        <w:rPr>
          <w:rFonts w:ascii="Times New Roman" w:hAnsi="Times New Roman" w:eastAsia="宋体"/>
          <w:b/>
          <w:sz w:val="21"/>
        </w:rPr>
        <w:t>English Abstract:</w:t>
      </w:r>
    </w:p>
    <w:p>
      <w:r>
        <w:rPr>
          <w:rFonts w:ascii="Times New Roman" w:hAnsi="Times New Roman" w:eastAsia="宋体"/>
          <w:sz w:val="21"/>
        </w:rPr>
        <w:t>Unmanned aerial vehicle (UAV) downlink transmission facilitates critical time-sensitive visual applications but is fundamentally constrained by bandwidth scarcity and dynamic channel impairments. The rapid fluctuation of the air-to-ground (A2G) link creates a regime where reliable transmission slots are intermittent and future channel quality can only be predicted with uncertainty. Conventional deep joint source-channel coding (DeepJSCC) methods transmit coupled feature streams, causing global reconstruction failure when specific time slots experience deep fading. Decoupling semantic content into a deterministic structure component and a stochastic texture component enables differentiated error protection strategies aligned with channel reliability. A predictive transmission framework is developed that utilizes a split-stream variational codec and a channel-aware scheduler to prioritize the delivery of structural layout over reliable slots. Experimental evaluations indicate that this approach achieves a 5.6 dB gain in peak signal-to-noise (SNR) ratio over single-stream baselines and maintains structural fidelity under significant prediction mismatch.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通过自适应语义感知密码本学习增强水下图像</w:t>
      </w:r>
    </w:p>
    <w:p>
      <w:r>
        <w:rPr>
          <w:rFonts w:ascii="Times New Roman" w:hAnsi="Times New Roman" w:eastAsia="宋体"/>
          <w:b/>
          <w:color w:val="003264"/>
          <w:sz w:val="24"/>
        </w:rPr>
        <w:t>Enhancing Underwater Images via Adaptive Semantic-aware Codebook Learning</w:t>
      </w:r>
    </w:p>
    <w:p>
      <w:r>
        <w:rPr>
          <w:rFonts w:ascii="Times New Roman" w:hAnsi="Times New Roman" w:eastAsia="宋体"/>
          <w:sz w:val="21"/>
        </w:rPr>
        <w:t>作者: Qian Du</w:t>
        <w:br/>
      </w:r>
      <w:r>
        <w:rPr>
          <w:rFonts w:ascii="Times New Roman" w:hAnsi="Times New Roman" w:eastAsia="宋体"/>
          <w:sz w:val="21"/>
        </w:rPr>
        <w:t xml:space="preserve">时间: 2026-02-11T07:20:15Z | </w:t>
      </w:r>
      <w:r>
        <w:t xml:space="preserve">链接: </w:t>
      </w:r>
      <w:hyperlink r:id="rId187">
        <w:r>
          <w:rPr>
            <w:rFonts w:ascii="Times New Roman" w:hAnsi="Times New Roman" w:eastAsia="宋体"/>
            <w:color w:val="0000FF"/>
            <w:sz w:val="21"/>
            <w:u w:val="single"/>
          </w:rPr>
          <w:t>https://arxiv.org/abs/2602.10586v1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水下图像增强（UIE）是一个不适定问题，其中自然干净的参考不可用，并且不同语义区域的退化水平差异很大。现有的 UIE 方法使用单个全局模型处理图像，并忽略不同场景组件的不一致退化。这种疏忽会导致异构水下场景中显着的颜色失真和精细细节的丢失，特别是在不同图像区域的退化差异显着的情况下。因此，我们提出了 SUCode（语义感知水下码本网络），它从语义感知离散码本表示实现自适应 UIE。与基于一次性码本的方法相比，SUCode 利用针对异构水下退化量身定制的语义感知、像素级码本表示。采用三阶段训练范例来表示原始水下图像特征，以避免伪地面真实污染。门控通道注意模块 (GCAM) 和频率感知特征融合 (FAFF) 联合集成通道和频率线索，以实现忠实的色彩恢复和纹理恢复。对多个基准的大量实验表明，SUCode 实现了最先进的性能，在参考和无参考指标上均优于最新的 UIE 方法。该代码将在 https://github.com/oucailab/SUCode 上公开。</w:t>
      </w:r>
    </w:p>
    <w:p>
      <w:pPr>
        <w:spacing w:before="120"/>
      </w:pPr>
      <w:r>
        <w:rPr>
          <w:rFonts w:ascii="Times New Roman" w:hAnsi="Times New Roman" w:eastAsia="宋体"/>
          <w:b/>
          <w:sz w:val="21"/>
        </w:rPr>
        <w:t>English Abstract:</w:t>
      </w:r>
    </w:p>
    <w:p>
      <w:r>
        <w:rPr>
          <w:rFonts w:ascii="Times New Roman" w:hAnsi="Times New Roman" w:eastAsia="宋体"/>
          <w:sz w:val="21"/>
        </w:rPr>
        <w:t>Underwater Image Enhancement (UIE) is an ill-posed problem where natural clean references are not available, and the degradation levels vary significantly across semantic regions. Existing UIE methods treat images with a single global model and ignore the inconsistent degradation of different scene components. This oversight leads to significant color distortions and loss of fine details in heterogeneous underwater scenes, especially where degradation varies significantly across different image regions. Therefore, we propose SUCode (Semantic-aware Underwater Codebook Network), which achieves adaptive UIE from semantic-aware discrete codebook representation. Compared with one-shot codebook-based methods, SUCode exploits semantic-aware, pixel-level codebook representation tailored to heterogeneous underwater degradation. A three-stage training paradigm is employed to represent raw underwater image features to avoid pseudo ground-truth contamination. Gated Channel Attention Module (GCAM) and Frequency-Aware Feature Fusion (FAFF) jointly integrate channel and frequency cues for faithful color restoration and texture recovery. Extensive experiments on multiple benchmarks demonstrate that SUCode achieves state-of-the-art performance, outperforming recent UIE methods on both reference and no-reference metrics. The code will be made public available at https://github.com/oucailab/SUCode.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192 x 128 SPAD 图像传感器的草图 LiDAR 的 FPGA 实现</w:t>
      </w:r>
    </w:p>
    <w:p>
      <w:r>
        <w:rPr>
          <w:rFonts w:ascii="Times New Roman" w:hAnsi="Times New Roman" w:eastAsia="宋体"/>
          <w:b/>
          <w:color w:val="003264"/>
          <w:sz w:val="24"/>
        </w:rPr>
        <w:t>FPGA Implementation of Sketched LiDAR for a 192 x 128 SPAD Image Sensor</w:t>
      </w:r>
    </w:p>
    <w:p>
      <w:r>
        <w:rPr>
          <w:rFonts w:ascii="Times New Roman" w:hAnsi="Times New Roman" w:eastAsia="宋体"/>
          <w:sz w:val="21"/>
        </w:rPr>
        <w:t>作者: Istvan Gyongy</w:t>
        <w:br/>
      </w:r>
      <w:r>
        <w:rPr>
          <w:rFonts w:ascii="Times New Roman" w:hAnsi="Times New Roman" w:eastAsia="宋体"/>
          <w:sz w:val="21"/>
        </w:rPr>
        <w:t xml:space="preserve">时间: 2026-02-11T13:23:55Z | </w:t>
      </w:r>
      <w:r>
        <w:t xml:space="preserve">链接: </w:t>
      </w:r>
      <w:hyperlink r:id="rId188">
        <w:r>
          <w:rPr>
            <w:rFonts w:ascii="Times New Roman" w:hAnsi="Times New Roman" w:eastAsia="宋体"/>
            <w:color w:val="0000FF"/>
            <w:sz w:val="21"/>
            <w:u w:val="single"/>
          </w:rPr>
          <w:t>https://arxiv.org/abs/2602.10837v1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基于多项式样条函数的统计压缩算法的高效现场可编程门阵列（FPGA）实现，旨在解决新兴高空间分辨率单光子雪崩二极管（SPAD）阵列中海量数据传输带宽的关键挑战，其中数据速率可达每秒数十GB。在我们的实验中，与传统的基于直方图的输出相比，所提出的硬件实现实现了 512 倍的压缩比，并且有进一步改进的潜力。该算法首先使用定点 (FXP) 算术和查找表 (LUT) 在软件中进行优化，以消除显式加法、乘法和非线性运算。这可以在准确性和硬件资源利用率之间实现仔细的平衡。在此权衡分析的指导下，在线草图处理元件 (SPE) 在 FPGA 上实现，以直接处理来自 SPAD 传感器的时间戳流。使用具有 192 x 128 像素 SPAD 阵列的定制 LiDAR 设置对实施进行了验证。这项工作展示了高保真度的无直方图在线深度重建，有效缓解了SPAD阵列的时间戳传输瓶颈，并随着未来SPAD的像素数不断增加而提供了可扩展性。</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an efficient field-programmable gate array (FPGA) implementation of a polynomial spline function-based statistical compression algorithm designed to address the critical challenge of massive data transfer bandwidth in emerging high-spatial-resolution single-photon avalanche diode (SPAD) arrays, where data rates can reach tens of gigabytes per second. In our experiments, the proposed hardware implementation achieves a compression ratio of 512x compared with conventional histogram-based outputs, with the potential for further improvement. The algorithm is first optimized in software using fixed-point (FXP) arithmetic and look-up tables (LUTs) to eliminate explicit additions, multiplications, and non-linear operations. This enables a careful balance between accuracy and hardware resource utilization. Guided by this trade-off analysis, online sketch processing elements (SPEs) are implemented on an FPGA to directly process time-stamp streams from the SPAD sensor. The implementation is validated using a customized LiDAR setup with a 192 x 128-pixel SPAD array. This work demonstrates histogram-free online depth reconstruction with high fidelity, effectively alleviating the time-stamp transfer bottleneck of SPAD arrays and offering scalability as pixel counts continue to increase for future SPADs.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通过稀疏投影梯度下降对视网膜植入物进行免训练刺激编码</w:t>
      </w:r>
    </w:p>
    <w:p>
      <w:r>
        <w:rPr>
          <w:rFonts w:ascii="Times New Roman" w:hAnsi="Times New Roman" w:eastAsia="宋体"/>
          <w:b/>
          <w:color w:val="003264"/>
          <w:sz w:val="24"/>
        </w:rPr>
        <w:t>Training-Free Stimulus Encoding for Retinal Implants via Sparse Projected Gradient Descent</w:t>
      </w:r>
    </w:p>
    <w:p>
      <w:r>
        <w:rPr>
          <w:rFonts w:ascii="Times New Roman" w:hAnsi="Times New Roman" w:eastAsia="宋体"/>
          <w:sz w:val="21"/>
        </w:rPr>
        <w:t>作者: Johannes Stegmaier</w:t>
        <w:br/>
      </w:r>
      <w:r>
        <w:rPr>
          <w:rFonts w:ascii="Times New Roman" w:hAnsi="Times New Roman" w:eastAsia="宋体"/>
          <w:sz w:val="21"/>
        </w:rPr>
        <w:t xml:space="preserve">时间: 2026-02-11T14:35:49Z | </w:t>
      </w:r>
      <w:r>
        <w:t xml:space="preserve">链接: </w:t>
      </w:r>
      <w:hyperlink r:id="rId189">
        <w:r>
          <w:rPr>
            <w:rFonts w:ascii="Times New Roman" w:hAnsi="Times New Roman" w:eastAsia="宋体"/>
            <w:color w:val="0000FF"/>
            <w:sz w:val="21"/>
            <w:u w:val="single"/>
          </w:rPr>
          <w:t>https://arxiv.org/abs/2602.10906v1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网膜植入物的目的是在光感受器退化的情况下恢复功能性视力，但从根本上受到低分辨率电极阵列和患者特异性知觉扭曲的限制。大多数部署的编码器依赖于与任务无关的下采样和线性亮度到幅度映射，这在现实感知模型下是次优的。虽然全局逆问题已被表述为神经网络，但此类方法可以快速推理，并且可以实现高重建保真度，但需要训练并且对任意输入的泛化性有限。我们将刺激编码视为线性化感知前向模型下的约束稀疏最小二乘问题。我们的主要观察结果是，最终的感知矩阵可能非常稀疏，具体取决于患者和植入物的配置。在此基础上，我们应用了一个高效的投影残差范数最速下降求解器，该求解器利用稀疏性并通过投影支持刺激边界。在四名模拟患者和植入分辨率从 $15\times15$ 到 $100\times100$ 电极的计算机模拟实验中，与 Lanczos 下采样相比，Fashion-MNIST 的重建保真度得到了改善，SSIM 增加了 $+0.265$，PSNR 增加了 $+1​​2.4\,\mathrm{dB}$，MAE 减少了 $81.4\%$。</w:t>
      </w:r>
    </w:p>
    <w:p>
      <w:pPr>
        <w:spacing w:before="120"/>
      </w:pPr>
      <w:r>
        <w:rPr>
          <w:rFonts w:ascii="Times New Roman" w:hAnsi="Times New Roman" w:eastAsia="宋体"/>
          <w:b/>
          <w:sz w:val="21"/>
        </w:rPr>
        <w:t>English Abstract:</w:t>
      </w:r>
    </w:p>
    <w:p>
      <w:r>
        <w:rPr>
          <w:rFonts w:ascii="Times New Roman" w:hAnsi="Times New Roman" w:eastAsia="宋体"/>
          <w:sz w:val="21"/>
        </w:rPr>
        <w:t>Retinal implants aim to restore functional vision despite photoreceptor degeneration, yet are fundamentally constrained by low resolution electrode arrays and patient-specific perceptual distortions. Most deployed encoders rely on task-agnostic downsampling and linear brightness-to-amplitude mappings, which are suboptimal under realistic perceptual models. While global inverse problems have been formulated as neural networks, such approaches can be fast at inference, and can achieve high reconstruction fidelity, but require training and have limited generalizability to arbitrary inputs. We cast stimulus encoding as a constrained sparse least-squares problem under a linearized perceptual forward model. Our key observation is that the resulting perception matrix can be highly sparse, depending on patient and implant configuration. Building on this, we apply an efficient projected residual norm steepest descent solver that exploits sparsity and supports stimulus bounds via projection. In silico experiments across four simulated patients and implant resolutions from $15\times15$ to $100\times100$ electrodes demonstrate improved reconstruction fidelity, with up to $+0.265$ SSIM increase, $+12.4\,\mathrm{dB}$ PSNR, and $81.4\%$ MAE reduction on Fashion-MNIST compared to Lanczos downsampling.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11:29 ---</w:t>
      </w:r>
    </w:p>
    <w:p>
      <w:pPr>
        <w:pStyle w:val="Heading2"/>
      </w:pPr>
      <w:r/>
      <w:r>
        <w:rPr>
          <w:rFonts w:ascii="Times New Roman" w:hAnsi="Times New Roman" w:eastAsia="宋体"/>
          <w:b/>
          <w:color w:val="000000"/>
          <w:sz w:val="24"/>
        </w:rPr>
        <w:t>当提示变得可视化时：针对大图像编辑模型的以视觉为中心的越狱攻击</w:t>
      </w:r>
    </w:p>
    <w:p>
      <w:r>
        <w:rPr>
          <w:rFonts w:ascii="Times New Roman" w:hAnsi="Times New Roman" w:eastAsia="宋体"/>
          <w:b/>
          <w:color w:val="003264"/>
          <w:sz w:val="24"/>
        </w:rPr>
        <w:t>When the Prompt Becomes Visual: Vision-Centric Jailbreak Attacks for Large Image Editing Models</w:t>
      </w:r>
    </w:p>
    <w:p>
      <w:r>
        <w:rPr>
          <w:rFonts w:ascii="Times New Roman" w:hAnsi="Times New Roman" w:eastAsia="宋体"/>
          <w:sz w:val="21"/>
        </w:rPr>
        <w:t>作者: Alex Jinpeng Wang</w:t>
        <w:br/>
      </w:r>
      <w:r>
        <w:rPr>
          <w:rFonts w:ascii="Times New Roman" w:hAnsi="Times New Roman" w:eastAsia="宋体"/>
          <w:sz w:val="21"/>
        </w:rPr>
        <w:t xml:space="preserve">时间: 2026-02-10T18:59:55Z | </w:t>
      </w:r>
      <w:r>
        <w:t xml:space="preserve">链接: </w:t>
      </w:r>
      <w:hyperlink r:id="rId190">
        <w:r>
          <w:rPr>
            <w:rFonts w:ascii="Times New Roman" w:hAnsi="Times New Roman" w:eastAsia="宋体"/>
            <w:color w:val="0000FF"/>
            <w:sz w:val="21"/>
            <w:u w:val="single"/>
          </w:rPr>
          <w:t>https://arxiv.org/abs/2602.10179v1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型图像编辑模型的最新进展已将范式从文本驱动指令转变为视觉提示编辑，其中用户意图直接从视觉输入（例如标记、箭头和视觉文本提示）推断出来。虽然这种范例极大地扩展了可用性，但它也引入了一个关键的且尚未充分探索的安全风险：攻击面本身变得可见。在这项工作中，我们提出了以视觉为中心的越狱攻击（VJA），这是第一个纯粹通过视觉输入传达恶意指令的视觉到视觉越狱攻击。为了系统地研究这一新兴威胁，我们引入了 IESBench，这是一种面向图像编辑模型的安全基准。 IESBench 上的大量实验表明，VJA 有效地破坏了最先进的商业模型，在 Nano Banana Pro 上实现了高达 80.9% 的攻击成功率，在 GPT-Image-1.5 上实现了高达 70.1% 的攻击成功率。为了减轻这个漏洞，我们提出了一种基于内省多模态推理的免训练防御，它大大提高了对齐不良模型的安全性，达到与商业系统相当的水平，无需辅助防护模型，计算开销可以忽略不计。我们的研究结果暴露了新的漏洞，为推进安全可靠的现代图像编辑系统提供了基准和实际防御。警告：本文包含由大型图像编辑模型创建的令人反感的图像。</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large image editing models have shifted the paradigm from text-driven instructions to vision-prompt editing, where user intent is inferred directly from visual inputs such as marks, arrows, and visual-text prompts. While this paradigm greatly expands usability, it also introduces a critical and underexplored safety risk: the attack surface itself becomes visual. In this work, we propose Vision-Centric Jailbreak Attack (VJA), the first visual-to-visual jailbreak attack that conveys malicious instructions purely through visual inputs. To systematically study this emerging threat, we introduce IESBench, a safety-oriented benchmark for image editing models. Extensive experiments on IESBench demonstrate that VJA effectively compromises state-of-the-art commercial models, achieving attack success rates of up to 80.9% on Nano Banana Pro and 70.1% on GPT-Image-1.5. To mitigate this vulnerability, we propose a training-free defense based on introspective multimodal reasoning, which substantially improves the safety of poorly aligned models to a level comparable with commercial systems, without auxiliary guard models and with negligible computational overhead. Our findings expose new vulnerabilities, provide both a benchmark and practical defense to advance safe and trustworthy modern image editing systems. Warning: This paper contains offensive images created by large image editing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色度计监督下的皮肤镜图像肤色估计，用于公平性审核</w:t>
      </w:r>
    </w:p>
    <w:p>
      <w:r>
        <w:rPr>
          <w:rFonts w:ascii="Times New Roman" w:hAnsi="Times New Roman" w:eastAsia="宋体"/>
          <w:b/>
          <w:color w:val="003264"/>
          <w:sz w:val="24"/>
        </w:rPr>
        <w:t>Colorimeter-Supervised Skin Tone Estimation from Dermatoscopic Images for Fairness Auditing</w:t>
      </w:r>
    </w:p>
    <w:p>
      <w:r>
        <w:rPr>
          <w:rFonts w:ascii="Times New Roman" w:hAnsi="Times New Roman" w:eastAsia="宋体"/>
          <w:sz w:val="21"/>
        </w:rPr>
        <w:t>作者: Irena Galić</w:t>
        <w:br/>
      </w:r>
      <w:r>
        <w:rPr>
          <w:rFonts w:ascii="Times New Roman" w:hAnsi="Times New Roman" w:eastAsia="宋体"/>
          <w:sz w:val="21"/>
        </w:rPr>
        <w:t xml:space="preserve">时间: 2026-02-10T20:20:45Z | </w:t>
      </w:r>
      <w:r>
        <w:t xml:space="preserve">链接: </w:t>
      </w:r>
      <w:hyperlink r:id="rId191">
        <w:r>
          <w:rPr>
            <w:rFonts w:ascii="Times New Roman" w:hAnsi="Times New Roman" w:eastAsia="宋体"/>
            <w:color w:val="0000FF"/>
            <w:sz w:val="21"/>
            <w:u w:val="single"/>
          </w:rPr>
          <w:t>https://arxiv.org/abs/2602.10265v1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皮肤镜图像的神经网络诊断越来越多地用于临床决策支持，但研究报告了不同肤色的性能差异。由于公共皮肤镜数据集中缺乏可靠的肤色注释，这些模型的公平性审核受到限制。我们通过神经网络解决了这一差距，该神经网络通过序数回归预测菲茨帕特里克皮肤类型，并通过颜色回归预测个体类型学角度（ITA），并使用现场菲茨帕特里克标签和色度计测量作为目标。我们进一步利用对合成和真实皮肤镜和临床图像的广泛预训练。 Fitzpatrick 模型达到了与人类众包注释相当的一致性，ITA 预测与色度计衍生的 ITA 高度一致，大大优于像素平均方法。将这些估计量应用于 ISIC 2020 和 MILK10k，我们发现不到 1% 的受试者属于 Fitzpatrick V 型和 VI 型。我们发布代码和预训练模型作为开源工具，用于快速肤色注释和偏差审核。据我们所知，这是第一个根据色度计测量进行验证的皮肤镜肤色估计神经网络，并且它支持了越来越多的证据表明不同肤色群体之间的临床相关性能差距。</w:t>
      </w:r>
    </w:p>
    <w:p>
      <w:pPr>
        <w:spacing w:before="120"/>
      </w:pPr>
      <w:r>
        <w:rPr>
          <w:rFonts w:ascii="Times New Roman" w:hAnsi="Times New Roman" w:eastAsia="宋体"/>
          <w:b/>
          <w:sz w:val="21"/>
        </w:rPr>
        <w:t>English Abstract:</w:t>
      </w:r>
    </w:p>
    <w:p>
      <w:r>
        <w:rPr>
          <w:rFonts w:ascii="Times New Roman" w:hAnsi="Times New Roman" w:eastAsia="宋体"/>
          <w:sz w:val="21"/>
        </w:rPr>
        <w:t>Neural-network-based diagnosis from dermatoscopic images is increasingly used for clinical decision support, yet studies report performance disparities across skin tones. Fairness auditing of these models is limited by the lack of reliable skin-tone annotations in public dermatoscopy datasets. We address this gap with neural networks that predict Fitzpatrick skin type via ordinal regression and the Individual Typology Angle (ITA) via color regression, using in-person Fitzpatrick labels and colorimeter measurements as targets. We further leverage extensive pretraining on synthetic and real dermatoscopic and clinical images. The Fitzpatrick model achieves agreement comparable to human crowdsourced annotations, and ITA predictions show high concordance with colorimeter-derived ITA, substantially outperforming pixel-averaging approaches. Applying these estimators to ISIC 2020 and MILK10k, we find that fewer than 1% of subjects belong to Fitzpatrick types V and VI. We release code and pretrained models as an open-source tool for rapid skin-tone annotation and bias auditing. This is, to our knowledge, the first dermatoscopic skin-tone estimation neural network validated against colorimeter measurements, and it supports growing evidence of clinically relevant performance gaps across skin-tone groups.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ERGO：高保真单目 3D 高斯泼溅的过度风险引导优化</w:t>
      </w:r>
    </w:p>
    <w:p>
      <w:r>
        <w:rPr>
          <w:rFonts w:ascii="Times New Roman" w:hAnsi="Times New Roman" w:eastAsia="宋体"/>
          <w:b/>
          <w:color w:val="003264"/>
          <w:sz w:val="24"/>
        </w:rPr>
        <w:t>ERGO: Excess-Risk-Guided Optimization for High-Fidelity Monocular 3D Gaussian Splatting</w:t>
      </w:r>
    </w:p>
    <w:p>
      <w:r>
        <w:rPr>
          <w:rFonts w:ascii="Times New Roman" w:hAnsi="Times New Roman" w:eastAsia="宋体"/>
          <w:sz w:val="21"/>
        </w:rPr>
        <w:t>作者: Xiaodan Liang</w:t>
        <w:br/>
      </w:r>
      <w:r>
        <w:rPr>
          <w:rFonts w:ascii="Times New Roman" w:hAnsi="Times New Roman" w:eastAsia="宋体"/>
          <w:sz w:val="21"/>
        </w:rPr>
        <w:t xml:space="preserve">时间: 2026-02-10T20:44:43Z | </w:t>
      </w:r>
      <w:r>
        <w:t xml:space="preserve">链接: </w:t>
      </w:r>
      <w:hyperlink r:id="rId192">
        <w:r>
          <w:rPr>
            <w:rFonts w:ascii="Times New Roman" w:hAnsi="Times New Roman" w:eastAsia="宋体"/>
            <w:color w:val="0000FF"/>
            <w:sz w:val="21"/>
            <w:u w:val="single"/>
          </w:rPr>
          <w:t>https://arxiv.org/abs/2602.10278v1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由于遮挡区域固有地缺乏几何和纹理信息，从单个图像生成 3D 内容仍然是一个根本性的挑战和不适定问题。虽然最先进的生成模型可以合成辅助视图来提供额外的监督，但这些视图不可避免地包含几何不一致和纹理错位，这些不一致和纹理错位会在 3D 重建过程中传播和放大伪影。为了有效地利用这些不完善的监管信号，我们提出了一种以过度风险分解为指导的自适应优化框架，称为 ERGO。具体来说，ERGO 将 3D 高斯分布中的优化损失分解为两个部分，即量化当前参数和最优参数之间的次优差距的超额风险，以及对合成视图中固有的不可约噪声进行建模的贝叶斯误差。这种分解使 ERGO 能够动态估计视图特定的超额风险，并在优化过程中自适应调整损失权重。此外，我们引入了几何感知和纹理感知目标，补充了过度风险衍生的加权机制，建立了协同的全局局部优化范例。因此，ERGO 展示了针对监督噪声的鲁棒性，同时持续增强重建 3D 内容的几何保真度和纹理质量。对 Google Scanned Objects 数据集和 OmniObject3D 数据集的大量实验证明了 ERGO 相对于现有最先进方法的优越性。</w:t>
      </w:r>
    </w:p>
    <w:p>
      <w:pPr>
        <w:spacing w:before="120"/>
      </w:pPr>
      <w:r>
        <w:rPr>
          <w:rFonts w:ascii="Times New Roman" w:hAnsi="Times New Roman" w:eastAsia="宋体"/>
          <w:b/>
          <w:sz w:val="21"/>
        </w:rPr>
        <w:t>English Abstract:</w:t>
      </w:r>
    </w:p>
    <w:p>
      <w:r>
        <w:rPr>
          <w:rFonts w:ascii="Times New Roman" w:hAnsi="Times New Roman" w:eastAsia="宋体"/>
          <w:sz w:val="21"/>
        </w:rPr>
        <w:t>Generating 3D content from a single image remains a fundamentally challenging and ill-posed problem due to the inherent absence of geometric and textural information in occluded regions. While state-of-the-art generative models can synthesize auxiliary views to provide additional supervision, these views inevitably contain geometric inconsistencies and textural misalignments that propagate and amplify artifacts during 3D reconstruction. To effectively harness these imperfect supervisory signals, we propose an adaptive optimization framework guided by excess risk decomposition, termed ERGO. Specifically, ERGO decomposes the optimization losses in 3D Gaussian splatting into two components, i.e., excess risk that quantifies the suboptimality gap between current and optimal parameters, and Bayes error that models the irreducible noise inherent in synthesized views. This decomposition enables ERGO to dynamically estimate the view-specific excess risk and adaptively adjust loss weights during optimization. Furthermore, we introduce geometry-aware and texture-aware objectives that complement the excess-risk-derived weighting mechanism, establishing a synergistic global-local optimization paradigm. Consequently, ERGO demonstrates robustness against supervision noise while consistently enhancing both geometric fidelity and textural quality of the reconstructed 3D content. Extensive experiments on the Google Scanned Objects dataset and the OmniObject3D dataset demonstrate the superiority of ERGO over existing state-of-the-art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扩散模型对抗性攻击的低阶防御方法</w:t>
      </w:r>
    </w:p>
    <w:p>
      <w:r>
        <w:rPr>
          <w:rFonts w:ascii="Times New Roman" w:hAnsi="Times New Roman" w:eastAsia="宋体"/>
          <w:b/>
          <w:color w:val="003264"/>
          <w:sz w:val="24"/>
        </w:rPr>
        <w:t>A Low-Rank Defense Method for Adversarial Attack on Diffusion Models</w:t>
      </w:r>
    </w:p>
    <w:p>
      <w:r>
        <w:rPr>
          <w:rFonts w:ascii="Times New Roman" w:hAnsi="Times New Roman" w:eastAsia="宋体"/>
          <w:sz w:val="21"/>
        </w:rPr>
        <w:t>作者: Siyu Huang</w:t>
        <w:br/>
      </w:r>
      <w:r>
        <w:rPr>
          <w:rFonts w:ascii="Times New Roman" w:hAnsi="Times New Roman" w:eastAsia="宋体"/>
          <w:sz w:val="21"/>
        </w:rPr>
        <w:t xml:space="preserve">时间: 2026-02-10T21:56:59Z | </w:t>
      </w:r>
      <w:r>
        <w:t xml:space="preserve">链接: </w:t>
      </w:r>
      <w:hyperlink r:id="rId193">
        <w:r>
          <w:rPr>
            <w:rFonts w:ascii="Times New Roman" w:hAnsi="Times New Roman" w:eastAsia="宋体"/>
            <w:color w:val="0000FF"/>
            <w:sz w:val="21"/>
            <w:u w:val="single"/>
          </w:rPr>
          <w:t>https://arxiv.org/abs/2602.10319v1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扩散模型的对抗性攻击及其微调过程得到了迅速发展。为了防止这些攻击算法的滥用影响扩散模型的实际应用，制定相应的防御策略至关重要。在这项工作中，我们提出了一种有效的防御策略，称为低阶防御（LoRD），来防御对潜在扩散模型（LDM）的对抗性攻击。 LoRD引入合并思想和平衡参数，结合低秩适应（LoRA）模块来检测和防御对抗性样本。基于LoRD，我们建立了一个防御管道，应用学习到的LoRD模块来帮助扩散模型防御攻击算法。我们的方法确保在对抗样本和干净样本上进行微调的 LDM 仍然可以生成高质量的图像。为了证明我们方法的有效性，我们对面部和风景图像进行了广泛的实验，与基线方法相比，我们的方法显示出明显更好的防御性能。</w:t>
      </w:r>
    </w:p>
    <w:p>
      <w:pPr>
        <w:spacing w:before="120"/>
      </w:pPr>
      <w:r>
        <w:rPr>
          <w:rFonts w:ascii="Times New Roman" w:hAnsi="Times New Roman" w:eastAsia="宋体"/>
          <w:b/>
          <w:sz w:val="21"/>
        </w:rPr>
        <w:t>English Abstract:</w:t>
      </w:r>
    </w:p>
    <w:p>
      <w:r>
        <w:rPr>
          <w:rFonts w:ascii="Times New Roman" w:hAnsi="Times New Roman" w:eastAsia="宋体"/>
          <w:sz w:val="21"/>
        </w:rPr>
        <w:t>Recently, adversarial attacks for diffusion models as well as their fine-tuning process have been developed rapidly. To prevent the abuse of these attack algorithms from affecting the practical application of diffusion models, it is critical to develop corresponding defensive strategies. In this work, we propose an efficient defensive strategy, named Low-Rank Defense (LoRD), to defend the adversarial attack on Latent Diffusion Models (LDMs). LoRD introduces the merging idea and a balance parameter, combined with the low-rank adaptation (LoRA) modules, to detect and defend the adversarial samples. Based on LoRD, we build up a defense pipeline that applies the learned LoRD modules to help diffusion models defend against attack algorithms. Our method ensures that the LDM fine-tuned on both adversarial and clean samples can still generate high-quality images. To demonstrate the effectiveness of our approach, we conduct extensive experiments on facial and landscape images, and our method shows significantly better defense performance compared to the baseline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具有不确定性量化和指导的流量匹配</w:t>
      </w:r>
    </w:p>
    <w:p>
      <w:r>
        <w:rPr>
          <w:rFonts w:ascii="Times New Roman" w:hAnsi="Times New Roman" w:eastAsia="宋体"/>
          <w:b/>
          <w:color w:val="003264"/>
          <w:sz w:val="24"/>
        </w:rPr>
        <w:t>Flow Matching with Uncertainty Quantification and Guidance</w:t>
      </w:r>
    </w:p>
    <w:p>
      <w:r>
        <w:rPr>
          <w:rFonts w:ascii="Times New Roman" w:hAnsi="Times New Roman" w:eastAsia="宋体"/>
          <w:sz w:val="21"/>
        </w:rPr>
        <w:t>作者: Sertac Karaman</w:t>
        <w:br/>
      </w:r>
      <w:r>
        <w:rPr>
          <w:rFonts w:ascii="Times New Roman" w:hAnsi="Times New Roman" w:eastAsia="宋体"/>
          <w:sz w:val="21"/>
        </w:rPr>
        <w:t xml:space="preserve">时间: 2026-02-10T22:03:13Z | </w:t>
      </w:r>
      <w:r>
        <w:t xml:space="preserve">链接: </w:t>
      </w:r>
      <w:hyperlink r:id="rId194">
        <w:r>
          <w:rPr>
            <w:rFonts w:ascii="Times New Roman" w:hAnsi="Times New Roman" w:eastAsia="宋体"/>
            <w:color w:val="0000FF"/>
            <w:sz w:val="21"/>
            <w:u w:val="single"/>
          </w:rPr>
          <w:t>https://arxiv.org/abs/2602.10326v1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基于采样的生成模型（例如流量匹配）取得了巨大成功，但它们仍然会产生质量不一致或质量下降的样本。为了评估样本可靠性并生成更高质量的输出，我们提出了不确定性感知流匹配（UA-Flow），这是流匹配的轻量级扩展，可以预测速度场和异方差不确定性。 UA-Flow 通过流动动力学传播速度不确定性来估计每个样本的不确定性。这些不确定性估计充当单个样本的可靠性信号，我们进一步使用它们通过不确定性感知分类器指导和无分类器指导来指导生成。图像生成实验表明，与基线方法相比，UA-Flow 产生的不确定性信号与样本保真度更加相关，并且不确定性引导采样进一步提高了生成质量。</w:t>
      </w:r>
    </w:p>
    <w:p>
      <w:pPr>
        <w:spacing w:before="120"/>
      </w:pPr>
      <w:r>
        <w:rPr>
          <w:rFonts w:ascii="Times New Roman" w:hAnsi="Times New Roman" w:eastAsia="宋体"/>
          <w:b/>
          <w:sz w:val="21"/>
        </w:rPr>
        <w:t>English Abstract:</w:t>
      </w:r>
    </w:p>
    <w:p>
      <w:r>
        <w:rPr>
          <w:rFonts w:ascii="Times New Roman" w:hAnsi="Times New Roman" w:eastAsia="宋体"/>
          <w:sz w:val="21"/>
        </w:rPr>
        <w:t>Despite the remarkable success of sampling-based generative models such as flow matching, they can still produce samples of inconsistent or degraded quality. To assess sample reliability and generate higher-quality outputs, we propose uncertainty-aware flow matching (UA-Flow), a lightweight extension of flow matching that predicts the velocity field together with heteroscedastic uncertainty. UA-Flow estimates per-sample uncertainty by propagating velocity uncertainty through the flow dynamics. These uncertainty estimates act as a reliability signal for individual samples, and we further use them to steer generation via uncertainty-aware classifier guidance and classifier-free guidance. Experiments on image generation show that UA-Flow produces uncertainty signals more highly correlated with sample fidelity than baseline methods, and that uncertainty-guided sampling further improves generation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使用随机卷积神经网络进行条件不确定性感知政治深度伪造检测</w:t>
      </w:r>
    </w:p>
    <w:p>
      <w:r>
        <w:rPr>
          <w:rFonts w:ascii="Times New Roman" w:hAnsi="Times New Roman" w:eastAsia="宋体"/>
          <w:b/>
          <w:color w:val="003264"/>
          <w:sz w:val="24"/>
        </w:rPr>
        <w:t>Conditional Uncertainty-Aware Political Deepfake Detection with Stochastic Convolutional Neural Networks</w:t>
      </w:r>
    </w:p>
    <w:p>
      <w:r>
        <w:rPr>
          <w:rFonts w:ascii="Times New Roman" w:hAnsi="Times New Roman" w:eastAsia="宋体"/>
          <w:sz w:val="21"/>
        </w:rPr>
        <w:t>作者: Rafael-Petruţ Gardoş</w:t>
        <w:br/>
      </w:r>
      <w:r>
        <w:rPr>
          <w:rFonts w:ascii="Times New Roman" w:hAnsi="Times New Roman" w:eastAsia="宋体"/>
          <w:sz w:val="21"/>
        </w:rPr>
        <w:t xml:space="preserve">时间: 2026-02-10T22:31:18Z | </w:t>
      </w:r>
      <w:r>
        <w:t xml:space="preserve">链接: </w:t>
      </w:r>
      <w:hyperlink r:id="rId195">
        <w:r>
          <w:rPr>
            <w:rFonts w:ascii="Times New Roman" w:hAnsi="Times New Roman" w:eastAsia="宋体"/>
            <w:color w:val="0000FF"/>
            <w:sz w:val="21"/>
            <w:u w:val="single"/>
          </w:rPr>
          <w:t>https://arxiv.org/abs/2602.10343v1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图像模型的最新进展使得高度逼真的政治深度伪造成为可能，这给信息完整性、公众信任和民主进程带来了风险。虽然自动深度造假检测器越来越多地部署在审核和调查管道中，但大多数现有系统仅提供点预测，无法指示输出何时不可靠，这在高风险的政治背景下成为操作上的关键限制。这项工作研究了在经验性、面向决策的可靠性框架内使用随机卷积神经网络进行有条件的、不确定性感知的政治深度伪造检测。它不是将不确定性视为纯粹的贝叶斯构造，而是通过可观察的标准进行评估，包括校准质量、适当的评分规则及其与全局分析和置信条件分析下的预测误差的一致性。以政治为中心的二进制图像数据集是通过从大型公共真实合成语料库中进行确定性元数据过滤而构建的。两个预训练的 CNN 主干网络（ResNet-18 和 EfficientNet-B4）针对分类进行了全面微调。将确定性推理与单遍随机预测、多次前向传递的蒙特卡罗 dropout、温度缩放和基于集合的不确定性替代项进行比较。评估报告 ROC-AUC、阈值混淆矩阵、校准指标和生成器不相交的分布外性能。结果表明，经过校准的概率输出和不确定性估计可以实现风险意识调节政策。系统的置信带分析进一步阐明了不确定性何时提供超出预测置信度的操作价值，描绘了政治环境中不确定性感知深度伪造检测的好处和局限性。</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generative image models have enabled the creation of highly realistic political deepfakes, posing risks to information integrity, public trust, and democratic processes. While automated deepfake detectors are increasingly deployed in moderation and investigative pipelines, most existing systems provide only point predictions and fail to indicate when outputs are unreliable, being an operationally critical limitation in high-stakes political contexts. This work investigates conditional, uncertainty-aware political deepfake detection using stochastic convolutional neural networks within an empirical, decision-oriented reliability framework. Rather than treating uncertainty as a purely Bayesian construct, it is evaluated through observable criteria, including calibration quality, proper scoring rules, and its alignment with prediction errors under both global and confidence-conditioned analyses. A politically focused binary image dataset is constructed via deterministic metadata filtering from a large public real-synthetic corpus. Two pretrained CNN backbones (ResNet-18 and EfficientNet-B4) are fully fine-tuned for classification. Deterministic inference is compared with single-pass stochastic prediction, Monte Carlo dropout with multiple forward passes, temperature scaling, and ensemble-based uncertainty surrogates. Evaluation reports ROC-AUC, thresholded confusion matrices, calibration metrics, and generator-disjoint out-of-distribution performance. Results demonstrate that calibrated probabilistic outputs and uncertainty estimates enable risk-aware moderation policies. A systematic confidence-band analysis further clarifies when uncertainty provides operational value beyond predicted confidence, delineating both the benefits and limitations of uncertainty-aware deepfake detection in political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散斑数字全息的蒙特卡罗最大似然重建</w:t>
      </w:r>
    </w:p>
    <w:p>
      <w:r>
        <w:rPr>
          <w:rFonts w:ascii="Times New Roman" w:hAnsi="Times New Roman" w:eastAsia="宋体"/>
          <w:b/>
          <w:color w:val="003264"/>
          <w:sz w:val="24"/>
        </w:rPr>
        <w:t>Monte Carlo Maximum Likelihood Reconstruction for Digital Holography with Speckle</w:t>
      </w:r>
    </w:p>
    <w:p>
      <w:r>
        <w:rPr>
          <w:rFonts w:ascii="Times New Roman" w:hAnsi="Times New Roman" w:eastAsia="宋体"/>
          <w:sz w:val="21"/>
        </w:rPr>
        <w:t>作者: Shirin Jalali</w:t>
        <w:br/>
      </w:r>
      <w:r>
        <w:rPr>
          <w:rFonts w:ascii="Times New Roman" w:hAnsi="Times New Roman" w:eastAsia="宋体"/>
          <w:sz w:val="21"/>
        </w:rPr>
        <w:t xml:space="preserve">时间: 2026-02-10T22:31:22Z | </w:t>
      </w:r>
      <w:r>
        <w:t xml:space="preserve">链接: </w:t>
      </w:r>
      <w:hyperlink r:id="rId196">
        <w:r>
          <w:rPr>
            <w:rFonts w:ascii="Times New Roman" w:hAnsi="Times New Roman" w:eastAsia="宋体"/>
            <w:color w:val="0000FF"/>
            <w:sz w:val="21"/>
            <w:u w:val="single"/>
          </w:rPr>
          <w:t>https://arxiv.org/abs/2602.10344v1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相干成像中，散斑在统计上被建模为乘性噪声，这对图像重建提出了根本性的挑战。虽然最大似然估计（MLE）为散斑抑制提供了原则框架，但其在相干成像系统（例如具有有限孔径的数字全息术）中的应用受到高维矩阵求逆成本高昂的阻碍，尤其是在高分辨率下。这种计算负担阻碍了基于 MLE 的重建与物理上精确的孔径建模的使用。在这项工作中，我们提出了一种随机线性代数方法，该方法可以实现可扩展的 MLE 优化，而无需在梯度计算中显式矩阵求逆。通过利用传感矩阵的结构特性并使用共轭梯度进行似然梯度评估，所提出的算法支持精确的孔径建模，而无需通常为易处理性而强加的简化假设。我们将所得方法称为蒙特卡罗估计投影梯度下降法 (PGD-MC)。所提出的 PGD-MC 框架 (i) 展示了对各种物理精确孔径模型的鲁棒性，(ii) 在重建质量和计算效率方面实现了实质性改进，以及 (iii) 有效地扩展到高分辨率数字全息术。结合三种代表性降噪器作为正则化的大量实验表明，PGD-MC 为有限孔径的数字全息术提供了灵活且有效的基于 MLE 的重建框架，在精度和速度上始终优于先前基于即插即用模型的迭代重建方法。我们的代码位于：https://github.com/Computational-Imaging-RU/MC_Maximum_Likelihood_Digital_Holography_Speckle。</w:t>
      </w:r>
    </w:p>
    <w:p>
      <w:pPr>
        <w:spacing w:before="120"/>
      </w:pPr>
      <w:r>
        <w:rPr>
          <w:rFonts w:ascii="Times New Roman" w:hAnsi="Times New Roman" w:eastAsia="宋体"/>
          <w:b/>
          <w:sz w:val="21"/>
        </w:rPr>
        <w:t>English Abstract:</w:t>
      </w:r>
    </w:p>
    <w:p>
      <w:r>
        <w:rPr>
          <w:rFonts w:ascii="Times New Roman" w:hAnsi="Times New Roman" w:eastAsia="宋体"/>
          <w:sz w:val="21"/>
        </w:rPr>
        <w:t>In coherent imaging, speckle is statistically modeled as multiplicative noise, posing a fundamental challenge for image reconstruction. While maximum likelihood estimation (MLE) provides a principled framework for speckle mitigation, its application to coherent imaging system such as digital holography with finite apertures is hindered by the prohibitive cost of high-dimensional matrix inversion, especially at high resolutions. This computational burden has prevented the use of MLE-based reconstruction with physically accurate aperture modeling. In this work, we propose a randomized linear algebra approach that enables scalable MLE optimization without explicit matrix inversions in gradient computation. By exploiting the structural properties of sensing matrix and using conjugate gradient for likelihood gradient evaluation, the proposed algorithm supports accurate aperture modeling without the simplifying assumptions commonly imposed for tractability. We term the resulting method projected gradient descent with Monte Carlo estimation (PGD-MC). The proposed PGD-MC framework (i) demonstrates robustness to diverse and physically accurate aperture models, (ii) achieves substantial improvements in reconstruction quality and computational efficiency, and (iii) scales effectively to high-resolution digital holography. Extensive experiments incorporating three representative denoisers as regularization show that PGD-MC provides a flexible and effective MLE-based reconstruction framework for digital holography with finite apertures, consistently outperforming prior Plug-and-Play model-based iterative reconstruction methods in both accuracy and speed. Our code is available at: https://github.com/Computational-Imaging-RU/MC_Maximum_Likelihood_Digital_Holography_Speckle.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ENIGMA：使用不到 1% 的参数在 15 分钟内将脑电图转换为图像</w:t>
      </w:r>
    </w:p>
    <w:p>
      <w:r>
        <w:rPr>
          <w:rFonts w:ascii="Times New Roman" w:hAnsi="Times New Roman" w:eastAsia="宋体"/>
          <w:b/>
          <w:color w:val="003264"/>
          <w:sz w:val="24"/>
        </w:rPr>
        <w:t>ENIGMA: EEG-to-Image in 15 Minutes Using Less Than 1% of the Parameters</w:t>
      </w:r>
    </w:p>
    <w:p>
      <w:r>
        <w:rPr>
          <w:rFonts w:ascii="Times New Roman" w:hAnsi="Times New Roman" w:eastAsia="宋体"/>
          <w:sz w:val="21"/>
        </w:rPr>
        <w:t>作者: Jonathan Xu</w:t>
        <w:br/>
      </w:r>
      <w:r>
        <w:rPr>
          <w:rFonts w:ascii="Times New Roman" w:hAnsi="Times New Roman" w:eastAsia="宋体"/>
          <w:sz w:val="21"/>
        </w:rPr>
        <w:t xml:space="preserve">时间: 2026-02-10T23:20:51Z | </w:t>
      </w:r>
      <w:r>
        <w:t xml:space="preserve">链接: </w:t>
      </w:r>
      <w:hyperlink r:id="rId197">
        <w:r>
          <w:rPr>
            <w:rFonts w:ascii="Times New Roman" w:hAnsi="Times New Roman" w:eastAsia="宋体"/>
            <w:color w:val="0000FF"/>
            <w:sz w:val="21"/>
            <w:u w:val="single"/>
          </w:rPr>
          <w:t>https://arxiv.org/abs/2602.10361v1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为了在现实生活中应用，脑机接口模型必须能够轻松快速地部署在新的主题上，在经济实惠的扫描硬件上有效，并且足够小以在可访问的计算资源上本地运行。为了直接解决当前的这些限制，我们引入了 ENIGMA，这是一种多主体脑电图 (EEG) 到图像解码模型，可以重建从 EEG 记录中看到的图像，并在研究级 THINGS-EEG2 和消费级 AllJoined-1.6M 基准上实现最先进的 (SOTA) 性能，同时用短短 15 分钟的数据对新主体进行有效微调。 ENIGMA 拥有更简单的架构，所需的可训练参数不到以前方法的 1%。我们的方法集成了主题统一的时空主干以及一组多主题潜在对齐层和 MLP 投影仪，以将原始 EEG 信号映射到丰富的视觉潜在空间。我们使用一系列广泛的图像重建指标来评估我们的方法，这些指标在功能磁共振成像到图像研究的相邻领域已经标准化，并且我们描述了第一个脑电图到图像研究，以使用人类评估者对我们的重建进行广泛的行为评估。我们简单而强大的架构显着提升了研究级和消费级脑电图硬件的性能，并显着提高了微调效率和推理成本。最后，我们提供了广泛的消融，以确定在跨多个基准数据集的单主题和多主题案例中最能提高性能的架构选择。总的来说，我们的工作为开发实用的脑机接口应用程序迈出了实质性的一步。</w:t>
      </w:r>
    </w:p>
    <w:p>
      <w:pPr>
        <w:spacing w:before="120"/>
      </w:pPr>
      <w:r>
        <w:rPr>
          <w:rFonts w:ascii="Times New Roman" w:hAnsi="Times New Roman" w:eastAsia="宋体"/>
          <w:b/>
          <w:sz w:val="21"/>
        </w:rPr>
        <w:t>English Abstract:</w:t>
      </w:r>
    </w:p>
    <w:p>
      <w:r>
        <w:rPr>
          <w:rFonts w:ascii="Times New Roman" w:hAnsi="Times New Roman" w:eastAsia="宋体"/>
          <w:sz w:val="21"/>
        </w:rPr>
        <w:t>To be practical for real-life applications, models for brain-computer interfaces must be easily and quickly deployable on new subjects, effective on affordable scanning hardware, and small enough to run locally on accessible computing resources. To directly address these current limitations, we introduce ENIGMA, a multi-subject electroencephalography (EEG)-to-Image decoding model that reconstructs seen images from EEG recordings and achieves state-of-the-art (SOTA) performance on the research-grade THINGS-EEG2 and consumer-grade AllJoined-1.6M benchmarks, while fine-tuning effectively on new subjects with as little as 15 minutes of data. ENIGMA boasts a simpler architecture and requires less than 1% of the trainable parameters necessary for previous approaches. Our approach integrates a subject-unified spatio-temporal backbone along with a set of multi-subject latent alignment layers and an MLP projector to map raw EEG signals to a rich visual latent space. We evaluate our approach using a broad suite of image reconstruction metrics that have been standardized in the adjacent field of fMRI-to-Image research, and we describe the first EEG-to-Image study to conduct extensive behavioral evaluations of our reconstructions using human raters. Our simple and robust architecture provides a significant performance boost across both research-grade and consumer-grade EEG hardware, and a substantial improvement in fine-tuning efficiency and inference cost. Finally, we provide extensive ablations to determine the architectural choices most responsible for our performance gains in both single and multi-subject cases across multiple benchmark datasets. Collectively, our work provides a substantial step towards the development of practical brain-computer interface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Comp2Comp：具有 FDA 批准的人工智能算法的开源软件，用于计算机断层扫描图像分析</w:t>
      </w:r>
    </w:p>
    <w:p>
      <w:r>
        <w:rPr>
          <w:rFonts w:ascii="Times New Roman" w:hAnsi="Times New Roman" w:eastAsia="宋体"/>
          <w:b/>
          <w:color w:val="003264"/>
          <w:sz w:val="24"/>
        </w:rPr>
        <w:t>Comp2Comp: Open-Source Software with FDA-Cleared Artificial Intelligence Algorithms for Computed Tomography Image Analysis</w:t>
      </w:r>
    </w:p>
    <w:p>
      <w:r>
        <w:rPr>
          <w:rFonts w:ascii="Times New Roman" w:hAnsi="Times New Roman" w:eastAsia="宋体"/>
          <w:sz w:val="21"/>
        </w:rPr>
        <w:t>作者: Akshay S. Chaudhari</w:t>
        <w:br/>
      </w:r>
      <w:r>
        <w:rPr>
          <w:rFonts w:ascii="Times New Roman" w:hAnsi="Times New Roman" w:eastAsia="宋体"/>
          <w:sz w:val="21"/>
        </w:rPr>
        <w:t xml:space="preserve">时间: 2026-02-10T23:30:40Z | </w:t>
      </w:r>
      <w:r>
        <w:t xml:space="preserve">链接: </w:t>
      </w:r>
      <w:hyperlink r:id="rId198">
        <w:r>
          <w:rPr>
            <w:rFonts w:ascii="Times New Roman" w:hAnsi="Times New Roman" w:eastAsia="宋体"/>
            <w:color w:val="0000FF"/>
            <w:sz w:val="21"/>
            <w:u w:val="single"/>
          </w:rPr>
          <w:t>https://arxiv.org/abs/2602.10364v1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智能可以从已获取的放射图像中自动提取成像生物标志物。这种机会成像范例增加了医学成像的价值，而无需额外的成像成本或患者辐射暴露。然而，许多开源图像分析解决方案缺乏严格的验证，而商业解决方案缺乏透明度，导致部署时出现意外故障。在这里，我们报告了两个首批完全开源、经 FDA-510(k) 批准的深度学习管道的开发和验证，以缓解这两个挑战：腹主动脉量化 (AAQ) 和骨矿物质密度 (BMD) 估计均在 Comp2Comp 软件包中提供，用于对计算机断层扫描进行机会分析。 AAQ 分割腹主动脉以评估动脉瘤大小； BMD 对椎体进行分段，以估计小梁骨密度和骨质疏松症风险。将 AAQ 得出的最大主动脉直径与放射科医生对来自 4 个外部机构的 258 名患者进行的腹主动脉瘤扫描的真实测量结果进行比较。将 BMD 二元分类（低骨密度与正常骨密度）与从四个外部机构的 371 名患者扫描中获得的同步 DXA 扫描基本事实进行比较。 AAQ 的总体平均绝对误差为 1.57 毫米（95% CI 1.38-1.80 毫米）。 BMD 的敏感性为 81.0% (95% CI 74.0-86.8%)，特异性为 78.4% (95% CI 72.3-83.7%)。 Comp2Comp AAQ 和 BMD 证明了足够的临床使用准确性。开源这些算法提高了通常不透明的 FDA 审批流程的透明度，允许医院在繁琐的临床试点之前测试算法，并为研究人员提供一流的方法。</w:t>
      </w:r>
    </w:p>
    <w:p>
      <w:pPr>
        <w:spacing w:before="120"/>
      </w:pPr>
      <w:r>
        <w:rPr>
          <w:rFonts w:ascii="Times New Roman" w:hAnsi="Times New Roman" w:eastAsia="宋体"/>
          <w:b/>
          <w:sz w:val="21"/>
        </w:rPr>
        <w:t>English Abstract:</w:t>
      </w:r>
    </w:p>
    <w:p>
      <w:r>
        <w:rPr>
          <w:rFonts w:ascii="Times New Roman" w:hAnsi="Times New Roman" w:eastAsia="宋体"/>
          <w:sz w:val="21"/>
        </w:rPr>
        <w:t>Artificial intelligence allows automatic extraction of imaging biomarkers from already-acquired radiologic images. This paradigm of opportunistic imaging adds value to medical imaging without additional imaging costs or patient radiation exposure. However, many open-source image analysis solutions lack rigorous validation while commercial solutions lack transparency, leading to unexpected failures when deployed. Here, we report development and validation for two of the first fully open-sourced, FDA-510(k)-cleared deep learning pipelines to mitigate both challenges: Abdominal Aortic Quantification (AAQ) and Bone Mineral Density (BMD) estimation are both offered within the Comp2Comp package for opportunistic analysis of computed tomography scans. AAQ segments the abdominal aorta to assess aneurysm size; BMD segments vertebral bodies to estimate trabecular bone density and osteoporosis risk. AAQ-derived maximal aortic diameters were compared against radiologist ground-truth measurements on 258 patient scans enriched for abdominal aortic aneurysms from four external institutions. BMD binary classifications (low vs. normal bone density) were compared against concurrent DXA scan ground truths obtained on 371 patient scans from four external institutions. AAQ had an overall mean absolute error of 1.57 mm (95% CI 1.38-1.80 mm). BMD had a sensitivity of 81.0% (95% CI 74.0-86.8%) and specificity of 78.4% (95% CI 72.3-83.7%). Comp2Comp AAQ and BMD demonstrated sufficient accuracy for clinical use. Open-sourcing these algorithms improves transparency of typically opaque FDA clearance processes, allows hospitals to test the algorithms before cumbersome clinical pilots, and provides researchers with best-in-class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HII-DPO：通过准确的诱发幻觉的反事实图像消除幻觉</w:t>
      </w:r>
    </w:p>
    <w:p>
      <w:r>
        <w:rPr>
          <w:rFonts w:ascii="Times New Roman" w:hAnsi="Times New Roman" w:eastAsia="宋体"/>
          <w:b/>
          <w:color w:val="003264"/>
          <w:sz w:val="24"/>
        </w:rPr>
        <w:t>HII-DPO: Eliminate Hallucination via Accurate Hallucination-Inducing Counterfactual Images</w:t>
      </w:r>
    </w:p>
    <w:p>
      <w:r>
        <w:rPr>
          <w:rFonts w:ascii="Times New Roman" w:hAnsi="Times New Roman" w:eastAsia="宋体"/>
          <w:sz w:val="21"/>
        </w:rPr>
        <w:t>作者: Chengming Zhang</w:t>
        <w:br/>
      </w:r>
      <w:r>
        <w:rPr>
          <w:rFonts w:ascii="Times New Roman" w:hAnsi="Times New Roman" w:eastAsia="宋体"/>
          <w:sz w:val="21"/>
        </w:rPr>
        <w:t xml:space="preserve">时间: 2026-02-11T02:11:02Z | </w:t>
      </w:r>
      <w:r>
        <w:t xml:space="preserve">链接: </w:t>
      </w:r>
      <w:hyperlink r:id="rId199">
        <w:r>
          <w:rPr>
            <w:rFonts w:ascii="Times New Roman" w:hAnsi="Times New Roman" w:eastAsia="宋体"/>
            <w:color w:val="0000FF"/>
            <w:sz w:val="21"/>
            <w:u w:val="single"/>
          </w:rPr>
          <w:t>https://arxiv.org/abs/2602.10425v1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视觉语言模型（VLM）在各种多模式任务中取得了显着的成功，但仍然容易受到源于固有语言偏见的幻觉的影响。尽管最近取得了进展，但现有的幻觉缓解方法常常忽视由语言偏见驱动的潜在幻觉模式。在这项工作中，我们设计了一种新颖的管道来准确合成幻觉诱导图像（HII）。使用合成的 HII，我们揭示了一致的场景条件幻觉模式：即使视觉证据被移除，模型也倾向于提及场景中高度典型的物体。为了量化 VLM 对这种幻觉模式的敏感性，我们建立了蒙面物体幻觉 (MOH) 基准来严格评估现有的最先进的对齐框架。最后，我们利用 HII 构建高质量的偏好数据集以进行细粒度对齐。实验结果表明，我们的方法有效地减轻了幻觉，同时保留了一般模型的能力。具体来说，我们的方法在标准幻觉基准上比当前最先进的方法提高了 38%。</w:t>
      </w:r>
    </w:p>
    <w:p>
      <w:pPr>
        <w:spacing w:before="120"/>
      </w:pPr>
      <w:r>
        <w:rPr>
          <w:rFonts w:ascii="Times New Roman" w:hAnsi="Times New Roman" w:eastAsia="宋体"/>
          <w:b/>
          <w:sz w:val="21"/>
        </w:rPr>
        <w:t>English Abstract:</w:t>
      </w:r>
    </w:p>
    <w:p>
      <w:r>
        <w:rPr>
          <w:rFonts w:ascii="Times New Roman" w:hAnsi="Times New Roman" w:eastAsia="宋体"/>
          <w:sz w:val="21"/>
        </w:rPr>
        <w:t>Large Vision-Language Models (VLMs) have achieved remarkable success across diverse multimodal tasks but remain vulnerable to hallucinations rooted in inherent language bias. Despite recent progress, existing hallucination mitigation methods often overlook the underlying hallucination patterns driven by language bias. In this work, we design a novel pipeline to accurately synthesize Hallucination-Inducing Images (HIIs). Using synthesized HIIs, we reveal a consistent scene-conditioned hallucination pattern: models tend to mention objects that are highly typical of the scene even when visual evidence is removed. To quantify the susceptibility of VLMs to this hallucination pattern, we establish the Masked-Object-Hallucination (MOH) benchmark to rigorously evaluate existing state-of-the-art alignment frameworks. Finally, we leverage HIIs to construct high-quality preference datasets for fine-grained alignment. Experimental results demonstrate that our approach effectively mitigates hallucinations while preserving general model capabilities. Specifically, our method achieves up to a 38% improvement over the current state-of-the-art on standard hallucination benchmarks.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垃圾数据集 (GD)：自动垃圾分类的多类图像基准</w:t>
      </w:r>
    </w:p>
    <w:p>
      <w:r>
        <w:rPr>
          <w:rFonts w:ascii="Times New Roman" w:hAnsi="Times New Roman" w:eastAsia="宋体"/>
          <w:b/>
          <w:color w:val="003264"/>
          <w:sz w:val="24"/>
        </w:rPr>
        <w:t>The Garbage Dataset (GD): A Multi-Class Image Benchmark for Automated Waste Segregation</w:t>
      </w:r>
    </w:p>
    <w:p>
      <w:r>
        <w:rPr>
          <w:rFonts w:ascii="Times New Roman" w:hAnsi="Times New Roman" w:eastAsia="宋体"/>
          <w:sz w:val="21"/>
        </w:rPr>
        <w:t>作者: Suman Kunwar</w:t>
        <w:br/>
      </w:r>
      <w:r>
        <w:rPr>
          <w:rFonts w:ascii="Times New Roman" w:hAnsi="Times New Roman" w:eastAsia="宋体"/>
          <w:sz w:val="21"/>
        </w:rPr>
        <w:t xml:space="preserve">时间: 2026-02-11T04:01:12Z | </w:t>
      </w:r>
      <w:r>
        <w:t xml:space="preserve">链接: </w:t>
      </w:r>
      <w:hyperlink r:id="rId200">
        <w:r>
          <w:rPr>
            <w:rFonts w:ascii="Times New Roman" w:hAnsi="Times New Roman" w:eastAsia="宋体"/>
            <w:color w:val="0000FF"/>
            <w:sz w:val="21"/>
            <w:u w:val="single"/>
          </w:rPr>
          <w:t>https://arxiv.org/abs/2602.10500v1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这项研究引入了垃圾数据集（GD），这是一个公开的图像数据集，旨在通过机器学习和计算机视觉推进自动垃圾分类。这是一个多样化的数据集，涵盖 10 种常见的家庭废物类别：金属、玻璃、生物、纸张、电池、垃圾、纸板、鞋子、衣服和塑料。该数据集包含通过多种方法收集的 13,348 张标记图像，包括 DWaste 移动应用程序和精选的网络资源。方法包括通过校验和和异常值检测进行严格验证，通过 PCA/t-SNE 分析类不平衡和视觉可分离性，以及使用熵和显着性度量评估背景复杂性。该数据集使用最先进的深度学习模型（EfficientNetV2M、EfficientNetV2S、MobileNet、ResNet50、ResNet101）进行基准测试，并根据性能指标和运营碳排放进行评估。实验结果表明，EfficientNetV2S 实现了最高性能，准确率达到 96.19%，F1 分数为 0.96，但碳成本适中。分析揭示了固有的数据集特征，包括类别不平衡、向高异常值类别（塑料、纸板、纸张）的倾斜以及需要考虑的亮度变化。主要结论是，GD 为废物分类研究提供了一个有价值的、真实的基准，同时强调了实际部署中必须解决的重要挑战，例如类别不平衡、背景复杂性以及模型选择中的环境权衡。该数据集的公开发布是为了支持环境可持续性应用的进一步研究。</w:t>
      </w:r>
    </w:p>
    <w:p>
      <w:pPr>
        <w:spacing w:before="120"/>
      </w:pPr>
      <w:r>
        <w:rPr>
          <w:rFonts w:ascii="Times New Roman" w:hAnsi="Times New Roman" w:eastAsia="宋体"/>
          <w:b/>
          <w:sz w:val="21"/>
        </w:rPr>
        <w:t>English Abstract:</w:t>
      </w:r>
    </w:p>
    <w:p>
      <w:r>
        <w:rPr>
          <w:rFonts w:ascii="Times New Roman" w:hAnsi="Times New Roman" w:eastAsia="宋体"/>
          <w:sz w:val="21"/>
        </w:rPr>
        <w:t>This study introduces the Garbage Dataset (GD), a publicly available image dataset designed to advance automated waste segregation through machine learning and computer vision. It's a diverse dataset covering 10 common household waste categories: metal, glass, biological, paper, battery, trash, cardboard, shoes, clothes, and plastic. The dataset comprises 13,348 labeled images collected through multiple methods, including DWaste mobile app and curated web sources. Methods included rigorous validation through checksums and outlier detection, analysis of class imbalance and visual separability via PCA/t-SNE, and assessment of background complexity using entropy and saliency measures. The dataset was benchmarked using state-of-the-art deep learning models (EfficientNetV2M, EfficientNetV2S, MobileNet, ResNet50, ResNet101) evaluated on performance metrics and operational carbon emissions. Experiment results indicate EfficientNetV2S achieved the highest performance with 96.19% accuracy and a 0.96 F1-score, though with a moderate carbon cost. Analysis revealed inherent dataset characteristics including class imbalance, a skew toward high-outlier classes (plastic, cardboard, paper), and brightness variations that require consideration. The main conclusion is that GD provides a valuable, real-world benchmark for waste classification research while highlighting important challenges such as class imbalance, background complexity, and environmental trade-offs in model selection that must be addressed for practical deployment. The dataset is publicly released to support further research in environmental sustainability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1%&gt;100%：具有复杂线性投影优化的高效视觉适配器</w:t>
      </w:r>
    </w:p>
    <w:p>
      <w:r>
        <w:rPr>
          <w:rFonts w:ascii="Times New Roman" w:hAnsi="Times New Roman" w:eastAsia="宋体"/>
          <w:b/>
          <w:color w:val="003264"/>
          <w:sz w:val="24"/>
        </w:rPr>
        <w:t>1%&gt;100%: High-Efficiency Visual Adapter with Complex Linear Projection Optimization</w:t>
      </w:r>
    </w:p>
    <w:p>
      <w:r>
        <w:rPr>
          <w:rFonts w:ascii="Times New Roman" w:hAnsi="Times New Roman" w:eastAsia="宋体"/>
          <w:sz w:val="21"/>
        </w:rPr>
        <w:t>作者: Shi-Min Hu</w:t>
        <w:br/>
      </w:r>
      <w:r>
        <w:rPr>
          <w:rFonts w:ascii="Times New Roman" w:hAnsi="Times New Roman" w:eastAsia="宋体"/>
          <w:sz w:val="21"/>
        </w:rPr>
        <w:t xml:space="preserve">时间: 2026-02-11T04:26:52Z | </w:t>
      </w:r>
      <w:r>
        <w:t xml:space="preserve">链接: </w:t>
      </w:r>
      <w:hyperlink r:id="rId201">
        <w:r>
          <w:rPr>
            <w:rFonts w:ascii="Times New Roman" w:hAnsi="Times New Roman" w:eastAsia="宋体"/>
            <w:color w:val="0000FF"/>
            <w:sz w:val="21"/>
            <w:u w:val="single"/>
          </w:rPr>
          <w:t>https://arxiv.org/abs/2602.10513v1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部署视觉基础模型通常依赖于高效的适应策略，而传统的全面微调成本高昂且效率低下。虽然 Delta-tuning 已被证明可以有效提高 LLM 在适应过程中的性能和效率，但其优势不能直接转移到视觉基础模型的微调流程中。为了突破视觉任务适应效率的界限，我们提出了一种具有复杂线性投影优化（CoLin）的适配器。对于架构，我们设计了一种新颖的低阶复杂适配器，仅向主干引入约 1% 的参数。为了提高效率，我们从理论上证明低秩复合矩阵在训练过程中会遇到严重的收敛问题，并通过定制损失来解决这一挑战。在对象检测、分割、图像分类和旋转对象检测（遥感场景）方面的大量实验表明，CoLin 首次仅用 1% 的参数就优于完全微调和经典的 delta-tuning 方法，为视觉基础模型的部署提供了一种新颖且高效的解决方案。我们在 https://github.com/DongshuoYin/CoLin 上发布了代码。</w:t>
      </w:r>
    </w:p>
    <w:p>
      <w:pPr>
        <w:spacing w:before="120"/>
      </w:pPr>
      <w:r>
        <w:rPr>
          <w:rFonts w:ascii="Times New Roman" w:hAnsi="Times New Roman" w:eastAsia="宋体"/>
          <w:b/>
          <w:sz w:val="21"/>
        </w:rPr>
        <w:t>English Abstract:</w:t>
      </w:r>
    </w:p>
    <w:p>
      <w:r>
        <w:rPr>
          <w:rFonts w:ascii="Times New Roman" w:hAnsi="Times New Roman" w:eastAsia="宋体"/>
          <w:sz w:val="21"/>
        </w:rPr>
        <w:t>Deploying vision foundation models typically relies on efficient adaptation strategies, whereas conventional full fine-tuning suffers from prohibitive costs and low efficiency. While delta-tuning has proven effective in boosting the performance and efficiency of LLMs during adaptation, its advantages cannot be directly transferred to the fine-tuning pipeline of vision foundation models. To push the boundaries of adaptation efficiency for vision tasks, we propose an adapter with Complex Linear Projection Optimization (CoLin). For architecture, we design a novel low-rank complex adapter that introduces only about 1% parameters to the backbone. For efficiency, we theoretically prove that low-rank composite matrices suffer from severe convergence issues during training, and address this challenge with a tailored loss. Extensive experiments on object detection, segmentation, image classification, and rotated object detection (remote sensing scenario) demonstrate that CoLin outperforms both full fine-tuning and classical delta-tuning approaches with merely 1% parameters for the first time, providing a novel and efficient solution for deployment of vision foundation models. We release the code on https://github.com/DongshuoYin/CoLin.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RealHD：用于对最先进的人工智能生成图像进行稳健检测的高质量数据集</w:t>
      </w:r>
    </w:p>
    <w:p>
      <w:r>
        <w:rPr>
          <w:rFonts w:ascii="Times New Roman" w:hAnsi="Times New Roman" w:eastAsia="宋体"/>
          <w:b/>
          <w:color w:val="003264"/>
          <w:sz w:val="24"/>
        </w:rPr>
        <w:t>RealHD: A High-Quality Dataset for Robust Detection of State-of-the-Art AI-Generated Images</w:t>
      </w:r>
    </w:p>
    <w:p>
      <w:r>
        <w:rPr>
          <w:rFonts w:ascii="Times New Roman" w:hAnsi="Times New Roman" w:eastAsia="宋体"/>
          <w:sz w:val="21"/>
        </w:rPr>
        <w:t>作者: Chen Ma</w:t>
        <w:br/>
      </w:r>
      <w:r>
        <w:rPr>
          <w:rFonts w:ascii="Times New Roman" w:hAnsi="Times New Roman" w:eastAsia="宋体"/>
          <w:sz w:val="21"/>
        </w:rPr>
        <w:t xml:space="preserve">时间: 2026-02-11T05:38:40Z | </w:t>
      </w:r>
      <w:r>
        <w:t xml:space="preserve">链接: </w:t>
      </w:r>
      <w:hyperlink r:id="rId202">
        <w:r>
          <w:rPr>
            <w:rFonts w:ascii="Times New Roman" w:hAnsi="Times New Roman" w:eastAsia="宋体"/>
            <w:color w:val="0000FF"/>
            <w:sz w:val="21"/>
            <w:u w:val="single"/>
          </w:rPr>
          <w:t>https://arxiv.org/abs/2602.10546v1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式人工智能的快速发展引起了人们对数字图像真实性的担忧，因为现在可以以低成本生成高度逼真的虚假图像，这可能会增加社会风险。为此，已经建立了几个数据集来训练检测模型，旨在区分人工智能生成的图像和真实图像。然而，现有数据集存在泛化能力有限、图像质量低、提示过于简单、图像多样性不足等问题。为了解决这些限制，我们提出了一个高质量、大规模的数据集，其中包含多个类别的 730,000 多张图像，包括真实图像和人工智能生成的图像。生成的图像是通过最先进的方法合成的，包括文本到图像生成（由超过 10,000 个精心设计的提示引导）、图像修复、图像细化和面部交换。每个生成的图像都注释有其生成方法和类别。修复图像还包括用于指示修复区域的二进制掩码，为分析提供丰富的元数据。与现有数据集相比，在我们的数据集上训练的检测模型表现出卓越的泛化能力。我们的数据集不仅可以作为评估检测方法的强大基准，还有助于提高人工智能生成的图像检测技术的稳健性。在此基础上，我们提出了一种基于图像噪声熵的轻量级检测方法，该方法在分类之前将原始图像转换为非局部均值（NLM）噪声的熵张量。大量的实验表明，在我们的数据集上训练的模型具有很强的泛化性，并且我们的方法提供了具有竞争力的性能，为未来的研究奠定了坚实的基线。数据集和源代码可在 https://real-hd.github.io 上公开获取。</w:t>
      </w:r>
    </w:p>
    <w:p>
      <w:pPr>
        <w:spacing w:before="120"/>
      </w:pPr>
      <w:r>
        <w:rPr>
          <w:rFonts w:ascii="Times New Roman" w:hAnsi="Times New Roman" w:eastAsia="宋体"/>
          <w:b/>
          <w:sz w:val="21"/>
        </w:rPr>
        <w:t>English Abstract:</w:t>
      </w:r>
    </w:p>
    <w:p>
      <w:r>
        <w:rPr>
          <w:rFonts w:ascii="Times New Roman" w:hAnsi="Times New Roman" w:eastAsia="宋体"/>
          <w:sz w:val="21"/>
        </w:rPr>
        <w:t>The rapid advancement of generative AI has raised concerns about the authenticity of digital images, as highly realistic fake images can now be generated at low cost, potentially increasing societal risks. In response, several datasets have been established to train detection models aimed at distinguishing AI-generated images from real ones. However, existing datasets suffer from limited generalization, low image quality, overly simple prompts, and insufficient image diversity. To address these limitations, we propose a high-quality, large-scale dataset comprising over 730,000 images across multiple categories, including both real and AI-generated images. The generated images are synthesized via state-of-the-art methods, including text-to-image generation (guided by over 10,000 carefully designed prompts), image inpainting, image refinement, and face swapping. Each generated image is annotated with its generation method and category. Inpainting images further include binary masks to indicate inpainted regions, providing rich metadata for analysis. Compared to existing datasets, detection models trained on our dataset demonstrate superior generalization capabilities. Our dataset not only serves as a strong benchmark for evaluating detection methods but also contributes to advancing the robustness of AI-generated image detection techniques. Building upon this, we propose a lightweight detection method based on image noise entropy, which transforms the original image into an entropy tensor of Non-Local Means (NLM) noise before classification. Extensive experiments demonstrate that models trained on our dataset achieve strong generalization, and our method delivers competitive performance, establishing a solid baseline for future research. The dataset and source code are publicly available at https://real-hd.github.io.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C^2ROPE：用于 3D 大型多模态模型推理的因果连续旋转位置编码</w:t>
      </w:r>
    </w:p>
    <w:p>
      <w:r>
        <w:rPr>
          <w:rFonts w:ascii="Times New Roman" w:hAnsi="Times New Roman" w:eastAsia="宋体"/>
          <w:b/>
          <w:color w:val="003264"/>
          <w:sz w:val="24"/>
        </w:rPr>
        <w:t>C^2ROPE: Causal Continuous Rotary Positional Encoding for 3D Large Multimodal-Models Reasoning</w:t>
      </w:r>
    </w:p>
    <w:p>
      <w:r>
        <w:rPr>
          <w:rFonts w:ascii="Times New Roman" w:hAnsi="Times New Roman" w:eastAsia="宋体"/>
          <w:sz w:val="21"/>
        </w:rPr>
        <w:t>作者: Ka-Veng Yuen</w:t>
        <w:br/>
      </w:r>
      <w:r>
        <w:rPr>
          <w:rFonts w:ascii="Times New Roman" w:hAnsi="Times New Roman" w:eastAsia="宋体"/>
          <w:sz w:val="21"/>
        </w:rPr>
        <w:t xml:space="preserve">时间: 2026-02-11T05:50:17Z | </w:t>
      </w:r>
      <w:r>
        <w:t xml:space="preserve">链接: </w:t>
      </w:r>
      <w:hyperlink r:id="rId203">
        <w:r>
          <w:rPr>
            <w:rFonts w:ascii="Times New Roman" w:hAnsi="Times New Roman" w:eastAsia="宋体"/>
            <w:color w:val="0000FF"/>
            <w:sz w:val="21"/>
            <w:u w:val="single"/>
          </w:rPr>
          <w:t>https://arxiv.org/abs/2602.10551v1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基于大型语言模型 (LLM) 的 3D 大型多模态模型 (LMM) 的最新进展已经建立了 3D 视觉特征与 LLM 表示的一致性作为主导范式。然而，继承的旋转位置嵌入（RoPE）引入了多模态处理的局限性。具体来说，应用一维时间位置索引会破坏视觉特征沿列维度的连续性，导致空间局部性损失。此外，RoPE 遵循先验知识，即时间上更接近的图像标记更具有因果关系，导致注意力分配的长期衰减，并导致模型随着序列长度的增加逐渐忽略较早的视觉标记。为了解决这些问题，我们提出了 C^2RoPE，这是一种改进的 RoPE，它可以显式地模拟视觉处理的局部空间连续性和空间因果关系。 C^2RoPE 引入了视觉标记的时空连续位置嵌入机制。它首先将一维时间位置与基于笛卡尔的空间坐标相结合以构建三元组混合位置索引，然后采用频率分配策略对三个索引分量之间的时空位置信息进行编码。此外，我们引入了切比雪夫因果掩蔽，它通过计算 2D 空间中图像标记的切比雪夫距离来确定因果依赖性。包括 3D 场景推理和 3D 视觉问答在内的各种基准的评估结果证明了 C^2RoPE 的有效性。该代码可从 https://github.com/ErikZ719/C2RoPE 获取。</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3D Large Multimodal Models (LMMs) built on Large Language Models (LLMs) have established the alignment of 3D visual features with LLM representations as the dominant paradigm. However, the inherited Rotary Position Embedding (RoPE) introduces limitations for multimodal processing. Specifically, applying 1D temporal positional indices disrupts the continuity of visual features along the column dimension, resulting in spatial locality loss. Moreover, RoPE follows the prior that temporally closer image tokens are more causally related, leading to long-term decay in attention allocation and causing the model to progressively neglect earlier visual tokens as the sequence length increases. To address these issues, we propose C^2RoPE, an improved RoPE that explicitly models local spatial Continuity and spatial Causal relationships for visual processing. C^2RoPE introduces a spatio-temporal continuous positional embedding mechanism for visual tokens. It first integrates 1D temporal positions with Cartesian-based spatial coordinates to construct a triplet hybrid positional index, and then employs a frequency allocation strategy to encode spatio-temporal positional information across the three index components. Additionally, we introduce Chebyshev Causal Masking, which determines causal dependencies by computing the Chebyshev distance of image tokens in 2D space. Evaluation results across various benchmarks, including 3D scene reasoning and 3D visual question answering, demonstrate C^2RoPE's effectiveness. The code is be available at https://github.com/ErikZ719/C2RoPE.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MetaphorStar：通过端到端视觉强化学习进行图像隐喻理解和推理</w:t>
      </w:r>
    </w:p>
    <w:p>
      <w:r>
        <w:rPr>
          <w:rFonts w:ascii="Times New Roman" w:hAnsi="Times New Roman" w:eastAsia="宋体"/>
          <w:b/>
          <w:color w:val="003264"/>
          <w:sz w:val="24"/>
        </w:rPr>
        <w:t>MetaphorStar: Image Metaphor Understanding and Reasoning with End-to-End Visual Reinforcement Learning</w:t>
      </w:r>
    </w:p>
    <w:p>
      <w:r>
        <w:rPr>
          <w:rFonts w:ascii="Times New Roman" w:hAnsi="Times New Roman" w:eastAsia="宋体"/>
          <w:sz w:val="21"/>
        </w:rPr>
        <w:t>作者: Hongsheng Li</w:t>
        <w:br/>
      </w:r>
      <w:r>
        <w:rPr>
          <w:rFonts w:ascii="Times New Roman" w:hAnsi="Times New Roman" w:eastAsia="宋体"/>
          <w:sz w:val="21"/>
        </w:rPr>
        <w:t xml:space="preserve">时间: 2026-02-11T06:59:36Z | </w:t>
      </w:r>
      <w:r>
        <w:t xml:space="preserve">链接: </w:t>
      </w:r>
      <w:hyperlink r:id="rId204">
        <w:r>
          <w:rPr>
            <w:rFonts w:ascii="Times New Roman" w:hAnsi="Times New Roman" w:eastAsia="宋体"/>
            <w:color w:val="0000FF"/>
            <w:sz w:val="21"/>
            <w:u w:val="single"/>
          </w:rPr>
          <w:t>https://arxiv.org/abs/2602.10575v1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图像中的隐喻理解仍然是当今人工智能系统的一个关键挑战。虽然多模态大型语言模型 (MLLM) 擅长基本的视觉问答 (VQA)，但它们始终难以掌握视觉内容中嵌入的微妙文化、情感和上下文含义。这一困难源于该任务对复杂的多跳推理、文化背景和心智理论 (ToM) 能力的需求，而当前模型缺乏这些能力。为了填补这一空白，我们提出了 MetaphorStar，这是第一个用于图像暗示任务的端到端视觉强化学习（RL）框架。我们的框架包括三个核心组件：细粒度数据集 TFQ-Data、视觉 RL 方法 TFQ-GRPO 和结构良好的基准 TFQ-Bench。我们完全开源的 MetaphorStar 系列在 TFQ-Data 上使用 TFQ-GRPO 进行训练，在图像含义基准上显着提高了平均 82.6% 的性能。与20多个主流MLLM相比，MetaphorStar-32B在多项选择题和开放式题上达到了state-of-the-art（SOTA），在True-False题上显着优于顶级闭源模型Gemini-3.0-pro。至关重要的是，我们的实验表明，学习图像暗示任务可以提高一般理解能力，尤其是复杂的视觉推理能力。我们进一步对模型参数缩放、训练数据缩放以及不同模型架构和训练策略的影响进行了系统分析，证明了我们的方法的广泛适用性。我们在 https://metaphorstar.github.io 开源了所有模型权重、数据集和方法代码。</w:t>
      </w:r>
    </w:p>
    <w:p>
      <w:pPr>
        <w:spacing w:before="120"/>
      </w:pPr>
      <w:r>
        <w:rPr>
          <w:rFonts w:ascii="Times New Roman" w:hAnsi="Times New Roman" w:eastAsia="宋体"/>
          <w:b/>
          <w:sz w:val="21"/>
        </w:rPr>
        <w:t>English Abstract:</w:t>
      </w:r>
    </w:p>
    <w:p>
      <w:r>
        <w:rPr>
          <w:rFonts w:ascii="Times New Roman" w:hAnsi="Times New Roman" w:eastAsia="宋体"/>
          <w:sz w:val="21"/>
        </w:rPr>
        <w:t>Metaphorical comprehension in images remains a critical challenge for Nowadays AI systems. While Multimodal Large Language Models (MLLMs) excel at basic Visual Question Answering (VQA), they consistently struggle to grasp the nuanced cultural, emotional, and contextual implications embedded in visual content. This difficulty stems from the task's demand for sophisticated multi-hop reasoning, cultural context, and Theory of Mind (ToM) capabilities, which current models lack. To fill this gap, we propose MetaphorStar, the first end-to-end visual reinforcement learning (RL) framework for image implication tasks. Our framework includes three core components: the fine-grained dataset TFQ-Data, the visual RL method TFQ-GRPO, and the well-structured benchmark TFQ-Bench. Our fully open-source MetaphorStar family, trained using TFQ-GRPO on TFQ-Data, significantly improves performance by an average of 82.6% on the image implication benchmarks. Compared with 20+ mainstream MLLMs, MetaphorStar-32B achieves state-of-the-art (SOTA) on Multiple-Choice Question and Open-Style Question, significantly outperforms the top closed-source model Gemini-3.0-pro on True-False Question. Crucially, our experiments reveal that learning image implication tasks improves the general understanding ability, especially the complex visual reasoning ability. We further provide a systematic analysis of model parameter scaling, training data scaling, and the impact of different model architectures and training strategies, demonstrating the broad applicability of our method. We open-sourced all model weights, datasets, and method code at https://metaphorstar.github.io.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YOLOX 和 AI 加速器进行快速人员检测以确保火车站安全</w:t>
      </w:r>
    </w:p>
    <w:p>
      <w:r>
        <w:rPr>
          <w:rFonts w:ascii="Times New Roman" w:hAnsi="Times New Roman" w:eastAsia="宋体"/>
          <w:b/>
          <w:color w:val="003264"/>
          <w:sz w:val="24"/>
        </w:rPr>
        <w:t>Fast Person Detection Using YOLOX With AI Accelerator For Train Station Safety</w:t>
      </w:r>
    </w:p>
    <w:p>
      <w:r>
        <w:rPr>
          <w:rFonts w:ascii="Times New Roman" w:hAnsi="Times New Roman" w:eastAsia="宋体"/>
          <w:sz w:val="21"/>
        </w:rPr>
        <w:t>作者: Wen-Kai Kuo</w:t>
        <w:br/>
      </w:r>
      <w:r>
        <w:rPr>
          <w:rFonts w:ascii="Times New Roman" w:hAnsi="Times New Roman" w:eastAsia="宋体"/>
          <w:sz w:val="21"/>
        </w:rPr>
        <w:t xml:space="preserve">时间: 2026-02-11T07:30:03Z | </w:t>
      </w:r>
      <w:r>
        <w:t xml:space="preserve">链接: </w:t>
      </w:r>
      <w:hyperlink r:id="rId205">
        <w:r>
          <w:rPr>
            <w:rFonts w:ascii="Times New Roman" w:hAnsi="Times New Roman" w:eastAsia="宋体"/>
            <w:color w:val="0000FF"/>
            <w:sz w:val="21"/>
            <w:u w:val="single"/>
          </w:rPr>
          <w:t>https://arxiv.org/abs/2602.10593v1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年来，图像处理发展得更快，并应用于许多领域，包括健康、工业和交通。在交通运输领域，物体检测被广泛用于提高安全性，例如交通安全和火车站的旅客过路处。一些事故发生在车站列车道口区域，例如乘客在通过黄线时不小心。因此需要开发进一步的安全性。需要额外的技术来减少事故数量。本文重点介绍使用 YOLOX 和 Edge AI Accelerator 硬件的火车站乘客检测应用。 AI加速器的性能将与Jetson Orin Nano进行比较。实验结果表明，Hailo-8 AI硬件加速器比Jetson Orin Nano具有更高的精度（提升超过12%），并且比Jetson Orin Nano具有更低的延迟（减少20毫秒）。</w:t>
      </w:r>
    </w:p>
    <w:p>
      <w:pPr>
        <w:spacing w:before="120"/>
      </w:pPr>
      <w:r>
        <w:rPr>
          <w:rFonts w:ascii="Times New Roman" w:hAnsi="Times New Roman" w:eastAsia="宋体"/>
          <w:b/>
          <w:sz w:val="21"/>
        </w:rPr>
        <w:t>English Abstract:</w:t>
      </w:r>
    </w:p>
    <w:p>
      <w:r>
        <w:rPr>
          <w:rFonts w:ascii="Times New Roman" w:hAnsi="Times New Roman" w:eastAsia="宋体"/>
          <w:sz w:val="21"/>
        </w:rPr>
        <w:t>Recently, Image processing has advanced Faster and applied in many fields, including health, industry, and transportation. In the transportation sector, object detection is widely used to improve security, for example, in traffic security and passenger crossings at train stations. Some accidents occur in the train crossing area at the station, like passengers uncarefully when passing through the yellow line. So further security needs to be developed. Additional technology is required to reduce the number of accidents. This paper focuses on passenger detection applications at train stations using YOLOX and Edge AI Accelerator hardware. the performance of the AI accelerator will be compared with Jetson Orin Nano. The experimental results show that the Hailo-8 AI hardware accelerator has higher accuracy than Jetson Orin Nano (improvement of over 12%) and has lower latency than Jetson Orin Nano (reduced 20 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通过感知和推理增强改善医学视觉强化微调</w:t>
      </w:r>
    </w:p>
    <w:p>
      <w:r>
        <w:rPr>
          <w:rFonts w:ascii="Times New Roman" w:hAnsi="Times New Roman" w:eastAsia="宋体"/>
          <w:b/>
          <w:color w:val="003264"/>
          <w:sz w:val="24"/>
        </w:rPr>
        <w:t>Improving Medical Visual Reinforcement Fine-Tuning via Perception and Reasoning Augmentation</w:t>
      </w:r>
    </w:p>
    <w:p>
      <w:r>
        <w:rPr>
          <w:rFonts w:ascii="Times New Roman" w:hAnsi="Times New Roman" w:eastAsia="宋体"/>
          <w:sz w:val="21"/>
        </w:rPr>
        <w:t>作者: Qicheng Lao</w:t>
        <w:br/>
      </w:r>
      <w:r>
        <w:rPr>
          <w:rFonts w:ascii="Times New Roman" w:hAnsi="Times New Roman" w:eastAsia="宋体"/>
          <w:sz w:val="21"/>
        </w:rPr>
        <w:t xml:space="preserve">时间: 2026-02-11T08:10:26Z | </w:t>
      </w:r>
      <w:r>
        <w:t xml:space="preserve">链接: </w:t>
      </w:r>
      <w:hyperlink r:id="rId206">
        <w:r>
          <w:rPr>
            <w:rFonts w:ascii="Times New Roman" w:hAnsi="Times New Roman" w:eastAsia="宋体"/>
            <w:color w:val="0000FF"/>
            <w:sz w:val="21"/>
            <w:u w:val="single"/>
          </w:rPr>
          <w:t>https://arxiv.org/abs/2602.10619v1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强化微调（RFT）的最新进展表明，基于规则的奖励方案可以为大型语言模型提供有效的后训练，但它们向跨模式、以视觉为中心的领域的扩展在很大程度上仍未得到充分探索。这种限制在医学成像领域尤其明显，其中有效的性能需要强大的视觉感知和结构化推理。在这项工作中，我们通过提出 VRFT-Aug 来解决这一差距，VRFT-Aug 是一种为医疗领域量身定制的视觉强化微调框架。 VRFT-Aug 引入了一系列旨在增强感知和推理的训练策略，包括先验知识注入、感知驱动的策略细化、医学知识奖励塑造和行为模仿。这些方法共同旨在稳定和改进 RFT 过程。通过对多个医学数据集的广泛实验，我们表明我们的方法始终优于标准监督微调和 RFT 基线。此外，我们提供了基于经验的见解和实践训练启发法，可以推广到其他医学图像任务。我们希望这项工作能够为持续努力为高风险医疗应用开发可靠、具有推理能力的模型提供可行的指导和新的灵感。</w:t>
      </w:r>
    </w:p>
    <w:p>
      <w:pPr>
        <w:spacing w:before="120"/>
      </w:pPr>
      <w:r>
        <w:rPr>
          <w:rFonts w:ascii="Times New Roman" w:hAnsi="Times New Roman" w:eastAsia="宋体"/>
          <w:b/>
          <w:sz w:val="21"/>
        </w:rPr>
        <w:t>English Abstract:</w:t>
      </w:r>
    </w:p>
    <w:p>
      <w:r>
        <w:rPr>
          <w:rFonts w:ascii="Times New Roman" w:hAnsi="Times New Roman" w:eastAsia="宋体"/>
          <w:sz w:val="21"/>
        </w:rPr>
        <w:t>While recent advances in Reinforcement Fine-Tuning (RFT) have shown that rule-based reward schemes can enable effective post-training for large language models, their extension to cross-modal, vision-centric domains remains largely underexplored. This limitation is especially pronounced in the medical imaging domain, where effective performance requires both robust visual perception and structured reasoning. In this work, we address this gap by proposing VRFT-Aug, a visual reinforcement fine-tuning framework tailored for the medical domain. VRFT-Aug introduces a series of training strategies designed to augment both perception and reasoning, including prior knowledge injection, perception-driven policy refinement, medically informed reward shaping, and behavioral imitation. Together, these methods aim to stabilize and improve the RFT process. Through extensive experiments across multiple medical datasets, we show that our approaches consistently outperform both standard supervised fine-tuning and RFT baselines. Moreover, we provide empirically grounded insights and practical training heuristics that can be generalized to other medical image tasks. We hope this work contributes actionable guidance and fresh inspiration for the ongoing effort to develop reliable, reasoning-capable models for high-stakes medical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消除 VAE 以实现快速、高分辨率的生成细节恢复</w:t>
      </w:r>
    </w:p>
    <w:p>
      <w:r>
        <w:rPr>
          <w:rFonts w:ascii="Times New Roman" w:hAnsi="Times New Roman" w:eastAsia="宋体"/>
          <w:b/>
          <w:color w:val="003264"/>
          <w:sz w:val="24"/>
        </w:rPr>
        <w:t>Eliminating VAE for Fast and High-Resolution Generative Detail Restoration</w:t>
      </w:r>
    </w:p>
    <w:p>
      <w:r>
        <w:rPr>
          <w:rFonts w:ascii="Times New Roman" w:hAnsi="Times New Roman" w:eastAsia="宋体"/>
          <w:sz w:val="21"/>
        </w:rPr>
        <w:t>作者: Li Zhang</w:t>
        <w:br/>
      </w:r>
      <w:r>
        <w:rPr>
          <w:rFonts w:ascii="Times New Roman" w:hAnsi="Times New Roman" w:eastAsia="宋体"/>
          <w:sz w:val="21"/>
        </w:rPr>
        <w:t xml:space="preserve">时间: 2026-02-11T08:23:30Z | </w:t>
      </w:r>
      <w:r>
        <w:t xml:space="preserve">链接: </w:t>
      </w:r>
      <w:hyperlink r:id="rId207">
        <w:r>
          <w:rPr>
            <w:rFonts w:ascii="Times New Roman" w:hAnsi="Times New Roman" w:eastAsia="宋体"/>
            <w:color w:val="0000FF"/>
            <w:sz w:val="21"/>
            <w:u w:val="single"/>
          </w:rPr>
          <w:t>https://arxiv.org/abs/2602.10630v1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尽管推理速度慢且对设备的要求很高，但扩散模型在现实世界的超分辨率（SR）任务中取得了显着的突破。为了加速推理，GenDR 等最近的工作采用了步骤蒸馏，将步骤数最小化为 1。然而，内存边界仍然限制最大处理大小，需要逐块恢复高分辨率图像。通过对管道进行分析，我们发现变分自动编码器（VAE）是延迟和内存的瓶颈。为了彻底解决这个问题，我们利用像素（非）洗牌操作来消除 VAE，将基于潜在的 GenDR 反转为像素空间 GenDR-Pix。然而，x8 Pixelshuffle 的高档可能会导致重复图案的伪影。为了减轻失真，我们提出了多阶段对抗性蒸馏来逐步删除编码器和解码器。具体来说，我们利用前一阶段模型的生成特征来指导对抗性歧视。此外，我们提出随机填充来增强生成特征并避免鉴别器崩溃。我们还引入了掩蔽傅立叶空间损失来惩罚幅度的异常值。为了提高推理性能，我们根据经验将基于填充的自集成与无分类器指导相结合，以提高推理规模。实验结果表明，与 GenDR 相比，GenDR-Pix 的加速速度提高了 2.8 倍，节省了 60% 的内存，视觉退化可以忽略不计，超越了其他一步扩散 SR。尽管困难重重，GenDR-Pix 仍能在 1 秒内恢复 4K 图像和 6GB。</w:t>
      </w:r>
    </w:p>
    <w:p>
      <w:pPr>
        <w:spacing w:before="120"/>
      </w:pPr>
      <w:r>
        <w:rPr>
          <w:rFonts w:ascii="Times New Roman" w:hAnsi="Times New Roman" w:eastAsia="宋体"/>
          <w:b/>
          <w:sz w:val="21"/>
        </w:rPr>
        <w:t>English Abstract:</w:t>
      </w:r>
    </w:p>
    <w:p>
      <w:r>
        <w:rPr>
          <w:rFonts w:ascii="Times New Roman" w:hAnsi="Times New Roman" w:eastAsia="宋体"/>
          <w:sz w:val="21"/>
        </w:rPr>
        <w:t>Diffusion models have attained remarkable breakthroughs in the real-world super-resolution (SR) task, albeit at slow inference and high demand on devices. To accelerate inference, recent works like GenDR adopt step distillation to minimize the step number to one. However, the memory boundary still restricts the maximum processing size, necessitating tile-by-tile restoration of high-resolution images. Through profiling the pipeline, we pinpoint that the variational auto-encoder (VAE) is the bottleneck of latency and memory. To completely solve the problem, we leverage pixel-(un)shuffle operations to eliminate the VAE, reversing the latent-based GenDR to pixel-space GenDR-Pix. However, upscale with x8 pixelshuffle may induce artifacts of repeated patterns. To alleviate the distortion, we propose a multi-stage adversarial distillation to progressively remove the encoder and decoder. Specifically, we utilize generative features from the previous stage models to guide adversarial discrimination. Moreover, we propose random padding to augment generative features and avoid discriminator collapse. We also introduce a masked Fourier space loss to penalize the outliers of amplitude. To improve inference performance, we empirically integrate a padding-based self-ensemble with classifier-free guidance to improve inference scaling. Experimental results show that GenDR-Pix performs 2.8x acceleration and 60% memory-saving compared to GenDR with negligible visual degradation, surpassing other one-step diffusion SR. Against all odds, GenDR-Pix can restore 4K image in only 1 second and 6GB.</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多模态先验增强文本驱动 3D 人机交互生成</w:t>
      </w:r>
    </w:p>
    <w:p>
      <w:r>
        <w:rPr>
          <w:rFonts w:ascii="Times New Roman" w:hAnsi="Times New Roman" w:eastAsia="宋体"/>
          <w:b/>
          <w:color w:val="003264"/>
          <w:sz w:val="24"/>
        </w:rPr>
        <w:t>Multimodal Priors-Augmented Text-Driven 3D Human-Object Interaction Generation</w:t>
      </w:r>
    </w:p>
    <w:p>
      <w:r>
        <w:rPr>
          <w:rFonts w:ascii="Times New Roman" w:hAnsi="Times New Roman" w:eastAsia="宋体"/>
          <w:sz w:val="21"/>
        </w:rPr>
        <w:t>作者: Xiaohui Liang</w:t>
        <w:br/>
      </w:r>
      <w:r>
        <w:rPr>
          <w:rFonts w:ascii="Times New Roman" w:hAnsi="Times New Roman" w:eastAsia="宋体"/>
          <w:sz w:val="21"/>
        </w:rPr>
        <w:t xml:space="preserve">时间: 2026-02-11T09:04:28Z | </w:t>
      </w:r>
      <w:r>
        <w:t xml:space="preserve">链接: </w:t>
      </w:r>
      <w:hyperlink r:id="rId208">
        <w:r>
          <w:rPr>
            <w:rFonts w:ascii="Times New Roman" w:hAnsi="Times New Roman" w:eastAsia="宋体"/>
            <w:color w:val="0000FF"/>
            <w:sz w:val="21"/>
            <w:u w:val="single"/>
          </w:rPr>
          <w:t>https://arxiv.org/abs/2602.10659v1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我们解决文本驱动的 3D 人机交互 (HOI) 运动生成这一具有挑战性的任务。现有方法主要依赖于直接文本到 HOI 的映射，由于存在显着的跨模态差距，该方法受到三个关键限制：（Q1）次优的人体运动，（Q2）不自然的物体运动，以及（Q3）人类和物体之间的弱交互。为了应对这些挑战，我们提出了 MP-HOI，这是一个基于四个核心见解的新颖框架：（1）多模态数据先验：我们利用大型多模态模型中的多模态数据（文本、图像、姿势/对象）作为先验来指导 HOI 生成，从而解决数据建模中的 Q1 和 Q2 问题。 （2）增强的对象表示：我们通过合并几何关键点、接触特征和动态属性来改进现有的对象表示，从而实现富有表现力的对象表示，从而解决了数据表示中的问题2。 （3）多模态感知混合专家（MoE）模型：我们提出了一种用于有效多模态特征融合范式的模态感知MoE模型，该模型解决了特征融合中的Q1和Q2问题。 （4）具有交互监督的级联扩散：我们设计了一个级联扩散框架，在专门的监督下逐步细化人与物体的交互特征，解决了交互细化中的问题3。综合实验表明，MP-HOI 在生成高保真和细粒度 HOI 运动方面优于现有方法。</w:t>
      </w:r>
    </w:p>
    <w:p>
      <w:pPr>
        <w:spacing w:before="120"/>
      </w:pPr>
      <w:r>
        <w:rPr>
          <w:rFonts w:ascii="Times New Roman" w:hAnsi="Times New Roman" w:eastAsia="宋体"/>
          <w:b/>
          <w:sz w:val="21"/>
        </w:rPr>
        <w:t>English Abstract:</w:t>
      </w:r>
    </w:p>
    <w:p>
      <w:r>
        <w:rPr>
          <w:rFonts w:ascii="Times New Roman" w:hAnsi="Times New Roman" w:eastAsia="宋体"/>
          <w:sz w:val="21"/>
        </w:rPr>
        <w:t>We address the challenging task of text-driven 3D human-object interaction (HOI) motion generation. Existing methods primarily rely on a direct text-to-HOI mapping, which suffers from three key limitations due to the significant cross-modality gap: (Q1) sub-optimal human motion, (Q2) unnatural object motion, and (Q3) weak interaction between humans and objects. To address these challenges, we propose MP-HOI, a novel framework grounded in four core insights: (1) Multimodal Data Priors: We leverage multimodal data (text, image, pose/object) from large multimodal models as priors to guide HOI generation, which tackles Q1 and Q2 in data modeling. (2) Enhanced Object Representation: We improve existing object representations by incorporating geometric keypoints, contact features, and dynamic properties, enabling expressive object representations, which tackles Q2 in data representation. (3) Multimodal-Aware Mixture-of-Experts (MoE) Model: We propose a modality-aware MoE model for effective multimodal feature fusion paradigm, which tackles Q1 and Q2 in feature fusion. (4) Cascaded Diffusion with Interaction Supervision: We design a cascaded diffusion framework that progressively refines human-object interaction features under dedicated supervision, which tackles Q3 in interaction refinement. Comprehensive experiments demonstrate that MP-HOI outperforms existing approaches in generating high-fidelity and fine-grained HOI motions.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用于可控文本驱动图像生成的动态频率调制</w:t>
      </w:r>
    </w:p>
    <w:p>
      <w:r>
        <w:rPr>
          <w:rFonts w:ascii="Times New Roman" w:hAnsi="Times New Roman" w:eastAsia="宋体"/>
          <w:b/>
          <w:color w:val="003264"/>
          <w:sz w:val="24"/>
        </w:rPr>
        <w:t>Dynamic Frequency Modulation for Controllable Text-driven Image Generation</w:t>
      </w:r>
    </w:p>
    <w:p>
      <w:r>
        <w:rPr>
          <w:rFonts w:ascii="Times New Roman" w:hAnsi="Times New Roman" w:eastAsia="宋体"/>
          <w:sz w:val="21"/>
        </w:rPr>
        <w:t>作者: Chengli Peng</w:t>
        <w:br/>
      </w:r>
      <w:r>
        <w:rPr>
          <w:rFonts w:ascii="Times New Roman" w:hAnsi="Times New Roman" w:eastAsia="宋体"/>
          <w:sz w:val="21"/>
        </w:rPr>
        <w:t xml:space="preserve">时间: 2026-02-11T09:06:44Z | </w:t>
      </w:r>
      <w:r>
        <w:t xml:space="preserve">链接: </w:t>
      </w:r>
      <w:hyperlink r:id="rId209">
        <w:r>
          <w:rPr>
            <w:rFonts w:ascii="Times New Roman" w:hAnsi="Times New Roman" w:eastAsia="宋体"/>
            <w:color w:val="0000FF"/>
            <w:sz w:val="21"/>
            <w:u w:val="single"/>
          </w:rPr>
          <w:t>https://arxiv.org/abs/2602.10662v1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引导扩散模型的成功建立了由文本提示的迭代细化驱动的新图像生成范式。然而，修改原始文本提示以实现预期的语义调整通常会导致意外的全局结构更改，从而扰乱用户意图。现有方法依赖于经验特征图选择进行干预，其性能在很大程度上取决于适当的选择，导致稳定性不佳。本文试图从频率角度解决上述问题，并分析生成过程中噪声潜变量的频谱对结构框架和细粒度纹理的分层出现的影响。我们发现低频组件主要负责建立早期生成阶段的结构框架。它们的影响随着时间的推移而减弱，让位于合成细粒度纹理的高频成分。鉴于此，我们提出了一种利用具有动态衰减的频率相关加权函数的免训练频率调制方法。该方法保持结构框架的一致性，同时允许有针对性的语义修改。通过直接操纵噪声潜变量，所提出的方法避免了内部特征图的经验选择。大量的实验表明，所提出的方法显着优于当前最先进的方法，在保留结构和实现语义更新之间实现了有效的平衡。</w:t>
      </w:r>
    </w:p>
    <w:p>
      <w:pPr>
        <w:spacing w:before="120"/>
      </w:pPr>
      <w:r>
        <w:rPr>
          <w:rFonts w:ascii="Times New Roman" w:hAnsi="Times New Roman" w:eastAsia="宋体"/>
          <w:b/>
          <w:sz w:val="21"/>
        </w:rPr>
        <w:t>English Abstract:</w:t>
      </w:r>
    </w:p>
    <w:p>
      <w:r>
        <w:rPr>
          <w:rFonts w:ascii="Times New Roman" w:hAnsi="Times New Roman" w:eastAsia="宋体"/>
          <w:sz w:val="21"/>
        </w:rPr>
        <w:t>The success of text-guided diffusion models has established a new image generation paradigm driven by the iterative refinement of text prompts. However, modifying the original text prompt to achieve the expected semantic adjustments often results in unintended global structure changes that disrupt user intent. Existing methods rely on empirical feature map selection for intervention, whose performance heavily depends on appropriate selection, leading to suboptimal stability. This paper tries to solve the aforementioned problem from a frequency perspective and analyzes the impact of the frequency spectrum of noisy latent variables on the hierarchical emergence of the structure framework and fine-grained textures during the generation process. We find that lower-frequency components are primarily responsible for establishing the structure framework in the early generation stage. Their influence diminishes over time, giving way to higher-frequency components that synthesize fine-grained textures. In light of this, we propose a training-free frequency modulation method utilizing a frequency-dependent weighting function with dynamic decay. This method maintains the structure framework consistency while permitting targeted semantic modifications. By directly manipulating the noisy latent variable, the proposed method avoids the empirical selection of internal feature maps. Extensive experiments demonstrate that the proposed method significantly outperforms current state-of-the-art methods, achieving an effective balance between preserving structure and enabling semantic updates.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AMAP-APP：足细胞荧光显微镜图像的有效分割和形态测量量化</w:t>
      </w:r>
    </w:p>
    <w:p>
      <w:r>
        <w:rPr>
          <w:rFonts w:ascii="Times New Roman" w:hAnsi="Times New Roman" w:eastAsia="宋体"/>
          <w:b/>
          <w:color w:val="003264"/>
          <w:sz w:val="24"/>
        </w:rPr>
        <w:t>AMAP-APP: Efficient Segmentation and Morphometry Quantification of Fluorescent Microscopy Images of Podocytes</w:t>
      </w:r>
    </w:p>
    <w:p>
      <w:r>
        <w:rPr>
          <w:rFonts w:ascii="Times New Roman" w:hAnsi="Times New Roman" w:eastAsia="宋体"/>
          <w:sz w:val="21"/>
        </w:rPr>
        <w:t>作者: Katarzyna Bozek</w:t>
        <w:br/>
      </w:r>
      <w:r>
        <w:rPr>
          <w:rFonts w:ascii="Times New Roman" w:hAnsi="Times New Roman" w:eastAsia="宋体"/>
          <w:sz w:val="21"/>
        </w:rPr>
        <w:t xml:space="preserve">时间: 2026-02-11T09:07:03Z | </w:t>
      </w:r>
      <w:r>
        <w:t xml:space="preserve">链接: </w:t>
      </w:r>
      <w:hyperlink r:id="rId210">
        <w:r>
          <w:rPr>
            <w:rFonts w:ascii="Times New Roman" w:hAnsi="Times New Roman" w:eastAsia="宋体"/>
            <w:color w:val="0000FF"/>
            <w:sz w:val="21"/>
            <w:u w:val="single"/>
          </w:rPr>
          <w:t>https://arxiv.org/abs/2602.10663v1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背景：自动足细胞足突定量对于肾脏研究至关重要，但已建立的“足细胞自动形态分析”(AMAP) 方法受到高计算需求、缺乏用户界面和 Linux 依赖性的阻碍。我们开发了 AMAP-APP，这是一款跨平台桌面应用程序，旨在克服这些障碍。方法：AMAP-APP通过用经典图像处理代替密集实例分割来优化效率，同时保留原始语义分割模型。它引入了改进的感兴趣区域 (ROI) 算法来提高精度。验证涉及 365 个小鼠和人类图像（STED 和共聚焦），通过 Pearson 相关性和两个单侧 T 检验 (TOST) 对原始 AMAP 进行性能基准测试。结果：AMAP-APP 在消费类硬件上的处理速度提高了 147 倍。形态测量输出（面积、周长、圆度和狭缝光阑密度）与原始方法显示出高度相关性（r&gt;0.90）和统计等效性（TOST P&lt;0.05）。此外，与原始算法相比，新的 ROI 算法表现出更高的准确性，减少了与手动描绘的偏差。结论：AMAP-APP 使基于深度学习的足细胞形态测量大众化。通过消除对高性能计算集群的需求并为 Windows、macOS 和 Linux 提供用户友好的界面，它可以在肾脏病学研究和潜在的临床诊断中得到广泛采用。</w:t>
      </w:r>
    </w:p>
    <w:p>
      <w:pPr>
        <w:spacing w:before="120"/>
      </w:pPr>
      <w:r>
        <w:rPr>
          <w:rFonts w:ascii="Times New Roman" w:hAnsi="Times New Roman" w:eastAsia="宋体"/>
          <w:b/>
          <w:sz w:val="21"/>
        </w:rPr>
        <w:t>English Abstract:</w:t>
      </w:r>
    </w:p>
    <w:p>
      <w:r>
        <w:rPr>
          <w:rFonts w:ascii="Times New Roman" w:hAnsi="Times New Roman" w:eastAsia="宋体"/>
          <w:sz w:val="21"/>
        </w:rPr>
        <w:t>Background: Automated podocyte foot process quantification is vital for kidney research, but the established "Automatic Morphological Analysis of Podocytes" (AMAP) method is hindered by high computational demands, a lack of a user interface, and Linux dependency. We developed AMAP-APP, a cross-platform desktop application designed to overcome these barriers. Methods: AMAP-APP optimizes efficiency by replacing intensive instance segmentation with classic image processing while retaining the original semantic segmentation model. It introduces a refined Region of Interest (ROI) algorithm to improve precision. Validation involved 365 mouse and human images (STED and confocal), benchmarking performance against the original AMAP via Pearson correlation and Two One-Sided T-tests (TOST). Results: AMAP-APP achieved a 147-fold increase in processing speed on consumer hardware. Morphometric outputs (area, perimeter, circularity, and slit diaphragm density) showed high correlation (r&gt;0.90) and statistical equivalence (TOST P&lt;0.05) to the original method. Additionally, the new ROI algorithm demonstrated superior accuracy compared to the original, showing reduced deviation from manual delineations. Conclusion: AMAP-APP democratizes deep learning-based podocyte morphometry. By eliminating the need for high-performance computing clusters and providing a user-friendly interface for Windows, macOS, and Linux, it enables widespread adoption in nephrology research and potential clinical diagnostics.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TwiFF（思考未来框架）：用于动态视觉推理的大规模数据集</w:t>
      </w:r>
    </w:p>
    <w:p>
      <w:r>
        <w:rPr>
          <w:rFonts w:ascii="Times New Roman" w:hAnsi="Times New Roman" w:eastAsia="宋体"/>
          <w:b/>
          <w:color w:val="003264"/>
          <w:sz w:val="24"/>
        </w:rPr>
        <w:t>TwiFF (Think With Future Frames): A Large-Scale Dataset for Dynamic Visual Reasoning</w:t>
      </w:r>
    </w:p>
    <w:p>
      <w:r>
        <w:rPr>
          <w:rFonts w:ascii="Times New Roman" w:hAnsi="Times New Roman" w:eastAsia="宋体"/>
          <w:sz w:val="21"/>
        </w:rPr>
        <w:t>作者: Kun Kuang</w:t>
        <w:br/>
      </w:r>
      <w:r>
        <w:rPr>
          <w:rFonts w:ascii="Times New Roman" w:hAnsi="Times New Roman" w:eastAsia="宋体"/>
          <w:sz w:val="21"/>
        </w:rPr>
        <w:t xml:space="preserve">时间: 2026-02-11T09:20:04Z | </w:t>
      </w:r>
      <w:r>
        <w:t xml:space="preserve">链接: </w:t>
      </w:r>
      <w:hyperlink r:id="rId211">
        <w:r>
          <w:rPr>
            <w:rFonts w:ascii="Times New Roman" w:hAnsi="Times New Roman" w:eastAsia="宋体"/>
            <w:color w:val="0000FF"/>
            <w:sz w:val="21"/>
            <w:u w:val="single"/>
          </w:rPr>
          <w:t>https://arxiv.org/abs/2602.10675v1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视觉思维链（VCoT）已成为一种有前途的范式，通过将视觉感知集成到中间推理步骤来增强多模态推理。然而，现有的 VCoT 方法主要局限于静态场景，难以捕捉指令、预测和相机运动等任务所必需的时间动态。为了弥补这一差距，我们提出了 TwiFF-2.7M，这是第一个大规模、基于时间的 VCoT 数据集，源自价值 270 万美元的视频剪辑，专门为动态视觉问答而设计。与此同时，我们推出了 TwiFF-Bench，这是一个包含 1,078 美元样本的高质量评估基准，用于评估开放式动态设置中推理轨迹的合理性和最终答案的正确性。在此基础上，我们提出了 TwiFF 模型，这是一种统一模式，协同利用预先训练的视频生成和图像理解功能来产生时间连贯的视觉推理线索，迭代地生成未来的动作框架和文本推理。大量实验表明，TwiFF 在动态推理任务上显着优于现有的 VCoT 方法和文本思维链基线，充分验证了动态场景下视觉问答的有效性。我们的代码和数据可在 https://github.com/LiuJunhua02/TwiFF 获取。</w:t>
      </w:r>
    </w:p>
    <w:p>
      <w:pPr>
        <w:spacing w:before="120"/>
      </w:pPr>
      <w:r>
        <w:rPr>
          <w:rFonts w:ascii="Times New Roman" w:hAnsi="Times New Roman" w:eastAsia="宋体"/>
          <w:b/>
          <w:sz w:val="21"/>
        </w:rPr>
        <w:t>English Abstract:</w:t>
      </w:r>
    </w:p>
    <w:p>
      <w:r>
        <w:rPr>
          <w:rFonts w:ascii="Times New Roman" w:hAnsi="Times New Roman" w:eastAsia="宋体"/>
          <w:sz w:val="21"/>
        </w:rPr>
        <w:t>Visual Chain-of-Thought (VCoT) has emerged as a promising paradigm for enhancing multimodal reasoning by integrating visual perception into intermediate reasoning steps. However, existing VCoT approaches are largely confined to static scenarios and struggle to capture the temporal dynamics essential for tasks such as instruction, prediction, and camera motion. To bridge this gap, we propose TwiFF-2.7M, the first large-scale, temporally grounded VCoT dataset derived from $2.7$ million video clips, explicitly designed for dynamic visual question and answer. Accompanying this, we introduce TwiFF-Bench, a high-quality evaluation benchmark of $1,078$ samples that assesses both the plausibility of reasoning trajectories and the correctness of final answers in open-ended dynamic settings. Building on these foundations, we propose the TwiFF model, a unified modal that synergistically leverages pre-trained video generation and image comprehension capabilities to produce temporally coherent visual reasoning cues-iteratively generating future action frames and textual reasoning. Extensive experiments demonstrate that TwiFF significantly outperforms existing VCoT methods and Textual Chain-of-Thought baselines on dynamic reasoning tasks, which fully validates the effectiveness for visual question answering in dynamic scenarios. Our code and data is available at https://github.com/LiuJunhua02/TwiFF.</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OmniVL-Guard：通过平衡 RL 实现统一视觉语言伪造检测和接地</w:t>
      </w:r>
    </w:p>
    <w:p>
      <w:r>
        <w:rPr>
          <w:rFonts w:ascii="Times New Roman" w:hAnsi="Times New Roman" w:eastAsia="宋体"/>
          <w:b/>
          <w:color w:val="003264"/>
          <w:sz w:val="24"/>
        </w:rPr>
        <w:t>OmniVL-Guard: Towards Unified Vision-Language Forgery Detection and Grounding via Balanced RL</w:t>
      </w:r>
    </w:p>
    <w:p>
      <w:r>
        <w:rPr>
          <w:rFonts w:ascii="Times New Roman" w:hAnsi="Times New Roman" w:eastAsia="宋体"/>
          <w:sz w:val="21"/>
        </w:rPr>
        <w:t>作者: Zhun Zhong</w:t>
        <w:br/>
      </w:r>
      <w:r>
        <w:rPr>
          <w:rFonts w:ascii="Times New Roman" w:hAnsi="Times New Roman" w:eastAsia="宋体"/>
          <w:sz w:val="21"/>
        </w:rPr>
        <w:t xml:space="preserve">时间: 2026-02-11T09:41:36Z | </w:t>
      </w:r>
      <w:r>
        <w:t xml:space="preserve">链接: </w:t>
      </w:r>
      <w:hyperlink r:id="rId212">
        <w:r>
          <w:rPr>
            <w:rFonts w:ascii="Times New Roman" w:hAnsi="Times New Roman" w:eastAsia="宋体"/>
            <w:color w:val="0000FF"/>
            <w:sz w:val="21"/>
            <w:u w:val="single"/>
          </w:rPr>
          <w:t>https://arxiv.org/abs/2602.10687v1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伪造检测方法通常仅限于单模态或双模态设置，无法处理现实世界错误信息中普遍存在的交错文本、图像和视频。为了弥补这一差距，本文的目标是开发一个用于综合视觉语言伪造检测和基础的统一框架。在这种统一的设置中，不同模态之间的相互作用以及同时检测和定位的双重要求提出了一个关键的“难度偏差”问题：更简单的准确性分类任务往往会主导梯度，导致多任务优化期间细粒度基础的性能不佳。为了应对这一挑战，我们提出了 \textbf{OmniVL-Guard}，这是一个用于综合视觉语言伪造检测和基础的平衡强化学习框架。特别是，OmniVL-Guard包含两个核心设计：自我进化CoT生成和自适应奖励缩放策略优化（ARSPO）。 {Self-Evolving CoT Generation}综合高质量推理路径，有效克服冷启动挑战。在此基础上，{自适应奖励缩放策略优化（ARSPO）}动态调整奖励规模和任务权重，确保平衡的联合优化。大量实验表明，OmniVL-Guard 的性能显着优于最先进的方法，并在域外场景中展现出零样本的鲁棒泛化能力。</w:t>
      </w:r>
    </w:p>
    <w:p>
      <w:pPr>
        <w:spacing w:before="120"/>
      </w:pPr>
      <w:r>
        <w:rPr>
          <w:rFonts w:ascii="Times New Roman" w:hAnsi="Times New Roman" w:eastAsia="宋体"/>
          <w:b/>
          <w:sz w:val="21"/>
        </w:rPr>
        <w:t>English Abstract:</w:t>
      </w:r>
    </w:p>
    <w:p>
      <w:r>
        <w:rPr>
          <w:rFonts w:ascii="Times New Roman" w:hAnsi="Times New Roman" w:eastAsia="宋体"/>
          <w:sz w:val="21"/>
        </w:rPr>
        <w:t>Existing forgery detection methods are often limited to uni-modal or bi-modal settings, failing to handle the interleaved text, images, and videos prevalent in real-world misinformation. To bridge this gap, this paper targets to develop a unified framework for omnibus vision-language forgery detection and grounding. In this unified setting, the {interplay} between diverse modalities and the dual requirements of simultaneous detection and localization pose a critical ``difficulty bias`` problem: the simpler veracity classification task tends to dominate the gradients, leading to suboptimal performance in fine-grained grounding during multi-task optimization. To address this challenge, we propose \textbf{OmniVL-Guard}, a balanced reinforcement learning framework for omnibus vision-language forgery detection and grounding. Particularly, OmniVL-Guard comprises two core designs: Self-Evolving CoT Generatio and Adaptive Reward Scaling Policy Optimization (ARSPO). {Self-Evolving CoT Generation} synthesizes high-quality reasoning paths, effectively overcoming the cold-start challenge. Building upon this, {Adaptive Reward Scaling Policy Optimization (ARSPO)} dynamically modulates reward scales and task weights, ensuring a balanced joint optimization. Extensive experiments demonstrate that OmniVL-Guard significantly outperforms state-of-the-art methods and exhibits zero-shot robust generalization across out-of-domain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AugVLA-3D：视觉-语言-动作模型的深度驱动特征增强</w:t>
      </w:r>
    </w:p>
    <w:p>
      <w:r>
        <w:rPr>
          <w:rFonts w:ascii="Times New Roman" w:hAnsi="Times New Roman" w:eastAsia="宋体"/>
          <w:b/>
          <w:color w:val="003264"/>
          <w:sz w:val="24"/>
        </w:rPr>
        <w:t>AugVLA-3D: Depth-Driven Feature Augmentation for Vision-Language-Action Models</w:t>
      </w:r>
    </w:p>
    <w:p>
      <w:r>
        <w:rPr>
          <w:rFonts w:ascii="Times New Roman" w:hAnsi="Times New Roman" w:eastAsia="宋体"/>
          <w:sz w:val="21"/>
        </w:rPr>
        <w:t>作者: F. Richard Yu</w:t>
        <w:br/>
      </w:r>
      <w:r>
        <w:rPr>
          <w:rFonts w:ascii="Times New Roman" w:hAnsi="Times New Roman" w:eastAsia="宋体"/>
          <w:sz w:val="21"/>
        </w:rPr>
        <w:t xml:space="preserve">时间: 2026-02-11T09:57:32Z | </w:t>
      </w:r>
      <w:r>
        <w:t xml:space="preserve">链接: </w:t>
      </w:r>
      <w:hyperlink r:id="rId213">
        <w:r>
          <w:rPr>
            <w:rFonts w:ascii="Times New Roman" w:hAnsi="Times New Roman" w:eastAsia="宋体"/>
            <w:color w:val="0000FF"/>
            <w:sz w:val="21"/>
            <w:u w:val="single"/>
          </w:rPr>
          <w:t>https://arxiv.org/abs/2602.10698v1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视觉-语言-动作 (VLA) 模型最近在机器人感知和控制方面取得了显着进展，但大多数现有方法主要依赖于使用 2D 图像训练的 VLM，这限制了它们在复杂 3D 环境中的空间理解和动作基础。为了解决这个限制，我们提出了一种新颖的框架，将深度估计集成到 VLA 模型中以丰富 3D 特征表示。具体来说，我们采用称为 VGGT 的深度估计基线从标准 RGB 输入中提取几何感知的 3D 线索，从而能够有效利用现有的大规模 2D 数据集，同时隐式恢复 3D 结构信息。为了进一步增强这些深度衍生特征的可靠性，我们引入了一个名为动作助手的新模块，它用动作先验来约束学习到的 3D 表示，并确保它们与下游控制任务的一致性。通过将增强的 3D 特征与传统的 2D 视觉标记融合，我们的方法显着提高了 VLA 模型的泛化能力和鲁棒性。实验结果表明，所提出的方法不仅增强了几何模糊场景中的感知，而且还带来了卓越的动作预测精度。这项工作强调了深度驱动的数据增强和辅助专家监督在缩小机器人系统中 2D 观察和 3D 感知决策之间差距的潜力。</w:t>
      </w:r>
    </w:p>
    <w:p>
      <w:pPr>
        <w:spacing w:before="120"/>
      </w:pPr>
      <w:r>
        <w:rPr>
          <w:rFonts w:ascii="Times New Roman" w:hAnsi="Times New Roman" w:eastAsia="宋体"/>
          <w:b/>
          <w:sz w:val="21"/>
        </w:rPr>
        <w:t>English Abstract:</w:t>
      </w:r>
    </w:p>
    <w:p>
      <w:r>
        <w:rPr>
          <w:rFonts w:ascii="Times New Roman" w:hAnsi="Times New Roman" w:eastAsia="宋体"/>
          <w:sz w:val="21"/>
        </w:rPr>
        <w:t>Vision-Language-Action (VLA) models have recently achieved remarkable progress in robotic perception and control, yet most existing approaches primarily rely on VLM trained using 2D images, which limits their spatial understanding and action grounding in complex 3D environments. To address this limitation, we propose a novel framework that integrates depth estimation into VLA models to enrich 3D feature representations. Specifically, we employ a depth estimation baseline called VGGT to extract geometry-aware 3D cues from standard RGB inputs, enabling efficient utilization of existing large-scale 2D datasets while implicitly recovering 3D structural information. To further enhance the reliability of these depth-derived features, we introduce a new module called action assistant, which constrains the learned 3D representations with action priors and ensures their consistency with downstream control tasks. By fusing the enhanced 3D features with conventional 2D visual tokens, our approach significantly improves the generalization ability and robustness of VLA models. Experimental results demonstrate that the proposed method not only strengthens perception in geometrically ambiguous scenarios but also leads to superior action prediction accuracy. This work highlights the potential of depth-driven data augmentation and auxiliary expert supervision for bridging the gap between 2D observations and 3D-aware decision-making in robotic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基于扩散的稀疏视图计算机断层扫描生成先验方法</w:t>
      </w:r>
    </w:p>
    <w:p>
      <w:r>
        <w:rPr>
          <w:rFonts w:ascii="Times New Roman" w:hAnsi="Times New Roman" w:eastAsia="宋体"/>
          <w:b/>
          <w:color w:val="003264"/>
          <w:sz w:val="24"/>
        </w:rPr>
        <w:t>A Diffusion-Based Generative Prior Approach to Sparse-view Computed Tomography</w:t>
      </w:r>
    </w:p>
    <w:p>
      <w:r>
        <w:rPr>
          <w:rFonts w:ascii="Times New Roman" w:hAnsi="Times New Roman" w:eastAsia="宋体"/>
          <w:sz w:val="21"/>
        </w:rPr>
        <w:t>作者: Elena Loli Piccolomini</w:t>
        <w:br/>
      </w:r>
      <w:r>
        <w:rPr>
          <w:rFonts w:ascii="Times New Roman" w:hAnsi="Times New Roman" w:eastAsia="宋体"/>
          <w:sz w:val="21"/>
        </w:rPr>
        <w:t xml:space="preserve">时间: 2026-02-11T10:27:41Z | </w:t>
      </w:r>
      <w:r>
        <w:t xml:space="preserve">链接: </w:t>
      </w:r>
      <w:hyperlink r:id="rId214">
        <w:r>
          <w:rPr>
            <w:rFonts w:ascii="Times New Roman" w:hAnsi="Times New Roman" w:eastAsia="宋体"/>
            <w:color w:val="0000FF"/>
            <w:sz w:val="21"/>
            <w:u w:val="single"/>
          </w:rPr>
          <w:t>https://arxiv.org/abs/2602.10722v1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从稀疏或有限角度几何形状重建 X 射线 CT 图像是一项极具挑战性的任务。数据的缺乏通常会导致重建图像中出现伪影，甚至可能导致对象失真。因此，在这种情况下使用深度生成模型具有很大的兴趣和潜在的成功。在深度生成先验（DGP）框架中，使用基于扩散的生成模型与迭代优化算法相结合，用于根据稀疏几何形状下获取的正弦图重建 CT 图像，以保持基于模型的方法的可解释性，同时引入神经网络的生成能力。因此，可以在这些框架内进一步研究几个方面，以提高重建质量，例如图像生成、模型和用于解决最小化问题的迭代算法，为此我们建议对现有方法进行修改。即使在高度稀疏的几何形状下获得的结果也非常有希望，尽管在这个方向上显然需要进一步的研究。</w:t>
      </w:r>
    </w:p>
    <w:p>
      <w:pPr>
        <w:spacing w:before="120"/>
      </w:pPr>
      <w:r>
        <w:rPr>
          <w:rFonts w:ascii="Times New Roman" w:hAnsi="Times New Roman" w:eastAsia="宋体"/>
          <w:b/>
          <w:sz w:val="21"/>
        </w:rPr>
        <w:t>English Abstract:</w:t>
      </w:r>
    </w:p>
    <w:p>
      <w:r>
        <w:rPr>
          <w:rFonts w:ascii="Times New Roman" w:hAnsi="Times New Roman" w:eastAsia="宋体"/>
          <w:sz w:val="21"/>
        </w:rPr>
        <w:t>The reconstruction of X-rays CT images from sparse or limited-angle geometries is a highly challenging task. The lack of data typically results in artifacts in the reconstructed image and may even lead to object distortions. For this reason, the use of deep generative models in this context has great interest and potential success. In the Deep Generative Prior (DGP) framework, the use of diffusion-based generative models is combined with an iterative optimization algorithm for the reconstruction of CT images from sinograms acquired under sparse geometries, to maintain the explainability of a model-based approach while introducing the generative power of a neural network. There are therefore several aspects that can be further investigated within these frameworks to improve reconstruction quality, such as image generation, the model, and the iterative algorithm used to solve the minimization problem, for which we propose modifications with respect to existing approaches. The results obtained even under highly sparse geometries are very promising, although further research is clearly needed in this direction.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基于内容无关的面向多模型表示学习的自监督图像超分辨率质量评估</w:t>
      </w:r>
    </w:p>
    <w:p>
      <w:r>
        <w:rPr>
          <w:rFonts w:ascii="Times New Roman" w:hAnsi="Times New Roman" w:eastAsia="宋体"/>
          <w:b/>
          <w:color w:val="003264"/>
          <w:sz w:val="24"/>
        </w:rPr>
        <w:t>Self-Supervised Image Super-Resolution Quality Assessment based on Content-Free Multi-Model Oriented Representation Learning</w:t>
      </w:r>
    </w:p>
    <w:p>
      <w:r>
        <w:rPr>
          <w:rFonts w:ascii="Times New Roman" w:hAnsi="Times New Roman" w:eastAsia="宋体"/>
          <w:sz w:val="21"/>
        </w:rPr>
        <w:t>作者: Peyman Adibi</w:t>
        <w:br/>
      </w:r>
      <w:r>
        <w:rPr>
          <w:rFonts w:ascii="Times New Roman" w:hAnsi="Times New Roman" w:eastAsia="宋体"/>
          <w:sz w:val="21"/>
        </w:rPr>
        <w:t xml:space="preserve">时间: 2026-02-11T11:15:34Z | </w:t>
      </w:r>
      <w:r>
        <w:t xml:space="preserve">链接: </w:t>
      </w:r>
      <w:hyperlink r:id="rId215">
        <w:r>
          <w:rPr>
            <w:rFonts w:ascii="Times New Roman" w:hAnsi="Times New Roman" w:eastAsia="宋体"/>
            <w:color w:val="0000FF"/>
            <w:sz w:val="21"/>
            <w:u w:val="single"/>
          </w:rPr>
          <w:t>https://arxiv.org/abs/2602.10744v1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将超分辨率 (SR) 应用于现实世界的低分辨率 (LR) 图像通常会导致复杂的、不规则的降级，这是由于自然场景采集的固有复杂性造成的。与在明确场景下创建的合成 LR 图像产生的 SR 伪像相比，这些失真是高度不可预测的，并且在不同的现实生活环境中存在显着差异。因此，评估从现实 LR 获得的 SR 图像 (SR-IQA) 的质量仍然是一个具有挑战性且尚未得到充分探索的问题。在这项工作中，我们引入了一种针对这种高度不适定的现实环境量身定制的无参考 SR-IQA 方法。所提出的方法能够为现实世界的 SR 应用提供域自适应 IQA，特别是在数据稀缺领域。我们假设超分辨率图像的退化很大程度上取决于底层的 SR 算法，而不是仅仅由图像内容决定。为此，我们引入了一种自监督学习（SSL）策略，该策略首先在借口阶段预训练多个面向 SR 模型的表示。我们的对比学习框架从相同 SR 模型生成的图像中形成正对，从不同方法生成的图像中形成负对，与图像内容无关。所提出的方法 S3 RIQA 进一步结合了有针对性的预处理以提取补充质量信息和辅助任务以更好地处理与不同 SR 缩放因子相关的各种退化概况。为此，我们构建了一个新的数据集SRMORSS，以支持无监督借口训练；它包括应用于大量真实 LR 图像的广泛 SR 算法，弥补了现有数据集的空白。对真实 SR-IQA 基准测试的实验表明，S3 RIQA 始终优于大多数最先进的相关指标。</w:t>
      </w:r>
    </w:p>
    <w:p>
      <w:pPr>
        <w:spacing w:before="120"/>
      </w:pPr>
      <w:r>
        <w:rPr>
          <w:rFonts w:ascii="Times New Roman" w:hAnsi="Times New Roman" w:eastAsia="宋体"/>
          <w:b/>
          <w:sz w:val="21"/>
        </w:rPr>
        <w:t>English Abstract:</w:t>
      </w:r>
    </w:p>
    <w:p>
      <w:r>
        <w:rPr>
          <w:rFonts w:ascii="Times New Roman" w:hAnsi="Times New Roman" w:eastAsia="宋体"/>
          <w:sz w:val="21"/>
        </w:rPr>
        <w:t>Super-resolution (SR) applied to real-world low-resolution (LR) images often results in complex, irregular degradations that stem from the inherent complexity of natural scene acquisition. In contrast to SR artifacts arising from synthetic LR images created under well-defined scenarios, those distortions are highly unpredictable and vary significantly across different real-life contexts. Consequently, assessing the quality of SR images (SR-IQA) obtained from realistic LR, remains a challenging and underexplored problem. In this work, we introduce a no-reference SR-IQA approach tailored for such highly ill-posed realistic settings. The proposed method enables domain-adaptive IQA for real-world SR applications, particularly in data-scarce domains. We hypothesize that degradations in super-resolved images are strongly dependent on the underlying SR algorithms, rather than being solely determined by image content. To this end, we introduce a self-supervised learning (SSL) strategy that first pretrains multiple SR model oriented representations in a pretext stage. Our contrastive learning framework forms positive pairs from images produced by the same SR model and negative pairs from those generated by different methods, independent of image content. The proposed approach S3 RIQA, further incorporates targeted preprocessing to extract complementary quality information and an auxiliary task to better handle the various degradation profiles associated with different SR scaling factors. To this end, we constructed a new dataset, SRMORSS, to support unsupervised pretext training; it includes a wide range of SR algorithms applied to numerous real LR images, which addresses a gap in existing datasets. Experiments on real SR-IQA benchmarks demonstrate that S3 RIQA consistently outperforms most state-of-the-art relevant metrics.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高光谱数据回归的谱空间对比学习框架</w:t>
      </w:r>
    </w:p>
    <w:p>
      <w:r>
        <w:rPr>
          <w:rFonts w:ascii="Times New Roman" w:hAnsi="Times New Roman" w:eastAsia="宋体"/>
          <w:b/>
          <w:color w:val="003264"/>
          <w:sz w:val="24"/>
        </w:rPr>
        <w:t>Spectral-Spatial Contrastive Learning Framework for Regression on Hyperspectral Data</w:t>
      </w:r>
    </w:p>
    <w:p>
      <w:r>
        <w:rPr>
          <w:rFonts w:ascii="Times New Roman" w:hAnsi="Times New Roman" w:eastAsia="宋体"/>
          <w:sz w:val="21"/>
        </w:rPr>
        <w:t>作者: Antonin Van Exem</w:t>
        <w:br/>
      </w:r>
      <w:r>
        <w:rPr>
          <w:rFonts w:ascii="Times New Roman" w:hAnsi="Times New Roman" w:eastAsia="宋体"/>
          <w:sz w:val="21"/>
        </w:rPr>
        <w:t xml:space="preserve">时间: 2026-02-11T11:16:57Z | </w:t>
      </w:r>
      <w:r>
        <w:t xml:space="preserve">链接: </w:t>
      </w:r>
      <w:hyperlink r:id="rId216">
        <w:r>
          <w:rPr>
            <w:rFonts w:ascii="Times New Roman" w:hAnsi="Times New Roman" w:eastAsia="宋体"/>
            <w:color w:val="0000FF"/>
            <w:sz w:val="21"/>
            <w:u w:val="single"/>
          </w:rPr>
          <w:t>https://arxiv.org/abs/2602.10745v1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比学习在表示学习中取得了巨大的成功，特别是对于图像分类任务。然而，针对回归任务的研究仍然缺乏，更具体地说，针对高光谱数据的应用的研究仍然短缺。在本文中，我们提出了一种用于高光谱数据回归任务的光谱空间对比学习框架，采用与模型无关的设计，允许增强 3D 卷积和基于变压器的网络等主干网络。此外，我们提供了与增强​​高光谱数据相关的转换集合。对合成数据集和真实数据集的实验表明，所提出的框架和转换显着提高了所有研究的骨干模型的性能。</w:t>
      </w:r>
    </w:p>
    <w:p>
      <w:pPr>
        <w:spacing w:before="120"/>
      </w:pPr>
      <w:r>
        <w:rPr>
          <w:rFonts w:ascii="Times New Roman" w:hAnsi="Times New Roman" w:eastAsia="宋体"/>
          <w:b/>
          <w:sz w:val="21"/>
        </w:rPr>
        <w:t>English Abstract:</w:t>
      </w:r>
    </w:p>
    <w:p>
      <w:r>
        <w:rPr>
          <w:rFonts w:ascii="Times New Roman" w:hAnsi="Times New Roman" w:eastAsia="宋体"/>
          <w:sz w:val="21"/>
        </w:rPr>
        <w:t>Contrastive learning has demonstrated great success in representation learning, especially for image classification tasks. However, there is still a shortage in studies targeting regression tasks, and more specifically applications on hyperspectral data. In this paper, we propose a spectral-spatial contrastive learning framework for regression tasks for hyperspectral data, in a model-agnostic design allowing to enhance backbones such as 3D convolutional and transformer-based networks. Moreover, we provide a collection of transformations relevant for augmenting hyperspectral data. Experiments on synthetic and real datasets show that the proposed framework and transformations significantly improve the performance of all studied backbone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住宅规划设计的文本到矢量转换</w:t>
      </w:r>
    </w:p>
    <w:p>
      <w:r>
        <w:rPr>
          <w:rFonts w:ascii="Times New Roman" w:hAnsi="Times New Roman" w:eastAsia="宋体"/>
          <w:b/>
          <w:color w:val="003264"/>
          <w:sz w:val="24"/>
        </w:rPr>
        <w:t>Text-to-Vector Conversion for Residential Plan Design</w:t>
      </w:r>
    </w:p>
    <w:p>
      <w:r>
        <w:rPr>
          <w:rFonts w:ascii="Times New Roman" w:hAnsi="Times New Roman" w:eastAsia="宋体"/>
          <w:sz w:val="21"/>
        </w:rPr>
        <w:t>作者: Valeria Efimova</w:t>
        <w:br/>
      </w:r>
      <w:r>
        <w:rPr>
          <w:rFonts w:ascii="Times New Roman" w:hAnsi="Times New Roman" w:eastAsia="宋体"/>
          <w:sz w:val="21"/>
        </w:rPr>
        <w:t xml:space="preserve">时间: 2026-02-11T11:40:19Z | </w:t>
      </w:r>
      <w:r>
        <w:t xml:space="preserve">链接: </w:t>
      </w:r>
      <w:hyperlink r:id="rId217">
        <w:r>
          <w:rPr>
            <w:rFonts w:ascii="Times New Roman" w:hAnsi="Times New Roman" w:eastAsia="宋体"/>
            <w:color w:val="0000FF"/>
            <w:sz w:val="21"/>
            <w:u w:val="single"/>
          </w:rPr>
          <w:t>https://arxiv.org/abs/2602.10757v1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计算机图形学由光栅和矢量组成，是现代科学、工业和数字通信的基本组成部分。虽然光栅图形易于使用，但其基于像素的结构限制了可扩展性。由数学基元定义的矢量图形提供了可扩展性而不会造成质量损失，但其生成更为复杂。对于设计和建筑来说，矢量图形的多功能性至关重要，尽管它具有计算需求。本文介绍了一种根据文本描述生成矢量住宅规划的新方法。我们的方法在基于 CLIPScore 的视觉质量方面比现有解决方案高出约 5%，这得益于其固有的直角处理和灵活的设置。此外，我们提出了一种将光栅计划矢量化为结构化矢量图像的新算法。与其他图像相比，此类图像的 CLIPscore 高出约 4%。</w:t>
      </w:r>
    </w:p>
    <w:p>
      <w:pPr>
        <w:spacing w:before="120"/>
      </w:pPr>
      <w:r>
        <w:rPr>
          <w:rFonts w:ascii="Times New Roman" w:hAnsi="Times New Roman" w:eastAsia="宋体"/>
          <w:b/>
          <w:sz w:val="21"/>
        </w:rPr>
        <w:t>English Abstract:</w:t>
      </w:r>
    </w:p>
    <w:p>
      <w:r>
        <w:rPr>
          <w:rFonts w:ascii="Times New Roman" w:hAnsi="Times New Roman" w:eastAsia="宋体"/>
          <w:sz w:val="21"/>
        </w:rPr>
        <w:t>Computer graphics, comprising both raster and vector components, is a fundamental part of modern science, industry, and digital communication. While raster graphics offer ease of use, its pixel-based structure limits scalability. Vector graphics, defined by mathematical primitives, provides scalability without quality loss, however, it is more complex to produce. For design and architecture, the versatility of vector graphics is paramount, despite its computational demands. This paper introduces a novel method for generating vector residential plans from textual descriptions. Our approach surpasses existing solutions by approximately 5% in CLIPScore-based visual quality, benefiting from its inherent handling of right angles and flexible settings. Additionally, we present a new algorithm for vectorizing raster plans into structured vector images. Such images have a better CLIPscore compared to others by about 4%.</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用火杀死它：利用潜在空间方向来缓解深度神经网络中的运行时后门</w:t>
      </w:r>
    </w:p>
    <w:p>
      <w:r>
        <w:rPr>
          <w:rFonts w:ascii="Times New Roman" w:hAnsi="Times New Roman" w:eastAsia="宋体"/>
          <w:b/>
          <w:color w:val="003264"/>
          <w:sz w:val="24"/>
        </w:rPr>
        <w:t>Kill it with FIRE: On Leveraging Latent Space Directions for Runtime Backdoor Mitigation in Deep Neural Networks</w:t>
      </w:r>
    </w:p>
    <w:p>
      <w:r>
        <w:rPr>
          <w:rFonts w:ascii="Times New Roman" w:hAnsi="Times New Roman" w:eastAsia="宋体"/>
          <w:sz w:val="21"/>
        </w:rPr>
        <w:t>作者: Lars Grunske</w:t>
        <w:br/>
      </w:r>
      <w:r>
        <w:rPr>
          <w:rFonts w:ascii="Times New Roman" w:hAnsi="Times New Roman" w:eastAsia="宋体"/>
          <w:sz w:val="21"/>
        </w:rPr>
        <w:t xml:space="preserve">时间: 2026-02-11T12:13:25Z | </w:t>
      </w:r>
      <w:r>
        <w:t xml:space="preserve">链接: </w:t>
      </w:r>
      <w:hyperlink r:id="rId218">
        <w:r>
          <w:rPr>
            <w:rFonts w:ascii="Times New Roman" w:hAnsi="Times New Roman" w:eastAsia="宋体"/>
            <w:color w:val="0000FF"/>
            <w:sz w:val="21"/>
            <w:u w:val="single"/>
          </w:rPr>
          <w:t>https://arxiv.org/abs/2602.10780v1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机器学习模型越来越多地出现在我们的日常生活中；因此，它们成为试图操纵我们与之交互的系统的敌对攻击者的目标。一个众所周知的漏洞是通过有毒的训练数据或恶意训练过程引入神经网络的后门。后门可用于通过在输入中包含特定触发器来引发不良行为。现有的缓解措施会过滤训练数据、修改模型或对样本执行昂贵的输入修改。然而，如果已经部署了易受攻击的模型，那么这些策略要么无效，要么效率低下。为了解决这一差距，我们提出了称为 FIRE（特征空间推理时间修复）的推理时间后门缓解方法。我们假设触发器会引起模型内部表示的结构化且可重复的变化。我们将触发器视为层之间潜在空间中的方向，可以反向应用以纠正推理机制。因此，我们通过操纵后门模型的潜在表示并沿着后门方向移动中毒样本的特征来抵消触发器，从而使后门模型与自身对抗。我们的评估表明，FIRE 的计算开销较低，并且在各种攻击、数据集和网络架构的图像基准测试中，其性能优于当前的运行时缓解措施。</w:t>
      </w:r>
    </w:p>
    <w:p>
      <w:pPr>
        <w:spacing w:before="120"/>
      </w:pPr>
      <w:r>
        <w:rPr>
          <w:rFonts w:ascii="Times New Roman" w:hAnsi="Times New Roman" w:eastAsia="宋体"/>
          <w:b/>
          <w:sz w:val="21"/>
        </w:rPr>
        <w:t>English Abstract:</w:t>
      </w:r>
    </w:p>
    <w:p>
      <w:r>
        <w:rPr>
          <w:rFonts w:ascii="Times New Roman" w:hAnsi="Times New Roman" w:eastAsia="宋体"/>
          <w:sz w:val="21"/>
        </w:rPr>
        <w:t>Machine learning models are increasingly present in our everyday lives; as a result, they become targets of adversarial attackers seeking to manipulate the systems we interact with. A well-known vulnerability is a backdoor introduced into a neural network by poisoned training data or a malicious training process. Backdoors can be used to induce unwanted behavior by including a certain trigger in the input. Existing mitigations filter training data, modify the model, or perform expensive input modifications on samples. If a vulnerable model has already been deployed, however, those strategies are either ineffective or inefficient. To address this gap, we propose our inference-time backdoor mitigation approach called FIRE (Feature-space Inference-time REpair). We hypothesize that a trigger induces structured and repeatable changes in the model's internal representation. We view the trigger as directions in the latent spaces between layers that can be applied in reverse to correct the inference mechanism. Therefore, we turn the backdoored model against itself by manipulating its latent representations and moving a poisoned sample's features along the backdoor directions to neutralize the trigger. Our evaluation shows that FIRE has low computational overhead and outperforms current runtime mitigations on image benchmarks across various attacks, datasets, and network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RSHallu：具有领域定制缓解功能的遥感多模态大语言模型的双模幻觉评估</w:t>
      </w:r>
    </w:p>
    <w:p>
      <w:r>
        <w:rPr>
          <w:rFonts w:ascii="Times New Roman" w:hAnsi="Times New Roman" w:eastAsia="宋体"/>
          <w:b/>
          <w:color w:val="003264"/>
          <w:sz w:val="24"/>
        </w:rPr>
        <w:t>RSHallu: Dual-Mode Hallucination Evaluation for Remote-Sensing Multimodal Large Language Models with Domain-Tailored Mitigation</w:t>
      </w:r>
    </w:p>
    <w:p>
      <w:r>
        <w:rPr>
          <w:rFonts w:ascii="Times New Roman" w:hAnsi="Times New Roman" w:eastAsia="宋体"/>
          <w:sz w:val="21"/>
        </w:rPr>
        <w:t>作者: Weijia Jia</w:t>
        <w:br/>
      </w:r>
      <w:r>
        <w:rPr>
          <w:rFonts w:ascii="Times New Roman" w:hAnsi="Times New Roman" w:eastAsia="宋体"/>
          <w:sz w:val="21"/>
        </w:rPr>
        <w:t xml:space="preserve">时间: 2026-02-11T12:41:33Z | </w:t>
      </w:r>
      <w:r>
        <w:t xml:space="preserve">链接: </w:t>
      </w:r>
      <w:hyperlink r:id="rId219">
        <w:r>
          <w:rPr>
            <w:rFonts w:ascii="Times New Roman" w:hAnsi="Times New Roman" w:eastAsia="宋体"/>
            <w:color w:val="0000FF"/>
            <w:sz w:val="21"/>
            <w:u w:val="single"/>
          </w:rPr>
          <w:t>https://arxiv.org/abs/2602.10799v1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多模态大语言模型 (MLLM) 在遥感 (RS) 中越来越多地采用，并且在 RS 视觉接地 (RSVG)、RS 视觉问答 (RSVQA) 和多模态对话等任务上表现出强大的性能。然而，幻觉是与输入的遥感图像不一致的响应，严重阻碍了它们在高风险场景（例如应急管理和农业监测）中的部署，并且在遥感方面仍未得到充分探索。在这项工作中，我们提出了RSHallu，这是一项具有三个可交付成果的系统性研究：（1）我们用面向RS的分类法将RS幻觉形式化，并引入图像级幻觉来捕获以对象为中心的错误之外的RS特定的不一致（例如模态、分辨率和场景级语义）； （2）我们建立了幻觉基准RSHalluEval（2,023个QA对）并启用双模式检查，通过在RSHalluCheck数据集（15,396个QA对）上微调的紧凑检查器支持高精度云审计和低成本可重复的本地检查； (3)我们引入了一个领域定制的数据集RSHalluShield（30k QA对）用于训练友好的缓解，并进一步提出了免训练的即插即用策略，包括解码时logit校正和RS感知提示。在代表性的 RS-MLLM 中，我们的缓解措施在统一协议下将无幻觉率提高了高达 21.63 个百分点，同时保持了下游 RS 任务 (RSVQA/RSVG) 的竞争性能。代码和数据集将被发布。</w:t>
      </w:r>
    </w:p>
    <w:p>
      <w:pPr>
        <w:spacing w:before="120"/>
      </w:pPr>
      <w:r>
        <w:rPr>
          <w:rFonts w:ascii="Times New Roman" w:hAnsi="Times New Roman" w:eastAsia="宋体"/>
          <w:b/>
          <w:sz w:val="21"/>
        </w:rPr>
        <w:t>English Abstract:</w:t>
      </w:r>
    </w:p>
    <w:p>
      <w:r>
        <w:rPr>
          <w:rFonts w:ascii="Times New Roman" w:hAnsi="Times New Roman" w:eastAsia="宋体"/>
          <w:sz w:val="21"/>
        </w:rPr>
        <w:t>Multimodal large language models (MLLMs) are increasingly adopted in remote sensing (RS) and have shown strong performance on tasks such as RS visual grounding (RSVG), RS visual question answering (RSVQA), and multimodal dialogue. However, hallucinations, which are responses inconsistent with the input RS images, severely hinder their deployment in high-stakes scenarios (e.g., emergency management and agricultural monitoring) and remain under-explored in RS. In this work, we present RSHallu, a systematic study with three deliverables: (1) we formalize RS hallucinations with an RS-oriented taxonomy and introduce image-level hallucination to capture RS-specific inconsistencies beyond object-centric errors (e.g., modality, resolution, and scene-level semantics); (2) we build a hallucination benchmark RSHalluEval (2,023 QA pairs) and enable dual-mode checking, supporting high-precision cloud auditing and low-cost reproducible local checking via a compact checker fine-tuned on RSHalluCheck dataset (15,396 QA pairs); and (3) we introduce a domain-tailored dataset RSHalluShield (30k QA pairs) for training-friendly mitigation and further propose training-free plug-and-play strategies, including decoding-time logit correction and RS-aware prompting. Across representative RS-MLLMs, our mitigation improves the hallucination-free rate by up to 21.63 percentage points under a unified protocol, while maintaining competitive performance on downstream RS tasks (RSVQA/RSVG). Code and datasets will be released.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DMP-3DAD：通过真实深度图投影与少量正常样本进行跨类别 3D 异常检测</w:t>
      </w:r>
    </w:p>
    <w:p>
      <w:r>
        <w:rPr>
          <w:rFonts w:ascii="Times New Roman" w:hAnsi="Times New Roman" w:eastAsia="宋体"/>
          <w:b/>
          <w:color w:val="003264"/>
          <w:sz w:val="24"/>
        </w:rPr>
        <w:t>DMP-3DAD: Cross-Category 3D Anomaly Detection via Realistic Depth Map Projection with Few Normal Samples</w:t>
      </w:r>
    </w:p>
    <w:p>
      <w:r>
        <w:rPr>
          <w:rFonts w:ascii="Times New Roman" w:hAnsi="Times New Roman" w:eastAsia="宋体"/>
          <w:sz w:val="21"/>
        </w:rPr>
        <w:t>作者: Jun Yu</w:t>
        <w:br/>
      </w:r>
      <w:r>
        <w:rPr>
          <w:rFonts w:ascii="Times New Roman" w:hAnsi="Times New Roman" w:eastAsia="宋体"/>
          <w:sz w:val="21"/>
        </w:rPr>
        <w:t xml:space="preserve">时间: 2026-02-11T12:47:38Z | </w:t>
      </w:r>
      <w:r>
        <w:t xml:space="preserve">链接: </w:t>
      </w:r>
      <w:hyperlink r:id="rId220">
        <w:r>
          <w:rPr>
            <w:rFonts w:ascii="Times New Roman" w:hAnsi="Times New Roman" w:eastAsia="宋体"/>
            <w:color w:val="0000FF"/>
            <w:sz w:val="21"/>
            <w:u w:val="single"/>
          </w:rPr>
          <w:t>https://arxiv.org/abs/2602.10806v1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点云的跨类别异常检测旨在仅使用几个正常示例来确定未见过的对象是否属于目标类别。大多数现有方法依赖于特定类别的训练，这限制了它们在少数场景中的灵活性。在本文中，我们提出了 DMP-3DAD，这是一种基于多视图真实深度图投影的跨类别 3D 异常检测的免训练框架。具体来说，通过将点云转换为一组固定的真实深度图像，我们的方法利用冻结的 CLIP 视觉编码器来提取多视图表示，并通过加权特征相似性执行异常检测，这不需要任何微调或依赖于类别的适应。在 ShapeNetPart 数据集上进行的大量实验表明，DMP-3DAD 在少量镜头设置下实现了最先进的性能。结果表明，所提出的方法为实际的跨类别 3D 异常检测提供了一种简单而有效的解决方案。</w:t>
      </w:r>
    </w:p>
    <w:p>
      <w:pPr>
        <w:spacing w:before="120"/>
      </w:pPr>
      <w:r>
        <w:rPr>
          <w:rFonts w:ascii="Times New Roman" w:hAnsi="Times New Roman" w:eastAsia="宋体"/>
          <w:b/>
          <w:sz w:val="21"/>
        </w:rPr>
        <w:t>English Abstract:</w:t>
      </w:r>
    </w:p>
    <w:p>
      <w:r>
        <w:rPr>
          <w:rFonts w:ascii="Times New Roman" w:hAnsi="Times New Roman" w:eastAsia="宋体"/>
          <w:sz w:val="21"/>
        </w:rPr>
        <w:t>Cross-category anomaly detection for 3D point clouds aims to determine whether an unseen object belongs to a target category using only a few normal examples. Most existing methods rely on category-specific training, which limits their flexibility in few-shot scenarios. In this paper, we propose DMP-3DAD, a training-free framework for cross-category 3D anomaly detection based on multi-view realistic depth map projection. Specifically, by converting point clouds into a fixed set of realistic depth images, our method leverages a frozen CLIP visual encoder to extract multi-view representations and performs anomaly detection via weighted feature similarity, which does not require any fine-tuning or category-dependent adaptation. Extensive experiments on the ShapeNetPart dataset demonstrate that DMP-3DAD achieves state-of-the-art performance under few-shot setting. The results show that the proposed approach provides a simple yet effective solution for practical cross-category 3D anomaly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DeepImageSearch：视觉历史中上下文感知图像检索的多模态代理基准测试</w:t>
      </w:r>
    </w:p>
    <w:p>
      <w:r>
        <w:rPr>
          <w:rFonts w:ascii="Times New Roman" w:hAnsi="Times New Roman" w:eastAsia="宋体"/>
          <w:b/>
          <w:color w:val="003264"/>
          <w:sz w:val="24"/>
        </w:rPr>
        <w:t>DeepImageSearch: Benchmarking Multimodal Agents for Context-Aware Image Retrieval in Visual Histories</w:t>
      </w:r>
    </w:p>
    <w:p>
      <w:r>
        <w:rPr>
          <w:rFonts w:ascii="Times New Roman" w:hAnsi="Times New Roman" w:eastAsia="宋体"/>
          <w:sz w:val="21"/>
        </w:rPr>
        <w:t>作者: Zhicheng Dou</w:t>
        <w:br/>
      </w:r>
      <w:r>
        <w:rPr>
          <w:rFonts w:ascii="Times New Roman" w:hAnsi="Times New Roman" w:eastAsia="宋体"/>
          <w:sz w:val="21"/>
        </w:rPr>
        <w:t xml:space="preserve">时间: 2026-02-11T12:51:10Z | </w:t>
      </w:r>
      <w:r>
        <w:t xml:space="preserve">链接: </w:t>
      </w:r>
      <w:hyperlink r:id="rId221">
        <w:r>
          <w:rPr>
            <w:rFonts w:ascii="Times New Roman" w:hAnsi="Times New Roman" w:eastAsia="宋体"/>
            <w:color w:val="0000FF"/>
            <w:sz w:val="21"/>
            <w:u w:val="single"/>
          </w:rPr>
          <w:t>https://arxiv.org/abs/2602.10809v1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多模态检索系统擅长语义匹配，但隐含地假设查询图像相关性可以单独测量。这种范例忽略了现实视觉流中固有的丰富依赖关系，其中信息分布在时间序列上，而不是局限于单个快照。为了弥补这一差距，我们引入了 DeepImageSearch，这是一种新颖的代理范式，它将图像检索重新定义为一项自主探索任务。模型必须对原始视觉历史进行规划和执行多步骤推理，以根据隐式上下文线索定位目标。我们构建了 DISBench，这是一个基于互连视觉数据的具有挑战性的基准。为了解决创建上下文相关查询的可扩展性挑战，我们提出了一种人类模型协作管道，该管道采用视觉语言模型来挖掘潜在的时空关联，从而在人类验证之前有效地卸载密集的上下文发现。此外，我们使用配备细粒度工具的模块化代理框架和用于长视野导航的双内存系统构建了强大的基线。大量实验表明 DISBench 对最先进的模型提出了重大挑战，凸显了将代理推理纳入下一代检索系统的必要性。</w:t>
      </w:r>
    </w:p>
    <w:p>
      <w:pPr>
        <w:spacing w:before="120"/>
      </w:pPr>
      <w:r>
        <w:rPr>
          <w:rFonts w:ascii="Times New Roman" w:hAnsi="Times New Roman" w:eastAsia="宋体"/>
          <w:b/>
          <w:sz w:val="21"/>
        </w:rPr>
        <w:t>English Abstract:</w:t>
      </w:r>
    </w:p>
    <w:p>
      <w:r>
        <w:rPr>
          <w:rFonts w:ascii="Times New Roman" w:hAnsi="Times New Roman" w:eastAsia="宋体"/>
          <w:sz w:val="21"/>
        </w:rPr>
        <w:t>Existing multimodal retrieval systems excel at semantic matching but implicitly assume that query-image relevance can be measured in isolation. This paradigm overlooks the rich dependencies inherent in realistic visual streams, where information is distributed across temporal sequences rather than confined to single snapshots. To bridge this gap, we introduce DeepImageSearch, a novel agentic paradigm that reformulates image retrieval as an autonomous exploration task. Models must plan and perform multi-step reasoning over raw visual histories to locate targets based on implicit contextual cues. We construct DISBench, a challenging benchmark built on interconnected visual data. To address the scalability challenge of creating context-dependent queries, we propose a human-model collaborative pipeline that employs vision-language models to mine latent spatiotemporal associations, effectively offloading intensive context discovery before human verification. Furthermore, we build a robust baseline using a modular agent framework equipped with fine-grained tools and a dual-memory system for long-horizon navigation. Extensive experiments demonstrate that DISBench poses significant challenges to state-of-the-art models, highlighting the necessity of incorporating agentic reasoning into next-generation retrieval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通过混合原型进行高光谱烟雾分割</w:t>
      </w:r>
    </w:p>
    <w:p>
      <w:r>
        <w:rPr>
          <w:rFonts w:ascii="Times New Roman" w:hAnsi="Times New Roman" w:eastAsia="宋体"/>
          <w:b/>
          <w:color w:val="003264"/>
          <w:sz w:val="24"/>
        </w:rPr>
        <w:t>Hyperspectral Smoke Segmentation via Mixture of Prototypes</w:t>
      </w:r>
    </w:p>
    <w:p>
      <w:r>
        <w:rPr>
          <w:rFonts w:ascii="Times New Roman" w:hAnsi="Times New Roman" w:eastAsia="宋体"/>
          <w:sz w:val="21"/>
        </w:rPr>
        <w:t>作者: Yuhan Xu</w:t>
        <w:br/>
      </w:r>
      <w:r>
        <w:rPr>
          <w:rFonts w:ascii="Times New Roman" w:hAnsi="Times New Roman" w:eastAsia="宋体"/>
          <w:sz w:val="21"/>
        </w:rPr>
        <w:t xml:space="preserve">时间: 2026-02-11T13:44:58Z | </w:t>
      </w:r>
      <w:r>
        <w:t xml:space="preserve">链接: </w:t>
      </w:r>
      <w:hyperlink r:id="rId222">
        <w:r>
          <w:rPr>
            <w:rFonts w:ascii="Times New Roman" w:hAnsi="Times New Roman" w:eastAsia="宋体"/>
            <w:color w:val="0000FF"/>
            <w:sz w:val="21"/>
            <w:u w:val="single"/>
          </w:rPr>
          <w:t>https://arxiv.org/abs/2602.10858v1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烟雾分割对于野火管理和工业安全应用至关重要。传统的基于可见光的方法由于光谱信息不足而面临局限性，特别是在云干扰和半透明烟雾区域方面遇到困难。为了应对这些挑战，我们引入了用于烟雾分割的高光谱成像，并提出了第一个高光谱烟雾分割数据集 (HSSDataset)，其中使用多对一注释协议从 20 个真实场景的 18,000 多个帧中收集了仔细注释的样本。然而，不同的光谱带在空间区域上表现出不同的辨别能力，因此需要自适应频带加权策略。我们将其分解为三个技术挑战：光谱相互作用污染、有限的光谱模式建模和复杂的加权路由器问题。我们提出了一种混合原型（MoP）网络：（1）用于光谱隔离的频带分割，（2）用于不同模式的基于原型的光谱表示，以及（3）用于自适应空间感知频带加权的双层路由器。我们进一步用 RGB 红外图像构建了多光谱数据集 (MSSDataset)。大量的实验验证了高光谱和多光谱模式的卓越性能，为基于光谱的烟雾分割建立了新的范例。</w:t>
      </w:r>
    </w:p>
    <w:p>
      <w:pPr>
        <w:spacing w:before="120"/>
      </w:pPr>
      <w:r>
        <w:rPr>
          <w:rFonts w:ascii="Times New Roman" w:hAnsi="Times New Roman" w:eastAsia="宋体"/>
          <w:b/>
          <w:sz w:val="21"/>
        </w:rPr>
        <w:t>English Abstract:</w:t>
      </w:r>
    </w:p>
    <w:p>
      <w:r>
        <w:rPr>
          <w:rFonts w:ascii="Times New Roman" w:hAnsi="Times New Roman" w:eastAsia="宋体"/>
          <w:sz w:val="21"/>
        </w:rPr>
        <w:t>Smoke segmentation is critical for wildfire management and industrial safety applications. Traditional visible-light-based methods face limitations due to insufficient spectral information, particularly struggling with cloud interference and semi-transparent smoke regions. To address these challenges, we introduce hyperspectral imaging for smoke segmentation and present the first hyperspectral smoke segmentation dataset (HSSDataset) with carefully annotated samples collected from over 18,000 frames across 20 real-world scenarios using a Many-to-One annotations protocol. However, different spectral bands exhibit varying discriminative capabilities across spatial regions, necessitating adaptive band weighting strategies. We decompose this into three technical challenges: spectral interaction contamination, limited spectral pattern modeling, and complex weighting router problems. We propose a mixture of prototypes (MoP) network with: (1) Band split for spectral isolation, (2) Prototype-based spectral representation for diverse patterns, and (3) Dual-level router for adaptive spatial-aware band weighting. We further construct a multispectral dataset (MSSDataset) with RGB-infrared images. Extensive experiments validate superior performance across both hyperspectral and multispectral modalities, establishing a new paradigm for spectral-based smoke segmentation.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通过交互成本建模进行点云标注的观点推荐</w:t>
      </w:r>
    </w:p>
    <w:p>
      <w:r>
        <w:rPr>
          <w:rFonts w:ascii="Times New Roman" w:hAnsi="Times New Roman" w:eastAsia="宋体"/>
          <w:b/>
          <w:color w:val="003264"/>
          <w:sz w:val="24"/>
        </w:rPr>
        <w:t>Viewpoint Recommendation for Point Cloud Labeling through Interaction Cost Modeling</w:t>
      </w:r>
    </w:p>
    <w:p>
      <w:r>
        <w:rPr>
          <w:rFonts w:ascii="Times New Roman" w:hAnsi="Times New Roman" w:eastAsia="宋体"/>
          <w:sz w:val="21"/>
        </w:rPr>
        <w:t>作者: Siming Chen</w:t>
        <w:br/>
      </w:r>
      <w:r>
        <w:rPr>
          <w:rFonts w:ascii="Times New Roman" w:hAnsi="Times New Roman" w:eastAsia="宋体"/>
          <w:sz w:val="21"/>
        </w:rPr>
        <w:t xml:space="preserve">时间: 2026-02-11T13:59:42Z | </w:t>
      </w:r>
      <w:r>
        <w:t xml:space="preserve">链接: </w:t>
      </w:r>
      <w:hyperlink r:id="rId223">
        <w:r>
          <w:rPr>
            <w:rFonts w:ascii="Times New Roman" w:hAnsi="Times New Roman" w:eastAsia="宋体"/>
            <w:color w:val="0000FF"/>
            <w:sz w:val="21"/>
            <w:u w:val="single"/>
          </w:rPr>
          <w:t>https://arxiv.org/abs/2602.10871v1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点云的语义分割对于许多应用都很重要，例如自动驾驶。为了训练语义分割模型，标记的点云分割数据集是必不可少的。同时，点云标记对于注释者来说非常耗时，这通常涉及调整相机视点并通过套索选择点。为了减少点云标记的时间成本，我们提出了一种观点推荐方法来减少注释者的标记时间成本。我们采用费茨定律来模拟点云中套索选择的时间成本。使用建模的时间成本，向注释者推荐最小化套索选择时间成本的观点。我们构建了一个用于 3D 点云语义分割的数据标记系统，该系统集成了我们的视点推荐方法。该系统使用户能够导航到推荐的观点以进行有效的注释。通过消融研究，我们观察到我们的方法有效降低了数据标记时间成本。我们还将我们的方法与之前在不同数据集上的观点选择方法进行定性比较。</w:t>
      </w:r>
    </w:p>
    <w:p>
      <w:pPr>
        <w:spacing w:before="120"/>
      </w:pPr>
      <w:r>
        <w:rPr>
          <w:rFonts w:ascii="Times New Roman" w:hAnsi="Times New Roman" w:eastAsia="宋体"/>
          <w:b/>
          <w:sz w:val="21"/>
        </w:rPr>
        <w:t>English Abstract:</w:t>
      </w:r>
    </w:p>
    <w:p>
      <w:r>
        <w:rPr>
          <w:rFonts w:ascii="Times New Roman" w:hAnsi="Times New Roman" w:eastAsia="宋体"/>
          <w:sz w:val="21"/>
        </w:rPr>
        <w:t>Semantic segmentation of 3D point clouds is important for many applications, such as autonomous driving. To train semantic segmentation models, labeled point cloud segmentation datasets are essential. Meanwhile, point cloud labeling is time-consuming for annotators, which typically involves tuning the camera viewpoint and selecting points by lasso. To reduce the time cost of point cloud labeling, we propose a viewpoint recommendation approach to reduce annotators' labeling time costs. We adapt Fitts' law to model the time cost of lasso selection in point clouds. Using the modeled time cost, the viewpoint that minimizes the lasso selection time cost is recommended to the annotator. We build a data labeling system for semantic segmentation of 3D point clouds that integrates our viewpoint recommendation approach. The system enables users to navigate to recommended viewpoints for efficient annotation. Through an ablation study, we observed that our approach effectively reduced the data labeling time cost. We also qualitatively compare our approach with previous viewpoint selection approaches on different datasets.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Stride-Net：用于胸部 X 射线诊断的公平意识解缠表示学习</w:t>
      </w:r>
    </w:p>
    <w:p>
      <w:r>
        <w:rPr>
          <w:rFonts w:ascii="Times New Roman" w:hAnsi="Times New Roman" w:eastAsia="宋体"/>
          <w:b/>
          <w:color w:val="003264"/>
          <w:sz w:val="24"/>
        </w:rPr>
        <w:t>Stride-Net: Fairness-Aware Disentangled Representation Learning for Chest X-Ray Diagnosis</w:t>
      </w:r>
    </w:p>
    <w:p>
      <w:r>
        <w:rPr>
          <w:rFonts w:ascii="Times New Roman" w:hAnsi="Times New Roman" w:eastAsia="宋体"/>
          <w:sz w:val="21"/>
        </w:rPr>
        <w:t>作者: Brejesh Lall</w:t>
        <w:br/>
      </w:r>
      <w:r>
        <w:rPr>
          <w:rFonts w:ascii="Times New Roman" w:hAnsi="Times New Roman" w:eastAsia="宋体"/>
          <w:sz w:val="21"/>
        </w:rPr>
        <w:t xml:space="preserve">时间: 2026-02-11T14:04:52Z | </w:t>
      </w:r>
      <w:r>
        <w:t xml:space="preserve">链接: </w:t>
      </w:r>
      <w:hyperlink r:id="rId224">
        <w:r>
          <w:rPr>
            <w:rFonts w:ascii="Times New Roman" w:hAnsi="Times New Roman" w:eastAsia="宋体"/>
            <w:color w:val="0000FF"/>
            <w:sz w:val="21"/>
            <w:u w:val="single"/>
          </w:rPr>
          <w:t>https://arxiv.org/abs/2602.10875v1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用于胸部 X 射线分类的深度神经网络实现了强劲的平均性能，但对于特定的人口亚组通常表现不佳，引发了对临床安全性和公平性的严重担忧。现有的去偏差方法经常会在数据集中产生不一致的改进，或者通过降低整体诊断效用来实现公平性，将公平性视为事后约束而不是学习表示的属性。在这项工作中，我们提出了 Stride-Net（通过解缠结和可学习掩码与嵌入对齐进行敏感属性弹性学习），这是一种公平意识框架，可以学习用于胸部 X 射线分析的疾病区分性但人口统计不变的表示。 Stride-Net 在补丁级别运行，使用可学习的基于步幅的掩模来选择标签对齐的图像区域，同时通过对抗性混淆损失抑制敏感属性信息。为了锚定临床语义中的表示并阻止快捷学习，我们通过组最优传输进一步加强图像特征和基于 BioBERT 的疾病标签嵌入之间的语义对齐。我们在 MIMIC-CXR 和 CheXpert 基准上评估跨种族和交叉种族性别子组的 Stride-Net。在包括 ResNet 和 Vision Transformers 在内的架构中，Stride-Net 持续改进公平性指标，同时匹配或超过基线准确度，实现比之前的去偏方法更有利的准确度与公平性权衡。我们的代码可在 https://github.com/Daraksh/Fairness_StrideNet 上获取。</w:t>
      </w:r>
    </w:p>
    <w:p>
      <w:pPr>
        <w:spacing w:before="120"/>
      </w:pPr>
      <w:r>
        <w:rPr>
          <w:rFonts w:ascii="Times New Roman" w:hAnsi="Times New Roman" w:eastAsia="宋体"/>
          <w:b/>
          <w:sz w:val="21"/>
        </w:rPr>
        <w:t>English Abstract:</w:t>
      </w:r>
    </w:p>
    <w:p>
      <w:r>
        <w:rPr>
          <w:rFonts w:ascii="Times New Roman" w:hAnsi="Times New Roman" w:eastAsia="宋体"/>
          <w:sz w:val="21"/>
        </w:rPr>
        <w:t>Deep neural networks for chest X-ray classification achieve strong average performance, yet often underperform for specific demographic subgroups, raising critical concerns about clinical safety and equity. Existing debiasing methods frequently yield inconsistent improvements across datasets or attain fairness by degrading overall diagnostic utility, treating fairness as a post hoc constraint rather than a property of the learned representation. In this work, we propose Stride-Net (Sensitive Attribute Resilient Learning via Disentanglement and Learnable Masking with Embedding Alignment), a fairness-aware framework that learns disease-discriminative yet demographically invariant representations for chest X-ray analysis. Stride-Net operates at the patch level, using a learnable stride-based mask to select label-aligned image regions while suppressing sensitive attribute information through adversarial confusion loss. To anchor representations in clinical semantics and discourage shortcut learning, we further enforce semantic alignment between image features and BioBERT-based disease label embeddings via Group Optimal Transport. We evaluate Stride-Net on the MIMIC-CXR and CheXpert benchmarks across race and intersectional race-gender subgroups. Across architectures including ResNet and Vision Transformers, Stride-Net consistently improves fairness metrics while matching or exceeding baseline accuracy, achieving a more favorable accuracy-fairness trade-off than prior debiasing approaches. Our code is available at https://github.com/Daraksh/Fairness_StrideNet.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图表规范：在图表到代码生成中激励 VLM 推理的结构表示</w:t>
      </w:r>
    </w:p>
    <w:p>
      <w:r>
        <w:rPr>
          <w:rFonts w:ascii="Times New Roman" w:hAnsi="Times New Roman" w:eastAsia="宋体"/>
          <w:b/>
          <w:color w:val="003264"/>
          <w:sz w:val="24"/>
        </w:rPr>
        <w:t>Chart Specification: Structural Representations for Incentivizing VLM Reasoning in Chart-to-Code Generation</w:t>
      </w:r>
    </w:p>
    <w:p>
      <w:r>
        <w:rPr>
          <w:rFonts w:ascii="Times New Roman" w:hAnsi="Times New Roman" w:eastAsia="宋体"/>
          <w:sz w:val="21"/>
        </w:rPr>
        <w:t>作者: Yuya Ieiri</w:t>
        <w:br/>
      </w:r>
      <w:r>
        <w:rPr>
          <w:rFonts w:ascii="Times New Roman" w:hAnsi="Times New Roman" w:eastAsia="宋体"/>
          <w:sz w:val="21"/>
        </w:rPr>
        <w:t xml:space="preserve">时间: 2026-02-11T14:08:06Z | </w:t>
      </w:r>
      <w:r>
        <w:t xml:space="preserve">链接: </w:t>
      </w:r>
      <w:hyperlink r:id="rId225">
        <w:r>
          <w:rPr>
            <w:rFonts w:ascii="Times New Roman" w:hAnsi="Times New Roman" w:eastAsia="宋体"/>
            <w:color w:val="0000FF"/>
            <w:sz w:val="21"/>
            <w:u w:val="single"/>
          </w:rPr>
          <w:t>https://arxiv.org/abs/2602.10880v1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 (VLM) 在从图表图像生成绘图代码方面显示出了前景，但实现结构保真度仍然具有挑战性。现有的方法在很大程度上依赖于监督微调，鼓励表面级别的令牌模仿，而不是对底层图表结构的忠实建模，这通常会导致幻觉或语义不一致的输出。我们提出了图表规范，一种结构化的中间表示，将训练从文本模仿转变为基于语义的监督。图表规范过滤语法噪音以构建结构平衡的训练集，并支持规范对齐奖励，该奖励提供有关结构正确性的细粒度、可验证的反馈，使强化学习能够强制执行一致的绘图逻辑。对三个公共基准的实验表明，我们的方法始终优于先前的方法。仅通过 3K 训练样本，我们就实现了强大的数据效率，在复杂的基准测试中超出了领先基线高达 61.7%，并且扩展到 4K 样本在所有评估指标中建立了新的最先进的结果。总的来说，我们的结果表明，精确的结构监督为高保真图表到代码生成提供了一条有效的途径。代码和数据集可在以下位置获取：https://github.com/Mighten/chart-specification-paper</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have shown promise in generating plotting code from chart images, yet achieving structural fidelity remains challenging. Existing approaches largely rely on supervised fine-tuning, encouraging surface-level token imitation rather than faithful modeling of underlying chart structure, which often leads to hallucinated or semantically inconsistent outputs. We propose Chart Specification, a structured intermediate representation that shifts training from text imitation to semantically grounded supervision. Chart Specification filters syntactic noise to construct a structurally balanced training set and supports a Spec-Align Reward that provides fine-grained, verifiable feedback on structural correctness, enabling reinforcement learning to enforce consistent plotting logic. Experiments on three public benchmarks show that our method consistently outperforms prior approaches. With only 3K training samples, we achieve strong data efficiency, surpassing leading baselines by up to 61.7% on complex benchmarks, and scaling to 4K samples establishes new state-of-the-art results across all evaluated metrics. Overall, our results demonstrate that precise structural supervision offers an efficient pathway to high-fidelity chart-to-code generation. Code and dataset are available at: https://github.com/Mighten/chart-specification-paper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FastUSP：分布式扩散模型推理的多级协作加速框架</w:t>
      </w:r>
    </w:p>
    <w:p>
      <w:r>
        <w:rPr>
          <w:rFonts w:ascii="Times New Roman" w:hAnsi="Times New Roman" w:eastAsia="宋体"/>
          <w:b/>
          <w:color w:val="003264"/>
          <w:sz w:val="24"/>
        </w:rPr>
        <w:t>FastUSP: A Multi-Level Collaborative Acceleration Framework for Distributed Diffusion Model Inference</w:t>
      </w:r>
    </w:p>
    <w:p>
      <w:r>
        <w:rPr>
          <w:rFonts w:ascii="Times New Roman" w:hAnsi="Times New Roman" w:eastAsia="宋体"/>
          <w:sz w:val="21"/>
        </w:rPr>
        <w:t>作者: Guandong Li</w:t>
        <w:br/>
      </w:r>
      <w:r>
        <w:rPr>
          <w:rFonts w:ascii="Times New Roman" w:hAnsi="Times New Roman" w:eastAsia="宋体"/>
          <w:sz w:val="21"/>
        </w:rPr>
        <w:t xml:space="preserve">时间: 2026-02-11T15:19:57Z | </w:t>
      </w:r>
      <w:r>
        <w:t xml:space="preserve">链接: </w:t>
      </w:r>
      <w:hyperlink r:id="rId226">
        <w:r>
          <w:rPr>
            <w:rFonts w:ascii="Times New Roman" w:hAnsi="Times New Roman" w:eastAsia="宋体"/>
            <w:color w:val="0000FF"/>
            <w:sz w:val="21"/>
            <w:u w:val="single"/>
          </w:rPr>
          <w:t>https://arxiv.org/abs/2602.10940v1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FLUX（12B 参数）和 Stable Diffusion 3（8B 参数）等大规模扩散模型需要多 GPU 并行才能进行高效推理。统一序列并行（USP）结合了 Ulysses 和 Ring 注意力机制，已成为分布式注意力计算的最先进方法。然而，现有的 USP 实现效率严重低下，包括过多的内核启动开销和次优的计算通信调度。在本文中，我们提出了 \textbf{FastUSP}，一个多级优化框架，集成了编译级优化（使用 CUDA 图进行图编译和计算通信重新排序）、通信级优化（FP8 量化集体通信）和操作员级优化（具有双缓冲的流水线环注意）。我们在 2、4 和 8 个 NVIDIA RTX 5090 GPU 上的 FLUX (12B) 和 Qwen-Image 模型上评估 FastUSP。在 FLUX 上，FastUSP 相对于基线 USP 实现了一致的 \textbf{1.12$\times$--1.16$\times$} 端到端加速，其中编译级优化贡献了主要改进。在 Qwen-Image 上，FastUSP 在 2 个 GPU 上实现了 \textbf{1.09$\times$} 加速；在 4--8 个 GPU 上，我们发现 PyTorch Inductor 兼容性限制与 Ring Attention 会阻碍编译优化，而基线 USP 则可扩展到 2-GPU 性能的 1.30$\times$--1.46$\times$。我们进一步对分布式扩散推理的性能特征进行了详细分析，揭示了内核启动开销（而不是通信延迟）是现代高带宽 GPU 互连的主要瓶颈。</w:t>
      </w:r>
    </w:p>
    <w:p>
      <w:pPr>
        <w:spacing w:before="120"/>
      </w:pPr>
      <w:r>
        <w:rPr>
          <w:rFonts w:ascii="Times New Roman" w:hAnsi="Times New Roman" w:eastAsia="宋体"/>
          <w:b/>
          <w:sz w:val="21"/>
        </w:rPr>
        <w:t>English Abstract:</w:t>
      </w:r>
    </w:p>
    <w:p>
      <w:r>
        <w:rPr>
          <w:rFonts w:ascii="Times New Roman" w:hAnsi="Times New Roman" w:eastAsia="宋体"/>
          <w:sz w:val="21"/>
        </w:rPr>
        <w:t>Large-scale diffusion models such as FLUX (12B parameters) and Stable Diffusion 3 (8B parameters) require multi-GPU parallelism for efficient inference. Unified Sequence Parallelism (USP), which combines Ulysses and Ring attention mechanisms, has emerged as the state-of-the-art approach for distributed attention computation. However, existing USP implementations suffer from significant inefficiencies including excessive kernel launch overhead and suboptimal computation-communication scheduling. In this paper, we propose \textbf{FastUSP}, a multi-level optimization framework that integrates compile-level optimization (graph compilation with CUDA Graphs and computation-communication reordering), communication-level optimization (FP8 quantized collective communication), and operator-level optimization (pipelined Ring attention with double buffering). We evaluate FastUSP on FLUX (12B) and Qwen-Image models across 2, 4, and 8 NVIDIA RTX 5090 GPUs. On FLUX, FastUSP achieves consistent \textbf{1.12$\times$--1.16$\times$} end-to-end speedup over baseline USP, with compile-level optimization contributing the dominant improvement. On Qwen-Image, FastUSP achieves \textbf{1.09$\times$} speedup on 2 GPUs; on 4--8 GPUs, we identify a PyTorch Inductor compatibility limitation with Ring attention that prevents compile optimization, while baseline USP scales to 1.30$\times$--1.46$\times$ of 2-GPU performance. We further provide a detailed analysis of the performance characteristics of distributed diffusion inference, revealing that kernel launch overhead -- rather than communication latency -- is the primary bottleneck on modern high-bandwidth GPU interconnects.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 2D 观察中学习可概括的 3D 场景表示</w:t>
      </w:r>
    </w:p>
    <w:p>
      <w:r>
        <w:rPr>
          <w:rFonts w:ascii="Times New Roman" w:hAnsi="Times New Roman" w:eastAsia="宋体"/>
          <w:b/>
          <w:color w:val="003264"/>
          <w:sz w:val="24"/>
        </w:rPr>
        <w:t>Towards Learning a Generalizable 3D Scene Representation from 2D Observations</w:t>
      </w:r>
    </w:p>
    <w:p>
      <w:r>
        <w:rPr>
          <w:rFonts w:ascii="Times New Roman" w:hAnsi="Times New Roman" w:eastAsia="宋体"/>
          <w:sz w:val="21"/>
        </w:rPr>
        <w:t>作者: Stefan Wermter</w:t>
        <w:br/>
      </w:r>
      <w:r>
        <w:rPr>
          <w:rFonts w:ascii="Times New Roman" w:hAnsi="Times New Roman" w:eastAsia="宋体"/>
          <w:sz w:val="21"/>
        </w:rPr>
        <w:t xml:space="preserve">时间: 2026-02-11T15:22:41Z | </w:t>
      </w:r>
      <w:r>
        <w:t xml:space="preserve">链接: </w:t>
      </w:r>
      <w:hyperlink r:id="rId227">
        <w:r>
          <w:rPr>
            <w:rFonts w:ascii="Times New Roman" w:hAnsi="Times New Roman" w:eastAsia="宋体"/>
            <w:color w:val="0000FF"/>
            <w:sz w:val="21"/>
            <w:u w:val="single"/>
          </w:rPr>
          <w:t>https://arxiv.org/abs/2602.10943v1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我们引入了一种通用神经辐射场方法，用于根据以自我为中心的机器人观察来预测 3D 工作空间占用情况。与之前在以相机为中心的坐标中操作的方法不同，我们的模型在全局工作空间框架中构建占用表示，使其直接适用于机器人操作。该模型集成了灵活的源视图，并可推广到看不见的对象排列，而无需针对特定场景进行微调。我们在人形机器人上演示了该方法，并根据 3D 传感器地面实况评估预测的几何形状。经过 40 个真实场景的训练，我们的模型实现了 26mm 的重建误差（包括遮挡区域），验证了其超越传统立体视觉方法推断完整 3D 占用的能力。</w:t>
      </w:r>
    </w:p>
    <w:p>
      <w:pPr>
        <w:spacing w:before="120"/>
      </w:pPr>
      <w:r>
        <w:rPr>
          <w:rFonts w:ascii="Times New Roman" w:hAnsi="Times New Roman" w:eastAsia="宋体"/>
          <w:b/>
          <w:sz w:val="21"/>
        </w:rPr>
        <w:t>English Abstract:</w:t>
      </w:r>
    </w:p>
    <w:p>
      <w:r>
        <w:rPr>
          <w:rFonts w:ascii="Times New Roman" w:hAnsi="Times New Roman" w:eastAsia="宋体"/>
          <w:sz w:val="21"/>
        </w:rPr>
        <w:t>We introduce a Generalizable Neural Radiance Field approach for predicting 3D workspace occupancy from egocentric robot observations. Unlike prior methods operating in camera-centric coordinates, our model constructs occupancy representations in a global workspace frame, making it directly applicable to robotic manipulation. The model integrates flexible source views and generalizes to unseen object arrangements without scene-specific finetuning. We demonstrate the approach on a humanoid robot and evaluate predicted geometry against 3D sensor ground truth. Trained on 40 real scenes, our model achieves 26mm reconstruction error, including occluded regions, validating its ability to infer complete 3D occupancy beyond traditional stereo vision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健康收获：使用 InceptionV3 比较番石榴病害分类</w:t>
      </w:r>
    </w:p>
    <w:p>
      <w:r>
        <w:rPr>
          <w:rFonts w:ascii="Times New Roman" w:hAnsi="Times New Roman" w:eastAsia="宋体"/>
          <w:b/>
          <w:color w:val="003264"/>
          <w:sz w:val="24"/>
        </w:rPr>
        <w:t>Healthy Harvests: A Comparative Look at Guava Disease Classification Using InceptionV3</w:t>
      </w:r>
    </w:p>
    <w:p>
      <w:r>
        <w:rPr>
          <w:rFonts w:ascii="Times New Roman" w:hAnsi="Times New Roman" w:eastAsia="宋体"/>
          <w:sz w:val="21"/>
        </w:rPr>
        <w:t>作者: Nishat Tasnim Niloy</w:t>
        <w:br/>
      </w:r>
      <w:r>
        <w:rPr>
          <w:rFonts w:ascii="Times New Roman" w:hAnsi="Times New Roman" w:eastAsia="宋体"/>
          <w:sz w:val="21"/>
        </w:rPr>
        <w:t xml:space="preserve">时间: 2026-02-11T15:59:49Z | </w:t>
      </w:r>
      <w:r>
        <w:t xml:space="preserve">链接: </w:t>
      </w:r>
      <w:hyperlink r:id="rId228">
        <w:r>
          <w:rPr>
            <w:rFonts w:ascii="Times New Roman" w:hAnsi="Times New Roman" w:eastAsia="宋体"/>
            <w:color w:val="0000FF"/>
            <w:sz w:val="21"/>
            <w:u w:val="single"/>
          </w:rPr>
          <w:t>https://arxiv.org/abs/2602.10967v1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番石榴果实经常患有多种疾病。这会损害水果品质和水果作物产量。早期识别对于最大限度地减少损害和确保水果健康非常重要。本研究重点关注 3 个不同类别的疾病分类。这些是炭疽病、果蝇和健康水果。本研究使用的数据集来自 Mendeley Data。该数据集包含 473 张番石榴原始图像。这些图像的大小和格式各不相同。原始数据集大小调整为 256x256 像素，采用 RGB 颜色模式，以获得更好的一致性。之后，应用数据增强过程通过生成原始图像的变体来改进数据集。增强数据集由 3784 个使用先进预处理技术的图像组成。实施了两种深度学习模型来对图像进行分类。 InceptionV3模型以其先进的框架而闻名。它们应用多个卷积滤波器来有效地获得不同的特征。另一方面，ResNet50 模型有助于通过使用残差学习来训练更深的网络。 InceptionV3模型的准确率达到了98.15%，ResNet50的准确率达到了94.46%。应用CutMix和MixUp等数据混合方法来增强模型的鲁棒性。混淆矩阵用于评估 InceptionV3 和 Resnet50 的整体模型性能。此外，SHAP 分析用于提高可解释性，这有助于找到图像中用于模型预测的重要部分。本研究旨在强调先进模型如何增强</w:t>
      </w:r>
    </w:p>
    <w:p>
      <w:pPr>
        <w:spacing w:before="120"/>
      </w:pPr>
      <w:r>
        <w:rPr>
          <w:rFonts w:ascii="Times New Roman" w:hAnsi="Times New Roman" w:eastAsia="宋体"/>
          <w:b/>
          <w:sz w:val="21"/>
        </w:rPr>
        <w:t>English Abstract:</w:t>
      </w:r>
    </w:p>
    <w:p>
      <w:r>
        <w:rPr>
          <w:rFonts w:ascii="Times New Roman" w:hAnsi="Times New Roman" w:eastAsia="宋体"/>
          <w:sz w:val="21"/>
        </w:rPr>
        <w:t>Guava fruits often suffer from many diseases. This can harm fruit quality and fruit crop yield. Early identification is important for minimizing damage and ensuring fruit health. This study focuses on 3 different categories for classifying diseases. These are Anthracnose, Fruit flies, and Healthy fruit. The data set used in this study is collected from Mendeley Data. This dataset contains 473 original images of Guava. These images vary in size and format. The original dataset was resized to 256x256 pixels with RGB color mode for better consistency. After this, the Data augmentation process is applied to improve the dataset by generating variations of the original images. The augmented dataset consists of 3784 images using advanced preprocessing techniques. Two deep learning models were implemented to classify the images. The InceptionV3 model is well known for its advanced framework. These apply multiple convolutional filters for obtaining different features effectively. On the other hand, the ResNet50 model helps to train deeper networks by using residual learning. The InceptionV3 model achieved the impressive accuracy of 98.15%, and ResNet50got 94.46% accuracy. Data mixing methods such as CutMix and MixUp were applied to enhance the model's robustness. The confusion matrix was used to evaluate the overall model performance of both InceptionV3 and Resnet50. Additionally, SHAP analysis is used to improve interpretability, which helps to find the significant parts of the image for the model prediction. This study purposes to highlight how advanced models enhan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VFGS-Net：用于保留拓扑的视网膜血管分割的频率引导状态空间学习</w:t>
      </w:r>
    </w:p>
    <w:p>
      <w:r>
        <w:rPr>
          <w:rFonts w:ascii="Times New Roman" w:hAnsi="Times New Roman" w:eastAsia="宋体"/>
          <w:b/>
          <w:color w:val="003264"/>
          <w:sz w:val="24"/>
        </w:rPr>
        <w:t>VFGS-Net: Frequency-Guided State-Space Learning for Topology-Preserving Retinal Vessel Segmentation</w:t>
      </w:r>
    </w:p>
    <w:p>
      <w:r>
        <w:rPr>
          <w:rFonts w:ascii="Times New Roman" w:hAnsi="Times New Roman" w:eastAsia="宋体"/>
          <w:sz w:val="21"/>
        </w:rPr>
        <w:t>作者: Nan Mu</w:t>
        <w:br/>
      </w:r>
      <w:r>
        <w:rPr>
          <w:rFonts w:ascii="Times New Roman" w:hAnsi="Times New Roman" w:eastAsia="宋体"/>
          <w:sz w:val="21"/>
        </w:rPr>
        <w:t xml:space="preserve">时间: 2026-02-11T16:07:29Z | </w:t>
      </w:r>
      <w:r>
        <w:t xml:space="preserve">链接: </w:t>
      </w:r>
      <w:hyperlink r:id="rId229">
        <w:r>
          <w:rPr>
            <w:rFonts w:ascii="Times New Roman" w:hAnsi="Times New Roman" w:eastAsia="宋体"/>
            <w:color w:val="0000FF"/>
            <w:sz w:val="21"/>
            <w:u w:val="single"/>
          </w:rPr>
          <w:t>https://arxiv.org/abs/2602.10978v1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的视网膜血管分割是视网膜图像定量分析和糖尿病视网膜病变等血管疾病的计算机辅助诊断的关键先决条件。然而，视网膜血管的细长形态、大尺度变化和低对比度对现有方法提出了重大挑战，使得难以同时保存细小毛细血管和维持全局拓扑连续性。为了应对这些挑战，我们提出了血管感知频域和全局空间建模网络（VFGS-Net），这是一种端到端分割框架，可将频率感知特征增强、双路径卷积表示学习和双向非对称空间状态空间建模无缝集成在一个统一的架构中。具体来说，VFGS-Net采用双路径特征卷积模块来联合捕获细粒度局部纹理和多尺度上下文语义。引入了一种新颖的血管感知频域通道注意机制来自适应地重新加权频谱分量，从而增强高级特征中与血管相关的响应。此外，在网络瓶颈处，我们提出了一种基于 Mamba2 的双向不对称空间建模模块，以有效捕获远程空间依赖性并增强血管结构的全局连续性。对四个公开可用的视网膜血管数据集的广泛实验表明，与最先进的方法相比，VFGS-Net 实现了具有竞争力或优越的性能。值得注意的是，我们的模型持续提高了细血管、复杂分支模式和低对比度区域的分割准确性，突出了其稳健性和临床潜力。</w:t>
      </w:r>
    </w:p>
    <w:p>
      <w:pPr>
        <w:spacing w:before="120"/>
      </w:pPr>
      <w:r>
        <w:rPr>
          <w:rFonts w:ascii="Times New Roman" w:hAnsi="Times New Roman" w:eastAsia="宋体"/>
          <w:b/>
          <w:sz w:val="21"/>
        </w:rPr>
        <w:t>English Abstract:</w:t>
      </w:r>
    </w:p>
    <w:p>
      <w:r>
        <w:rPr>
          <w:rFonts w:ascii="Times New Roman" w:hAnsi="Times New Roman" w:eastAsia="宋体"/>
          <w:sz w:val="21"/>
        </w:rPr>
        <w:t>Accurate retinal vessel segmentation is a critical prerequisite for quantitative analysis of retinal images and computer-aided diagnosis of vascular diseases such as diabetic retinopathy. However, the elongated morphology, wide scale variation, and low contrast of retinal vessels pose significant challenges for existing methods, making it difficult to simultaneously preserve fine capillaries and maintain global topological continuity. To address these challenges, we propose the Vessel-aware Frequency-domain and Global Spatial modeling Network (VFGS-Net), an end-to-end segmentation framework that seamlessly integrates frequency-aware feature enhancement, dual-path convolutional representation learning, and bidirectional asymmetric spatial state-space modeling within a unified architecture. Specifically, VFGS-Net employs a dual-path feature convolution module to jointly capture fine-grained local textures and multi-scale contextual semantics. A novel vessel-aware frequency-domain channel attention mechanism is introduced to adaptively reweight spectral components, thereby enhancing vessel-relevant responses in high-level features. Furthermore, at the network bottleneck, we propose a bidirectional asymmetric Mamba2-based spatial modeling block to efficiently capture long-range spatial dependencies and strengthen the global continuity of vascular structures. Extensive experiments on four publicly available retinal vessel datasets demonstrate that VFGS-Net achieves competitive or superior performance compared to state-of-the-art methods. Notably, our model consistently improves segmentation accuracy for fine vessels, complex branching patterns, and low-contrast regions, highlighting its robustness and clinical potential.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DFIC：建立平衡的面部图像数据集，用于自动 ICAO 合规性验证</w:t>
      </w:r>
    </w:p>
    <w:p>
      <w:r>
        <w:rPr>
          <w:rFonts w:ascii="Times New Roman" w:hAnsi="Times New Roman" w:eastAsia="宋体"/>
          <w:b/>
          <w:color w:val="003264"/>
          <w:sz w:val="24"/>
        </w:rPr>
        <w:t>DFIC: Towards a balanced facial image dataset for automatic ICAO compliance verification</w:t>
      </w:r>
    </w:p>
    <w:p>
      <w:r>
        <w:rPr>
          <w:rFonts w:ascii="Times New Roman" w:hAnsi="Times New Roman" w:eastAsia="宋体"/>
          <w:sz w:val="21"/>
        </w:rPr>
        <w:t>作者: João Marcos</w:t>
        <w:br/>
      </w:r>
      <w:r>
        <w:rPr>
          <w:rFonts w:ascii="Times New Roman" w:hAnsi="Times New Roman" w:eastAsia="宋体"/>
          <w:sz w:val="21"/>
        </w:rPr>
        <w:t xml:space="preserve">时间: 2026-02-11T16:13:17Z | </w:t>
      </w:r>
      <w:r>
        <w:t xml:space="preserve">链接: </w:t>
      </w:r>
      <w:hyperlink r:id="rId230">
        <w:r>
          <w:rPr>
            <w:rFonts w:ascii="Times New Roman" w:hAnsi="Times New Roman" w:eastAsia="宋体"/>
            <w:color w:val="0000FF"/>
            <w:sz w:val="21"/>
            <w:u w:val="single"/>
          </w:rPr>
          <w:t>https://arxiv.org/abs/2602.10985v1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确保机读旅行证件 (MRTD) 中的面部图像符合 ISO/IEC 和 ICAO 标准对于可靠的身份验证至关重要，但当前的手动检查方法在高要求环境中效率低下。本文介绍了 DFIC 数据集，这是一个新颖的综合面部图像数据集，包含 1000 多个主题的约 58,000 张带注释图像和 2706 个视频，除了合规肖像之外，还涵盖了广泛的不合规条件。我们的数据集提供了比现有公共数据集更平衡的人口分布，其中一个分区几乎均匀分布，有利于自动化国际民航组织合规性验证方法的开发。使用 DFIC，我们微调了一种严重依赖空间注意机制来自动验证 ICAO 合规性要求的新颖方法，并将其与针对 ICAO 合规性验证的最先进方法进行了比较，展示了改进的结果。 DFIC 数据集现已公开 (https://github.com/visteam-isr-uc/DFIC)，用于新模型的训练和验证，提供前所未有的人脸多样性，这将提高可呈现给验证系统的人脸和道具的本质多样化组合的鲁棒性和适应性。这些结果强调了 DFIC 在增强自动化 ICAO 合规方法方面的潜力，但它也可用于许多其他旨在提高面部识别系统的安全性、隐私性和公平性的应用。</w:t>
      </w:r>
    </w:p>
    <w:p>
      <w:pPr>
        <w:spacing w:before="120"/>
      </w:pPr>
      <w:r>
        <w:rPr>
          <w:rFonts w:ascii="Times New Roman" w:hAnsi="Times New Roman" w:eastAsia="宋体"/>
          <w:b/>
          <w:sz w:val="21"/>
        </w:rPr>
        <w:t>English Abstract:</w:t>
      </w:r>
    </w:p>
    <w:p>
      <w:r>
        <w:rPr>
          <w:rFonts w:ascii="Times New Roman" w:hAnsi="Times New Roman" w:eastAsia="宋体"/>
          <w:sz w:val="21"/>
        </w:rPr>
        <w:t>Ensuring compliance with ISO/IEC and ICAO standards for facial images in machine-readable travel documents (MRTDs) is essential for reliable identity verification, but current manual inspection methods are inefficient in high-demand environments. This paper introduces the DFIC dataset, a novel comprehensive facial image dataset comprising around 58,000 annotated images and 2706 videos of more than 1000 subjects, that cover a broad range of non-compliant conditions, in addition to compliant portraits. Our dataset provides a more balanced demographic distribution than the existing public datasets, with one partition that is nearly uniformly distributed, facilitating the development of automated ICAO compliance verification methods. Using DFIC, we fine-tuned a novel method that heavily relies on spatial attention mechanisms for the automatic validation of ICAO compliance requirements, and we have compared it with the state-of-the-art aimed at ICAO compliance verification, demonstrating improved results. DFIC dataset is now made public (https://github.com/visteam-isr-uc/DFIC) for the training and validation of new models, offering an unprecedented diversity of faces, that will improve both robustness and adaptability to the intrinsically diverse combinations of faces and props that can be presented to the validation system. These results emphasize the potential of DFIC to enhance automated ICAO compliance methods but it can also be used in many other applications that aim to improve the security, privacy, and fairness of facial recognition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SVDA 进行图像分类中的可解释视觉转换器</w:t>
      </w:r>
    </w:p>
    <w:p>
      <w:r>
        <w:rPr>
          <w:rFonts w:ascii="Times New Roman" w:hAnsi="Times New Roman" w:eastAsia="宋体"/>
          <w:b/>
          <w:color w:val="003264"/>
          <w:sz w:val="24"/>
        </w:rPr>
        <w:t>Interpretable Vision Transformers in Image Classification via SVDA</w:t>
      </w:r>
    </w:p>
    <w:p>
      <w:r>
        <w:rPr>
          <w:rFonts w:ascii="Times New Roman" w:hAnsi="Times New Roman" w:eastAsia="宋体"/>
          <w:sz w:val="21"/>
        </w:rPr>
        <w:t>作者: Nikos Papamarkos</w:t>
        <w:br/>
      </w:r>
      <w:r>
        <w:rPr>
          <w:rFonts w:ascii="Times New Roman" w:hAnsi="Times New Roman" w:eastAsia="宋体"/>
          <w:sz w:val="21"/>
        </w:rPr>
        <w:t xml:space="preserve">时间: 2026-02-11T16:20:32Z | </w:t>
      </w:r>
      <w:r>
        <w:t xml:space="preserve">链接: </w:t>
      </w:r>
      <w:hyperlink r:id="rId231">
        <w:r>
          <w:rPr>
            <w:rFonts w:ascii="Times New Roman" w:hAnsi="Times New Roman" w:eastAsia="宋体"/>
            <w:color w:val="0000FF"/>
            <w:sz w:val="21"/>
            <w:u w:val="single"/>
          </w:rPr>
          <w:t>https://arxiv.org/abs/2602.10994v1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视觉变换器 (ViT) 在图像分类方面取得了最先进的性能，但它们的注意力机制通常仍然不透明，并表现出密集的非结构化行为。在这项工作中，我们将之前提出的 SVD-Inspired Attention (SVDA) 机制应用于 ViT 架构，引入了一种基于几何的公式，增强了可解释性、稀疏性和谱结构。我们应用可解释性指标（最初由 SVDA 提出）来监控训练期间的注意力动态并评估所学习表征的结构属性。对四个广泛使用的基准（CIFAR-10、FashionMNIST、CIFAR-100 和 ImageNet-100）的实验评估表明，SVDA 在不牺牲分类准确性的情况下始终能产生更可解释的注意力模式。虽然当前的框架提供了描述性见解而不是规定性指导，但我们的结果将 SVDA 确立为一种用于分析和开发计算机视觉中结构化注意力模型的全面且信息丰富的工具。这项工作为可解释的人工智能、光谱诊断和基于注意力的模型压缩的未来发展奠定了基础。</w:t>
      </w:r>
    </w:p>
    <w:p>
      <w:pPr>
        <w:spacing w:before="120"/>
      </w:pPr>
      <w:r>
        <w:rPr>
          <w:rFonts w:ascii="Times New Roman" w:hAnsi="Times New Roman" w:eastAsia="宋体"/>
          <w:b/>
          <w:sz w:val="21"/>
        </w:rPr>
        <w:t>English Abstract:</w:t>
      </w:r>
    </w:p>
    <w:p>
      <w:r>
        <w:rPr>
          <w:rFonts w:ascii="Times New Roman" w:hAnsi="Times New Roman" w:eastAsia="宋体"/>
          <w:sz w:val="21"/>
        </w:rPr>
        <w:t>Vision Transformers (ViTs) have achieved state-of-the-art performance in image classification, yet their attention mechanisms often remain opaque and exhibit dense, non-structured behaviors. In this work, we adapt our previously proposed SVD-Inspired Attention (SVDA) mechanism to the ViT architecture, introducing a geometrically grounded formulation that enhances interpretability, sparsity, and spectral structure. We apply the use of interpretability indicators -- originally proposed with SVDA -- to monitor attention dynamics during training and assess structural properties of the learned representations. Experimental evaluations on four widely used benchmarks -- CIFAR-10, FashionMNIST, CIFAR-100, and ImageNet-100 -- demonstrate that SVDA consistently yields more interpretable attention patterns without sacrificing classification accuracy. While the current framework offers descriptive insights rather than prescriptive guidance, our results establish SVDA as a comprehensive and informative tool for analyzing and developing structured attention models in computer vision. This work lays the foundation for future advances in explainable AI, spectral diagnostics, and attention-based model compression.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增强自动驾驶车辆感知的多租户 DNN 推理的可预测性</w:t>
      </w:r>
    </w:p>
    <w:p>
      <w:r>
        <w:rPr>
          <w:rFonts w:ascii="Times New Roman" w:hAnsi="Times New Roman" w:eastAsia="宋体"/>
          <w:b/>
          <w:color w:val="003264"/>
          <w:sz w:val="24"/>
        </w:rPr>
        <w:t>Enhancing Predictability of Multi-Tenant DNN Inference for Autonomous Vehicles' Perception</w:t>
      </w:r>
    </w:p>
    <w:p>
      <w:r>
        <w:rPr>
          <w:rFonts w:ascii="Times New Roman" w:hAnsi="Times New Roman" w:eastAsia="宋体"/>
          <w:sz w:val="21"/>
        </w:rPr>
        <w:t>作者: Weisong Shi</w:t>
        <w:br/>
      </w:r>
      <w:r>
        <w:rPr>
          <w:rFonts w:ascii="Times New Roman" w:hAnsi="Times New Roman" w:eastAsia="宋体"/>
          <w:sz w:val="21"/>
        </w:rPr>
        <w:t xml:space="preserve">时间: 2026-02-11T16:25:10Z | </w:t>
      </w:r>
      <w:r>
        <w:t xml:space="preserve">链接: </w:t>
      </w:r>
      <w:hyperlink r:id="rId232">
        <w:r>
          <w:rPr>
            <w:rFonts w:ascii="Times New Roman" w:hAnsi="Times New Roman" w:eastAsia="宋体"/>
            <w:color w:val="0000FF"/>
            <w:sz w:val="21"/>
            <w:u w:val="single"/>
          </w:rPr>
          <w:t>https://arxiv.org/abs/2602.11004v1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自动驾驶车辆 (AV) 依靠传感器和深度神经网络 (DNN) 感知周围环境并实时做出机动决策。然而，由于计算需求与 AV 有限资源之间存在巨大差距，在 AV 感知管道中实现实时 DNN 推理具有挑战性。大多数（如果不是全部）现有研究都集中在优化 DNN 推理时间，通过剪枝和量化压缩 DNN 模型来实现更快的感知。相比之下，我们提出了一种带有 DNN (PP-DNN) 的可预测感知系统，通过动态选择关键帧和感兴趣区域 (ROI)，减少要处理的图像数据量，同时保持多租户 DNN 相同的精度水平。 PP-DNN 基于我们的关键见解，即 AV 的关键帧和 ROI 随 AV 周围环境的变化而变化。然而，在多租户 DNN 中识别和使用关键帧和 ROI 来进行可预测的推理是一项挑战。给定图像帧流，PP-DNN 利用 ROI 生成器根据连续帧和交通场景的相似性来识别关键帧和 ROI。然后，PP-DNN 利用 FLOPs 预测器根据动态关键帧和 ROI 预测乘法累加运算 (MAC)。 ROI 调度程序通过多个 DNN 模型协调关键帧和 ROI 的处理。最后，我们设计了一个用于非关键帧感知的检测预测器。我们在基于 ROS 的 AV 管道中实现了 PP-DNN，并使用 BDD100K 和 nuScenes 数据集对其进行了评估。据观察，PP-DNN 显着增强了感知可预测性，将融合帧数量增加了 7.3 倍，将融合延迟减少了 &gt;2.6 倍，将融合延迟变化减少了 &gt;2.3 倍，将检测完整性提高了 75.4%，成本效益比基线提高了 98%。</w:t>
      </w:r>
    </w:p>
    <w:p>
      <w:pPr>
        <w:spacing w:before="120"/>
      </w:pPr>
      <w:r>
        <w:rPr>
          <w:rFonts w:ascii="Times New Roman" w:hAnsi="Times New Roman" w:eastAsia="宋体"/>
          <w:b/>
          <w:sz w:val="21"/>
        </w:rPr>
        <w:t>English Abstract:</w:t>
      </w:r>
    </w:p>
    <w:p>
      <w:r>
        <w:rPr>
          <w:rFonts w:ascii="Times New Roman" w:hAnsi="Times New Roman" w:eastAsia="宋体"/>
          <w:sz w:val="21"/>
        </w:rPr>
        <w:t>Autonomous vehicles (AVs) rely on sensors and deep neural networks (DNNs) to perceive their surrounding environment and make maneuver decisions in real time. However, achieving real-time DNN inference in the AV's perception pipeline is challenging due to the large gap between the computation requirement and the AV's limited resources. Most, if not all, of existing studies focus on optimizing the DNN inference time to achieve faster perception by compressing the DNN model with pruning and quantization. In contrast, we present a Predictable Perception system with DNNs (PP-DNN) that reduce the amount of image data to be processed while maintaining the same level of accuracy for multi-tenant DNNs by dynamically selecting critical frames and regions of interest (ROIs). PP-DNN is based on our key insight that critical frames and ROIs for AVs vary with the AV's surrounding environment. However, it is challenging to identify and use critical frames and ROIs in multi-tenant DNNs for predictable inference. Given image-frame streams, PP-DNN leverages an ROI generator to identify critical frames and ROIs based on the similarities of consecutive frames and traffic scenarios. PP-DNN then leverages a FLOPs predictor to predict multiply-accumulate operations (MACs) from the dynamic critical frames and ROIs. The ROI scheduler coordinates the processing of critical frames and ROIs with multiple DNN models. Finally, we design a detection predictor for the perception of non-critical frames. We have implemented PP-DNN in an ROS-based AV pipeline and evaluated it with the BDD100K and the nuScenes dataset. PP-DNN is observed to significantly enhance perception predictability, increasing the number of fusion frames by up to 7.3x, reducing the fusion delay by &gt;2.6x and fusion-delay variations by &gt;2.3x, improving detection completeness by 75.4% and the cost-effectiveness by up to 98% over the baseline.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密集手术器械计数的链视空间推理</w:t>
      </w:r>
    </w:p>
    <w:p>
      <w:r>
        <w:rPr>
          <w:rFonts w:ascii="Times New Roman" w:hAnsi="Times New Roman" w:eastAsia="宋体"/>
          <w:b/>
          <w:color w:val="003264"/>
          <w:sz w:val="24"/>
        </w:rPr>
        <w:t>Chain-of-Look Spatial Reasoning for Dense Surgical Instrument Counting</w:t>
      </w:r>
    </w:p>
    <w:p>
      <w:r>
        <w:rPr>
          <w:rFonts w:ascii="Times New Roman" w:hAnsi="Times New Roman" w:eastAsia="宋体"/>
          <w:sz w:val="21"/>
        </w:rPr>
        <w:t>作者: Peter C W Kim</w:t>
        <w:br/>
      </w:r>
      <w:r>
        <w:rPr>
          <w:rFonts w:ascii="Times New Roman" w:hAnsi="Times New Roman" w:eastAsia="宋体"/>
          <w:sz w:val="21"/>
        </w:rPr>
        <w:t xml:space="preserve">时间: 2026-02-11T16:49:37Z | </w:t>
      </w:r>
      <w:r>
        <w:t xml:space="preserve">链接: </w:t>
      </w:r>
      <w:hyperlink r:id="rId233">
        <w:r>
          <w:rPr>
            <w:rFonts w:ascii="Times New Roman" w:hAnsi="Times New Roman" w:eastAsia="宋体"/>
            <w:color w:val="0000FF"/>
            <w:sz w:val="21"/>
            <w:u w:val="single"/>
          </w:rPr>
          <w:t>https://arxiv.org/abs/2602.11024v1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手术室 (OR) 中手术器械的准确计数是确保手术期间患者安全的关键前提。尽管大型视觉语言模型和代理人工智能最近取得了进展，但准确计数此类仪器仍然极具挑战性，特别是在仪器紧密聚集的密集场景中。为了解决这个问题，我们引入了 Chain-of-Look，一种新颖的视觉推理框架，它通过强制执行结构化视觉链来模拟连续的人类计数过程，而不是依赖于经典的无序对象检测。该视觉链引导模型沿着连贯的空间轨迹进行计数，从而提高复杂场景中的准确性。为了进一步增强视觉链的物理合理性，我们引入了邻近损失函数，它明确地模拟了密集手术器械固有的空间约束。我们还推出了 SurgCount-HD，这是一个包含 1,464 张高密度手术器械图像的新数据集。大量实验表明，在密集手术器械计数这一具有挑战性的任务中，我们的方法优于最先进的计数方法（例如 CountGD、REC）以及多模态大型语言模型（例如 Qwen、ChatGPT）。</w:t>
      </w:r>
    </w:p>
    <w:p>
      <w:pPr>
        <w:spacing w:before="120"/>
      </w:pPr>
      <w:r>
        <w:rPr>
          <w:rFonts w:ascii="Times New Roman" w:hAnsi="Times New Roman" w:eastAsia="宋体"/>
          <w:b/>
          <w:sz w:val="21"/>
        </w:rPr>
        <w:t>English Abstract:</w:t>
      </w:r>
    </w:p>
    <w:p>
      <w:r>
        <w:rPr>
          <w:rFonts w:ascii="Times New Roman" w:hAnsi="Times New Roman" w:eastAsia="宋体"/>
          <w:sz w:val="21"/>
        </w:rPr>
        <w:t>Accurate counting of surgical instruments in Operating Rooms (OR) is a critical prerequisite for ensuring patient safety during surgery. Despite recent progress of large visual-language models and agentic AI, accurately counting such instruments remains highly challenging, particularly in dense scenarios where instruments are tightly clustered. To address this problem, we introduce Chain-of-Look, a novel visual reasoning framework that mimics the sequential human counting process by enforcing a structured visual chain, rather than relying on classic object detection which is unordered. This visual chain guides the model to count along a coherent spatial trajectory, improving accuracy in complex scenes. To further enforce the physical plausibility of the visual chain, we introduce the neighboring loss function, which explicitly models the spatial constraints inherent to densely packed surgical instruments. We also present SurgCount-HD, a new dataset comprising 1,464 high-density surgical instrument images. Extensive experiments demonstrate that our method outperforms state-of-the-art approaches for counting (e.g., CountGD, REC) as well as Multimodality Large Language Models (e.g., Qwen, ChatGPT) in the challenging task of dense surgical instrument counting.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与图像聊天进行内省视觉思维</w:t>
      </w:r>
    </w:p>
    <w:p>
      <w:r>
        <w:rPr>
          <w:rFonts w:ascii="Times New Roman" w:hAnsi="Times New Roman" w:eastAsia="宋体"/>
          <w:b/>
          <w:color w:val="003264"/>
          <w:sz w:val="24"/>
        </w:rPr>
        <w:t>Chatting with Images for Introspective Visual Thinking</w:t>
      </w:r>
    </w:p>
    <w:p>
      <w:r>
        <w:rPr>
          <w:rFonts w:ascii="Times New Roman" w:hAnsi="Times New Roman" w:eastAsia="宋体"/>
          <w:sz w:val="21"/>
        </w:rPr>
        <w:t>作者: Tienie Tan</w:t>
        <w:br/>
      </w:r>
      <w:r>
        <w:rPr>
          <w:rFonts w:ascii="Times New Roman" w:hAnsi="Times New Roman" w:eastAsia="宋体"/>
          <w:sz w:val="21"/>
        </w:rPr>
        <w:t xml:space="preserve">时间: 2026-02-11T17:42:37Z | </w:t>
      </w:r>
      <w:r>
        <w:t xml:space="preserve">链接: </w:t>
      </w:r>
      <w:hyperlink r:id="rId234">
        <w:r>
          <w:rPr>
            <w:rFonts w:ascii="Times New Roman" w:hAnsi="Times New Roman" w:eastAsia="宋体"/>
            <w:color w:val="0000FF"/>
            <w:sz w:val="21"/>
            <w:u w:val="single"/>
          </w:rPr>
          <w:t>https://arxiv.org/abs/2602.11073v1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前的大型视觉语言模型（LVLM）通常依赖于基于单通道视觉编码的纯文本推理，这通常会导致细粒度视觉信息的丢失。最近“用图像思考”的提议试图通过外部工具或代码操作图像来缓解这一限制；然而，由此产生的视觉状态通常没有充分基于语言语义，从而损害了有效的跨模态对齐——特别是当视觉语义或几何关系必须跨越遥远的区域或多个图像进行推理时。为了应对这些挑战，我们提出了“与图像聊天”，这是一种将视觉操作重新构建为语言引导的特征调制的新框架。在表达语言提示的指导下，该模型动态地对多个图像区域执行联合重新编码，从而实现语言推理和视觉状态更新之间更紧密的耦合。我们在 ViLaVT 中实例化了这种范式，ViLaVT 是一种新型 LVLM，配备了专门为此类交互式视觉推理而设计的动态视觉编码器，并通过结合监督微调和强化学习的两阶段课程对其进行训练，以促进有效的推理行为。跨越八个基准的大量实验表明，ViLaVT 实现了强大且一致的改进，尤其是在复杂的多图像和基于视频的空间推理任务上取得了显着的进步。</w:t>
      </w:r>
    </w:p>
    <w:p>
      <w:pPr>
        <w:spacing w:before="120"/>
      </w:pPr>
      <w:r>
        <w:rPr>
          <w:rFonts w:ascii="Times New Roman" w:hAnsi="Times New Roman" w:eastAsia="宋体"/>
          <w:b/>
          <w:sz w:val="21"/>
        </w:rPr>
        <w:t>English Abstract:</w:t>
      </w:r>
    </w:p>
    <w:p>
      <w:r>
        <w:rPr>
          <w:rFonts w:ascii="Times New Roman" w:hAnsi="Times New Roman" w:eastAsia="宋体"/>
          <w:sz w:val="21"/>
        </w:rPr>
        <w:t>Current large vision-language models (LVLMs) typically rely on text-only reasoning based on a single-pass visual encoding, which often leads to loss of fine-grained visual information. Recently the proposal of ''thinking with images'' attempts to alleviate this limitation by manipulating images via external tools or code; however, the resulting visual states are often insufficiently grounded in linguistic semantics, impairing effective cross-modal alignment - particularly when visual semantics or geometric relationships must be reasoned over across distant regions or multiple images. To address these challenges, we propose ''chatting with images'', a new framework that reframes visual manipulation as language-guided feature modulation. Under the guidance of expressive language prompts, the model dynamically performs joint re-encoding over multiple image regions, enabling tighter coupling between linguistic reasoning and visual state updates. We instantiate this paradigm in ViLaVT, a novel LVLM equipped with a dynamic vision encoder explicitly designed for such interactive visual reasoning, and trained it with a two-stage curriculum combining supervised fine-tuning and reinforcement learning to promote effective reasoning behaviors. Extensive experiments across eight benchmarks demonstrate that ViLaVT achieves strong and consistent improvements, with particularly pronounced gains on complex multi-image and video-based spatial reasoning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FastFlow：通过强盗推理加速生成流匹配模型</w:t>
      </w:r>
    </w:p>
    <w:p>
      <w:r>
        <w:rPr>
          <w:rFonts w:ascii="Times New Roman" w:hAnsi="Times New Roman" w:eastAsia="宋体"/>
          <w:b/>
          <w:color w:val="003264"/>
          <w:sz w:val="24"/>
        </w:rPr>
        <w:t>FastFlow: Accelerating The Generative Flow Matching Models with Bandit Inference</w:t>
      </w:r>
    </w:p>
    <w:p>
      <w:r>
        <w:rPr>
          <w:rFonts w:ascii="Times New Roman" w:hAnsi="Times New Roman" w:eastAsia="宋体"/>
          <w:sz w:val="21"/>
        </w:rPr>
        <w:t>作者: Manjesh Kumar Hanawal</w:t>
        <w:br/>
      </w:r>
      <w:r>
        <w:rPr>
          <w:rFonts w:ascii="Times New Roman" w:hAnsi="Times New Roman" w:eastAsia="宋体"/>
          <w:sz w:val="21"/>
        </w:rPr>
        <w:t xml:space="preserve">时间: 2026-02-11T18:21:11Z | </w:t>
      </w:r>
      <w:r>
        <w:t xml:space="preserve">链接: </w:t>
      </w:r>
      <w:hyperlink r:id="rId235">
        <w:r>
          <w:rPr>
            <w:rFonts w:ascii="Times New Roman" w:hAnsi="Times New Roman" w:eastAsia="宋体"/>
            <w:color w:val="0000FF"/>
            <w:sz w:val="21"/>
            <w:u w:val="single"/>
          </w:rPr>
          <w:t>https://arxiv.org/abs/2602.11105v1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流匹配模型在图像和视频生成中提供最先进的保真度，但固有的顺序去噪过程使它们速度变慢。现有的加速方法（例如蒸馏、轨迹截断和一致性方法）是静态的，需要重新训练，并且通常无法跨任务泛化。我们提出了 FastFlow，一种即插即用的自适应推理框架，可加速流匹配模型的生成。 FastFlow 识别仅对去噪路径产生微小调整的去噪步骤，并在不使用用于速度预测的完整神经网络模型的情况下对其进行近似。该近似利用先前预测的有限差分速度估计来有效地推断未来状态，从而以零计算成本沿着去噪路径实现更快的进展。这使得能够跳过中间步骤的计算。我们将在需要完整模型计算之前安全跳过多少步骤的决策建模为多臂老虎机问题。老虎机学习最佳跳跃以平衡速度与性能。 FastFlow 与现有管道无缝集成，并可泛化图像生成、视频生成和编辑任务。实验表明，在保持高质量输出的同时，速度提高了 2.6 倍以上。这项工作的源代码可以在 https://github.com/Div290/FastFlow 找到。</w:t>
      </w:r>
    </w:p>
    <w:p>
      <w:pPr>
        <w:spacing w:before="120"/>
      </w:pPr>
      <w:r>
        <w:rPr>
          <w:rFonts w:ascii="Times New Roman" w:hAnsi="Times New Roman" w:eastAsia="宋体"/>
          <w:b/>
          <w:sz w:val="21"/>
        </w:rPr>
        <w:t>English Abstract:</w:t>
      </w:r>
    </w:p>
    <w:p>
      <w:r>
        <w:rPr>
          <w:rFonts w:ascii="Times New Roman" w:hAnsi="Times New Roman" w:eastAsia="宋体"/>
          <w:sz w:val="21"/>
        </w:rPr>
        <w:t>Flow-matching models deliver state-of-the-art fidelity in image and video generation, but the inherent sequential denoising process renders them slower. Existing acceleration methods like distillation, trajectory truncation, and consistency approaches are static, require retraining, and often fail to generalize across tasks. We propose FastFlow, a plug-and-play adaptive inference framework that accelerates generation in flow matching models. FastFlow identifies denoising steps that produce only minor adjustments to the denoising path and approximates them without using the full neural network models used for velocity predictions. The approximation utilizes finite-difference velocity estimates from prior predictions to efficiently extrapolate future states, enabling faster advancements along the denoising path at zero compute cost. This enables skipping computation at intermediary steps. We model the decision of how many steps to safely skip before requiring a full model computation as a multi-armed bandit problem. The bandit learns the optimal skips to balance speed with performance. FastFlow integrates seamlessly with existing pipelines and generalizes across image generation, video generation, and editing tasks. Experiments demonstrate a speedup of over 2.6x while maintaining high-quality outputs. The source code for this work can be found at https://github.com/Div290/FastFlow.</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HairWeaver：通过模拟到真实引导视频扩散进行少镜头真实感头发运动合成</w:t>
      </w:r>
    </w:p>
    <w:p>
      <w:r>
        <w:rPr>
          <w:rFonts w:ascii="Times New Roman" w:hAnsi="Times New Roman" w:eastAsia="宋体"/>
          <w:b/>
          <w:color w:val="003264"/>
          <w:sz w:val="24"/>
        </w:rPr>
        <w:t>HairWeaver: Few-Shot Photorealistic Hair Motion Synthesis with Sim-to-Real Guided Video Diffusion</w:t>
      </w:r>
    </w:p>
    <w:p>
      <w:r>
        <w:rPr>
          <w:rFonts w:ascii="Times New Roman" w:hAnsi="Times New Roman" w:eastAsia="宋体"/>
          <w:sz w:val="21"/>
        </w:rPr>
        <w:t>作者: Stephane Grabli</w:t>
        <w:br/>
      </w:r>
      <w:r>
        <w:rPr>
          <w:rFonts w:ascii="Times New Roman" w:hAnsi="Times New Roman" w:eastAsia="宋体"/>
          <w:sz w:val="21"/>
        </w:rPr>
        <w:t xml:space="preserve">时间: 2026-02-11T18:31:47Z | </w:t>
      </w:r>
      <w:r>
        <w:t xml:space="preserve">链接: </w:t>
      </w:r>
      <w:hyperlink r:id="rId236">
        <w:r>
          <w:rPr>
            <w:rFonts w:ascii="Times New Roman" w:hAnsi="Times New Roman" w:eastAsia="宋体"/>
            <w:color w:val="0000FF"/>
            <w:sz w:val="21"/>
            <w:u w:val="single"/>
          </w:rPr>
          <w:t>https://arxiv.org/abs/2602.11117v1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 HairWeaver，这是一种基于扩散的管道，可以通过逼真且富有表现力的头发动态来对单个人类图像进行动画处理。虽然现有方法成功地控制了身体姿势，但它们缺乏对头发的具体控制，因此无法捕捉复杂的头发运动，导致动画僵硬且不切实际。 HairWeaver 使用两个专用模块克服了这一限制：一个用于集成运动条件的 Motion-Context-LoRA，另一个是 Sim2Real-Domain-LoRA，用于在不同数据域中保留主体的真实外观。这些轻量级组件旨在指导视频传播主干，同时保持其核心生成功能。通过对 CG 模拟器生成的动态人体运动的专门数据集进行训练，HairWeaver 可以对头发运动进行精细控制，并最终学会生成对运动做出自然响应的高度逼真的头发。综合评估表明，我们的方法树立了新的技术水平，可以制作具有动态细节的逼真的人发动画。</w:t>
      </w:r>
    </w:p>
    <w:p>
      <w:pPr>
        <w:spacing w:before="120"/>
      </w:pPr>
      <w:r>
        <w:rPr>
          <w:rFonts w:ascii="Times New Roman" w:hAnsi="Times New Roman" w:eastAsia="宋体"/>
          <w:b/>
          <w:sz w:val="21"/>
        </w:rPr>
        <w:t>English Abstract:</w:t>
      </w:r>
    </w:p>
    <w:p>
      <w:r>
        <w:rPr>
          <w:rFonts w:ascii="Times New Roman" w:hAnsi="Times New Roman" w:eastAsia="宋体"/>
          <w:sz w:val="21"/>
        </w:rPr>
        <w:t>We present HairWeaver, a diffusion-based pipeline that animates a single human image with realistic and expressive hair dynamics. While existing methods successfully control body pose, they lack specific control over hair, and as a result, fail to capture the intricate hair motions, resulting in stiff and unrealistic animations. HairWeaver overcomes this limitation using two specialized modules: a Motion-Context-LoRA to integrate motion conditions and a Sim2Real-Domain-LoRA to preserve the subject's photoreal appearance across different data domains. These lightweight components are designed to guide a video diffusion backbone while maintaining its core generative capabilities. By training on a specialized dataset of dynamic human motion generated from a CG simulator, HairWeaver affords fine control over hair motion and ultimately learns to produce highly realistic hair that responds naturally to movement. Comprehensive evaluations demonstrate that our approach sets a new state of the art, producing lifelike human hair animations with dynamic details.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PhyCritic：物理 AI 的多模态批评模型</w:t>
      </w:r>
    </w:p>
    <w:p>
      <w:r>
        <w:rPr>
          <w:rFonts w:ascii="Times New Roman" w:hAnsi="Times New Roman" w:eastAsia="宋体"/>
          <w:b/>
          <w:color w:val="003264"/>
          <w:sz w:val="24"/>
        </w:rPr>
        <w:t>PhyCritic: Multimodal Critic Models for Physical AI</w:t>
      </w:r>
    </w:p>
    <w:p>
      <w:r>
        <w:rPr>
          <w:rFonts w:ascii="Times New Roman" w:hAnsi="Times New Roman" w:eastAsia="宋体"/>
          <w:sz w:val="21"/>
        </w:rPr>
        <w:t>作者: Zhiding Yu</w:t>
        <w:br/>
      </w:r>
      <w:r>
        <w:rPr>
          <w:rFonts w:ascii="Times New Roman" w:hAnsi="Times New Roman" w:eastAsia="宋体"/>
          <w:sz w:val="21"/>
        </w:rPr>
        <w:t xml:space="preserve">时间: 2026-02-11T18:35:39Z | </w:t>
      </w:r>
      <w:r>
        <w:t xml:space="preserve">链接: </w:t>
      </w:r>
      <w:hyperlink r:id="rId237">
        <w:r>
          <w:rPr>
            <w:rFonts w:ascii="Times New Roman" w:hAnsi="Times New Roman" w:eastAsia="宋体"/>
            <w:color w:val="0000FF"/>
            <w:sz w:val="21"/>
            <w:u w:val="single"/>
          </w:rPr>
          <w:t>https://arxiv.org/abs/2602.11124v1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大型多模态模型的快速发展，可靠的法官和批评家模型对于开放式评估和偏好调整至关重要，为评估模型生成的响应提供成对偏好、数字分数和解释性理由。然而，现有的批评者主要接受一般视觉领域的培训，例如字幕或图像问答，而涉及感知、因果推理和规划的物理人工智能任务在很大程度上尚未得到充分探索。我们引入了 PhyCritic，这是一种通过两阶段 RLVR 管道针对物理 AI 进行优化的多模态评论家模型：物理技能预热阶段，增强面向物理的感知和推理，然后是自我参照评论家微调，其中评论家在判断候选响应之前生成自己的预测作为内部参考，从而提高判断稳定性和物理正确性。在物理和通用多模态判断基准中，PhyCritic 比开源基准实现了强劲的性能提升，并且当用作策略模型时，进一步改善了物理基础任务中的感知和推理。</w:t>
      </w:r>
    </w:p>
    <w:p>
      <w:pPr>
        <w:spacing w:before="120"/>
      </w:pPr>
      <w:r>
        <w:rPr>
          <w:rFonts w:ascii="Times New Roman" w:hAnsi="Times New Roman" w:eastAsia="宋体"/>
          <w:b/>
          <w:sz w:val="21"/>
        </w:rPr>
        <w:t>English Abstract:</w:t>
      </w:r>
    </w:p>
    <w:p>
      <w:r>
        <w:rPr>
          <w:rFonts w:ascii="Times New Roman" w:hAnsi="Times New Roman" w:eastAsia="宋体"/>
          <w:sz w:val="21"/>
        </w:rPr>
        <w:t>With the rapid development of large multimodal models, reliable judge and critic models have become essential for open-ended evaluation and preference alignment, providing pairwise preferences, numerical scores, and explanatory justifications for assessing model-generated responses. However, existing critics are primarily trained in general visual domains such as captioning or image question answering, leaving physical AI tasks involving perception, causal reasoning, and planning largely underexplored. We introduce PhyCritic, a multimodal critic model optimized for physical AI through a two-stage RLVR pipeline: a physical skill warmup stage that enhances physically oriented perception and reasoning, followed by self-referential critic finetuning, where the critic generates its own prediction as an internal reference before judging candidate responses, improving judgment stability and physical correctness. Across both physical and general-purpose multimodal judge benchmarks, PhyCritic achieves strong performance gains over open-source baselines and, when applied as a policy model, further improves perception and reasoning in physically grounded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超越基于 VLM 的奖励：扩散原生潜在奖励模型</w:t>
      </w:r>
    </w:p>
    <w:p>
      <w:r>
        <w:rPr>
          <w:rFonts w:ascii="Times New Roman" w:hAnsi="Times New Roman" w:eastAsia="宋体"/>
          <w:b/>
          <w:color w:val="003264"/>
          <w:sz w:val="24"/>
        </w:rPr>
        <w:t>Beyond VLM-Based Rewards: Diffusion-Native Latent Reward Modeling</w:t>
      </w:r>
    </w:p>
    <w:p>
      <w:r>
        <w:rPr>
          <w:rFonts w:ascii="Times New Roman" w:hAnsi="Times New Roman" w:eastAsia="宋体"/>
          <w:sz w:val="21"/>
        </w:rPr>
        <w:t>作者: Wenhan Luo</w:t>
        <w:br/>
      </w:r>
      <w:r>
        <w:rPr>
          <w:rFonts w:ascii="Times New Roman" w:hAnsi="Times New Roman" w:eastAsia="宋体"/>
          <w:sz w:val="21"/>
        </w:rPr>
        <w:t xml:space="preserve">时间: 2026-02-11T18:57:29Z | </w:t>
      </w:r>
      <w:r>
        <w:t xml:space="preserve">链接: </w:t>
      </w:r>
      <w:hyperlink r:id="rId238">
        <w:r>
          <w:rPr>
            <w:rFonts w:ascii="Times New Roman" w:hAnsi="Times New Roman" w:eastAsia="宋体"/>
            <w:color w:val="0000FF"/>
            <w:sz w:val="21"/>
            <w:u w:val="single"/>
          </w:rPr>
          <w:t>https://arxiv.org/abs/2602.11146v1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扩散和流量匹配模型的偏好优化依赖于具有区分鲁棒性和计算效率的奖励函数。视觉语言模型 (VLM) 已成为主要的奖励提供者，利用其丰富的多模式先验来指导一致性。然而，它们的计算和内存成本可能很大，并且通过像素空间奖励优化潜在扩散生成器会引入域不匹配，从而使对齐变得复杂。在本文中，我们提出了 DiNa-LRM，一种扩散原生潜在奖励模型，直接在噪声扩散状态上制定偏好学习。我们的方法引入了具有扩散噪声相关不确定性的噪声校准瑟斯通似然。 DiNa-LRM 利用带有时间步条件奖励头的预训练潜在扩散主干，并支持推理时间噪声集成，为测试时间扩展和鲁棒奖励提供了扩散原生机制。在图像对齐基准中，DiNa-LRM 的性能大大优于现有的基于扩散的奖励基线，并且以极低的计算成本实现了与最先进的 VLM 相媲美的性能。在偏好优化中，我们证明 DiNa-LRM 改善了偏好优化动态，从而实现更快、更节省资源的模型对齐。</w:t>
      </w:r>
    </w:p>
    <w:p>
      <w:pPr>
        <w:spacing w:before="120"/>
      </w:pPr>
      <w:r>
        <w:rPr>
          <w:rFonts w:ascii="Times New Roman" w:hAnsi="Times New Roman" w:eastAsia="宋体"/>
          <w:b/>
          <w:sz w:val="21"/>
        </w:rPr>
        <w:t>English Abstract:</w:t>
      </w:r>
    </w:p>
    <w:p>
      <w:r>
        <w:rPr>
          <w:rFonts w:ascii="Times New Roman" w:hAnsi="Times New Roman" w:eastAsia="宋体"/>
          <w:sz w:val="21"/>
        </w:rPr>
        <w:t>Preference optimization for diffusion and flow-matching models relies on reward functions that are both discriminatively robust and computationally efficient. Vision-Language Models (VLMs) have emerged as the primary reward provider, leveraging their rich multimodal priors to guide alignment. However, their computation and memory cost can be substantial, and optimizing a latent diffusion generator through a pixel-space reward introduces a domain mismatch that complicates alignment. In this paper, we propose DiNa-LRM, a diffusion-native latent reward model that formulates preference learning directly on noisy diffusion states. Our method introduces a noise-calibrated Thurstone likelihood with diffusion-noise-dependent uncertainty. DiNa-LRM leverages a pretrained latent diffusion backbone with a timestep-conditioned reward head, and supports inference-time noise ensembling, providing a diffusion-native mechanism for test-time scaling and robust rewarding. Across image alignment benchmarks, DiNa-LRM substantially outperforms existing diffusion-based reward baselines and achieves performance competitive with state-of-the-art VLMs at a fraction of the computational cost. In preference optimization, we demonstrate that DiNa-LRM improves preference optimization dynamics, enabling faster and more resource-efficient model alignment.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SurfPhase：稀疏视频中两相流的 3D 界面动力学</w:t>
      </w:r>
    </w:p>
    <w:p>
      <w:r>
        <w:rPr>
          <w:rFonts w:ascii="Times New Roman" w:hAnsi="Times New Roman" w:eastAsia="宋体"/>
          <w:b/>
          <w:color w:val="003264"/>
          <w:sz w:val="24"/>
        </w:rPr>
        <w:t>SurfPhase: 3D Interfacial Dynamics in Two-Phase Flows from Sparse Videos</w:t>
      </w:r>
    </w:p>
    <w:p>
      <w:r>
        <w:rPr>
          <w:rFonts w:ascii="Times New Roman" w:hAnsi="Times New Roman" w:eastAsia="宋体"/>
          <w:sz w:val="21"/>
        </w:rPr>
        <w:t>作者: Jiajun Wu</w:t>
        <w:br/>
      </w:r>
      <w:r>
        <w:rPr>
          <w:rFonts w:ascii="Times New Roman" w:hAnsi="Times New Roman" w:eastAsia="宋体"/>
          <w:sz w:val="21"/>
        </w:rPr>
        <w:t xml:space="preserve">时间: 2026-02-11T18:59:55Z | </w:t>
      </w:r>
      <w:r>
        <w:t xml:space="preserve">链接: </w:t>
      </w:r>
      <w:hyperlink r:id="rId239">
        <w:r>
          <w:rPr>
            <w:rFonts w:ascii="Times New Roman" w:hAnsi="Times New Roman" w:eastAsia="宋体"/>
            <w:color w:val="0000FF"/>
            <w:sz w:val="21"/>
            <w:u w:val="single"/>
          </w:rPr>
          <w:t>https://arxiv.org/abs/2602.11154v1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两相流中的界面动力学控制动量、热量和质量传递，但仍然难以通过实验测量。经典技术在移动界面附近面临固有的局限性，而现有的神经渲染方法针对具有扩散边界的单相流，无法处理尖锐、可变形的液-气界面。我们提出了 SurfPhase，一种从稀疏相机视图重建 3D 界面动力学的新颖模型。我们的方法将动态高斯面元与带符号距离函数公式相结合以实现几何一致性，并利用视频扩散模型来合成新颖的视图视频，以改进稀疏观测的重建。我们对高速池沸腾视频的新数据集进行了评估，仅通过两个摄像机视图演示了高质量的视图合成和速度估计。项目网站：https://yuegao.me/SurfPhase。</w:t>
      </w:r>
    </w:p>
    <w:p>
      <w:pPr>
        <w:spacing w:before="120"/>
      </w:pPr>
      <w:r>
        <w:rPr>
          <w:rFonts w:ascii="Times New Roman" w:hAnsi="Times New Roman" w:eastAsia="宋体"/>
          <w:b/>
          <w:sz w:val="21"/>
        </w:rPr>
        <w:t>English Abstract:</w:t>
      </w:r>
    </w:p>
    <w:p>
      <w:r>
        <w:rPr>
          <w:rFonts w:ascii="Times New Roman" w:hAnsi="Times New Roman" w:eastAsia="宋体"/>
          <w:sz w:val="21"/>
        </w:rPr>
        <w:t>Interfacial dynamics in two-phase flows govern momentum, heat, and mass transfer, yet remain difficult to measure experimentally. Classical techniques face intrinsic limitations near moving interfaces, while existing neural rendering methods target single-phase flows with diffuse boundaries and cannot handle sharp, deformable liquid-vapor interfaces. We propose SurfPhase, a novel model for reconstructing 3D interfacial dynamics from sparse camera views. Our approach integrates dynamic Gaussian surfels with a signed distance function formulation for geometric consistency, and leverages a video diffusion model to synthesize novel-view videos to refine reconstruction from sparse observations. We evaluate on a new dataset of high-speed pool boiling videos, demonstrating high-quality view synthesis and velocity estimation from only two camera views. Project website: https://yuegao.me/SurfPhase.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11:31 ---</w:t>
      </w:r>
    </w:p>
    <w:p>
      <w:pPr>
        <w:pStyle w:val="Heading2"/>
      </w:pPr>
      <w:r/>
      <w:r>
        <w:rPr>
          <w:rFonts w:ascii="Times New Roman" w:hAnsi="Times New Roman" w:eastAsia="宋体"/>
          <w:b/>
          <w:color w:val="000000"/>
          <w:sz w:val="24"/>
        </w:rPr>
        <w:t>表征和优化多分辨率哈希编码的空间内核</w:t>
      </w:r>
    </w:p>
    <w:p>
      <w:r>
        <w:rPr>
          <w:rFonts w:ascii="Times New Roman" w:hAnsi="Times New Roman" w:eastAsia="宋体"/>
          <w:b/>
          <w:color w:val="003264"/>
          <w:sz w:val="24"/>
        </w:rPr>
        <w:t>Characterizing and Optimizing the Spatial Kernel of Multi Resolution Hash Encodings</w:t>
      </w:r>
    </w:p>
    <w:p>
      <w:r>
        <w:rPr>
          <w:rFonts w:ascii="Times New Roman" w:hAnsi="Times New Roman" w:eastAsia="宋体"/>
          <w:sz w:val="21"/>
        </w:rPr>
        <w:t>作者: Jonathan Fan</w:t>
        <w:br/>
      </w:r>
      <w:r>
        <w:rPr>
          <w:rFonts w:ascii="Times New Roman" w:hAnsi="Times New Roman" w:eastAsia="宋体"/>
          <w:sz w:val="21"/>
        </w:rPr>
        <w:t xml:space="preserve">时间: 2026-02-11T03:55:42Z | </w:t>
      </w:r>
      <w:r>
        <w:t xml:space="preserve">链接: </w:t>
      </w:r>
      <w:hyperlink r:id="rId240">
        <w:r>
          <w:rPr>
            <w:rFonts w:ascii="Times New Roman" w:hAnsi="Times New Roman" w:eastAsia="宋体"/>
            <w:color w:val="0000FF"/>
            <w:sz w:val="21"/>
            <w:u w:val="single"/>
          </w:rPr>
          <w:t>https://arxiv.org/abs/2602.10495v1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多分辨率哈希编码 (MHE) 是即时神经图形基元背后的基础技术，为神经领域提供了强大的参数化。然而，它的空间行为缺乏从物理系统角度的严格理解，导致超参数选择依赖于启发式方法。这项工作引入了一种新颖的分析方法，通过检查其点扩散函数 (PSF) 来表征 MHE，该函数类似于系统的格林函数。该方法可以量化编码的空间分辨率和保真度。我们推导了无碰撞 PSF 的封闭形式近似，揭示了固有的网格引起的各向异性和对数空间轮廓。我们确定理想化的空间带宽，特别是半高全宽 (FWHM)，是由平均分辨率 $N_{\text{avg}}$ 决定的。这导致了一个违反直觉的发现：模型的有效分辨率受拓宽的经验半峰宽（因此 $N_{\text{avg}}$）控制，而不是最精细的分辨率 $N_{\max}$，我们证明的拓宽效应源于优化动态。此外，我们分析了有限散列容量的影响，展示了碰撞如何引入散斑噪声并降低信噪比（SNR）。利用这些理论见解，我们提出了旋转 MHE (R-MHE)，这是一种在每个分辨率级别对输入坐标应用不同旋转的架构。 R-MHE 减轻了各向异性，同时保持了原始 MHE 的效率和参数计数。本研究建立了一种基于物理原理的方法，超越启发式来表征和优化 MHE。</w:t>
      </w:r>
    </w:p>
    <w:p>
      <w:pPr>
        <w:spacing w:before="120"/>
      </w:pPr>
      <w:r>
        <w:rPr>
          <w:rFonts w:ascii="Times New Roman" w:hAnsi="Times New Roman" w:eastAsia="宋体"/>
          <w:b/>
          <w:sz w:val="21"/>
        </w:rPr>
        <w:t>English Abstract:</w:t>
      </w:r>
    </w:p>
    <w:p>
      <w:r>
        <w:rPr>
          <w:rFonts w:ascii="Times New Roman" w:hAnsi="Times New Roman" w:eastAsia="宋体"/>
          <w:sz w:val="21"/>
        </w:rPr>
        <w:t>Multi-Resolution Hash Encoding (MHE), the foundational technique behind Instant Neural Graphics Primitives, provides a powerful parameterization for neural fields. However, its spatial behavior lacks rigorous understanding from a physical systems perspective, leading to reliance on heuristics for hyperparameter selection. This work introduces a novel analytical approach that characterizes MHE by examining its Point Spread Function (PSF), which is analogous to the Green's function of the system. This methodology enables a quantification of the encoding's spatial resolution and fidelity. We derive a closed-form approximation for the collision-free PSF, uncovering inherent grid-induced anisotropy and a logarithmic spatial profile. We establish that the idealized spatial bandwidth, specifically the Full Width at Half Maximum (FWHM), is determined by the average resolution, $N_{\text{avg}}$. This leads to a counterintuitive finding: the effective resolution of the model is governed by the broadened empirical FWHM (and therefore $N_{\text{avg}}$), rather than the finest resolution $N_{\max}$, a broadening effect we demonstrate arises from optimization dynamics. Furthermore, we analyze the impact of finite hash capacity, demonstrating how collisions introduce speckle noise and degrade the Signal-to-Noise Ratio (SNR). Leveraging these theoretical insights, we propose Rotated MHE (R-MHE), an architecture that applies distinct rotations to the input coordinates at each resolution level. R-MHE mitigates anisotropy while maintaining the efficiency and parameter count of the original MHE. This study establishes a methodology based on physical principles that moves beyond heuristics to characterize and optimize MHE.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353-9" TargetMode="External"/><Relationship Id="rId11" Type="http://schemas.openxmlformats.org/officeDocument/2006/relationships/hyperlink" Target="https://doi.org/10.1038/s41467-026-69543-5" TargetMode="External"/><Relationship Id="rId12" Type="http://schemas.openxmlformats.org/officeDocument/2006/relationships/hyperlink" Target="https://doi.org/10.1038/s41467-026-68819-0" TargetMode="External"/><Relationship Id="rId13" Type="http://schemas.openxmlformats.org/officeDocument/2006/relationships/hyperlink" Target="https://doi.org/10.1038/s41467-026-68555-5" TargetMode="External"/><Relationship Id="rId14" Type="http://schemas.openxmlformats.org/officeDocument/2006/relationships/hyperlink" Target="https://doi.org/10.1038/s41467-026-69464-3" TargetMode="External"/><Relationship Id="rId15" Type="http://schemas.openxmlformats.org/officeDocument/2006/relationships/hyperlink" Target="https://doi.org/10.1038/s41467-026-69419-8" TargetMode="External"/><Relationship Id="rId16" Type="http://schemas.openxmlformats.org/officeDocument/2006/relationships/hyperlink" Target="https://doi.org/10.1038/s41467-026-69494-x" TargetMode="External"/><Relationship Id="rId17" Type="http://schemas.openxmlformats.org/officeDocument/2006/relationships/hyperlink" Target="https://doi.org/10.1038/s41598-026-38212-4" TargetMode="External"/><Relationship Id="rId18" Type="http://schemas.openxmlformats.org/officeDocument/2006/relationships/hyperlink" Target="https://doi.org/10.1038/s41598-026-39620-2" TargetMode="External"/><Relationship Id="rId19" Type="http://schemas.openxmlformats.org/officeDocument/2006/relationships/hyperlink" Target="https://doi.org/10.1038/s41598-026-39445-z" TargetMode="External"/><Relationship Id="rId20" Type="http://schemas.openxmlformats.org/officeDocument/2006/relationships/hyperlink" Target="https://doi.org/10.1038/s41598-025-30303-y" TargetMode="External"/><Relationship Id="rId21" Type="http://schemas.openxmlformats.org/officeDocument/2006/relationships/hyperlink" Target="https://doi.org/10.1038/s41598-026-35893-9" TargetMode="External"/><Relationship Id="rId22" Type="http://schemas.openxmlformats.org/officeDocument/2006/relationships/hyperlink" Target="https://doi.org/10.1038/s41598-026-39951-0" TargetMode="External"/><Relationship Id="rId23" Type="http://schemas.openxmlformats.org/officeDocument/2006/relationships/hyperlink" Target="https://doi.org/10.1038/s41598-026-35935-2" TargetMode="External"/><Relationship Id="rId24" Type="http://schemas.openxmlformats.org/officeDocument/2006/relationships/hyperlink" Target="https://doi.org/10.1038/s41598-026-39061-x" TargetMode="External"/><Relationship Id="rId25" Type="http://schemas.openxmlformats.org/officeDocument/2006/relationships/hyperlink" Target="https://doi.org/10.1038/s41598-026-39161-8" TargetMode="External"/><Relationship Id="rId26" Type="http://schemas.openxmlformats.org/officeDocument/2006/relationships/hyperlink" Target="https://doi.org/10.1038/s41598-026-37999-6" TargetMode="External"/><Relationship Id="rId27" Type="http://schemas.openxmlformats.org/officeDocument/2006/relationships/hyperlink" Target="https://doi.org/10.1038/s41598-026-39825-5" TargetMode="External"/><Relationship Id="rId28" Type="http://schemas.openxmlformats.org/officeDocument/2006/relationships/hyperlink" Target="https://doi.org/10.1038/s41598-026-38566-9" TargetMode="External"/><Relationship Id="rId29" Type="http://schemas.openxmlformats.org/officeDocument/2006/relationships/hyperlink" Target="https://doi.org/10.1038/s41598-026-39518-z" TargetMode="External"/><Relationship Id="rId30" Type="http://schemas.openxmlformats.org/officeDocument/2006/relationships/hyperlink" Target="https://doi.org/10.1038/s41598-026-39570-9" TargetMode="External"/><Relationship Id="rId31" Type="http://schemas.openxmlformats.org/officeDocument/2006/relationships/hyperlink" Target="https://doi.org/10.1038/s41598-026-36741-6" TargetMode="External"/><Relationship Id="rId32" Type="http://schemas.openxmlformats.org/officeDocument/2006/relationships/hyperlink" Target="https://doi.org/10.1038/s41598-026-38692-4" TargetMode="External"/><Relationship Id="rId33" Type="http://schemas.openxmlformats.org/officeDocument/2006/relationships/hyperlink" Target="https://doi.org/10.1038/s41598-026-39284-y" TargetMode="External"/><Relationship Id="rId34" Type="http://schemas.openxmlformats.org/officeDocument/2006/relationships/hyperlink" Target="https://doi.org/10.1038/s41598-026-37702-9" TargetMode="External"/><Relationship Id="rId35" Type="http://schemas.openxmlformats.org/officeDocument/2006/relationships/hyperlink" Target="https://doi.org/10.1038/s41598-026-37101-0" TargetMode="External"/><Relationship Id="rId36" Type="http://schemas.openxmlformats.org/officeDocument/2006/relationships/hyperlink" Target="https://doi.org/10.1038/s41598-026-39655-5" TargetMode="External"/><Relationship Id="rId37" Type="http://schemas.openxmlformats.org/officeDocument/2006/relationships/hyperlink" Target="https://doi.org/10.1038/s41567-026-03171-0" TargetMode="External"/><Relationship Id="rId38" Type="http://schemas.openxmlformats.org/officeDocument/2006/relationships/hyperlink" Target="https://doi.org/10.1038/s42256-025-01168-7" TargetMode="External"/><Relationship Id="rId39" Type="http://schemas.openxmlformats.org/officeDocument/2006/relationships/hyperlink" Target="https://doi.org/10.1038/s41551-025-01610-6" TargetMode="External"/><Relationship Id="rId40" Type="http://schemas.openxmlformats.org/officeDocument/2006/relationships/hyperlink" Target="https://doi.org/10.1103/ml3c-d4xz" TargetMode="External"/><Relationship Id="rId41" Type="http://schemas.openxmlformats.org/officeDocument/2006/relationships/hyperlink" Target="https://doi.org/10.1016/j.displa.2026.103393" TargetMode="External"/><Relationship Id="rId42" Type="http://schemas.openxmlformats.org/officeDocument/2006/relationships/hyperlink" Target="https://doi.org/10.1016/j.optlastec.2026.114921" TargetMode="External"/><Relationship Id="rId43" Type="http://schemas.openxmlformats.org/officeDocument/2006/relationships/hyperlink" Target="https://doi.org/10.1016/j.optlastec.2026.114880" TargetMode="External"/><Relationship Id="rId44" Type="http://schemas.openxmlformats.org/officeDocument/2006/relationships/hyperlink" Target="https://doi.org/10.1016/j.optlastec.2026.114894" TargetMode="External"/><Relationship Id="rId45" Type="http://schemas.openxmlformats.org/officeDocument/2006/relationships/hyperlink" Target="https://doi.org/10.1016/j.optlastec.2026.114904" TargetMode="External"/><Relationship Id="rId46" Type="http://schemas.openxmlformats.org/officeDocument/2006/relationships/hyperlink" Target="https://doi.org/10.1016/j.optlaseng.2026.109679" TargetMode="External"/><Relationship Id="rId47" Type="http://schemas.openxmlformats.org/officeDocument/2006/relationships/hyperlink" Target="https://doi.org/10.1364/ao.581771" TargetMode="External"/><Relationship Id="rId48" Type="http://schemas.openxmlformats.org/officeDocument/2006/relationships/hyperlink" Target="https://doi.org/10.1364/ao.582475" TargetMode="External"/><Relationship Id="rId49" Type="http://schemas.openxmlformats.org/officeDocument/2006/relationships/hyperlink" Target="https://doi.org/10.1364/ao.580913" TargetMode="External"/><Relationship Id="rId50" Type="http://schemas.openxmlformats.org/officeDocument/2006/relationships/hyperlink" Target="https://doi.org/10.1364/oe.585400" TargetMode="External"/><Relationship Id="rId51" Type="http://schemas.openxmlformats.org/officeDocument/2006/relationships/hyperlink" Target="https://doi.org/10.1364/oe.585256" TargetMode="External"/><Relationship Id="rId52" Type="http://schemas.openxmlformats.org/officeDocument/2006/relationships/hyperlink" Target="https://doi.org/10.1364/oe.586807" TargetMode="External"/><Relationship Id="rId53" Type="http://schemas.openxmlformats.org/officeDocument/2006/relationships/hyperlink" Target="https://doi.org/10.1364/oe.585524" TargetMode="External"/><Relationship Id="rId54" Type="http://schemas.openxmlformats.org/officeDocument/2006/relationships/hyperlink" Target="https://doi.org/10.1364/ol.589240" TargetMode="External"/><Relationship Id="rId55" Type="http://schemas.openxmlformats.org/officeDocument/2006/relationships/hyperlink" Target="https://doi.org/10.1364/optica.575944" TargetMode="External"/><Relationship Id="rId56" Type="http://schemas.openxmlformats.org/officeDocument/2006/relationships/hyperlink" Target="https://doi.org/10.1364/boe.582188" TargetMode="External"/><Relationship Id="rId57" Type="http://schemas.openxmlformats.org/officeDocument/2006/relationships/hyperlink" Target="https://doi.org/10.1364/boe.582416" TargetMode="External"/><Relationship Id="rId58" Type="http://schemas.openxmlformats.org/officeDocument/2006/relationships/hyperlink" Target="https://doi.org/10.1117/1.apn.5.2.026006" TargetMode="External"/><Relationship Id="rId59" Type="http://schemas.openxmlformats.org/officeDocument/2006/relationships/hyperlink" Target="https://doi.org/10.1063/5.0300006" TargetMode="External"/><Relationship Id="rId60" Type="http://schemas.openxmlformats.org/officeDocument/2006/relationships/hyperlink" Target="https://doi.org/10.1063/5.0309777" TargetMode="External"/><Relationship Id="rId61" Type="http://schemas.openxmlformats.org/officeDocument/2006/relationships/hyperlink" Target="https://doi.org/10.1063/5.0307275" TargetMode="External"/><Relationship Id="rId62" Type="http://schemas.openxmlformats.org/officeDocument/2006/relationships/hyperlink" Target="https://doi.org/10.1002/lpor.202503112" TargetMode="External"/><Relationship Id="rId63" Type="http://schemas.openxmlformats.org/officeDocument/2006/relationships/hyperlink" Target="https://doi.org/10.1002/lpor.202502484" TargetMode="External"/><Relationship Id="rId64" Type="http://schemas.openxmlformats.org/officeDocument/2006/relationships/hyperlink" Target="https://doi.org/10.1002/lpor.202502158" TargetMode="External"/><Relationship Id="rId65" Type="http://schemas.openxmlformats.org/officeDocument/2006/relationships/hyperlink" Target="https://doi.org/10.1002/lpor.202502888" TargetMode="External"/><Relationship Id="rId66" Type="http://schemas.openxmlformats.org/officeDocument/2006/relationships/hyperlink" Target="https://doi.org/10.1002/lpor.202502986" TargetMode="External"/><Relationship Id="rId67" Type="http://schemas.openxmlformats.org/officeDocument/2006/relationships/hyperlink" Target="https://doi.org/10.1002/lpor.202502476" TargetMode="External"/><Relationship Id="rId68" Type="http://schemas.openxmlformats.org/officeDocument/2006/relationships/hyperlink" Target="https://doi.org/10.1002/lpor.202502921" TargetMode="External"/><Relationship Id="rId69" Type="http://schemas.openxmlformats.org/officeDocument/2006/relationships/hyperlink" Target="https://doi.org/10.1002/lpor.202503038" TargetMode="External"/><Relationship Id="rId70" Type="http://schemas.openxmlformats.org/officeDocument/2006/relationships/hyperlink" Target="https://doi.org/10.1038/s41377-025-02091-7" TargetMode="External"/><Relationship Id="rId71" Type="http://schemas.openxmlformats.org/officeDocument/2006/relationships/hyperlink" Target="https://doi.org/10.1021/acsphotonics.5c01340" TargetMode="External"/><Relationship Id="rId72" Type="http://schemas.openxmlformats.org/officeDocument/2006/relationships/hyperlink" Target="https://doi.org/10.1021/acsphotonics.5c01804" TargetMode="External"/><Relationship Id="rId73" Type="http://schemas.openxmlformats.org/officeDocument/2006/relationships/hyperlink" Target="https://doi.org/10.1021/acsphotonics.5c02602" TargetMode="External"/><Relationship Id="rId74" Type="http://schemas.openxmlformats.org/officeDocument/2006/relationships/hyperlink" Target="https://doi.org/10.1021/acsphotonics.5c02664" TargetMode="External"/><Relationship Id="rId75" Type="http://schemas.openxmlformats.org/officeDocument/2006/relationships/hyperlink" Target="https://doi.org/10.1038/s41586-025-10068-0" TargetMode="External"/><Relationship Id="rId76" Type="http://schemas.openxmlformats.org/officeDocument/2006/relationships/hyperlink" Target="https://doi.org/10.1038/s41586-025-10050-w" TargetMode="External"/><Relationship Id="rId77" Type="http://schemas.openxmlformats.org/officeDocument/2006/relationships/hyperlink" Target="https://doi.org/10.1038/s41586-026-10133-2" TargetMode="External"/><Relationship Id="rId78" Type="http://schemas.openxmlformats.org/officeDocument/2006/relationships/hyperlink" Target="https://doi.org/10.1038/s41586-026-10114-5" TargetMode="External"/><Relationship Id="rId79" Type="http://schemas.openxmlformats.org/officeDocument/2006/relationships/hyperlink" Target="https://doi.org/10.1038/s41586-026-10122-5" TargetMode="External"/><Relationship Id="rId80" Type="http://schemas.openxmlformats.org/officeDocument/2006/relationships/hyperlink" Target="https://doi.org/10.1038/s41586-026-10134-1" TargetMode="External"/><Relationship Id="rId81" Type="http://schemas.openxmlformats.org/officeDocument/2006/relationships/hyperlink" Target="https://doi.org/10.1038/s41586-026-10107-4" TargetMode="External"/><Relationship Id="rId82" Type="http://schemas.openxmlformats.org/officeDocument/2006/relationships/hyperlink" Target="https://doi.org/10.1038/s41586-026-10124-3" TargetMode="External"/><Relationship Id="rId83" Type="http://schemas.openxmlformats.org/officeDocument/2006/relationships/hyperlink" Target="https://doi.org/10.1038/s41586-026-10129-y" TargetMode="External"/><Relationship Id="rId84" Type="http://schemas.openxmlformats.org/officeDocument/2006/relationships/hyperlink" Target="https://doi.org/10.1038/s41467-026-68530-0" TargetMode="External"/><Relationship Id="rId85" Type="http://schemas.openxmlformats.org/officeDocument/2006/relationships/hyperlink" Target="https://doi.org/10.1038/s41467-026-68610-1" TargetMode="External"/><Relationship Id="rId86" Type="http://schemas.openxmlformats.org/officeDocument/2006/relationships/hyperlink" Target="https://doi.org/10.1126/sciadv.adz3199" TargetMode="External"/><Relationship Id="rId87" Type="http://schemas.openxmlformats.org/officeDocument/2006/relationships/hyperlink" Target="https://doi.org/10.1126/sciadv.ads7509" TargetMode="External"/><Relationship Id="rId88" Type="http://schemas.openxmlformats.org/officeDocument/2006/relationships/hyperlink" Target="https://doi.org/10.1126/sciadv.ady9874" TargetMode="External"/><Relationship Id="rId89" Type="http://schemas.openxmlformats.org/officeDocument/2006/relationships/hyperlink" Target="https://doi.org/10.1126/sciadv.aeb4171" TargetMode="External"/><Relationship Id="rId90" Type="http://schemas.openxmlformats.org/officeDocument/2006/relationships/hyperlink" Target="https://doi.org/10.1126/sciadv.aec5937" TargetMode="External"/><Relationship Id="rId91" Type="http://schemas.openxmlformats.org/officeDocument/2006/relationships/hyperlink" Target="https://doi.org/10.1126/sciadv.adz5645" TargetMode="External"/><Relationship Id="rId92" Type="http://schemas.openxmlformats.org/officeDocument/2006/relationships/hyperlink" Target="https://doi.org/10.1126/sciadv.aea4144" TargetMode="External"/><Relationship Id="rId93" Type="http://schemas.openxmlformats.org/officeDocument/2006/relationships/hyperlink" Target="https://doi.org/10.1126/sciadv.aeb2410" TargetMode="External"/><Relationship Id="rId94" Type="http://schemas.openxmlformats.org/officeDocument/2006/relationships/hyperlink" Target="https://doi.org/10.1126/sciadv.aeb2417" TargetMode="External"/><Relationship Id="rId95" Type="http://schemas.openxmlformats.org/officeDocument/2006/relationships/hyperlink" Target="https://doi.org/10.1126/sciadv.adx2596" TargetMode="External"/><Relationship Id="rId96" Type="http://schemas.openxmlformats.org/officeDocument/2006/relationships/hyperlink" Target="https://doi.org/10.1126/sciadv.aeb4237" TargetMode="External"/><Relationship Id="rId97" Type="http://schemas.openxmlformats.org/officeDocument/2006/relationships/hyperlink" Target="https://doi.org/10.1126/sciadv.aea1184" TargetMode="External"/><Relationship Id="rId98" Type="http://schemas.openxmlformats.org/officeDocument/2006/relationships/hyperlink" Target="https://doi.org/10.1126/sciadv.aec5225" TargetMode="External"/><Relationship Id="rId99" Type="http://schemas.openxmlformats.org/officeDocument/2006/relationships/hyperlink" Target="https://doi.org/10.1126/sciadv.aec6957" TargetMode="External"/><Relationship Id="rId100" Type="http://schemas.openxmlformats.org/officeDocument/2006/relationships/hyperlink" Target="https://doi.org/10.1126/sciadv.adw3298" TargetMode="External"/><Relationship Id="rId101" Type="http://schemas.openxmlformats.org/officeDocument/2006/relationships/hyperlink" Target="https://doi.org/10.1038/s41598-026-38826-8" TargetMode="External"/><Relationship Id="rId102" Type="http://schemas.openxmlformats.org/officeDocument/2006/relationships/hyperlink" Target="https://doi.org/10.1038/s41598-026-39419-1" TargetMode="External"/><Relationship Id="rId103" Type="http://schemas.openxmlformats.org/officeDocument/2006/relationships/hyperlink" Target="https://doi.org/10.1038/s41598-026-36449-7" TargetMode="External"/><Relationship Id="rId104" Type="http://schemas.openxmlformats.org/officeDocument/2006/relationships/hyperlink" Target="https://doi.org/10.1038/s41598-026-36956-7" TargetMode="External"/><Relationship Id="rId105" Type="http://schemas.openxmlformats.org/officeDocument/2006/relationships/hyperlink" Target="https://doi.org/10.1038/s41598-025-04606-z" TargetMode="External"/><Relationship Id="rId106" Type="http://schemas.openxmlformats.org/officeDocument/2006/relationships/hyperlink" Target="https://doi.org/10.1038/s41598-026-39605-1" TargetMode="External"/><Relationship Id="rId107" Type="http://schemas.openxmlformats.org/officeDocument/2006/relationships/hyperlink" Target="https://doi.org/10.1038/s41598-026-38697-z" TargetMode="External"/><Relationship Id="rId108" Type="http://schemas.openxmlformats.org/officeDocument/2006/relationships/hyperlink" Target="https://doi.org/10.1038/s41598-026-37971-4" TargetMode="External"/><Relationship Id="rId109" Type="http://schemas.openxmlformats.org/officeDocument/2006/relationships/hyperlink" Target="https://doi.org/10.1038/s41598-026-39777-w" TargetMode="External"/><Relationship Id="rId110" Type="http://schemas.openxmlformats.org/officeDocument/2006/relationships/hyperlink" Target="https://doi.org/10.1038/s41598-026-39517-0" TargetMode="External"/><Relationship Id="rId111" Type="http://schemas.openxmlformats.org/officeDocument/2006/relationships/hyperlink" Target="https://doi.org/10.1038/s41598-026-37709-2" TargetMode="External"/><Relationship Id="rId112" Type="http://schemas.openxmlformats.org/officeDocument/2006/relationships/hyperlink" Target="https://doi.org/10.1038/s41598-025-33900-z" TargetMode="External"/><Relationship Id="rId113" Type="http://schemas.openxmlformats.org/officeDocument/2006/relationships/hyperlink" Target="https://doi.org/10.1038/s41598-026-38534-3" TargetMode="External"/><Relationship Id="rId114" Type="http://schemas.openxmlformats.org/officeDocument/2006/relationships/hyperlink" Target="https://doi.org/10.1038/s41598-026-39170-7" TargetMode="External"/><Relationship Id="rId115" Type="http://schemas.openxmlformats.org/officeDocument/2006/relationships/hyperlink" Target="https://doi.org/10.1038/s41598-026-38774-3" TargetMode="External"/><Relationship Id="rId116" Type="http://schemas.openxmlformats.org/officeDocument/2006/relationships/hyperlink" Target="https://doi.org/10.1038/s41598-026-39536-x" TargetMode="External"/><Relationship Id="rId117" Type="http://schemas.openxmlformats.org/officeDocument/2006/relationships/hyperlink" Target="https://doi.org/10.1038/s41598-026-39546-9" TargetMode="External"/><Relationship Id="rId118" Type="http://schemas.openxmlformats.org/officeDocument/2006/relationships/hyperlink" Target="https://doi.org/10.1038/s41598-026-39260-6" TargetMode="External"/><Relationship Id="rId119" Type="http://schemas.openxmlformats.org/officeDocument/2006/relationships/hyperlink" Target="https://doi.org/10.1038/s41592-026-03020-1" TargetMode="External"/><Relationship Id="rId120" Type="http://schemas.openxmlformats.org/officeDocument/2006/relationships/hyperlink" Target="https://doi.org/10.1038/s41592-026-03012-1" TargetMode="External"/><Relationship Id="rId121" Type="http://schemas.openxmlformats.org/officeDocument/2006/relationships/hyperlink" Target="https://doi.org/10.1038/s41566-026-01845-y" TargetMode="External"/><Relationship Id="rId122" Type="http://schemas.openxmlformats.org/officeDocument/2006/relationships/hyperlink" Target="https://doi.org/10.1016/j.displa.2026.103380" TargetMode="External"/><Relationship Id="rId123" Type="http://schemas.openxmlformats.org/officeDocument/2006/relationships/hyperlink" Target="https://doi.org/10.1016/j.optlastec.2026.114907" TargetMode="External"/><Relationship Id="rId124" Type="http://schemas.openxmlformats.org/officeDocument/2006/relationships/hyperlink" Target="https://doi.org/10.1016/j.optlastec.2026.114918" TargetMode="External"/><Relationship Id="rId125" Type="http://schemas.openxmlformats.org/officeDocument/2006/relationships/hyperlink" Target="https://doi.org/10.1016/j.optlastec.2026.114887" TargetMode="External"/><Relationship Id="rId126" Type="http://schemas.openxmlformats.org/officeDocument/2006/relationships/hyperlink" Target="https://doi.org/10.1016/j.optlastec.2026.114858" TargetMode="External"/><Relationship Id="rId127" Type="http://schemas.openxmlformats.org/officeDocument/2006/relationships/hyperlink" Target="https://doi.org/10.1016/j.optlaseng.2026.109677" TargetMode="External"/><Relationship Id="rId128" Type="http://schemas.openxmlformats.org/officeDocument/2006/relationships/hyperlink" Target="https://doi.org/10.1016/j.optcom.2026.133013" TargetMode="External"/><Relationship Id="rId129" Type="http://schemas.openxmlformats.org/officeDocument/2006/relationships/hyperlink" Target="https://doi.org/10.1364/prj.566625" TargetMode="External"/><Relationship Id="rId130" Type="http://schemas.openxmlformats.org/officeDocument/2006/relationships/hyperlink" Target="https://doi.org/10.1364/prj.574190" TargetMode="External"/><Relationship Id="rId131" Type="http://schemas.openxmlformats.org/officeDocument/2006/relationships/hyperlink" Target="https://doi.org/10.1109/tvcg.2025.3646304" TargetMode="External"/><Relationship Id="rId132" Type="http://schemas.openxmlformats.org/officeDocument/2006/relationships/hyperlink" Target="https://doi.org/10.1145/3796224" TargetMode="External"/><Relationship Id="rId133" Type="http://schemas.openxmlformats.org/officeDocument/2006/relationships/hyperlink" Target="https://doi.org/10.1021/acsphotonics.6c00085" TargetMode="External"/><Relationship Id="rId134" Type="http://schemas.openxmlformats.org/officeDocument/2006/relationships/hyperlink" Target="https://doi.org/10.1109/tci.2026.3663972" TargetMode="External"/><Relationship Id="rId135" Type="http://schemas.openxmlformats.org/officeDocument/2006/relationships/hyperlink" Target="https://doi.org/10.1109/tci.2026.3663899" TargetMode="External"/><Relationship Id="rId136" Type="http://schemas.openxmlformats.org/officeDocument/2006/relationships/hyperlink" Target="https://doi.org/10.1109/tci.2026.3663911" TargetMode="External"/><Relationship Id="rId137" Type="http://schemas.openxmlformats.org/officeDocument/2006/relationships/hyperlink" Target="https://doi.org/10.1109/tip.2026.3661813" TargetMode="External"/><Relationship Id="rId138" Type="http://schemas.openxmlformats.org/officeDocument/2006/relationships/hyperlink" Target="https://doi.org/10.1109/tip.2026.3661874" TargetMode="External"/><Relationship Id="rId139" Type="http://schemas.openxmlformats.org/officeDocument/2006/relationships/hyperlink" Target="https://doi.org/10.1109/tip.2026.3661868" TargetMode="External"/><Relationship Id="rId140" Type="http://schemas.openxmlformats.org/officeDocument/2006/relationships/hyperlink" Target="https://doi.org/10.1109/tip.2026.3661814" TargetMode="External"/><Relationship Id="rId141" Type="http://schemas.openxmlformats.org/officeDocument/2006/relationships/hyperlink" Target="https://doi.org/10.1109/tip.2026.3661851" TargetMode="External"/><Relationship Id="rId142" Type="http://schemas.openxmlformats.org/officeDocument/2006/relationships/hyperlink" Target="https://doi.org/10.1109/tpami.2026.3663759" TargetMode="External"/><Relationship Id="rId143" Type="http://schemas.openxmlformats.org/officeDocument/2006/relationships/hyperlink" Target="https://doi.org/10.1109/tpami.2026.3663788" TargetMode="External"/><Relationship Id="rId144" Type="http://schemas.openxmlformats.org/officeDocument/2006/relationships/hyperlink" Target="https://doi.org/10.1109/tpami.2026.3663608" TargetMode="External"/><Relationship Id="rId145" Type="http://schemas.openxmlformats.org/officeDocument/2006/relationships/hyperlink" Target="https://doi.org/10.1109/tpami.2026.3663545" TargetMode="External"/><Relationship Id="rId146" Type="http://schemas.openxmlformats.org/officeDocument/2006/relationships/hyperlink" Target="https://doi.org/10.1109/tpami.2026.3663547" TargetMode="External"/><Relationship Id="rId147" Type="http://schemas.openxmlformats.org/officeDocument/2006/relationships/hyperlink" Target="https://doi.org/10.1109/tpami.2026.3663633" TargetMode="External"/><Relationship Id="rId148" Type="http://schemas.openxmlformats.org/officeDocument/2006/relationships/hyperlink" Target="https://doi.org/10.1109/tpami.2026.3663744" TargetMode="External"/><Relationship Id="rId149" Type="http://schemas.openxmlformats.org/officeDocument/2006/relationships/hyperlink" Target="https://doi.org/10.1109/tpami.2026.3663672" TargetMode="External"/><Relationship Id="rId150" Type="http://schemas.openxmlformats.org/officeDocument/2006/relationships/hyperlink" Target="https://doi.org/10.1109/tpami.2026.3663966" TargetMode="External"/><Relationship Id="rId151" Type="http://schemas.openxmlformats.org/officeDocument/2006/relationships/hyperlink" Target="https://doi.org/10.1109/tpami.2026.3663617" TargetMode="External"/><Relationship Id="rId152" Type="http://schemas.openxmlformats.org/officeDocument/2006/relationships/hyperlink" Target="https://doi.org/10.1038/s41467-026-68543-9" TargetMode="External"/><Relationship Id="rId153" Type="http://schemas.openxmlformats.org/officeDocument/2006/relationships/hyperlink" Target="https://doi.org/10.1038/s41598-026-38262-8" TargetMode="External"/><Relationship Id="rId154" Type="http://schemas.openxmlformats.org/officeDocument/2006/relationships/hyperlink" Target="https://doi.org/10.1038/s41598-026-37020-0" TargetMode="External"/><Relationship Id="rId155" Type="http://schemas.openxmlformats.org/officeDocument/2006/relationships/hyperlink" Target="https://doi.org/10.1038/s41598-026-36359-8" TargetMode="External"/><Relationship Id="rId156" Type="http://schemas.openxmlformats.org/officeDocument/2006/relationships/hyperlink" Target="https://doi.org/10.1038/s41598-026-38307-y" TargetMode="External"/><Relationship Id="rId157" Type="http://schemas.openxmlformats.org/officeDocument/2006/relationships/hyperlink" Target="https://doi.org/10.1038/s41598-026-38594-5" TargetMode="External"/><Relationship Id="rId158" Type="http://schemas.openxmlformats.org/officeDocument/2006/relationships/hyperlink" Target="https://doi.org/10.1038/s41598-026-39495-3" TargetMode="External"/><Relationship Id="rId159" Type="http://schemas.openxmlformats.org/officeDocument/2006/relationships/hyperlink" Target="https://doi.org/10.1186/s43593-026-00121-4" TargetMode="External"/><Relationship Id="rId160" Type="http://schemas.openxmlformats.org/officeDocument/2006/relationships/hyperlink" Target="https://doi.org/10.29026/oea.2025.250013c" TargetMode="External"/><Relationship Id="rId161" Type="http://schemas.openxmlformats.org/officeDocument/2006/relationships/hyperlink" Target="https://doi.org/10.1016/j.optlastec.2026.114917" TargetMode="External"/><Relationship Id="rId162" Type="http://schemas.openxmlformats.org/officeDocument/2006/relationships/hyperlink" Target="https://doi.org/10.1016/j.optlastec.2026.114937" TargetMode="External"/><Relationship Id="rId163" Type="http://schemas.openxmlformats.org/officeDocument/2006/relationships/hyperlink" Target="https://doi.org/10.1016/j.optcom.2026.133009" TargetMode="External"/><Relationship Id="rId164" Type="http://schemas.openxmlformats.org/officeDocument/2006/relationships/hyperlink" Target="https://doi.org/10.1016/s0030-4018(26)00094-5" TargetMode="External"/><Relationship Id="rId165" Type="http://schemas.openxmlformats.org/officeDocument/2006/relationships/hyperlink" Target="https://doi.org/10.1364/oe.584320" TargetMode="External"/><Relationship Id="rId166" Type="http://schemas.openxmlformats.org/officeDocument/2006/relationships/hyperlink" Target="https://doi.org/10.1364/oe.584103" TargetMode="External"/><Relationship Id="rId167" Type="http://schemas.openxmlformats.org/officeDocument/2006/relationships/hyperlink" Target="https://doi.org/10.1364/oe.584527" TargetMode="External"/><Relationship Id="rId168" Type="http://schemas.openxmlformats.org/officeDocument/2006/relationships/hyperlink" Target="https://arxiv.org/abs/2602.10170v1" TargetMode="External"/><Relationship Id="rId169" Type="http://schemas.openxmlformats.org/officeDocument/2006/relationships/hyperlink" Target="https://arxiv.org/abs/2602.10277v1" TargetMode="External"/><Relationship Id="rId170" Type="http://schemas.openxmlformats.org/officeDocument/2006/relationships/hyperlink" Target="https://arxiv.org/abs/2602.10283v1" TargetMode="External"/><Relationship Id="rId171" Type="http://schemas.openxmlformats.org/officeDocument/2006/relationships/hyperlink" Target="https://arxiv.org/abs/2602.10317v1" TargetMode="External"/><Relationship Id="rId172" Type="http://schemas.openxmlformats.org/officeDocument/2006/relationships/hyperlink" Target="https://arxiv.org/abs/2602.10338v1" TargetMode="External"/><Relationship Id="rId173" Type="http://schemas.openxmlformats.org/officeDocument/2006/relationships/hyperlink" Target="https://arxiv.org/abs/2602.10401v1" TargetMode="External"/><Relationship Id="rId174" Type="http://schemas.openxmlformats.org/officeDocument/2006/relationships/hyperlink" Target="https://arxiv.org/abs/2602.10409v1" TargetMode="External"/><Relationship Id="rId175" Type="http://schemas.openxmlformats.org/officeDocument/2006/relationships/hyperlink" Target="https://arxiv.org/abs/2602.10896v1" TargetMode="External"/><Relationship Id="rId176" Type="http://schemas.openxmlformats.org/officeDocument/2006/relationships/hyperlink" Target="https://arxiv.org/abs/2602.10937v1" TargetMode="External"/><Relationship Id="rId177" Type="http://schemas.openxmlformats.org/officeDocument/2006/relationships/hyperlink" Target="https://arxiv.org/abs/2602.10998v1" TargetMode="External"/><Relationship Id="rId178" Type="http://schemas.openxmlformats.org/officeDocument/2006/relationships/hyperlink" Target="https://arxiv.org/abs/2602.11043v1" TargetMode="External"/><Relationship Id="rId179" Type="http://schemas.openxmlformats.org/officeDocument/2006/relationships/hyperlink" Target="https://arxiv.org/abs/2602.11067v1" TargetMode="External"/><Relationship Id="rId180" Type="http://schemas.openxmlformats.org/officeDocument/2006/relationships/hyperlink" Target="https://arxiv.org/abs/2602.10219v1" TargetMode="External"/><Relationship Id="rId181" Type="http://schemas.openxmlformats.org/officeDocument/2006/relationships/hyperlink" Target="https://arxiv.org/abs/2602.10315v1" TargetMode="External"/><Relationship Id="rId182" Type="http://schemas.openxmlformats.org/officeDocument/2006/relationships/hyperlink" Target="https://arxiv.org/abs/2602.10336v1" TargetMode="External"/><Relationship Id="rId183" Type="http://schemas.openxmlformats.org/officeDocument/2006/relationships/hyperlink" Target="https://arxiv.org/abs/2602.10359v1" TargetMode="External"/><Relationship Id="rId184" Type="http://schemas.openxmlformats.org/officeDocument/2006/relationships/hyperlink" Target="https://arxiv.org/abs/2602.10420v1" TargetMode="External"/><Relationship Id="rId185" Type="http://schemas.openxmlformats.org/officeDocument/2006/relationships/hyperlink" Target="https://arxiv.org/abs/2602.10434v1" TargetMode="External"/><Relationship Id="rId186" Type="http://schemas.openxmlformats.org/officeDocument/2006/relationships/hyperlink" Target="https://arxiv.org/abs/2602.10482v1" TargetMode="External"/><Relationship Id="rId187" Type="http://schemas.openxmlformats.org/officeDocument/2006/relationships/hyperlink" Target="https://arxiv.org/abs/2602.10586v1" TargetMode="External"/><Relationship Id="rId188" Type="http://schemas.openxmlformats.org/officeDocument/2006/relationships/hyperlink" Target="https://arxiv.org/abs/2602.10837v1" TargetMode="External"/><Relationship Id="rId189" Type="http://schemas.openxmlformats.org/officeDocument/2006/relationships/hyperlink" Target="https://arxiv.org/abs/2602.10906v1" TargetMode="External"/><Relationship Id="rId190" Type="http://schemas.openxmlformats.org/officeDocument/2006/relationships/hyperlink" Target="https://arxiv.org/abs/2602.10179v1" TargetMode="External"/><Relationship Id="rId191" Type="http://schemas.openxmlformats.org/officeDocument/2006/relationships/hyperlink" Target="https://arxiv.org/abs/2602.10265v1" TargetMode="External"/><Relationship Id="rId192" Type="http://schemas.openxmlformats.org/officeDocument/2006/relationships/hyperlink" Target="https://arxiv.org/abs/2602.10278v1" TargetMode="External"/><Relationship Id="rId193" Type="http://schemas.openxmlformats.org/officeDocument/2006/relationships/hyperlink" Target="https://arxiv.org/abs/2602.10319v1" TargetMode="External"/><Relationship Id="rId194" Type="http://schemas.openxmlformats.org/officeDocument/2006/relationships/hyperlink" Target="https://arxiv.org/abs/2602.10326v1" TargetMode="External"/><Relationship Id="rId195" Type="http://schemas.openxmlformats.org/officeDocument/2006/relationships/hyperlink" Target="https://arxiv.org/abs/2602.10343v1" TargetMode="External"/><Relationship Id="rId196" Type="http://schemas.openxmlformats.org/officeDocument/2006/relationships/hyperlink" Target="https://arxiv.org/abs/2602.10344v1" TargetMode="External"/><Relationship Id="rId197" Type="http://schemas.openxmlformats.org/officeDocument/2006/relationships/hyperlink" Target="https://arxiv.org/abs/2602.10361v1" TargetMode="External"/><Relationship Id="rId198" Type="http://schemas.openxmlformats.org/officeDocument/2006/relationships/hyperlink" Target="https://arxiv.org/abs/2602.10364v1" TargetMode="External"/><Relationship Id="rId199" Type="http://schemas.openxmlformats.org/officeDocument/2006/relationships/hyperlink" Target="https://arxiv.org/abs/2602.10425v1" TargetMode="External"/><Relationship Id="rId200" Type="http://schemas.openxmlformats.org/officeDocument/2006/relationships/hyperlink" Target="https://arxiv.org/abs/2602.10500v1" TargetMode="External"/><Relationship Id="rId201" Type="http://schemas.openxmlformats.org/officeDocument/2006/relationships/hyperlink" Target="https://arxiv.org/abs/2602.10513v1" TargetMode="External"/><Relationship Id="rId202" Type="http://schemas.openxmlformats.org/officeDocument/2006/relationships/hyperlink" Target="https://arxiv.org/abs/2602.10546v1" TargetMode="External"/><Relationship Id="rId203" Type="http://schemas.openxmlformats.org/officeDocument/2006/relationships/hyperlink" Target="https://arxiv.org/abs/2602.10551v1" TargetMode="External"/><Relationship Id="rId204" Type="http://schemas.openxmlformats.org/officeDocument/2006/relationships/hyperlink" Target="https://arxiv.org/abs/2602.10575v1" TargetMode="External"/><Relationship Id="rId205" Type="http://schemas.openxmlformats.org/officeDocument/2006/relationships/hyperlink" Target="https://arxiv.org/abs/2602.10593v1" TargetMode="External"/><Relationship Id="rId206" Type="http://schemas.openxmlformats.org/officeDocument/2006/relationships/hyperlink" Target="https://arxiv.org/abs/2602.10619v1" TargetMode="External"/><Relationship Id="rId207" Type="http://schemas.openxmlformats.org/officeDocument/2006/relationships/hyperlink" Target="https://arxiv.org/abs/2602.10630v1" TargetMode="External"/><Relationship Id="rId208" Type="http://schemas.openxmlformats.org/officeDocument/2006/relationships/hyperlink" Target="https://arxiv.org/abs/2602.10659v1" TargetMode="External"/><Relationship Id="rId209" Type="http://schemas.openxmlformats.org/officeDocument/2006/relationships/hyperlink" Target="https://arxiv.org/abs/2602.10662v1" TargetMode="External"/><Relationship Id="rId210" Type="http://schemas.openxmlformats.org/officeDocument/2006/relationships/hyperlink" Target="https://arxiv.org/abs/2602.10663v1" TargetMode="External"/><Relationship Id="rId211" Type="http://schemas.openxmlformats.org/officeDocument/2006/relationships/hyperlink" Target="https://arxiv.org/abs/2602.10675v1" TargetMode="External"/><Relationship Id="rId212" Type="http://schemas.openxmlformats.org/officeDocument/2006/relationships/hyperlink" Target="https://arxiv.org/abs/2602.10687v1" TargetMode="External"/><Relationship Id="rId213" Type="http://schemas.openxmlformats.org/officeDocument/2006/relationships/hyperlink" Target="https://arxiv.org/abs/2602.10698v1" TargetMode="External"/><Relationship Id="rId214" Type="http://schemas.openxmlformats.org/officeDocument/2006/relationships/hyperlink" Target="https://arxiv.org/abs/2602.10722v1" TargetMode="External"/><Relationship Id="rId215" Type="http://schemas.openxmlformats.org/officeDocument/2006/relationships/hyperlink" Target="https://arxiv.org/abs/2602.10744v1" TargetMode="External"/><Relationship Id="rId216" Type="http://schemas.openxmlformats.org/officeDocument/2006/relationships/hyperlink" Target="https://arxiv.org/abs/2602.10745v1" TargetMode="External"/><Relationship Id="rId217" Type="http://schemas.openxmlformats.org/officeDocument/2006/relationships/hyperlink" Target="https://arxiv.org/abs/2602.10757v1" TargetMode="External"/><Relationship Id="rId218" Type="http://schemas.openxmlformats.org/officeDocument/2006/relationships/hyperlink" Target="https://arxiv.org/abs/2602.10780v1" TargetMode="External"/><Relationship Id="rId219" Type="http://schemas.openxmlformats.org/officeDocument/2006/relationships/hyperlink" Target="https://arxiv.org/abs/2602.10799v1" TargetMode="External"/><Relationship Id="rId220" Type="http://schemas.openxmlformats.org/officeDocument/2006/relationships/hyperlink" Target="https://arxiv.org/abs/2602.10806v1" TargetMode="External"/><Relationship Id="rId221" Type="http://schemas.openxmlformats.org/officeDocument/2006/relationships/hyperlink" Target="https://arxiv.org/abs/2602.10809v1" TargetMode="External"/><Relationship Id="rId222" Type="http://schemas.openxmlformats.org/officeDocument/2006/relationships/hyperlink" Target="https://arxiv.org/abs/2602.10858v1" TargetMode="External"/><Relationship Id="rId223" Type="http://schemas.openxmlformats.org/officeDocument/2006/relationships/hyperlink" Target="https://arxiv.org/abs/2602.10871v1" TargetMode="External"/><Relationship Id="rId224" Type="http://schemas.openxmlformats.org/officeDocument/2006/relationships/hyperlink" Target="https://arxiv.org/abs/2602.10875v1" TargetMode="External"/><Relationship Id="rId225" Type="http://schemas.openxmlformats.org/officeDocument/2006/relationships/hyperlink" Target="https://arxiv.org/abs/2602.10880v1" TargetMode="External"/><Relationship Id="rId226" Type="http://schemas.openxmlformats.org/officeDocument/2006/relationships/hyperlink" Target="https://arxiv.org/abs/2602.10940v1" TargetMode="External"/><Relationship Id="rId227" Type="http://schemas.openxmlformats.org/officeDocument/2006/relationships/hyperlink" Target="https://arxiv.org/abs/2602.10943v1" TargetMode="External"/><Relationship Id="rId228" Type="http://schemas.openxmlformats.org/officeDocument/2006/relationships/hyperlink" Target="https://arxiv.org/abs/2602.10967v1" TargetMode="External"/><Relationship Id="rId229" Type="http://schemas.openxmlformats.org/officeDocument/2006/relationships/hyperlink" Target="https://arxiv.org/abs/2602.10978v1" TargetMode="External"/><Relationship Id="rId230" Type="http://schemas.openxmlformats.org/officeDocument/2006/relationships/hyperlink" Target="https://arxiv.org/abs/2602.10985v1" TargetMode="External"/><Relationship Id="rId231" Type="http://schemas.openxmlformats.org/officeDocument/2006/relationships/hyperlink" Target="https://arxiv.org/abs/2602.10994v1" TargetMode="External"/><Relationship Id="rId232" Type="http://schemas.openxmlformats.org/officeDocument/2006/relationships/hyperlink" Target="https://arxiv.org/abs/2602.11004v1" TargetMode="External"/><Relationship Id="rId233" Type="http://schemas.openxmlformats.org/officeDocument/2006/relationships/hyperlink" Target="https://arxiv.org/abs/2602.11024v1" TargetMode="External"/><Relationship Id="rId234" Type="http://schemas.openxmlformats.org/officeDocument/2006/relationships/hyperlink" Target="https://arxiv.org/abs/2602.11073v1" TargetMode="External"/><Relationship Id="rId235" Type="http://schemas.openxmlformats.org/officeDocument/2006/relationships/hyperlink" Target="https://arxiv.org/abs/2602.11105v1" TargetMode="External"/><Relationship Id="rId236" Type="http://schemas.openxmlformats.org/officeDocument/2006/relationships/hyperlink" Target="https://arxiv.org/abs/2602.11117v1" TargetMode="External"/><Relationship Id="rId237" Type="http://schemas.openxmlformats.org/officeDocument/2006/relationships/hyperlink" Target="https://arxiv.org/abs/2602.11124v1" TargetMode="External"/><Relationship Id="rId238" Type="http://schemas.openxmlformats.org/officeDocument/2006/relationships/hyperlink" Target="https://arxiv.org/abs/2602.11146v1" TargetMode="External"/><Relationship Id="rId239" Type="http://schemas.openxmlformats.org/officeDocument/2006/relationships/hyperlink" Target="https://arxiv.org/abs/2602.11154v1" TargetMode="External"/><Relationship Id="rId240" Type="http://schemas.openxmlformats.org/officeDocument/2006/relationships/hyperlink" Target="https://arxiv.org/abs/2602.10495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