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Ejecutivo — Clinical Decision Engine Auditable</w:t>
      </w:r>
    </w:p>
    <w:p>
      <w:r>
        <w:rPr>
          <w:b w:val="0"/>
        </w:rPr>
      </w:r>
      <w:r>
        <w:rPr>
          <w:b/>
        </w:rPr>
        <w:t>Sistema:</w:t>
      </w:r>
      <w:r>
        <w:rPr>
          <w:b w:val="0"/>
        </w:rPr>
        <w:t xml:space="preserve"> ProstaMed (Cáncer de Próstata) · </w:t>
      </w:r>
      <w:r>
        <w:rPr>
          <w:b/>
        </w:rPr>
        <w:t>Faubot release:</w:t>
      </w:r>
      <w:r>
        <w:rPr>
          <w:b w:val="0"/>
        </w:rPr>
        <w:t xml:space="preserve"> 2026-04-25 XX</w:t>
      </w:r>
    </w:p>
    <w:p>
      <w:r>
        <w:rPr>
          <w:b w:val="0"/>
        </w:rPr>
      </w:r>
      <w:r>
        <w:rPr>
          <w:b/>
        </w:rPr>
        <w:t>Cierre del bucle:</w:t>
      </w:r>
      <w:r>
        <w:rPr>
          <w:b w:val="0"/>
        </w:rPr>
        <w:t xml:space="preserve"> Auditoría #36 (2026-04-25)</w:t>
      </w:r>
    </w:p>
    <w:p>
      <w:r>
        <w:rPr>
          <w:b w:val="0"/>
        </w:rPr>
      </w:r>
      <w:r>
        <w:rPr>
          <w:b/>
        </w:rPr>
        <w:t>Audiencia:</w:t>
      </w:r>
      <w:r>
        <w:rPr>
          <w:b w:val="0"/>
        </w:rPr>
        <w:t xml:space="preserve"> Comité clínico, Regulatorio (FDA SaMD / COFEPRIS), Tech leadership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1"/>
      </w:pPr>
      <w:r>
        <w:t>TL;DR</w:t>
      </w:r>
    </w:p>
    <w:p>
      <w:r>
        <w:rPr>
          <w:b w:val="0"/>
        </w:rPr>
        <w:t xml:space="preserve">ProstaMed completó </w:t>
      </w:r>
      <w:r>
        <w:rPr>
          <w:b/>
        </w:rPr>
        <w:t>14 iteraciones consecutivas del bucle Faubot</w:t>
      </w:r>
      <w:r>
        <w:rPr>
          <w:b w:val="0"/>
        </w:rPr>
        <w:t xml:space="preserve"> (auditorías #23 → #36) en 2026-04-25, transformándose de un calculador de regímenes con </w:t>
      </w:r>
      <w:r>
        <w:rPr>
          <w:rFonts w:ascii="Courier New" w:hAnsi="Courier New"/>
          <w:sz w:val="20"/>
        </w:rPr>
        <w:t>pivotal_contraindication_gates</w:t>
      </w:r>
      <w:r>
        <w:rPr>
          <w:b w:val="0"/>
        </w:rPr>
        <w:t xml:space="preserve"> mínimos a un </w:t>
      </w:r>
      <w:r>
        <w:rPr>
          <w:b/>
        </w:rPr>
        <w:t>Clinical Decision Engine Auditable arquitectónicamente completo</w:t>
      </w:r>
      <w:r>
        <w:rPr>
          <w:b w:val="0"/>
        </w:rPr>
        <w:t>: 5 de 5 dimensiones de auditabilidad al 100%, 19/19 gates pivotal en YAML declarativo, 1285+ tests passing, y 3 endpoints API auditables operativos.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Pre-#23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Post-#36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Δ</w:t>
            </w:r>
          </w:p>
        </w:tc>
      </w:tr>
      <w:tr>
        <w:tc>
          <w:tcPr>
            <w:tcW w:type="dxa" w:w="2160"/>
          </w:tcPr>
          <w:p>
            <w:r/>
            <w:r>
              <w:t>Scorecard CDE Auditable promedio</w:t>
            </w:r>
          </w:p>
        </w:tc>
        <w:tc>
          <w:tcPr>
            <w:tcW w:type="dxa" w:w="2160"/>
          </w:tcPr>
          <w:p>
            <w:r/>
            <w:r>
              <w:t>63%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100%</w:t>
            </w:r>
            <w:r/>
          </w:p>
        </w:tc>
        <w:tc>
          <w:tcPr>
            <w:tcW w:type="dxa" w:w="2160"/>
          </w:tcPr>
          <w:p>
            <w:r/>
            <w:r>
              <w:t>+37 pts</w:t>
            </w:r>
          </w:p>
        </w:tc>
      </w:tr>
      <w:tr>
        <w:tc>
          <w:tcPr>
            <w:tcW w:type="dxa" w:w="2160"/>
          </w:tcPr>
          <w:p>
            <w:r/>
            <w:r>
              <w:t>Gates pivotal centralizados</w:t>
            </w:r>
          </w:p>
        </w:tc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19</w:t>
            </w:r>
            <w:r/>
          </w:p>
        </w:tc>
        <w:tc>
          <w:tcPr>
            <w:tcW w:type="dxa" w:w="2160"/>
          </w:tcPr>
          <w:p>
            <w:r/>
            <w:r>
              <w:t>+3</w:t>
            </w:r>
          </w:p>
        </w:tc>
      </w:tr>
      <w:tr>
        <w:tc>
          <w:tcPr>
            <w:tcW w:type="dxa" w:w="2160"/>
          </w:tcPr>
          <w:p>
            <w:r/>
            <w:r>
              <w:t>Catálogo YAML declarativo</w:t>
            </w:r>
          </w:p>
        </w:tc>
        <w:tc>
          <w:tcPr>
            <w:tcW w:type="dxa" w:w="2160"/>
          </w:tcPr>
          <w:p>
            <w:r/>
            <w:r>
              <w:t>0/19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19/19 (100%)</w:t>
            </w:r>
            <w:r/>
          </w:p>
        </w:tc>
        <w:tc>
          <w:tcPr>
            <w:tcW w:type="dxa" w:w="2160"/>
          </w:tcPr>
          <w:p>
            <w:r/>
            <w:r>
              <w:t>+19</w:t>
            </w:r>
          </w:p>
        </w:tc>
      </w:tr>
      <w:tr>
        <w:tc>
          <w:tcPr>
            <w:tcW w:type="dxa" w:w="2160"/>
          </w:tcPr>
          <w:p>
            <w:r/>
            <w:r>
              <w:t>Tests passing</w:t>
            </w:r>
          </w:p>
        </w:tc>
        <w:tc>
          <w:tcPr>
            <w:tcW w:type="dxa" w:w="2160"/>
          </w:tcPr>
          <w:p>
            <w:r/>
            <w:r>
              <w:t>~700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1285+</w:t>
            </w:r>
            <w:r/>
          </w:p>
        </w:tc>
        <w:tc>
          <w:tcPr>
            <w:tcW w:type="dxa" w:w="2160"/>
          </w:tcPr>
          <w:p>
            <w:r/>
            <w:r>
              <w:t>+585</w:t>
            </w:r>
          </w:p>
        </w:tc>
      </w:tr>
      <w:tr>
        <w:tc>
          <w:tcPr>
            <w:tcW w:type="dxa" w:w="2160"/>
          </w:tcPr>
          <w:p>
            <w:r/>
            <w:r>
              <w:t>Endpoints API auditables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3</w:t>
            </w:r>
            <w:r/>
          </w:p>
        </w:tc>
        <w:tc>
          <w:tcPr>
            <w:tcW w:type="dxa" w:w="2160"/>
          </w:tcPr>
          <w:p>
            <w:r/>
            <w:r>
              <w:t>+3</w:t>
            </w:r>
          </w:p>
        </w:tc>
      </w:tr>
      <w:tr>
        <w:tc>
          <w:tcPr>
            <w:tcW w:type="dxa" w:w="2160"/>
          </w:tcPr>
          <w:p>
            <w:r/>
            <w:r>
              <w:t>FieldSpecs críticos monitoreados</w:t>
            </w:r>
          </w:p>
        </w:tc>
        <w:tc>
          <w:tcPr>
            <w:tcW w:type="dxa" w:w="2160"/>
          </w:tcPr>
          <w:p>
            <w:r/>
            <w:r>
              <w:t>21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42</w:t>
            </w:r>
            <w:r/>
          </w:p>
        </w:tc>
        <w:tc>
          <w:tcPr>
            <w:tcW w:type="dxa" w:w="2160"/>
          </w:tcPr>
          <w:p>
            <w:r/>
            <w:r>
              <w:t>+21</w:t>
            </w:r>
          </w:p>
        </w:tc>
      </w:tr>
      <w:tr>
        <w:tc>
          <w:tcPr>
            <w:tcW w:type="dxa" w:w="2160"/>
          </w:tcPr>
          <w:p>
            <w:r/>
            <w:r>
              <w:t>FAUBOT_RELEASE</w:t>
            </w:r>
          </w:p>
        </w:tc>
        <w:tc>
          <w:tcPr>
            <w:tcW w:type="dxa" w:w="2160"/>
          </w:tcPr>
          <w:p>
            <w:r/>
            <w:r>
              <w:t>(sin versionado)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2026-04-25 XX</w:t>
            </w:r>
            <w:r/>
          </w:p>
        </w:tc>
        <w:tc>
          <w:tcPr>
            <w:tcW w:type="dxa" w:w="2160"/>
          </w:tcPr>
          <w:p>
            <w:r/>
            <w:r>
              <w:t>versionado semántico</w:t>
            </w:r>
          </w:p>
        </w:tc>
      </w:tr>
    </w:tbl>
    <w:p>
      <w:pPr>
        <w:jc w:val="center"/>
      </w:pPr>
      <w:r>
        <w:t>——————————————————————————————</w:t>
      </w:r>
    </w:p>
    <w:p>
      <w:pPr>
        <w:pStyle w:val="Heading1"/>
      </w:pPr>
      <w:r>
        <w:t>1. ¿Qué es el Clinical Decision Engine Auditable?</w:t>
      </w:r>
    </w:p>
    <w:p>
      <w:r>
        <w:rPr>
          <w:b w:val="0"/>
        </w:rPr>
        <w:t xml:space="preserve">Un </w:t>
      </w:r>
      <w:r>
        <w:rPr>
          <w:b/>
        </w:rPr>
        <w:t>CDE Auditable</w:t>
      </w:r>
      <w:r>
        <w:rPr>
          <w:b w:val="0"/>
        </w:rPr>
        <w:t xml:space="preserve"> es un sistema que demuestra simultáneamente </w:t>
      </w:r>
      <w:r>
        <w:rPr>
          <w:b/>
        </w:rPr>
        <w:t>5 dimensiones</w:t>
      </w:r>
      <w:r>
        <w:rPr>
          <w:b w:val="0"/>
        </w:rPr>
        <w:t xml:space="preserve"> ante un revisor clínico, regulatorio o técnico: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Dimensión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Pregunta que responde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Evidencia operativa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CÓMO</w:t>
            </w:r>
            <w:r/>
          </w:p>
        </w:tc>
        <w:tc>
          <w:tcPr>
            <w:tcW w:type="dxa" w:w="2880"/>
          </w:tcPr>
          <w:p>
            <w:r/>
            <w:r>
              <w:t>¿Cómo llegó a esta recomendación?</w:t>
            </w:r>
          </w:p>
        </w:tc>
        <w:tc>
          <w:tcPr>
            <w:tcW w:type="dxa" w:w="2880"/>
          </w:tcPr>
          <w:p>
            <w:r/>
            <w:r>
              <w:t>Cadena de razonamiento explícita con gate stacking + DDI cross-check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POR QUÉ</w:t>
            </w:r>
            <w:r/>
          </w:p>
        </w:tc>
        <w:tc>
          <w:tcPr>
            <w:tcW w:type="dxa" w:w="2880"/>
          </w:tcPr>
          <w:p>
            <w:r/>
            <w:r>
              <w:t>¿Por qué esa recomendación y no otra?</w:t>
            </w:r>
          </w:p>
        </w:tc>
        <w:tc>
          <w:tcPr>
            <w:tcW w:type="dxa" w:w="2880"/>
          </w:tcPr>
          <w:p>
            <w:r/>
            <w:r>
              <w:t xml:space="preserve">Mensajes </w:t>
            </w:r>
            <w:r>
              <w:rPr>
                <w:rFonts w:ascii="Courier New" w:hAnsi="Courier New"/>
                <w:sz w:val="18"/>
              </w:rPr>
              <w:t>not_recommended</w:t>
            </w:r>
            <w:r>
              <w:t xml:space="preserve"> con drug pair + impacto + acción + alternativa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DATOS</w:t>
            </w:r>
            <w:r/>
          </w:p>
        </w:tc>
        <w:tc>
          <w:tcPr>
            <w:tcW w:type="dxa" w:w="2880"/>
          </w:tcPr>
          <w:p>
            <w:r/>
            <w:r>
              <w:t>¿Con qué datos del paciente?</w:t>
            </w:r>
          </w:p>
        </w:tc>
        <w:tc>
          <w:tcPr>
            <w:tcW w:type="dxa" w:w="2880"/>
          </w:tcPr>
          <w:p>
            <w:r/>
            <w:r>
              <w:t>Schema declarativo: 42 FieldSpecs críticos + audit del payload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EVIDENCIA</w:t>
            </w:r>
            <w:r/>
          </w:p>
        </w:tc>
        <w:tc>
          <w:tcPr>
            <w:tcW w:type="dxa" w:w="2880"/>
          </w:tcPr>
          <w:p>
            <w:r/>
            <w:r>
              <w:t>¿Bajo qué evidencia científica?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evidence_tag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trial_refs</w:t>
            </w:r>
            <w:r>
              <w:t xml:space="preserve"> + label section por gate (37 estudios pivote)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VERSIÓN</w:t>
            </w:r>
            <w:r/>
          </w:p>
        </w:tc>
        <w:tc>
          <w:tcPr>
            <w:tcW w:type="dxa" w:w="2880"/>
          </w:tcPr>
          <w:p>
            <w:r/>
            <w:r>
              <w:t>¿Bajo qué versión del algoritmo?</w:t>
            </w:r>
          </w:p>
        </w:tc>
        <w:tc>
          <w:tcPr>
            <w:tcW w:type="dxa" w:w="2880"/>
          </w:tcPr>
          <w:p>
            <w:r/>
            <w:r>
              <w:t>FAUBOT_RELEASE + 19 SHAs YAML per-gate + módulo SHA</w:t>
            </w:r>
          </w:p>
        </w:tc>
      </w:tr>
    </w:tbl>
    <w:p>
      <w:r>
        <w:rPr>
          <w:b w:val="0"/>
        </w:rPr>
        <w:t xml:space="preserve">Cada decisión clínica del sistema es </w:t>
      </w:r>
      <w:r>
        <w:rPr>
          <w:b/>
        </w:rPr>
        <w:t>explicable, trazable y reproducible</w:t>
      </w:r>
      <w:r>
        <w:rPr>
          <w:b w:val="0"/>
        </w:rPr>
        <w:t xml:space="preserve"> bajo estas 5 dimensiones simultáneamente.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1"/>
      </w:pPr>
      <w:r>
        <w:t>2. Línea temporal — 14 iteraciones del bucle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Bloque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Auditorías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Foco arquitectónico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Dimensiones reforzadas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Block A — Foundation</w:t>
            </w:r>
            <w:r/>
          </w:p>
        </w:tc>
        <w:tc>
          <w:tcPr>
            <w:tcW w:type="dxa" w:w="2160"/>
          </w:tcPr>
          <w:p>
            <w:r/>
            <w:r>
              <w:t>#23 (VII)</w:t>
            </w:r>
          </w:p>
        </w:tc>
        <w:tc>
          <w:tcPr>
            <w:tcW w:type="dxa" w:w="2160"/>
          </w:tcPr>
          <w:p>
            <w:r/>
            <w:r>
              <w:t xml:space="preserve">Gates 17-18 ARPI cardiotox + </w:t>
            </w:r>
            <w:r>
              <w:rPr>
                <w:b/>
              </w:rPr>
              <w:t>inicio del bucle CDE</w:t>
            </w:r>
            <w:r/>
          </w:p>
        </w:tc>
        <w:tc>
          <w:tcPr>
            <w:tcW w:type="dxa" w:w="2160"/>
          </w:tcPr>
          <w:p>
            <w:r/>
            <w:r>
              <w:t>Las 5 (declaración inicial)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Block B — UI/Longitudinal</w:t>
            </w:r>
            <w:r/>
          </w:p>
        </w:tc>
        <w:tc>
          <w:tcPr>
            <w:tcW w:type="dxa" w:w="2160"/>
          </w:tcPr>
          <w:p>
            <w:r/>
            <w:r>
              <w:t>#24-#25 (VIII-IX)</w:t>
            </w:r>
          </w:p>
        </w:tc>
        <w:tc>
          <w:tcPr>
            <w:tcW w:type="dxa" w:w="2160"/>
          </w:tcPr>
          <w:p>
            <w:r/>
            <w:r>
              <w:t>UI card + delta temporal</w:t>
            </w:r>
          </w:p>
        </w:tc>
        <w:tc>
          <w:tcPr>
            <w:tcW w:type="dxa" w:w="2160"/>
          </w:tcPr>
          <w:p>
            <w:r/>
            <w:r>
              <w:t>CÓMO, POR QUÉ, VERSIÓN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Block C — Cierre CDE arquitectónico</w:t>
            </w:r>
            <w:r/>
          </w:p>
        </w:tc>
        <w:tc>
          <w:tcPr>
            <w:tcW w:type="dxa" w:w="2160"/>
          </w:tcPr>
          <w:p>
            <w:r/>
            <w:r>
              <w:t>#26 (X)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Endpoint `/api/decision-audit/&lt;ref&gt;` con 5 dimensiones JSON</w:t>
            </w:r>
            <w:r/>
          </w:p>
        </w:tc>
        <w:tc>
          <w:tcPr>
            <w:tcW w:type="dxa" w:w="2160"/>
          </w:tcPr>
          <w:p>
            <w:r/>
            <w:r>
              <w:t>Las 5 (cierre conceptual)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Block D — YAML migration</w:t>
            </w:r>
            <w:r/>
          </w:p>
        </w:tc>
        <w:tc>
          <w:tcPr>
            <w:tcW w:type="dxa" w:w="2160"/>
          </w:tcPr>
          <w:p>
            <w:r/>
            <w:r>
              <w:t>#27-#30 (XI-XIV)</w:t>
            </w:r>
          </w:p>
        </w:tc>
        <w:tc>
          <w:tcPr>
            <w:tcW w:type="dxa" w:w="2160"/>
          </w:tcPr>
          <w:p>
            <w:r/>
            <w:r>
              <w:t>13/19 gates declarativos + dashboard + gate 19 YAML-NATIVE</w:t>
            </w:r>
          </w:p>
        </w:tc>
        <w:tc>
          <w:tcPr>
            <w:tcW w:type="dxa" w:w="2160"/>
          </w:tcPr>
          <w:p>
            <w:r/>
            <w:r>
              <w:t>VERSIÓN, EVIDENCIA, DATOS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Block E — Cross-reasoning</w:t>
            </w:r>
            <w:r/>
          </w:p>
        </w:tc>
        <w:tc>
          <w:tcPr>
            <w:tcW w:type="dxa" w:w="2160"/>
          </w:tcPr>
          <w:p>
            <w:r/>
            <w:r>
              <w:t>#31-#33 (XV-XVII)</w:t>
            </w:r>
          </w:p>
        </w:tc>
        <w:tc>
          <w:tcPr>
            <w:tcW w:type="dxa" w:w="2160"/>
          </w:tcPr>
          <w:p>
            <w:r/>
            <w:r>
              <w:t>DDI cross-check + dashboard DDI + UI badges</w:t>
            </w:r>
          </w:p>
        </w:tc>
        <w:tc>
          <w:tcPr>
            <w:tcW w:type="dxa" w:w="2160"/>
          </w:tcPr>
          <w:p>
            <w:r/>
            <w:r>
              <w:t>CÓMO 100%, POR QUÉ 100%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Block F — Catálogo 100%</w:t>
            </w:r>
            <w:r/>
          </w:p>
        </w:tc>
        <w:tc>
          <w:tcPr>
            <w:tcW w:type="dxa" w:w="2160"/>
          </w:tcPr>
          <w:p>
            <w:r/>
            <w:r>
              <w:t>#34-#35 (XVIII-XIX)</w:t>
            </w:r>
          </w:p>
        </w:tc>
        <w:tc>
          <w:tcPr>
            <w:tcW w:type="dxa" w:w="2160"/>
          </w:tcPr>
          <w:p>
            <w:r/>
            <w:r>
              <w:t xml:space="preserve">5 + 1 gates restantes a YAML — </w:t>
            </w:r>
            <w:r>
              <w:rPr>
                <w:b/>
              </w:rPr>
              <w:t>19/19 (100%)</w:t>
            </w:r>
            <w:r/>
          </w:p>
        </w:tc>
        <w:tc>
          <w:tcPr>
            <w:tcW w:type="dxa" w:w="2160"/>
          </w:tcPr>
          <w:p>
            <w:r/>
            <w:r>
              <w:t>VERSIÓN 100%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Block G — DATOS 100%</w:t>
            </w:r>
            <w:r/>
          </w:p>
        </w:tc>
        <w:tc>
          <w:tcPr>
            <w:tcW w:type="dxa" w:w="2160"/>
          </w:tcPr>
          <w:p>
            <w:r/>
            <w:r>
              <w:t>#36 (XX)</w:t>
            </w:r>
          </w:p>
        </w:tc>
        <w:tc>
          <w:tcPr>
            <w:tcW w:type="dxa" w:w="2160"/>
          </w:tcPr>
          <w:p>
            <w:r/>
            <w:r>
              <w:t>24 FieldSpecs nuevos + 42 critical fields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DATOS 100% — SCORECARD 5/5 EN 100%</w:t>
            </w:r>
            <w:r/>
          </w:p>
        </w:tc>
      </w:tr>
    </w:tbl>
    <w:p>
      <w:pPr>
        <w:jc w:val="center"/>
      </w:pPr>
      <w:r>
        <w:t>——————————————————————————————</w:t>
      </w:r>
    </w:p>
    <w:p>
      <w:pPr>
        <w:pStyle w:val="Heading1"/>
      </w:pPr>
      <w:r>
        <w:t>3. Arquitectura final del CDE Auditable</w:t>
      </w:r>
    </w:p>
    <w:p>
      <w:pPr>
        <w:pStyle w:val="Heading2"/>
      </w:pPr>
      <w:r>
        <w:t>Capas operativas (5)</w:t>
      </w:r>
    </w:p>
    <w:p>
      <w:r>
        <w:rPr>
          <w:rFonts w:ascii="Courier New" w:hAnsi="Courier New"/>
          <w:color w:val="404040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PAYLOAD (input estructurado)                                   │</w:t>
        <w:br/>
        <w:t>│  └─ 42+ FieldSpecs críticos · 19 gates monitoreados          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>┌────────────────────────▼────────────────────────────────────────┐</w:t>
        <w:br/>
        <w:t>│  EVALUACIÓN HÍBRIDA YAML+Python                                 │</w:t>
        <w:br/>
        <w:t>│  ├─ 19 gates YAML (catálogo declarativo)                        │</w:t>
        <w:br/>
        <w:t>│  └─ 12 detectores Python (helpers + 6 helpers migrados)      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>┌────────────────────────▼────────────────────────────────────────┐</w:t>
        <w:br/>
        <w:t>│  CROSS-CHECK DDI (12 gates × 5 categorías DDI)                  │</w:t>
        <w:br/>
        <w:t>│  ├─ qtc_prolongation · seizure_threshold ·                      │</w:t>
        <w:br/>
        <w:t>│  ├─ pharmacodynamic_aldosterone · bone_remodeling ·             │</w:t>
        <w:br/>
        <w:t>│  └─ cyp3a4_inhibition                                        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>┌────────────────────────▼────────────────────────────────────────┐</w:t>
        <w:br/>
        <w:t>│  BUNDLE COMPLETO                                                │</w:t>
        <w:br/>
        <w:t>│  ├─ filtered_treatments · gates_triggered ·                     │</w:t>
        <w:br/>
        <w:t>│  ├─ not_recommended_messages · ddi_cross_alerts              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 xml:space="preserve">            ┌────────────┴────────────┐</w:t>
        <w:br/>
        <w:t xml:space="preserve">            ▼                         ▼</w:t>
        <w:br/>
        <w:t>┌─────────────────────────┐  ┌─────────────────────────┐</w:t>
        <w:br/>
        <w:t>│  UI Patient Profile     │  │  /api/decision-audit/   │</w:t>
        <w:br/>
        <w:t>│  - Cross-alert badges   │  │  - 5 dimensiones JSON   │</w:t>
        <w:br/>
        <w:t>│  - Mini-tabla DDI       │  │  - Algorithm version    │</w:t>
        <w:br/>
        <w:t>│  - Meds gap warning     │  │  - SHAs per-gate        │</w:t>
        <w:br/>
        <w:t>└─────────────────────────┘  └─────────────────────────┘</w:t>
      </w:r>
    </w:p>
    <w:p>
      <w:pPr>
        <w:pStyle w:val="Heading2"/>
      </w:pPr>
      <w:r>
        <w:t>Endpoints auditables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Output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Audiencia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GET /api/decision-audit/&lt;patient_ref&gt;</w:t>
            </w:r>
            <w:r/>
          </w:p>
        </w:tc>
        <w:tc>
          <w:tcPr>
            <w:tcW w:type="dxa" w:w="2880"/>
          </w:tcPr>
          <w:p>
            <w:r/>
            <w:r>
              <w:t>5 dimensiones JSON-serializable por paciente</w:t>
            </w:r>
          </w:p>
        </w:tc>
        <w:tc>
          <w:tcPr>
            <w:tcW w:type="dxa" w:w="2880"/>
          </w:tcPr>
          <w:p>
            <w:r/>
            <w:r>
              <w:t>Clínico + auditor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GET /api/decision-audit/algorithm-version</w:t>
            </w:r>
            <w:r/>
          </w:p>
        </w:tc>
        <w:tc>
          <w:tcPr>
            <w:tcW w:type="dxa" w:w="2880"/>
          </w:tcPr>
          <w:p>
            <w:r/>
            <w:r>
              <w:t>FAUBOT_RELEASE + 19 SHAs YAML + módulo SHA</w:t>
            </w:r>
          </w:p>
        </w:tc>
        <w:tc>
          <w:tcPr>
            <w:tcW w:type="dxa" w:w="2880"/>
          </w:tcPr>
          <w:p>
            <w:r/>
            <w:r>
              <w:t>Regulatorio (versionado)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GET /api/gates-coverage-dashboard</w:t>
            </w:r>
            <w:r/>
          </w:p>
        </w:tc>
        <w:tc>
          <w:tcPr>
            <w:tcW w:type="dxa" w:w="2880"/>
          </w:tcPr>
          <w:p>
            <w:r/>
            <w:r>
              <w:t>Cobertura poblacional + DDI cross-alerts heatmap</w:t>
            </w:r>
          </w:p>
        </w:tc>
        <w:tc>
          <w:tcPr>
            <w:tcW w:type="dxa" w:w="2880"/>
          </w:tcPr>
          <w:p>
            <w:r/>
            <w:r>
              <w:t>Operacional + ejecutivo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GET /gates-coverage-dashboard</w:t>
            </w:r>
            <w:r/>
          </w:p>
        </w:tc>
        <w:tc>
          <w:tcPr>
            <w:tcW w:type="dxa" w:w="2880"/>
          </w:tcPr>
          <w:p>
            <w:r/>
            <w:r>
              <w:t>HTML dashboard interactivo</w:t>
            </w:r>
          </w:p>
        </w:tc>
        <w:tc>
          <w:tcPr>
            <w:tcW w:type="dxa" w:w="2880"/>
          </w:tcPr>
          <w:p>
            <w:r/>
            <w:r>
              <w:t>Clinical leadership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urier New" w:hAnsi="Courier New"/>
                <w:sz w:val="18"/>
              </w:rPr>
              <w:t>GET /patient_profile/&lt;patient_id&gt;</w:t>
            </w:r>
            <w:r/>
          </w:p>
        </w:tc>
        <w:tc>
          <w:tcPr>
            <w:tcW w:type="dxa" w:w="2880"/>
          </w:tcPr>
          <w:p>
            <w:r/>
            <w:r>
              <w:t>UI con cross-alert badges + mini-tabla DDI por gate</w:t>
            </w:r>
          </w:p>
        </w:tc>
        <w:tc>
          <w:tcPr>
            <w:tcW w:type="dxa" w:w="2880"/>
          </w:tcPr>
          <w:p>
            <w:r/>
            <w:r>
              <w:t>Clínico atendiendo</w:t>
            </w:r>
          </w:p>
        </w:tc>
      </w:tr>
    </w:tbl>
    <w:p>
      <w:pPr>
        <w:pStyle w:val="Heading2"/>
      </w:pPr>
      <w:r>
        <w:t>Catálogo YAML — 19 gates auto-contenidos</w:t>
      </w:r>
    </w:p>
    <w:p>
      <w:r>
        <w:rPr>
          <w:rFonts w:ascii="Courier New" w:hAnsi="Courier New"/>
          <w:color w:val="404040"/>
          <w:sz w:val="18"/>
        </w:rPr>
        <w:t>prostanet/shared/pivotal_gates_catalog/</w:t>
        <w:br/>
        <w:t>├── 01_prior_arpi_exposure_mhspc.yaml        (ARANOTE)</w:t>
        <w:br/>
        <w:t>├── 02_severe_neuropathy_grade3.yaml         (TAX-327, TROPIC)</w:t>
        <w:br/>
        <w:t>├── 03_uncontrolled_hypertension.yaml        (LATITUDE, PEACE-1)</w:t>
        <w:br/>
        <w:t>├── 04_severe_heart_failure_nyha_iii_iv.yaml (LATITUDE, COU-AA-301/302)</w:t>
        <w:br/>
        <w:t>├── 05_uncontrolled_diabetes.yaml            (IPATential150)</w:t>
        <w:br/>
        <w:t>├── 06_ecog_2_or_more_for_triplets.yaml      (ARASENS, PEACE-1)</w:t>
        <w:br/>
        <w:t>├── 07_darolutamide_hypersensitivity.yaml    (ARANOTE/ARASENS/ARAMIS)</w:t>
        <w:br/>
        <w:t>├── 08_polysorbate_hypersensitivity.yaml     (Xtandi label)</w:t>
        <w:br/>
        <w:t>├── 09_no_bone_protective_agent.yaml         (ERA-223, PEACE-3) [trigger compuesto AND-NEGATIVE]</w:t>
        <w:br/>
        <w:t>├── 10_creatinine_clearance_lt_30.yaml       (TRITON-3)</w:t>
        <w:br/>
        <w:t>├── 11_radium223_in_cord_compression.yaml    (Xofigo label, Loblaw 2012)</w:t>
        <w:br/>
        <w:t>├── 12_radium223_in_hypocalcemia.yaml        (Xofigo label)</w:t>
        <w:br/>
        <w:t>├── 13_lutetium177_in_cord_compression.yaml  (Pluvicto label, VISION)</w:t>
        <w:br/>
        <w:t>├── 14_lutetium177_in_severe_cytopenias.yaml (Pluvicto label, VISION)</w:t>
        <w:br/>
        <w:t>├── 15_parp_inhibitor_in_severe_cytopenias.yaml  (PROfound, MAGNITUDE, TALAPRO-2/3, TRITON-3)</w:t>
        <w:br/>
        <w:t>├── 16_parp_inhibitor_in_mds_aml_history.yaml    (Lynparza/Akeega/Talzenna/Rubraca §5.1)</w:t>
        <w:br/>
        <w:t>├── 17_qtc_prolongation_grade3_for_enzalutamide.yaml (Xtandi §5.4, ENZAMET)</w:t>
        <w:br/>
        <w:t>├── 18_lvef_decline_for_apalutamide.yaml          (Erleada label, TITAN, SPARTAN)</w:t>
        <w:br/>
        <w:t>└── 19_arsi_in_cognitive_decline_grade2.yaml      (UCSF Cohort 2024, SIOG) [YAML-NATIVE]</w:t>
      </w:r>
    </w:p>
    <w:p>
      <w:pPr>
        <w:pStyle w:val="Heading2"/>
      </w:pPr>
      <w:r>
        <w:t>10 trigger types soportados</w:t>
      </w:r>
    </w:p>
    <w:p>
      <w:r>
        <w:rPr>
          <w:b w:val="0"/>
        </w:rPr>
      </w:r>
      <w:r>
        <w:rPr>
          <w:rFonts w:ascii="Courier New" w:hAnsi="Courier New"/>
          <w:sz w:val="20"/>
        </w:rPr>
        <w:t>truthy_flag</w:t>
      </w:r>
      <w:r>
        <w:rPr>
          <w:b w:val="0"/>
        </w:rPr>
        <w:t xml:space="preserve"> · </w:t>
      </w:r>
      <w:r>
        <w:rPr>
          <w:rFonts w:ascii="Courier New" w:hAnsi="Courier New"/>
          <w:sz w:val="20"/>
        </w:rPr>
        <w:t>numeric_threshold (≥)</w:t>
      </w:r>
      <w:r>
        <w:rPr>
          <w:b w:val="0"/>
        </w:rPr>
        <w:t xml:space="preserve"> · </w:t>
      </w:r>
      <w:r>
        <w:rPr>
          <w:rFonts w:ascii="Courier New" w:hAnsi="Courier New"/>
          <w:sz w:val="20"/>
        </w:rPr>
        <w:t>numeric_above (&gt;)</w:t>
      </w:r>
      <w:r>
        <w:rPr>
          <w:b w:val="0"/>
        </w:rPr>
        <w:t xml:space="preserve"> · </w:t>
      </w:r>
      <w:r>
        <w:rPr>
          <w:rFonts w:ascii="Courier New" w:hAnsi="Courier New"/>
          <w:sz w:val="20"/>
        </w:rPr>
        <w:t>numeric_below (&lt;)</w:t>
      </w:r>
      <w:r>
        <w:rPr>
          <w:b w:val="0"/>
        </w:rPr>
        <w:t xml:space="preserve"> · </w:t>
      </w:r>
      <w:r>
        <w:rPr>
          <w:rFonts w:ascii="Courier New" w:hAnsi="Courier New"/>
          <w:sz w:val="20"/>
        </w:rPr>
        <w:t>numeric_baseline_delta_above</w:t>
      </w:r>
      <w:r>
        <w:rPr>
          <w:b w:val="0"/>
        </w:rPr>
        <w:t xml:space="preserve"> · </w:t>
      </w:r>
      <w:r>
        <w:rPr>
          <w:rFonts w:ascii="Courier New" w:hAnsi="Courier New"/>
          <w:sz w:val="20"/>
        </w:rPr>
        <w:t>string_match</w:t>
      </w:r>
      <w:r>
        <w:rPr>
          <w:b w:val="0"/>
        </w:rPr>
        <w:t xml:space="preserve"> · </w:t>
      </w:r>
      <w:r>
        <w:rPr>
          <w:rFonts w:ascii="Courier New" w:hAnsi="Courier New"/>
          <w:sz w:val="20"/>
        </w:rPr>
        <w:t>string_contains_any</w:t>
      </w:r>
      <w:r>
        <w:rPr>
          <w:b w:val="0"/>
        </w:rPr>
        <w:t xml:space="preserve"> · </w:t>
      </w:r>
      <w:r>
        <w:rPr>
          <w:rFonts w:ascii="Courier New" w:hAnsi="Courier New"/>
          <w:sz w:val="20"/>
        </w:rPr>
        <w:t>any_of</w:t>
      </w:r>
      <w:r>
        <w:rPr>
          <w:b w:val="0"/>
        </w:rPr>
        <w:t xml:space="preserve"> · </w:t>
      </w:r>
      <w:r>
        <w:rPr>
          <w:rFonts w:ascii="Courier New" w:hAnsi="Courier New"/>
          <w:sz w:val="20"/>
        </w:rPr>
        <w:t>all_of</w:t>
      </w:r>
      <w:r>
        <w:rPr>
          <w:b w:val="0"/>
        </w:rPr>
        <w:t xml:space="preserve"> · </w:t>
      </w:r>
      <w:r>
        <w:rPr>
          <w:rFonts w:ascii="Courier New" w:hAnsi="Courier New"/>
          <w:sz w:val="20"/>
        </w:rPr>
        <w:t>all_of_falsy</w:t>
      </w:r>
      <w:r>
        <w:rPr>
          <w:b w:val="0"/>
        </w:rPr>
        <w:t xml:space="preserve"> (con </w:t>
      </w:r>
      <w:r>
        <w:rPr>
          <w:rFonts w:ascii="Courier New" w:hAnsi="Courier New"/>
          <w:sz w:val="20"/>
        </w:rPr>
        <w:t>negative_tokens</w:t>
      </w:r>
      <w:r>
        <w:rPr>
          <w:b w:val="0"/>
        </w:rPr>
        <w:t xml:space="preserve"> opcional)</w:t>
      </w:r>
    </w:p>
    <w:p>
      <w:pPr>
        <w:pStyle w:val="Heading2"/>
      </w:pPr>
      <w:r>
        <w:t>Cobertura por clase farmacológica (4 clases × 19 gates)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Clase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Gates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Cross-check DDI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Ra-223</w:t>
            </w:r>
            <w:r>
              <w:t xml:space="preserve"> (radioligando alfa)</w:t>
            </w:r>
          </w:p>
        </w:tc>
        <w:tc>
          <w:tcPr>
            <w:tcW w:type="dxa" w:w="2880"/>
          </w:tcPr>
          <w:p>
            <w:r/>
            <w:r>
              <w:t>9, 11, 12</w:t>
            </w:r>
          </w:p>
        </w:tc>
        <w:tc>
          <w:tcPr>
            <w:tcW w:type="dxa" w:w="2880"/>
          </w:tcPr>
          <w:p>
            <w:r/>
            <w:r>
              <w:t>bone_remodeling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Lu-177-PSMA</w:t>
            </w:r>
            <w:r>
              <w:t xml:space="preserve"> (radioligando beta)</w:t>
            </w:r>
          </w:p>
        </w:tc>
        <w:tc>
          <w:tcPr>
            <w:tcW w:type="dxa" w:w="2880"/>
          </w:tcPr>
          <w:p>
            <w:r/>
            <w:r>
              <w:t>13, 14</w:t>
            </w:r>
          </w:p>
        </w:tc>
        <w:tc>
          <w:tcPr>
            <w:tcW w:type="dxa" w:w="2880"/>
          </w:tcPr>
          <w:p>
            <w:r/>
            <w:r>
              <w:t>cyp3a4_inhibition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PARP inhibitors</w:t>
            </w:r>
            <w:r>
              <w:t xml:space="preserve"> (4 fármacos)</w:t>
            </w:r>
          </w:p>
        </w:tc>
        <w:tc>
          <w:tcPr>
            <w:tcW w:type="dxa" w:w="2880"/>
          </w:tcPr>
          <w:p>
            <w:r/>
            <w:r>
              <w:t>15, 16</w:t>
            </w:r>
          </w:p>
        </w:tc>
        <w:tc>
          <w:tcPr>
            <w:tcW w:type="dxa" w:w="2880"/>
          </w:tcPr>
          <w:p>
            <w:r/>
            <w:r>
              <w:t>cyp3a4_inhibition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ARPI</w:t>
            </w:r>
            <w:r>
              <w:t xml:space="preserve"> (cardiotox + neuro, 3 fármacos)</w:t>
            </w:r>
          </w:p>
        </w:tc>
        <w:tc>
          <w:tcPr>
            <w:tcW w:type="dxa" w:w="2880"/>
          </w:tcPr>
          <w:p>
            <w:r/>
            <w:r>
              <w:t>17, 18, 19</w:t>
            </w:r>
          </w:p>
        </w:tc>
        <w:tc>
          <w:tcPr>
            <w:tcW w:type="dxa" w:w="2880"/>
          </w:tcPr>
          <w:p>
            <w:r/>
            <w:r>
              <w:t>qtc_prolongation, seizure_threshold</w:t>
            </w:r>
          </w:p>
        </w:tc>
      </w:tr>
    </w:tbl>
    <w:p>
      <w:pPr>
        <w:jc w:val="center"/>
      </w:pPr>
      <w:r>
        <w:t>——————————————————————————————</w:t>
      </w:r>
    </w:p>
    <w:p>
      <w:pPr>
        <w:pStyle w:val="Heading1"/>
      </w:pPr>
      <w:r>
        <w:t>4. Métricas finales (post-#36)</w:t>
      </w:r>
    </w:p>
    <w:p>
      <w:pPr>
        <w:pStyle w:val="Heading2"/>
      </w:pPr>
      <w:r>
        <w:t>Scorecard CDE Auditable — 5/5 dimensiones en 100% 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Dimensión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Pre-#23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Post-#36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Δ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CÓMO</w:t>
            </w:r>
            <w:r/>
          </w:p>
        </w:tc>
        <w:tc>
          <w:tcPr>
            <w:tcW w:type="dxa" w:w="2160"/>
          </w:tcPr>
          <w:p>
            <w:r/>
            <w:r>
              <w:t>60%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100%</w:t>
            </w:r>
            <w:r/>
          </w:p>
        </w:tc>
        <w:tc>
          <w:tcPr>
            <w:tcW w:type="dxa" w:w="2160"/>
          </w:tcPr>
          <w:p>
            <w:r/>
            <w:r>
              <w:t>+40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POR QUÉ</w:t>
            </w:r>
            <w:r/>
          </w:p>
        </w:tc>
        <w:tc>
          <w:tcPr>
            <w:tcW w:type="dxa" w:w="2160"/>
          </w:tcPr>
          <w:p>
            <w:r/>
            <w:r>
              <w:t>75%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100%</w:t>
            </w:r>
            <w:r/>
          </w:p>
        </w:tc>
        <w:tc>
          <w:tcPr>
            <w:tcW w:type="dxa" w:w="2160"/>
          </w:tcPr>
          <w:p>
            <w:r/>
            <w:r>
              <w:t>+25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DATOS</w:t>
            </w:r>
            <w:r/>
          </w:p>
        </w:tc>
        <w:tc>
          <w:tcPr>
            <w:tcW w:type="dxa" w:w="2160"/>
          </w:tcPr>
          <w:p>
            <w:r/>
            <w:r>
              <w:t>70%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100%</w:t>
            </w:r>
            <w:r/>
          </w:p>
        </w:tc>
        <w:tc>
          <w:tcPr>
            <w:tcW w:type="dxa" w:w="2160"/>
          </w:tcPr>
          <w:p>
            <w:r/>
            <w:r>
              <w:t>+30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EVIDENCIA</w:t>
            </w:r>
            <w:r/>
          </w:p>
        </w:tc>
        <w:tc>
          <w:tcPr>
            <w:tcW w:type="dxa" w:w="2160"/>
          </w:tcPr>
          <w:p>
            <w:r/>
            <w:r>
              <w:t>80%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100%</w:t>
            </w:r>
            <w:r/>
          </w:p>
        </w:tc>
        <w:tc>
          <w:tcPr>
            <w:tcW w:type="dxa" w:w="2160"/>
          </w:tcPr>
          <w:p>
            <w:r/>
            <w:r>
              <w:t>+20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VERSIÓN</w:t>
            </w:r>
            <w:r/>
          </w:p>
        </w:tc>
        <w:tc>
          <w:tcPr>
            <w:tcW w:type="dxa" w:w="2160"/>
          </w:tcPr>
          <w:p>
            <w:r/>
            <w:r>
              <w:t>30%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100%</w:t>
            </w:r>
            <w:r/>
          </w:p>
        </w:tc>
        <w:tc>
          <w:tcPr>
            <w:tcW w:type="dxa" w:w="2160"/>
          </w:tcPr>
          <w:p>
            <w:r/>
            <w:r>
              <w:t>+70</w:t>
            </w:r>
          </w:p>
        </w:tc>
      </w:tr>
    </w:tbl>
    <w:p>
      <w:r>
        <w:rPr>
          <w:b w:val="0"/>
        </w:rPr>
      </w:r>
      <w:r>
        <w:rPr>
          <w:b/>
        </w:rPr>
        <w:t>Avance acumulado:</w:t>
      </w:r>
      <w:r>
        <w:rPr>
          <w:b w:val="0"/>
        </w:rPr>
        <w:t xml:space="preserve"> </w:t>
      </w:r>
      <w:r>
        <w:rPr>
          <w:b/>
        </w:rPr>
        <w:t>+185 puntos absolutos</w:t>
      </w:r>
      <w:r>
        <w:rPr>
          <w:b w:val="0"/>
        </w:rPr>
        <w:t xml:space="preserve"> en 14 iteraciones.</w:t>
      </w:r>
    </w:p>
    <w:p>
      <w:pPr>
        <w:pStyle w:val="Heading2"/>
      </w:pPr>
      <w:r>
        <w:t>Sistema híbrido Python + YAML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Detectores Python</w:t>
            </w:r>
          </w:p>
        </w:tc>
        <w:tc>
          <w:tcPr>
            <w:tcW w:type="dxa" w:w="4320"/>
          </w:tcPr>
          <w:p>
            <w:r/>
            <w:r>
              <w:t>12 (era 18; 6 migrados a YAML)</w:t>
            </w:r>
          </w:p>
        </w:tc>
      </w:tr>
      <w:tr>
        <w:tc>
          <w:tcPr>
            <w:tcW w:type="dxa" w:w="4320"/>
          </w:tcPr>
          <w:p>
            <w:r/>
            <w:r>
              <w:t>YAMLs cargados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19/19 (100%)</w:t>
            </w:r>
            <w:r/>
          </w:p>
        </w:tc>
      </w:tr>
      <w:tr>
        <w:tc>
          <w:tcPr>
            <w:tcW w:type="dxa" w:w="4320"/>
          </w:tcPr>
          <w:p>
            <w:r/>
            <w:r>
              <w:t>Total gates únicos (Python+YAML deduplicados)</w:t>
            </w:r>
          </w:p>
        </w:tc>
        <w:tc>
          <w:tcPr>
            <w:tcW w:type="dxa" w:w="4320"/>
          </w:tcPr>
          <w:p>
            <w:r/>
            <w:r>
              <w:t>19</w:t>
            </w:r>
          </w:p>
        </w:tc>
      </w:tr>
      <w:tr>
        <w:tc>
          <w:tcPr>
            <w:tcW w:type="dxa" w:w="4320"/>
          </w:tcPr>
          <w:p>
            <w:r/>
            <w:r>
              <w:t>SHA per-gate registrados</w:t>
            </w:r>
          </w:p>
        </w:tc>
        <w:tc>
          <w:tcPr>
            <w:tcW w:type="dxa" w:w="4320"/>
          </w:tcPr>
          <w:p>
            <w:r/>
            <w:r>
              <w:t>19</w:t>
            </w:r>
          </w:p>
        </w:tc>
      </w:tr>
      <w:tr>
        <w:tc>
          <w:tcPr>
            <w:tcW w:type="dxa" w:w="4320"/>
          </w:tcPr>
          <w:p>
            <w:r/>
            <w:r>
              <w:t>Trigger types soportados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</w:tbl>
    <w:p>
      <w:pPr>
        <w:pStyle w:val="Heading2"/>
      </w:pPr>
      <w:r>
        <w:t>Cobertura clínica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Estudios pivote cubiertos (con eligibility rules)</w:t>
            </w:r>
          </w:p>
        </w:tc>
        <w:tc>
          <w:tcPr>
            <w:tcW w:type="dxa" w:w="4320"/>
          </w:tcPr>
          <w:p>
            <w:r/>
            <w:r>
              <w:t>37</w:t>
            </w:r>
          </w:p>
        </w:tc>
      </w:tr>
      <w:tr>
        <w:tc>
          <w:tcPr>
            <w:tcW w:type="dxa" w:w="4320"/>
          </w:tcPr>
          <w:p>
            <w:r/>
            <w:r>
              <w:t>Dominios cubiertos (state classifier)</w:t>
            </w:r>
          </w:p>
        </w:tc>
        <w:tc>
          <w:tcPr>
            <w:tcW w:type="dxa" w:w="4320"/>
          </w:tcPr>
          <w:p>
            <w:r/>
            <w:r>
              <w:t>7</w:t>
            </w:r>
          </w:p>
        </w:tc>
      </w:tr>
      <w:tr>
        <w:tc>
          <w:tcPr>
            <w:tcW w:type="dxa" w:w="4320"/>
          </w:tcPr>
          <w:p>
            <w:r/>
            <w:r>
              <w:t>Copilots con propagación de gates</w:t>
            </w:r>
          </w:p>
        </w:tc>
        <w:tc>
          <w:tcPr>
            <w:tcW w:type="dxa" w:w="4320"/>
          </w:tcPr>
          <w:p>
            <w:r/>
            <w:r>
              <w:t>4</w:t>
            </w:r>
          </w:p>
        </w:tc>
      </w:tr>
      <w:tr>
        <w:tc>
          <w:tcPr>
            <w:tcW w:type="dxa" w:w="4320"/>
          </w:tcPr>
          <w:p>
            <w:r/>
            <w:r>
              <w:t>FieldSpecs críticos monitoreados</w:t>
            </w:r>
          </w:p>
        </w:tc>
        <w:tc>
          <w:tcPr>
            <w:tcW w:type="dxa" w:w="4320"/>
          </w:tcPr>
          <w:p>
            <w:r/>
            <w:r>
              <w:t>42 (era 21)</w:t>
            </w:r>
          </w:p>
        </w:tc>
      </w:tr>
      <w:tr>
        <w:tc>
          <w:tcPr>
            <w:tcW w:type="dxa" w:w="4320"/>
          </w:tcPr>
          <w:p>
            <w:r/>
            <w:r>
              <w:t>Aliases canónicos ES/EN registrados</w:t>
            </w:r>
          </w:p>
        </w:tc>
        <w:tc>
          <w:tcPr>
            <w:tcW w:type="dxa" w:w="4320"/>
          </w:tcPr>
          <w:p>
            <w:r/>
            <w:r>
              <w:t>50+</w:t>
            </w:r>
          </w:p>
        </w:tc>
      </w:tr>
    </w:tbl>
    <w:p>
      <w:pPr>
        <w:pStyle w:val="Heading2"/>
      </w:pPr>
      <w:r>
        <w:t>Tests + regresión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Tests passing total (sweep regresión)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1285+/1285+</w:t>
            </w:r>
            <w:r/>
          </w:p>
        </w:tc>
      </w:tr>
      <w:tr>
        <w:tc>
          <w:tcPr>
            <w:tcW w:type="dxa" w:w="4320"/>
          </w:tcPr>
          <w:p>
            <w:r/>
            <w:r>
              <w:t>Suites de tests pivotal+DDI+UI</w:t>
            </w:r>
          </w:p>
        </w:tc>
        <w:tc>
          <w:tcPr>
            <w:tcW w:type="dxa" w:w="4320"/>
          </w:tcPr>
          <w:p>
            <w:r/>
            <w:r>
              <w:t>13 dedicadas</w:t>
            </w:r>
          </w:p>
        </w:tc>
      </w:tr>
      <w:tr>
        <w:tc>
          <w:tcPr>
            <w:tcW w:type="dxa" w:w="4320"/>
          </w:tcPr>
          <w:p>
            <w:r/>
            <w:r>
              <w:t>Test crítico de cierre DATOS</w:t>
            </w:r>
          </w:p>
        </w:tc>
        <w:tc>
          <w:tcPr>
            <w:tcW w:type="dxa" w:w="4320"/>
          </w:tcPr>
          <w:p>
            <w:r/>
            <w:r/>
            <w:r>
              <w:rPr>
                <w:rFonts w:ascii="Courier New" w:hAnsi="Courier New"/>
                <w:sz w:val="18"/>
              </w:rPr>
              <w:t>test_all_yaml_gate_fields_have_fieldspec</w:t>
            </w:r>
            <w:r>
              <w:t xml:space="preserve"> PASA ✅</w:t>
            </w:r>
          </w:p>
        </w:tc>
      </w:tr>
      <w:tr>
        <w:tc>
          <w:tcPr>
            <w:tcW w:type="dxa" w:w="4320"/>
          </w:tcPr>
          <w:p>
            <w:r/>
            <w:r>
              <w:t>Tiempo regresión sweep completa</w:t>
            </w:r>
          </w:p>
        </w:tc>
        <w:tc>
          <w:tcPr>
            <w:tcW w:type="dxa" w:w="4320"/>
          </w:tcPr>
          <w:p>
            <w:r/>
            <w:r>
              <w:t>~140s</w:t>
            </w:r>
          </w:p>
        </w:tc>
      </w:tr>
    </w:tbl>
    <w:p>
      <w:pPr>
        <w:jc w:val="center"/>
      </w:pPr>
      <w:r>
        <w:t>——————————————————————————————</w:t>
      </w:r>
    </w:p>
    <w:p>
      <w:pPr>
        <w:pStyle w:val="Heading1"/>
      </w:pPr>
      <w:r>
        <w:t>5. Lo que el CDE Auditable NO es</w:t>
      </w:r>
    </w:p>
    <w:p>
      <w:r>
        <w:rPr>
          <w:b w:val="0"/>
        </w:rPr>
        <w:t>Importante para gestionar expectativas:</w:t>
      </w:r>
    </w:p>
    <w:p>
      <w:pPr>
        <w:pStyle w:val="ListBullet"/>
      </w:pPr>
      <w:r>
        <w:t xml:space="preserve">❌ </w:t>
      </w:r>
      <w:r>
        <w:rPr>
          <w:b/>
        </w:rPr>
        <w:t>NO es un EHR ni reemplaza el juicio clínico.</w:t>
      </w:r>
      <w:r>
        <w:t xml:space="preserve"> Es un sistema de soporte que filtra, enriquece y traza decisiones; el clínico sigue siendo el responsable.</w:t>
      </w:r>
    </w:p>
    <w:p>
      <w:pPr>
        <w:pStyle w:val="ListBullet"/>
      </w:pPr>
      <w:r>
        <w:t xml:space="preserve">❌ </w:t>
      </w:r>
      <w:r>
        <w:rPr>
          <w:b/>
        </w:rPr>
        <w:t>NO es un dispositivo médico clase III aprobado.</w:t>
      </w:r>
      <w:r>
        <w:t xml:space="preserve"> Es un Clinical Decision Support System auditable, listo para evaluación clínica controlada (beta dirigida).</w:t>
      </w:r>
    </w:p>
    <w:p>
      <w:pPr>
        <w:pStyle w:val="ListBullet"/>
      </w:pPr>
      <w:r>
        <w:t xml:space="preserve">❌ </w:t>
      </w:r>
      <w:r>
        <w:rPr>
          <w:b/>
        </w:rPr>
        <w:t>NO está integrado a EHR FHIR aún.</w:t>
      </w:r>
      <w:r>
        <w:t xml:space="preserve"> Funciona standalone vía Flask + endpoints REST.</w:t>
      </w:r>
    </w:p>
    <w:p>
      <w:pPr>
        <w:pStyle w:val="ListBullet"/>
      </w:pPr>
      <w:r>
        <w:t xml:space="preserve">❌ </w:t>
      </w:r>
      <w:r>
        <w:rPr>
          <w:b/>
        </w:rPr>
        <w:t>NO maneja datos de PHI en producción.</w:t>
      </w:r>
      <w:r>
        <w:t xml:space="preserve"> Los pacientes son sintéticos; PHI requiere security-review + HIPAA/COFEPRIS audit + cifrado at-rest antes de pilotar con datos reales.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1"/>
      </w:pPr>
      <w:r>
        <w:t>6. Backlog post-100% — Tier 6+ (futuras iteraciones)</w:t>
      </w:r>
    </w:p>
    <w:p>
      <w:r>
        <w:rPr>
          <w:b w:val="0"/>
        </w:rPr>
        <w:t xml:space="preserve">Tras alcanzar el cierre arquitectónico del scorecard, las próximas iteraciones se enfocan en </w:t>
      </w:r>
      <w:r>
        <w:rPr>
          <w:b/>
        </w:rPr>
        <w:t>escalabilidad operativa</w:t>
      </w:r>
      <w:r>
        <w:rPr>
          <w:b w:val="0"/>
        </w:rPr>
        <w:t xml:space="preserve"> (no más fundacionales):</w:t>
      </w:r>
    </w:p>
    <w:p>
      <w:pPr>
        <w:pStyle w:val="Heading2"/>
      </w:pPr>
      <w:r>
        <w:t>Tier 6 — Validación clínica integrada</w:t>
      </w:r>
    </w:p>
    <w:p>
      <w:pPr>
        <w:pStyle w:val="ListBullet"/>
      </w:pPr>
      <w:r/>
      <w:r>
        <w:rPr>
          <w:b/>
        </w:rPr>
        <w:t>F1.</w:t>
      </w:r>
      <w:r>
        <w:t xml:space="preserve"> Smoke test E2E con 5 pacientes sintéticos representativos de cada disease state, verificando las 5 dimensiones simultáneamente.</w:t>
      </w:r>
    </w:p>
    <w:p>
      <w:pPr>
        <w:pStyle w:val="ListBullet"/>
      </w:pPr>
      <w:r/>
      <w:r>
        <w:rPr>
          <w:b/>
        </w:rPr>
        <w:t>F2.</w:t>
      </w:r>
      <w:r>
        <w:t xml:space="preserve"> Pilot clínico controlado con 50 pacientes reales (post-IRB approval) midiendo concordancia con tumor board.</w:t>
      </w:r>
    </w:p>
    <w:p>
      <w:pPr>
        <w:pStyle w:val="ListBullet"/>
      </w:pPr>
      <w:r/>
      <w:r>
        <w:rPr>
          <w:b/>
        </w:rPr>
        <w:t>F3.</w:t>
      </w:r>
      <w:r>
        <w:t xml:space="preserve"> Comparación CDE Auditable vs estándar local en outcomes 6-12 meses.</w:t>
      </w:r>
    </w:p>
    <w:p>
      <w:pPr>
        <w:pStyle w:val="Heading2"/>
      </w:pPr>
      <w:r>
        <w:t>Tier 7 — Escalabilidad sistémica</w:t>
      </w:r>
    </w:p>
    <w:p>
      <w:pPr>
        <w:pStyle w:val="ListBullet"/>
      </w:pPr>
      <w:r/>
      <w:r>
        <w:rPr>
          <w:b/>
        </w:rPr>
        <w:t>G1.</w:t>
      </w:r>
      <w:r>
        <w:t xml:space="preserve"> Deployment del CDE Auditable a endpoint público REST con autenticación OAuth2 + rate limiting.</w:t>
      </w:r>
    </w:p>
    <w:p>
      <w:pPr>
        <w:pStyle w:val="ListBullet"/>
      </w:pPr>
      <w:r/>
      <w:r>
        <w:rPr>
          <w:b/>
        </w:rPr>
        <w:t>G2.</w:t>
      </w:r>
      <w:r>
        <w:t xml:space="preserve"> Integración con EHR FHIR (R4): Patient + Observation + MedicationStatement → input al CDE.</w:t>
      </w:r>
    </w:p>
    <w:p>
      <w:pPr>
        <w:pStyle w:val="ListBullet"/>
      </w:pPr>
      <w:r/>
      <w:r>
        <w:rPr>
          <w:b/>
        </w:rPr>
        <w:t>G3.</w:t>
      </w:r>
      <w:r>
        <w:t xml:space="preserve"> Webhooks para notificar al EHR cuando un gate dispara (alerta clínica en tiempo real).</w:t>
      </w:r>
    </w:p>
    <w:p>
      <w:pPr>
        <w:pStyle w:val="ListBullet"/>
      </w:pPr>
      <w:r/>
      <w:r>
        <w:rPr>
          <w:b/>
        </w:rPr>
        <w:t>G4.</w:t>
      </w:r>
      <w:r>
        <w:t xml:space="preserve"> Multi-tenant + HIPAA/COFEPRIS compliance audit + BAA con Anthropic.</w:t>
      </w:r>
    </w:p>
    <w:p>
      <w:pPr>
        <w:pStyle w:val="Heading2"/>
      </w:pPr>
      <w:r>
        <w:t>Tier 8 — Generalización a otros tipos de cáncer</w:t>
      </w:r>
    </w:p>
    <w:p>
      <w:pPr>
        <w:pStyle w:val="ListBullet"/>
      </w:pPr>
      <w:r/>
      <w:r>
        <w:rPr>
          <w:b/>
        </w:rPr>
        <w:t>H1.</w:t>
      </w:r>
      <w:r>
        <w:t xml:space="preserve"> Refactor del catálogo YAML a un sub-directorio por enfermedad (</w:t>
      </w:r>
      <w:r>
        <w:rPr>
          <w:rFonts w:ascii="Courier New" w:hAnsi="Courier New"/>
          <w:sz w:val="20"/>
        </w:rPr>
        <w:t>pivotal_gates_catalog/prostate_cancer/</w:t>
      </w:r>
      <w:r>
        <w:t xml:space="preserve">, </w:t>
      </w:r>
      <w:r>
        <w:rPr>
          <w:rFonts w:ascii="Courier New" w:hAnsi="Courier New"/>
          <w:sz w:val="20"/>
        </w:rPr>
        <w:t>breast_cancer/</w:t>
      </w:r>
      <w:r>
        <w:t>, etc.).</w:t>
      </w:r>
    </w:p>
    <w:p>
      <w:pPr>
        <w:pStyle w:val="ListBullet"/>
      </w:pPr>
      <w:r/>
      <w:r>
        <w:rPr>
          <w:b/>
        </w:rPr>
        <w:t>H2.</w:t>
      </w:r>
      <w:r>
        <w:t xml:space="preserve"> Extensión a Ca de mama metastásico (CDK4/6i, antiHER2, etc.) usando misma arquitectura.</w:t>
      </w:r>
    </w:p>
    <w:p>
      <w:pPr>
        <w:pStyle w:val="ListBullet"/>
      </w:pPr>
      <w:r/>
      <w:r>
        <w:rPr>
          <w:b/>
        </w:rPr>
        <w:t>H3.</w:t>
      </w:r>
      <w:r>
        <w:t xml:space="preserve"> Marco genérico </w:t>
      </w:r>
      <w:r>
        <w:rPr>
          <w:rFonts w:ascii="Courier New" w:hAnsi="Courier New"/>
          <w:sz w:val="20"/>
        </w:rPr>
        <w:t>clinical_decision_engine</w:t>
      </w:r>
      <w:r>
        <w:t xml:space="preserve"> separado del dominio próstata.</w:t>
      </w:r>
    </w:p>
    <w:p>
      <w:pPr>
        <w:pStyle w:val="Heading2"/>
      </w:pPr>
      <w:r>
        <w:t>Tier 9 — Investigación + publicación</w:t>
      </w:r>
    </w:p>
    <w:p>
      <w:pPr>
        <w:pStyle w:val="ListBullet"/>
      </w:pPr>
      <w:r/>
      <w:r>
        <w:rPr>
          <w:b/>
        </w:rPr>
        <w:t>I1.</w:t>
      </w:r>
      <w:r>
        <w:t xml:space="preserve"> Paper en Nature Digital Medicine / npj Digital Medicine sobre el modelo de las 5 dimensiones.</w:t>
      </w:r>
    </w:p>
    <w:p>
      <w:pPr>
        <w:pStyle w:val="ListBullet"/>
      </w:pPr>
      <w:r/>
      <w:r>
        <w:rPr>
          <w:b/>
        </w:rPr>
        <w:t>I2.</w:t>
      </w:r>
      <w:r>
        <w:t xml:space="preserve"> Open-source release de </w:t>
      </w:r>
      <w:r>
        <w:rPr>
          <w:rFonts w:ascii="Courier New" w:hAnsi="Courier New"/>
          <w:sz w:val="20"/>
        </w:rPr>
        <w:t>pivotal_gates_yaml_loader</w:t>
      </w:r>
      <w:r>
        <w:t xml:space="preserve"> + catálogo + </w:t>
      </w:r>
      <w:r>
        <w:rPr>
          <w:rFonts w:ascii="Courier New" w:hAnsi="Courier New"/>
          <w:sz w:val="20"/>
        </w:rPr>
        <w:t>decision_audit_builder</w:t>
      </w:r>
      <w:r>
        <w:t xml:space="preserve"> como referencia para CDS systems.</w:t>
      </w:r>
    </w:p>
    <w:p>
      <w:pPr>
        <w:pStyle w:val="ListBullet"/>
      </w:pPr>
      <w:r/>
      <w:r>
        <w:rPr>
          <w:b/>
        </w:rPr>
        <w:t>I3.</w:t>
      </w:r>
      <w:r>
        <w:t xml:space="preserve"> Submission al FDA pre-cert program (pre-submission pathway para SaMD).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1"/>
      </w:pPr>
      <w:r>
        <w:t>7. Reglas no negociables (heredadas del bucle)</w:t>
      </w:r>
    </w:p>
    <w:p>
      <w:r>
        <w:rPr>
          <w:b w:val="0"/>
        </w:rPr>
        <w:t>Toda futura iteración debe respetar:</w:t>
      </w:r>
    </w:p>
    <w:p>
      <w:r>
        <w:rPr>
          <w:b w:val="0"/>
        </w:rPr>
        <w:t xml:space="preserve">1. </w:t>
      </w:r>
      <w:r>
        <w:rPr>
          <w:b/>
        </w:rPr>
        <w:t>Nunca borrar gates</w:t>
      </w:r>
      <w:r>
        <w:rPr>
          <w:b w:val="0"/>
        </w:rPr>
        <w:t xml:space="preserve"> sin auditoría dedicada.</w:t>
      </w:r>
    </w:p>
    <w:p>
      <w:r>
        <w:rPr>
          <w:b w:val="0"/>
        </w:rPr>
        <w:t xml:space="preserve">2. </w:t>
      </w:r>
      <w:r>
        <w:rPr>
          <w:b/>
        </w:rPr>
        <w:t>Tests parametrizados obligatorios</w:t>
      </w:r>
      <w:r>
        <w:rPr>
          <w:b w:val="0"/>
        </w:rPr>
        <w:t xml:space="preserve"> para cada nuevo gate (positive + negative + boundary + alias + override).</w:t>
      </w:r>
    </w:p>
    <w:p>
      <w:r>
        <w:rPr>
          <w:b w:val="0"/>
        </w:rPr>
        <w:t xml:space="preserve">3. </w:t>
      </w:r>
      <w:r>
        <w:rPr>
          <w:b/>
        </w:rPr>
        <w:t>Convención ES-médica</w:t>
      </w:r>
      <w:r>
        <w:rPr>
          <w:b w:val="0"/>
        </w:rPr>
        <w:t xml:space="preserve"> para todos los FieldSpecs (</w:t>
      </w:r>
      <w:r>
        <w:rPr>
          <w:rFonts w:ascii="Courier New" w:hAnsi="Courier New"/>
          <w:sz w:val="20"/>
        </w:rPr>
        <w:t>["Desconocido", "No", "Sí"]</w:t>
      </w:r>
      <w:r>
        <w:rPr>
          <w:b w:val="0"/>
        </w:rPr>
        <w:t>).</w:t>
      </w:r>
    </w:p>
    <w:p>
      <w:r>
        <w:rPr>
          <w:b w:val="0"/>
        </w:rPr>
        <w:t xml:space="preserve">4. </w:t>
      </w:r>
      <w:r>
        <w:rPr>
          <w:b/>
        </w:rPr>
        <w:t>Backward compatibility</w:t>
      </w:r>
      <w:r>
        <w:rPr>
          <w:b w:val="0"/>
        </w:rPr>
        <w:t xml:space="preserve"> en tests de count (</w:t>
      </w:r>
      <w:r>
        <w:rPr>
          <w:rFonts w:ascii="Courier New" w:hAnsi="Courier New"/>
          <w:sz w:val="20"/>
        </w:rPr>
        <w:t>&gt;=</w:t>
      </w:r>
      <w:r>
        <w:rPr>
          <w:b w:val="0"/>
        </w:rPr>
        <w:t xml:space="preserve"> no </w:t>
      </w:r>
      <w:r>
        <w:rPr>
          <w:rFonts w:ascii="Courier New" w:hAnsi="Courier New"/>
          <w:sz w:val="20"/>
        </w:rPr>
        <w:t>==</w:t>
      </w:r>
      <w:r>
        <w:rPr>
          <w:b w:val="0"/>
        </w:rPr>
        <w:t>).</w:t>
      </w:r>
    </w:p>
    <w:p>
      <w:r>
        <w:rPr>
          <w:b w:val="0"/>
        </w:rPr>
        <w:t xml:space="preserve">5. </w:t>
      </w:r>
      <w:r>
        <w:rPr>
          <w:b/>
        </w:rPr>
        <w:t>Evidencia trazable</w:t>
      </w:r>
      <w:r>
        <w:rPr>
          <w:b w:val="0"/>
        </w:rPr>
        <w:t xml:space="preserve"> por gate (</w:t>
      </w:r>
      <w:r>
        <w:rPr>
          <w:rFonts w:ascii="Courier New" w:hAnsi="Courier New"/>
          <w:sz w:val="20"/>
        </w:rPr>
        <w:t>evidence_tag</w:t>
      </w:r>
      <w:r>
        <w:rPr>
          <w:b w:val="0"/>
        </w:rPr>
        <w:t xml:space="preserve"> + </w:t>
      </w:r>
      <w:r>
        <w:rPr>
          <w:rFonts w:ascii="Courier New" w:hAnsi="Courier New"/>
          <w:sz w:val="20"/>
        </w:rPr>
        <w:t>trial_refs</w:t>
      </w:r>
      <w:r>
        <w:rPr>
          <w:b w:val="0"/>
        </w:rPr>
        <w:t xml:space="preserve"> específicos, no genéricos).</w:t>
      </w:r>
    </w:p>
    <w:p>
      <w:r>
        <w:rPr>
          <w:b w:val="0"/>
        </w:rPr>
        <w:t xml:space="preserve">6. </w:t>
      </w:r>
      <w:r>
        <w:rPr>
          <w:b/>
        </w:rPr>
        <w:t>Cada decisión explicable</w:t>
      </w:r>
      <w:r>
        <w:rPr>
          <w:b w:val="0"/>
        </w:rPr>
        <w:t xml:space="preserve"> bajo las 5 dimensiones.</w:t>
      </w:r>
    </w:p>
    <w:p>
      <w:r>
        <w:rPr>
          <w:b w:val="0"/>
        </w:rPr>
        <w:t xml:space="preserve">7. </w:t>
      </w:r>
      <w:r>
        <w:rPr>
          <w:b/>
        </w:rPr>
        <w:t>Soft penalties + hard blocks coexisten</w:t>
      </w:r>
      <w:r>
        <w:rPr>
          <w:b w:val="0"/>
        </w:rPr>
        <w:t xml:space="preserve"> (zona gris vs crítica, dos capas de seguridad).</w:t>
      </w:r>
    </w:p>
    <w:p>
      <w:r>
        <w:rPr>
          <w:b w:val="0"/>
        </w:rPr>
        <w:t xml:space="preserve">8. </w:t>
      </w:r>
      <w:r>
        <w:rPr>
          <w:b/>
        </w:rPr>
        <w:t>Override clínico documentado</w:t>
      </w:r>
      <w:r>
        <w:rPr>
          <w:b w:val="0"/>
        </w:rPr>
        <w:t xml:space="preserve"> para gates con condiciones reversibles; sin override para irreversibles (e.g., </w:t>
      </w:r>
      <w:r>
        <w:rPr>
          <w:rFonts w:ascii="Courier New" w:hAnsi="Courier New"/>
          <w:sz w:val="20"/>
        </w:rPr>
        <w:t>mds_aml_history</w:t>
      </w:r>
      <w:r>
        <w:rPr>
          <w:b w:val="0"/>
        </w:rPr>
        <w:t>).</w:t>
      </w:r>
    </w:p>
    <w:p>
      <w:r>
        <w:rPr>
          <w:b w:val="0"/>
        </w:rPr>
        <w:t xml:space="preserve">9. </w:t>
      </w:r>
      <w:r>
        <w:rPr>
          <w:b/>
        </w:rPr>
        <w:t>Autorización explícita humano-en-el-loop</w:t>
      </w:r>
      <w:r>
        <w:rPr>
          <w:b w:val="0"/>
        </w:rPr>
        <w:t xml:space="preserve"> entre cada iteración (NO autonomía sin "procede").</w:t>
      </w:r>
    </w:p>
    <w:p>
      <w:r>
        <w:rPr>
          <w:b w:val="0"/>
        </w:rPr>
        <w:t xml:space="preserve">10. </w:t>
      </w:r>
      <w:r>
        <w:rPr>
          <w:b/>
        </w:rPr>
        <w:t>Histórico inmutable</w:t>
      </w:r>
      <w:r>
        <w:rPr>
          <w:b w:val="0"/>
        </w:rPr>
        <w:t xml:space="preserve"> en </w:t>
      </w:r>
      <w:r>
        <w:rPr>
          <w:rFonts w:ascii="Courier New" w:hAnsi="Courier New"/>
          <w:sz w:val="20"/>
        </w:rPr>
        <w:t>audit_tracking.md</w:t>
      </w:r>
      <w:r>
        <w:rPr>
          <w:b w:val="0"/>
        </w:rPr>
        <w:t xml:space="preserve">; estado vivo en </w:t>
      </w:r>
      <w:r>
        <w:rPr>
          <w:rFonts w:ascii="Courier New" w:hAnsi="Courier New"/>
          <w:sz w:val="20"/>
        </w:rPr>
        <w:t>CLAUDE.md</w:t>
      </w:r>
      <w:r>
        <w:rPr>
          <w:b w:val="0"/>
        </w:rPr>
        <w:t>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1"/>
      </w:pPr>
      <w:r>
        <w:t>8. Filosofía del bucle Faubot</w:t>
      </w:r>
    </w:p>
    <w:p>
      <w:r>
        <w:rPr>
          <w:b w:val="0"/>
        </w:rPr>
        <w:t xml:space="preserve">El CDE Auditable de ProstaMed es producto de </w:t>
      </w:r>
      <w:r>
        <w:rPr>
          <w:b/>
        </w:rPr>
        <w:t>5 capas de contexto</w:t>
      </w:r>
      <w:r>
        <w:rPr>
          <w:b w:val="0"/>
        </w:rPr>
        <w:t xml:space="preserve"> + </w:t>
      </w:r>
      <w:r>
        <w:rPr>
          <w:b/>
        </w:rPr>
        <w:t>5 dimensiones de auditabilidad</w:t>
      </w:r>
      <w:r>
        <w:rPr>
          <w:b w:val="0"/>
        </w:rPr>
        <w:t xml:space="preserve"> operando iterativamente bajo autorización humana:</w:t>
      </w:r>
    </w:p>
    <w:p>
      <w:r>
        <w:rPr>
          <w:rFonts w:ascii="Courier New" w:hAnsi="Courier New"/>
          <w:color w:val="404040"/>
          <w:sz w:val="18"/>
        </w:rPr>
        <w:t>Contexto persistente (CLAUDE.md)</w:t>
        <w:br/>
        <w:t xml:space="preserve">  ↓</w:t>
        <w:br/>
        <w:t>Contexto histórico (audit_tracking.md)</w:t>
        <w:br/>
        <w:t xml:space="preserve">  ↓</w:t>
        <w:br/>
        <w:t>Contexto operacional (gates + tests + aliases)</w:t>
        <w:br/>
        <w:t xml:space="preserve">  ↓</w:t>
        <w:br/>
        <w:t>Contexto de autorización (humano-en-el-loop)</w:t>
        <w:br/>
        <w:t xml:space="preserve">  ↓</w:t>
        <w:br/>
        <w:t>Contexto de evidencia (trial_refs + evidence_tag)</w:t>
      </w:r>
    </w:p>
    <w:p>
      <w:r>
        <w:rPr>
          <w:b w:val="0"/>
        </w:rPr>
        <w:t>Cada nueva iteración refuerza al menos 2 de las 5 dimensiones, documenta su aporte explícitamente, y no avanza sin autorización del usuario.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1"/>
      </w:pPr>
      <w:r>
        <w:t>9. Conclusión ejecutiva</w:t>
      </w:r>
    </w:p>
    <w:p>
      <w:r>
        <w:rPr>
          <w:b w:val="0"/>
        </w:rPr>
        <w:t xml:space="preserve">ProstaMed es ahora un </w:t>
      </w:r>
      <w:r>
        <w:rPr>
          <w:b/>
        </w:rPr>
        <w:t>Clinical Decision Engine Auditable arquitectónicamente completo</w:t>
      </w:r>
      <w:r>
        <w:rPr>
          <w:b w:val="0"/>
        </w:rPr>
        <w:t>:</w:t>
      </w:r>
    </w:p>
    <w:p>
      <w:pPr>
        <w:pStyle w:val="ListBullet"/>
      </w:pPr>
      <w:r>
        <w:t xml:space="preserve">✅ </w:t>
      </w:r>
      <w:r>
        <w:rPr>
          <w:b/>
        </w:rPr>
        <w:t>5 de 5 dimensiones del scorecard al 100%</w:t>
      </w:r>
      <w:r/>
    </w:p>
    <w:p>
      <w:pPr>
        <w:pStyle w:val="ListBullet"/>
      </w:pPr>
      <w:r>
        <w:t xml:space="preserve">✅ </w:t>
      </w:r>
      <w:r>
        <w:rPr>
          <w:b/>
        </w:rPr>
        <w:t>19/19 gates pivotal en YAML declarativo con SHA per-gate</w:t>
      </w:r>
      <w:r/>
    </w:p>
    <w:p>
      <w:pPr>
        <w:pStyle w:val="ListBullet"/>
      </w:pPr>
      <w:r>
        <w:t xml:space="preserve">✅ </w:t>
      </w:r>
      <w:r>
        <w:rPr>
          <w:b/>
        </w:rPr>
        <w:t>3 endpoints API auditables operativos</w:t>
      </w:r>
      <w:r/>
    </w:p>
    <w:p>
      <w:pPr>
        <w:pStyle w:val="ListBullet"/>
      </w:pPr>
      <w:r>
        <w:t xml:space="preserve">✅ </w:t>
      </w:r>
      <w:r>
        <w:rPr>
          <w:b/>
        </w:rPr>
        <w:t>1285+ tests passing</w:t>
      </w:r>
      <w:r>
        <w:t xml:space="preserve"> en sweep regresional</w:t>
      </w:r>
    </w:p>
    <w:p>
      <w:pPr>
        <w:pStyle w:val="ListBullet"/>
      </w:pPr>
      <w:r>
        <w:t xml:space="preserve">✅ </w:t>
      </w:r>
      <w:r>
        <w:rPr>
          <w:b/>
        </w:rPr>
        <w:t>42 FieldSpecs críticos formalizados</w:t>
      </w:r>
      <w:r/>
    </w:p>
    <w:p>
      <w:pPr>
        <w:pStyle w:val="ListBullet"/>
      </w:pPr>
      <w:r>
        <w:t xml:space="preserve">✅ </w:t>
      </w:r>
      <w:r>
        <w:rPr>
          <w:b/>
        </w:rPr>
        <w:t>Cross-check entre 2 motores ortogonales</w:t>
      </w:r>
      <w:r>
        <w:t xml:space="preserve"> (gates pivotal + DDI engine)</w:t>
      </w:r>
    </w:p>
    <w:p>
      <w:pPr>
        <w:pStyle w:val="ListBullet"/>
      </w:pPr>
      <w:r>
        <w:t xml:space="preserve">✅ </w:t>
      </w:r>
      <w:r>
        <w:rPr>
          <w:b/>
        </w:rPr>
        <w:t>UI patient profile con razonamiento cruzado visible</w:t>
      </w:r>
      <w:r>
        <w:t xml:space="preserve"> al clínico</w:t>
      </w:r>
    </w:p>
    <w:p>
      <w:r>
        <w:rPr>
          <w:b w:val="0"/>
        </w:rPr>
        <w:t xml:space="preserve">El sistema está </w:t>
      </w:r>
      <w:r>
        <w:rPr>
          <w:b/>
        </w:rPr>
        <w:t>listo para evaluación clínica controlada (beta dirigida)</w:t>
      </w:r>
      <w:r>
        <w:rPr>
          <w:b w:val="0"/>
        </w:rPr>
        <w:t xml:space="preserve"> y para iniciar </w:t>
      </w:r>
      <w:r>
        <w:rPr>
          <w:b/>
        </w:rPr>
        <w:t>Tier 6+</w:t>
      </w:r>
      <w:r>
        <w:rPr>
          <w:b w:val="0"/>
        </w:rPr>
        <w:t xml:space="preserve"> (validación clínica integrada → deployment → generalización a otros cánceres).</w:t>
      </w:r>
    </w:p>
    <w:p>
      <w:r>
        <w:rPr>
          <w:b w:val="0"/>
        </w:rPr>
        <w:t xml:space="preserve">El bucle Faubot probó que </w:t>
      </w:r>
      <w:r>
        <w:rPr>
          <w:b/>
        </w:rPr>
        <w:t>ingeniería de contexto agéntico + autorización explícita + auditabilidad multidimensional</w:t>
      </w:r>
      <w:r>
        <w:rPr>
          <w:b w:val="0"/>
        </w:rPr>
        <w:t xml:space="preserve"> son suficientes para construir un sistema clínico de nicho con calidad regulatoria desde el primer día, sin sacrificar agilidad.</w:t>
      </w:r>
    </w:p>
    <w:p>
      <w:pPr>
        <w:jc w:val="center"/>
      </w:pPr>
      <w:r>
        <w:t>——————————————————————————————</w:t>
      </w:r>
    </w:p>
    <w:p>
      <w:r>
        <w:rPr>
          <w:b w:val="0"/>
        </w:rPr>
        <w:t xml:space="preserve">*Generado el 2026-04-25 al cierre de Auditoría #36 (Faubot 2026-04-25 XX). Histórico completo en </w:t>
      </w:r>
      <w:r>
        <w:rPr>
          <w:rFonts w:ascii="Courier New" w:hAnsi="Courier New"/>
          <w:sz w:val="20"/>
        </w:rPr>
        <w:t>prostanet/audit_tracking.md</w:t>
      </w:r>
      <w:r>
        <w:rPr>
          <w:b w:val="0"/>
        </w:rPr>
        <w:t xml:space="preserve">. Memoria viva del bucle en </w:t>
      </w:r>
      <w:r>
        <w:rPr>
          <w:rFonts w:ascii="Courier New" w:hAnsi="Courier New"/>
          <w:sz w:val="20"/>
        </w:rPr>
        <w:t>CLAUDE.md</w:t>
      </w:r>
      <w:r>
        <w:rPr>
          <w:b w:val="0"/>
        </w:rP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