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СОГЛАШЕНИЕ ОБ ОСНОВНЫХ УСЛОВИЯХ СДЕЛКИ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right="-43" w:firstLine="72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Настоящее Соглашение об основных условиях сделки («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Соглашение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») фиксирует предварительные договоренности сторон по запуску и финансированию проекта на условиях конвертируемого займа по модели SAFE (ст. 19.1 ФЗ «Об обществах с ограниченной ответственностью»). Соглашение заключено в дату более поздней подписи («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Дата заключения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»).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709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Кроме пункта 10 «Применимое право и разрешение споров», пункта 11 «Заключение Соглашения» и пункта 12 «Конфиденциальность», которые является обязательными для Сторон (как этот термин определен далее), настоящее Соглашение не является юридически обязывающим документом и не создает для Сторон взаимных прав и обязанностей.</w:t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31"/>
        <w:gridCol w:w="6198"/>
        <w:tblGridChange w:id="0">
          <w:tblGrid>
            <w:gridCol w:w="2831"/>
            <w:gridCol w:w="61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26" w:right="0" w:hanging="426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Стороны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Сторонами настоящего Соглашения являются: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hanging="360"/>
              <w:jc w:val="both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ФИО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паспортные данные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(«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Инвестор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»); 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hanging="360"/>
              <w:jc w:val="both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Общество с ограниченной ответственностью «[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Наименование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ОГРН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ОГРН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(«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Общество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»);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далее совместно именуемые 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Стороны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», а по отдельности – 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Сторона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».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26" w:right="0" w:hanging="426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Проект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Общество осуществляет деятельность по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указать деятельность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(«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Проект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»).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26" w:right="0" w:hanging="426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Раунд финансирования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Для целей финансирования своей деятельности Общество привлекает раунд финансирования на условиях договора конвертируемого займа по модели SAFE на общую сумму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150 000 000 (сто пятьдесят миллионов)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рублей.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 или непосредственно до заключения договора конвертируемого займа по модели SAFE все участники Общества дадут свое предварительное согласие на заключение такого договора, как того требует п. 9-10 ст. 19.1 ФЗ «Об обществах с ограниченной ответственностью», что будет подтверждено путем нотариального удостоверения.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26" w:right="0" w:hanging="426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Инвестор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Инвестор желает поучаствовать в раунде финансирования и предоставить Обществу инвестиции на условиях, предусмотренных ниже.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26" w:right="0" w:hanging="426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Условия конвертируемого займа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Инвестор предоставит Обществу конвертируемый заем на следующих условиях: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Проценты –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10% (десять процентов)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годовых;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Срок займа –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до 01 января 2025 года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(«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Дата возврата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»);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Сумма займа –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150 000 000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рублей («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Сумма займа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»);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Потолок оценки Общества составляет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1 000 000 000 рублей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Дисконт к оценке Общества для целей принятия Инвестора в состав участников Общества на льготных условиях составляет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 случае одновременного применения потолка оценки и дисконта Инвестор должен приобрести долю большего размера;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Максимальный размер доли, которую может получить Инвестор в уставном капитале Общества, составляет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30%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Сумма займа и начисленные к Дате возврата проценты в дальнейшем совместно именуются 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Задолженность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».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26" w:right="0" w:hanging="426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1fob9te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Альтернативное исполнение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Стороны обязаны: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Конвертировать Задолженность в долю в уставном капитале Общества в случае наступления в течение срока займа нового раунда финансирования или события ликвидности в виде реорганизации, ликвидации Общества, отчуждения 50% и более долей в его уставном капитале третьим лицам, отчуждения ключевых активов Общества; или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Если раунд финансирования или событие ликвидности не наступили в течение срока займа, Общество вправе выбрать, конвертировать Задолженность в долю в уставном капитале Общества по заранее согласованной формуле (например, с использованием выручки Общества за определенный период, предшествующий конвертации) или вернуть Инвестору Задолженность.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26" w:right="0" w:hanging="426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3znysh7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Порядок конвертации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Конвертация Суммы займа в уставный капитал Общества будет осуществляться следующим образом: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Общество уведомит Инвестора о планируемом наступлении раунда финансирования, события ликвидности или истечении срока займа, указав предынвестиционную оценку Общества (при необходимости), выручку Общества (при необходимости), рассчитает размер доли, которую вправе получить Инвестор, и предоставит подписанные Обществом и всеми его участниками экземпляры корпоративных договоров в отношении Общества, как предусмотрено в статье 8;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Инвестор со своей стороны подпишет все экземпляры корпоративных договоров и в течение определенного периода (например, 10 рабочих дней с даты получения уведомления от Общества) обратится к нотариусу с требованием увеличить уставный капитал Общества за счет его вклада, в котором продублирует сведения, указанные Обществом в уведомлении;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Процесс конвертации должен быть завершен не позднее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01 марта 2025 года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], а если этого не будет сделано по обстоятельствам, не зависящим от Инвестора, и независимо от вины Общества, Инвестор вправе требовать возврата суммы займа с начислением процентной ставки в размере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30%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в год или добиваться выделения ему доли в судебном порядке.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26" w:right="0" w:hanging="426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2et92p0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Корпоративный договор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Непосредственно до осуществления конвертации и вхождения Инвестора в состав участников Общества все участники Общества, включая Инвестора, заключат корпоративный договор, который будет предусматривать: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588" w:right="0" w:hanging="588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Если в течение срока займа происходит новый раунд финансирования, то Инвестор должен иметь все права и обязанности, предоставляемые участникам такого раунда;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588" w:right="0" w:hanging="588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Если раунда финансирования не происходит, то Инвестор должен иметь права, обычно предоставляемые инвесторам (участие в управлении Обществом, право получать информацию об Обществе, участие в распределении прибыли, право на выход из Общества в той или иной форме, tag-along right, ликвидационные привилегии и т.п.);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588" w:right="0" w:hanging="588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Корпоративный договор может также предусматривать определенные обязанности, которые обычно предусматривают для миноритарных участников (обязанность голосовать определенным образом, drag-along right у мажоритариев, отказ от реализации преимущественного права, обязательство не конкурировать с Обществом).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26" w:right="0" w:hanging="426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Согласие участников Общества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Генеральный директор Общества настоящим подтверждает, что действующие участники Общества поставлены в известность о содержании настоящего Соглашения и дают свое согласие в части положений, которые касаются их прав и обязанностей.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26" w:right="0" w:hanging="426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tyjcw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Применимое право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Настоящее Соглашение регулируется правом Российской Федерации. Все споры рассматриваются в арбитражном суде по месту нахождения Общества.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26" w:right="0" w:hanging="426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3dy6vkm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 Соглашения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Соглашение может быть заключено путем обмена Сторонами по электронной почте экземплярами Соглашения, подписанными в одностороннем порядке. Стороны признают юридическую силу за документами, направленными по электронной почте, и признают их равнозначными документам на бумажных носителях, подписанным собственноручной подписью. Соглашение может быть также подписано с использованием сервисов электронной подписи (например, DocuSign). В случае использования сервисов электронной подписи подписант документа определяется в соответствии с правилами такого сервиса, в том числе по адресам электронной почты, которые указаны на странице с подписями настоящего Соглашения. Стороны обязуются не предоставлять доступ (в том числе пароли) к электронной почте и сервисам электронной почты неуполномоченным лицам.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26" w:right="0" w:hanging="426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1t3h5sf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Конфиденциальность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Настоящее Соглашение и вся сопутствующая информация и документы, которыми Стороны обменивались в связи с настоящим Соглашением, являются конфиденциальными.</w:t>
            </w:r>
          </w:p>
        </w:tc>
      </w:tr>
    </w:tbl>
    <w:p w:rsidR="00000000" w:rsidDel="00000000" w:rsidP="00000000" w:rsidRDefault="00000000" w:rsidRPr="00000000" w14:paraId="00000031">
      <w:pPr>
        <w:spacing w:after="24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</w:t>
      </w:r>
      <w:r w:rsidDel="00000000" w:rsidR="00000000" w:rsidRPr="00000000">
        <w:rPr>
          <w:i w:val="1"/>
          <w:sz w:val="22"/>
          <w:szCs w:val="22"/>
          <w:rtl w:val="0"/>
        </w:rPr>
        <w:t xml:space="preserve">СТРАНИЦА С ПОДПИСЯМИ СЛЕДУЕТ ДАЛЕЕ</w:t>
      </w:r>
      <w:r w:rsidDel="00000000" w:rsidR="00000000" w:rsidRPr="00000000">
        <w:rPr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33">
      <w:pPr>
        <w:spacing w:after="24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*</w:t>
        <w:tab/>
        <w:t xml:space="preserve">*</w:t>
        <w:tab/>
        <w:t xml:space="preserve">*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15"/>
        <w:gridCol w:w="4514"/>
        <w:tblGridChange w:id="0">
          <w:tblGrid>
            <w:gridCol w:w="4515"/>
            <w:gridCol w:w="45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4d34og8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Общество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Инвестор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</w:t>
              <w:tab/>
              <w:tab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</w:t>
              <w:tab/>
              <w:tab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(подпись)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ФИО: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ФИО: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Должность: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Должность: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Дата: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Дата: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029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031"/>
      <w:gridCol w:w="3000"/>
      <w:gridCol w:w="2998"/>
      <w:tblGridChange w:id="0">
        <w:tblGrid>
          <w:gridCol w:w="3031"/>
          <w:gridCol w:w="3000"/>
          <w:gridCol w:w="299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47">
          <w:pPr>
            <w:tabs>
              <w:tab w:val="center" w:leader="none" w:pos="4153"/>
              <w:tab w:val="right" w:leader="none" w:pos="8306"/>
            </w:tabs>
            <w:jc w:val="left"/>
            <w:rPr>
              <w:rFonts w:ascii="Arial" w:cs="Arial" w:eastAsia="Arial" w:hAnsi="Arial"/>
            </w:rPr>
          </w:pPr>
          <w:hyperlink r:id="rId1"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u w:val="single"/>
                <w:rtl w:val="0"/>
              </w:rPr>
              <w:t xml:space="preserve">www.buzko.legal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9">
          <w:pPr>
            <w:tabs>
              <w:tab w:val="center" w:leader="none" w:pos="4153"/>
              <w:tab w:val="right" w:leader="none" w:pos="8306"/>
            </w:tabs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029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031"/>
      <w:gridCol w:w="3000"/>
      <w:gridCol w:w="2998"/>
      <w:tblGridChange w:id="0">
        <w:tblGrid>
          <w:gridCol w:w="3031"/>
          <w:gridCol w:w="3000"/>
          <w:gridCol w:w="299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4D">
          <w:pPr>
            <w:tabs>
              <w:tab w:val="center" w:leader="none" w:pos="4153"/>
              <w:tab w:val="right" w:leader="none" w:pos="8306"/>
            </w:tabs>
            <w:jc w:val="left"/>
            <w:rPr>
              <w:rFonts w:ascii="Arial" w:cs="Arial" w:eastAsia="Arial" w:hAnsi="Arial"/>
            </w:rPr>
          </w:pPr>
          <w:hyperlink r:id="rId1"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u w:val="single"/>
                <w:rtl w:val="0"/>
              </w:rPr>
              <w:t xml:space="preserve">www.buzko.legal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F">
          <w:pPr>
            <w:tabs>
              <w:tab w:val="center" w:leader="none" w:pos="4153"/>
              <w:tab w:val="right" w:leader="none" w:pos="8306"/>
            </w:tabs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(%1)"/>
      <w:lvlJc w:val="left"/>
      <w:pPr>
        <w:ind w:left="780" w:hanging="360"/>
      </w:pPr>
      <w:rPr/>
    </w:lvl>
    <w:lvl w:ilvl="1">
      <w:start w:val="1"/>
      <w:numFmt w:val="lowerLetter"/>
      <w:lvlText w:val="%2."/>
      <w:lvlJc w:val="left"/>
      <w:pPr>
        <w:ind w:left="1500" w:hanging="360"/>
      </w:pPr>
      <w:rPr/>
    </w:lvl>
    <w:lvl w:ilvl="2">
      <w:start w:val="1"/>
      <w:numFmt w:val="lowerRoman"/>
      <w:lvlText w:val="%3."/>
      <w:lvlJc w:val="right"/>
      <w:pPr>
        <w:ind w:left="2220" w:hanging="180"/>
      </w:pPr>
      <w:rPr/>
    </w:lvl>
    <w:lvl w:ilvl="3">
      <w:start w:val="1"/>
      <w:numFmt w:val="decimal"/>
      <w:lvlText w:val="%4."/>
      <w:lvlJc w:val="left"/>
      <w:pPr>
        <w:ind w:left="2940" w:hanging="360"/>
      </w:pPr>
      <w:rPr/>
    </w:lvl>
    <w:lvl w:ilvl="4">
      <w:start w:val="1"/>
      <w:numFmt w:val="lowerLetter"/>
      <w:lvlText w:val="%5."/>
      <w:lvlJc w:val="left"/>
      <w:pPr>
        <w:ind w:left="3660" w:hanging="360"/>
      </w:pPr>
      <w:rPr/>
    </w:lvl>
    <w:lvl w:ilvl="5">
      <w:start w:val="1"/>
      <w:numFmt w:val="lowerRoman"/>
      <w:lvlText w:val="%6."/>
      <w:lvlJc w:val="right"/>
      <w:pPr>
        <w:ind w:left="4380" w:hanging="180"/>
      </w:pPr>
      <w:rPr/>
    </w:lvl>
    <w:lvl w:ilvl="6">
      <w:start w:val="1"/>
      <w:numFmt w:val="decimal"/>
      <w:lvlText w:val="%7."/>
      <w:lvlJc w:val="left"/>
      <w:pPr>
        <w:ind w:left="5100" w:hanging="360"/>
      </w:pPr>
      <w:rPr/>
    </w:lvl>
    <w:lvl w:ilvl="7">
      <w:start w:val="1"/>
      <w:numFmt w:val="lowerLetter"/>
      <w:lvlText w:val="%8."/>
      <w:lvlJc w:val="left"/>
      <w:pPr>
        <w:ind w:left="5820" w:hanging="360"/>
      </w:pPr>
      <w:rPr/>
    </w:lvl>
    <w:lvl w:ilvl="8">
      <w:start w:val="1"/>
      <w:numFmt w:val="lowerRoman"/>
      <w:lvlText w:val="%9."/>
      <w:lvlJc w:val="right"/>
      <w:pPr>
        <w:ind w:left="654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120" w:lineRule="auto"/>
      <w:jc w:val="both"/>
    </w:pPr>
    <w:rPr>
      <w:b w:val="1"/>
      <w:smallCaps w:val="1"/>
      <w:sz w:val="22"/>
      <w:szCs w:val="22"/>
    </w:rPr>
  </w:style>
  <w:style w:type="paragraph" w:styleId="Heading2">
    <w:name w:val="heading 2"/>
    <w:basedOn w:val="Normal"/>
    <w:next w:val="Normal"/>
    <w:pPr>
      <w:spacing w:after="240" w:lineRule="auto"/>
      <w:ind w:left="720" w:hanging="720"/>
      <w:jc w:val="both"/>
    </w:pPr>
    <w:rPr>
      <w:sz w:val="22"/>
      <w:szCs w:val="22"/>
    </w:rPr>
  </w:style>
  <w:style w:type="paragraph" w:styleId="Heading3">
    <w:name w:val="heading 3"/>
    <w:basedOn w:val="Normal"/>
    <w:next w:val="Normal"/>
    <w:pPr>
      <w:spacing w:after="240" w:lineRule="auto"/>
      <w:ind w:left="1440" w:hanging="720"/>
      <w:jc w:val="both"/>
    </w:pPr>
    <w:rPr>
      <w:sz w:val="22"/>
      <w:szCs w:val="22"/>
    </w:rPr>
  </w:style>
  <w:style w:type="paragraph" w:styleId="Heading4">
    <w:name w:val="heading 4"/>
    <w:basedOn w:val="Normal"/>
    <w:next w:val="Normal"/>
    <w:pPr>
      <w:spacing w:after="240" w:lineRule="auto"/>
      <w:ind w:left="2160" w:hanging="720"/>
      <w:jc w:val="both"/>
    </w:pPr>
    <w:rPr>
      <w:sz w:val="22"/>
      <w:szCs w:val="22"/>
    </w:rPr>
  </w:style>
  <w:style w:type="paragraph" w:styleId="Heading5">
    <w:name w:val="heading 5"/>
    <w:basedOn w:val="Normal"/>
    <w:next w:val="Normal"/>
    <w:pPr>
      <w:spacing w:after="240" w:lineRule="auto"/>
      <w:ind w:left="2880" w:hanging="720"/>
      <w:jc w:val="both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240" w:lineRule="auto"/>
      <w:ind w:left="720" w:hanging="720"/>
      <w:jc w:val="both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mbria" w:cs="Cambria" w:eastAsia="Cambria" w:hAnsi="Cambria"/>
    </w:rPr>
  </w:style>
  <w:style w:type="table" w:styleId="Table1">
    <w:basedOn w:val="TableNormal"/>
    <w:pPr>
      <w:jc w:val="both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108.0" w:type="dxa"/>
      </w:tblCellMar>
    </w:tblPr>
  </w:style>
  <w:style w:type="table" w:styleId="Table2">
    <w:basedOn w:val="TableNormal"/>
    <w:pPr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jc w:val="both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jc w:val="both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buzko.legal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buzko.leg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