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D873" w14:textId="77777777" w:rsidR="005D53AF" w:rsidRPr="008B313C" w:rsidRDefault="00000000">
      <w:pPr>
        <w:spacing w:after="300"/>
        <w:jc w:val="center"/>
        <w:rPr>
          <w:rFonts w:ascii="Arial" w:hAnsi="Arial" w:cs="Arial"/>
        </w:rPr>
      </w:pPr>
      <w:r w:rsidRPr="008B313C">
        <w:rPr>
          <w:rFonts w:ascii="Arial" w:hAnsi="Arial" w:cs="Arial"/>
          <w:b/>
          <w:bCs/>
          <w:sz w:val="28"/>
          <w:szCs w:val="28"/>
        </w:rPr>
        <w:t>Lista de Casos de Uso / Historias de Usuario, Épicas y Sprints</w:t>
      </w:r>
    </w:p>
    <w:p w14:paraId="72FE9661" w14:textId="77777777" w:rsidR="005D53AF" w:rsidRPr="008B313C" w:rsidRDefault="00000000">
      <w:pPr>
        <w:spacing w:after="400"/>
        <w:jc w:val="center"/>
        <w:rPr>
          <w:rFonts w:ascii="Arial" w:hAnsi="Arial" w:cs="Arial"/>
        </w:rPr>
      </w:pPr>
      <w:r w:rsidRPr="008B313C">
        <w:rPr>
          <w:rFonts w:ascii="Arial" w:hAnsi="Arial" w:cs="Arial"/>
          <w:sz w:val="22"/>
          <w:szCs w:val="22"/>
        </w:rPr>
        <w:t>Automatización de Conciliaciones Contables — Hotel Plaza San Francisco</w:t>
      </w:r>
    </w:p>
    <w:p w14:paraId="2BDC08F1" w14:textId="77777777" w:rsidR="005D53AF" w:rsidRPr="008B313C" w:rsidRDefault="00000000">
      <w:pPr>
        <w:pStyle w:val="Ttulo1"/>
        <w:spacing w:before="300" w:after="150"/>
        <w:rPr>
          <w:rFonts w:ascii="Arial" w:hAnsi="Arial" w:cs="Arial"/>
        </w:rPr>
      </w:pPr>
      <w:r w:rsidRPr="008B313C">
        <w:rPr>
          <w:rFonts w:ascii="Arial" w:hAnsi="Arial" w:cs="Arial"/>
        </w:rPr>
        <w:t>1. Épicas</w:t>
      </w:r>
    </w:p>
    <w:p w14:paraId="334FC936" w14:textId="77777777" w:rsidR="005D53AF" w:rsidRPr="008B313C" w:rsidRDefault="00000000">
      <w:pPr>
        <w:spacing w:after="150"/>
        <w:jc w:val="both"/>
        <w:rPr>
          <w:rFonts w:ascii="Arial" w:hAnsi="Arial" w:cs="Arial"/>
        </w:rPr>
      </w:pPr>
      <w:r w:rsidRPr="008B313C">
        <w:rPr>
          <w:rFonts w:ascii="Arial" w:hAnsi="Arial" w:cs="Arial"/>
        </w:rPr>
        <w:t>Las épicas agrupan los casos de uso del sistema por funcionalidad, para dar trazabilidad entre el análisis de casos de uso y la planificación ágil del desarrollo.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0"/>
        <w:gridCol w:w="4000"/>
      </w:tblGrid>
      <w:tr w:rsidR="005D53AF" w:rsidRPr="008B313C" w14:paraId="3C71FC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A7D"/>
          </w:tcPr>
          <w:p w14:paraId="16E6F749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  <w:b/>
                <w:bCs/>
                <w:color w:val="FFFFFF"/>
              </w:rPr>
              <w:t>Épica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A7D"/>
          </w:tcPr>
          <w:p w14:paraId="35A956C1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  <w:b/>
                <w:bCs/>
                <w:color w:val="FFFFFF"/>
              </w:rPr>
              <w:t>Casos de Uso incluidos</w:t>
            </w:r>
          </w:p>
        </w:tc>
      </w:tr>
      <w:tr w:rsidR="005D53AF" w:rsidRPr="008B313C" w14:paraId="0316EB72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F1E61D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E1: Acceso al sistema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15D848" w14:textId="42292813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CU1</w:t>
            </w:r>
          </w:p>
        </w:tc>
      </w:tr>
      <w:tr w:rsidR="005D53AF" w:rsidRPr="008B313C" w14:paraId="21821331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532B1D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E2: Ingesta y normalización de insumos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A9C1F2" w14:textId="5D95429B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CU2, CU3</w:t>
            </w:r>
          </w:p>
        </w:tc>
      </w:tr>
      <w:tr w:rsidR="005D53AF" w:rsidRPr="008B313C" w14:paraId="674CBE4F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271412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E3: Motor de conciliación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39C523" w14:textId="05AD3B8C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CU4, CU5</w:t>
            </w:r>
          </w:p>
        </w:tc>
      </w:tr>
      <w:tr w:rsidR="005D53AF" w:rsidRPr="008B313C" w14:paraId="38C0438A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2DBA70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E4: Gestión de excepciones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561715" w14:textId="2DD2FF1C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CU6, CU7</w:t>
            </w:r>
          </w:p>
        </w:tc>
      </w:tr>
      <w:tr w:rsidR="005D53AF" w:rsidRPr="008B313C" w14:paraId="784CE1E5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EBE6D7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E5: Reportabilidad y exportación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039A8C" w14:textId="7A07F6DA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CU8</w:t>
            </w:r>
          </w:p>
        </w:tc>
      </w:tr>
    </w:tbl>
    <w:p w14:paraId="388303E8" w14:textId="77777777" w:rsidR="005D53AF" w:rsidRPr="008B313C" w:rsidRDefault="00000000">
      <w:pPr>
        <w:pStyle w:val="Ttulo1"/>
        <w:spacing w:before="300" w:after="150"/>
        <w:rPr>
          <w:rFonts w:ascii="Arial" w:hAnsi="Arial" w:cs="Arial"/>
        </w:rPr>
      </w:pPr>
      <w:r w:rsidRPr="008B313C">
        <w:rPr>
          <w:rFonts w:ascii="Arial" w:hAnsi="Arial" w:cs="Arial"/>
        </w:rPr>
        <w:t>2. Historias de Usuario</w:t>
      </w:r>
    </w:p>
    <w:p w14:paraId="15399C8C" w14:textId="77777777" w:rsidR="005D53AF" w:rsidRPr="008B313C" w:rsidRDefault="00000000">
      <w:pPr>
        <w:spacing w:after="150"/>
        <w:jc w:val="both"/>
        <w:rPr>
          <w:rFonts w:ascii="Arial" w:hAnsi="Arial" w:cs="Arial"/>
        </w:rPr>
      </w:pPr>
      <w:r w:rsidRPr="008B313C">
        <w:rPr>
          <w:rFonts w:ascii="Arial" w:hAnsi="Arial" w:cs="Arial"/>
        </w:rPr>
        <w:t>Cada Historia de Usuario corresponde a uno de los 8 casos de uso definidos para el sistema. Los criterios de aceptación se derivan directamente de la secuencia y las excepciones especificadas en la plantilla de cada caso de uso.</w:t>
      </w:r>
    </w:p>
    <w:p w14:paraId="5E37625A" w14:textId="7E4F3013" w:rsidR="005D53AF" w:rsidRPr="008B313C" w:rsidRDefault="00000000">
      <w:pPr>
        <w:pStyle w:val="Ttulo2"/>
        <w:spacing w:before="200" w:after="100"/>
        <w:rPr>
          <w:rFonts w:ascii="Arial" w:hAnsi="Arial" w:cs="Arial"/>
        </w:rPr>
      </w:pPr>
      <w:r w:rsidRPr="008B313C">
        <w:rPr>
          <w:rFonts w:ascii="Arial" w:hAnsi="Arial" w:cs="Arial"/>
        </w:rPr>
        <w:t>HU-01 (CU1) — Épica E1</w:t>
      </w:r>
    </w:p>
    <w:p w14:paraId="0DC4F914" w14:textId="77777777" w:rsidR="005D53AF" w:rsidRPr="008B313C" w:rsidRDefault="00000000">
      <w:pPr>
        <w:spacing w:after="150"/>
        <w:jc w:val="both"/>
        <w:rPr>
          <w:rFonts w:ascii="Arial" w:hAnsi="Arial" w:cs="Arial"/>
        </w:rPr>
      </w:pPr>
      <w:r w:rsidRPr="008B313C">
        <w:rPr>
          <w:rFonts w:ascii="Arial" w:hAnsi="Arial" w:cs="Arial"/>
        </w:rPr>
        <w:t>Como Analista Contable, quiero iniciar sesión en el sistema con mi usuario y contraseña, para acceder de forma segura a las funcionalidades de conciliación.</w:t>
      </w:r>
    </w:p>
    <w:p w14:paraId="58943AB2" w14:textId="77777777" w:rsidR="005D53AF" w:rsidRPr="008B313C" w:rsidRDefault="00000000">
      <w:pPr>
        <w:spacing w:after="60"/>
        <w:rPr>
          <w:rFonts w:ascii="Arial" w:hAnsi="Arial" w:cs="Arial"/>
        </w:rPr>
      </w:pPr>
      <w:r w:rsidRPr="008B313C">
        <w:rPr>
          <w:rFonts w:ascii="Arial" w:hAnsi="Arial" w:cs="Arial"/>
          <w:b/>
          <w:bCs/>
        </w:rPr>
        <w:t>Criterios de aceptación:</w:t>
      </w:r>
    </w:p>
    <w:p w14:paraId="499CB4FA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sistema valida las credenciales ingresadas contra la base de datos.</w:t>
      </w:r>
    </w:p>
    <w:p w14:paraId="1BD7AD65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Si los datos son correctos, el analista accede a las funcionalidades correspondientes.</w:t>
      </w:r>
    </w:p>
    <w:p w14:paraId="3C23B59D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Si la autenticación falla, el sistema muestra un mensaje de error y vuelve a la pantalla de login.</w:t>
      </w:r>
    </w:p>
    <w:p w14:paraId="40FB0B2C" w14:textId="3C970347" w:rsidR="005D53AF" w:rsidRPr="008B313C" w:rsidRDefault="00000000">
      <w:pPr>
        <w:pStyle w:val="Ttulo2"/>
        <w:spacing w:before="200" w:after="100"/>
        <w:rPr>
          <w:rFonts w:ascii="Arial" w:hAnsi="Arial" w:cs="Arial"/>
        </w:rPr>
      </w:pPr>
      <w:r w:rsidRPr="008B313C">
        <w:rPr>
          <w:rFonts w:ascii="Arial" w:hAnsi="Arial" w:cs="Arial"/>
        </w:rPr>
        <w:t>HU-02 (CU2) — Épica E2</w:t>
      </w:r>
    </w:p>
    <w:p w14:paraId="79E8673B" w14:textId="77777777" w:rsidR="005D53AF" w:rsidRPr="008B313C" w:rsidRDefault="00000000">
      <w:pPr>
        <w:spacing w:after="150"/>
        <w:jc w:val="both"/>
        <w:rPr>
          <w:rFonts w:ascii="Arial" w:hAnsi="Arial" w:cs="Arial"/>
        </w:rPr>
      </w:pPr>
      <w:r w:rsidRPr="008B313C">
        <w:rPr>
          <w:rFonts w:ascii="Arial" w:hAnsi="Arial" w:cs="Arial"/>
        </w:rPr>
        <w:t>Como Analista Contable, quiero cargar los archivos de cartola bancaria, reportes Transbank y borderó del ERP, para que el sistema pueda procesarlos y conciliarlos automáticamente.</w:t>
      </w:r>
    </w:p>
    <w:p w14:paraId="63CD30E0" w14:textId="77777777" w:rsidR="005D53AF" w:rsidRPr="008B313C" w:rsidRDefault="00000000">
      <w:pPr>
        <w:spacing w:after="60"/>
        <w:rPr>
          <w:rFonts w:ascii="Arial" w:hAnsi="Arial" w:cs="Arial"/>
        </w:rPr>
      </w:pPr>
      <w:r w:rsidRPr="008B313C">
        <w:rPr>
          <w:rFonts w:ascii="Arial" w:hAnsi="Arial" w:cs="Arial"/>
          <w:b/>
          <w:bCs/>
        </w:rPr>
        <w:t>Criterios de aceptación:</w:t>
      </w:r>
    </w:p>
    <w:p w14:paraId="51D8F7B0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sistema valida el formato de cada archivo cargado antes de almacenarlo.</w:t>
      </w:r>
    </w:p>
    <w:p w14:paraId="0BA2ED83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Si el formato es válido, el archivo se guarda y se dispara la normalización automática (HU-03).</w:t>
      </w:r>
    </w:p>
    <w:p w14:paraId="047E7483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Si el formato es inválido, el sistema muestra un error y solicita cargar el archivo nuevamente.</w:t>
      </w:r>
    </w:p>
    <w:p w14:paraId="024888BB" w14:textId="3B6003E5" w:rsidR="005D53AF" w:rsidRPr="008B313C" w:rsidRDefault="00000000">
      <w:pPr>
        <w:pStyle w:val="Ttulo2"/>
        <w:spacing w:before="200" w:after="100"/>
        <w:rPr>
          <w:rFonts w:ascii="Arial" w:hAnsi="Arial" w:cs="Arial"/>
        </w:rPr>
      </w:pPr>
      <w:r w:rsidRPr="008B313C">
        <w:rPr>
          <w:rFonts w:ascii="Arial" w:hAnsi="Arial" w:cs="Arial"/>
        </w:rPr>
        <w:t>HU-03 (CU3) — Épica E2</w:t>
      </w:r>
    </w:p>
    <w:p w14:paraId="33B217D2" w14:textId="1F8B77AC" w:rsidR="005D53AF" w:rsidRPr="008B313C" w:rsidRDefault="008B313C">
      <w:pPr>
        <w:spacing w:after="150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000000" w:rsidRPr="008B313C">
        <w:rPr>
          <w:rFonts w:ascii="Arial" w:hAnsi="Arial" w:cs="Arial"/>
        </w:rPr>
        <w:t>ecesito normalizar automáticamente los archivos cargados incluyendo la limpieza del formato paginado del borderó para dejar los datos listos para el cruce.</w:t>
      </w:r>
    </w:p>
    <w:p w14:paraId="52489B5F" w14:textId="77777777" w:rsidR="005D53AF" w:rsidRPr="008B313C" w:rsidRDefault="00000000">
      <w:pPr>
        <w:spacing w:after="60"/>
        <w:rPr>
          <w:rFonts w:ascii="Arial" w:hAnsi="Arial" w:cs="Arial"/>
        </w:rPr>
      </w:pPr>
      <w:r w:rsidRPr="008B313C">
        <w:rPr>
          <w:rFonts w:ascii="Arial" w:hAnsi="Arial" w:cs="Arial"/>
          <w:b/>
          <w:bCs/>
        </w:rPr>
        <w:t>Criterios de aceptación:</w:t>
      </w:r>
    </w:p>
    <w:p w14:paraId="467D7250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sistema limpia los subtotales intermedios del borderó y estandariza los campos de todos los insumos.</w:t>
      </w:r>
    </w:p>
    <w:p w14:paraId="559748FE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Los datos normalizados quedan disponibles para el motor de cruce (HU-04).</w:t>
      </w:r>
    </w:p>
    <w:p w14:paraId="27D821A0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Si un archivo tiene un formato no reconocido, se marca como no procesado para revisión manual.</w:t>
      </w:r>
    </w:p>
    <w:p w14:paraId="298EB970" w14:textId="39CFD735" w:rsidR="005D53AF" w:rsidRPr="008B313C" w:rsidRDefault="00000000">
      <w:pPr>
        <w:pStyle w:val="Ttulo2"/>
        <w:spacing w:before="200" w:after="100"/>
        <w:rPr>
          <w:rFonts w:ascii="Arial" w:hAnsi="Arial" w:cs="Arial"/>
        </w:rPr>
      </w:pPr>
      <w:r w:rsidRPr="008B313C">
        <w:rPr>
          <w:rFonts w:ascii="Arial" w:hAnsi="Arial" w:cs="Arial"/>
        </w:rPr>
        <w:lastRenderedPageBreak/>
        <w:t>HU-04 (CU4) — Épica E3</w:t>
      </w:r>
    </w:p>
    <w:p w14:paraId="636CCE02" w14:textId="77777777" w:rsidR="005D53AF" w:rsidRPr="008B313C" w:rsidRDefault="00000000">
      <w:pPr>
        <w:spacing w:after="150"/>
        <w:jc w:val="both"/>
        <w:rPr>
          <w:rFonts w:ascii="Arial" w:hAnsi="Arial" w:cs="Arial"/>
        </w:rPr>
      </w:pPr>
      <w:r w:rsidRPr="008B313C">
        <w:rPr>
          <w:rFonts w:ascii="Arial" w:hAnsi="Arial" w:cs="Arial"/>
        </w:rPr>
        <w:t>Como Analista Contable, quiero ejecutar el cruce automático de los registros cargados, para identificar qué transacciones concilian y cuáles quedan como excepción.</w:t>
      </w:r>
    </w:p>
    <w:p w14:paraId="60281823" w14:textId="77777777" w:rsidR="005D53AF" w:rsidRPr="008B313C" w:rsidRDefault="00000000">
      <w:pPr>
        <w:spacing w:after="60"/>
        <w:rPr>
          <w:rFonts w:ascii="Arial" w:hAnsi="Arial" w:cs="Arial"/>
        </w:rPr>
      </w:pPr>
      <w:r w:rsidRPr="008B313C">
        <w:rPr>
          <w:rFonts w:ascii="Arial" w:hAnsi="Arial" w:cs="Arial"/>
          <w:b/>
          <w:bCs/>
        </w:rPr>
        <w:t>Criterios de aceptación:</w:t>
      </w:r>
    </w:p>
    <w:p w14:paraId="7D32E8C1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sistema aplica las llaves de negocio (código de autorización, documento, monto) y el parámetro de tolerancia definido.</w:t>
      </w:r>
    </w:p>
    <w:p w14:paraId="25181F7D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Los registros que coinciden dentro de la tolerancia se marcan como conciliados.</w:t>
      </w:r>
    </w:p>
    <w:p w14:paraId="297CBD20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Los registros que no coinciden se clasifican por tipo de anomalía y se marcan como excepción (HU-05).</w:t>
      </w:r>
    </w:p>
    <w:p w14:paraId="31704FBD" w14:textId="45E7812F" w:rsidR="005D53AF" w:rsidRPr="008B313C" w:rsidRDefault="00000000">
      <w:pPr>
        <w:pStyle w:val="Ttulo2"/>
        <w:spacing w:before="200" w:after="100"/>
        <w:rPr>
          <w:rFonts w:ascii="Arial" w:hAnsi="Arial" w:cs="Arial"/>
        </w:rPr>
      </w:pPr>
      <w:r w:rsidRPr="008B313C">
        <w:rPr>
          <w:rFonts w:ascii="Arial" w:hAnsi="Arial" w:cs="Arial"/>
        </w:rPr>
        <w:t>HU-05 (CU5) — Épica E3</w:t>
      </w:r>
    </w:p>
    <w:p w14:paraId="3CAFDAB4" w14:textId="05928468" w:rsidR="005D53AF" w:rsidRPr="008B313C" w:rsidRDefault="008B313C">
      <w:pPr>
        <w:spacing w:after="150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000000" w:rsidRPr="008B313C">
        <w:rPr>
          <w:rFonts w:ascii="Arial" w:hAnsi="Arial" w:cs="Arial"/>
        </w:rPr>
        <w:t>ecesito generar el reporte consolidado de excepciones a partir de los registros no conciliados, para que el analista pueda revisarlos.</w:t>
      </w:r>
    </w:p>
    <w:p w14:paraId="41660B73" w14:textId="77777777" w:rsidR="005D53AF" w:rsidRPr="008B313C" w:rsidRDefault="00000000">
      <w:pPr>
        <w:spacing w:after="60"/>
        <w:rPr>
          <w:rFonts w:ascii="Arial" w:hAnsi="Arial" w:cs="Arial"/>
        </w:rPr>
      </w:pPr>
      <w:r w:rsidRPr="008B313C">
        <w:rPr>
          <w:rFonts w:ascii="Arial" w:hAnsi="Arial" w:cs="Arial"/>
          <w:b/>
          <w:bCs/>
        </w:rPr>
        <w:t>Criterios de aceptación:</w:t>
      </w:r>
    </w:p>
    <w:p w14:paraId="02D20F60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sistema recopila los registros marcados como excepción y clasifica el tipo de anomalía de cada uno.</w:t>
      </w:r>
    </w:p>
    <w:p w14:paraId="4FA48C1F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reporte queda disponible para su visualización (HU-06).</w:t>
      </w:r>
    </w:p>
    <w:p w14:paraId="76A06E95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Si no existen excepciones en la ejecución actual, se genera un reporte vacío.</w:t>
      </w:r>
    </w:p>
    <w:p w14:paraId="03BF3B80" w14:textId="597C7411" w:rsidR="005D53AF" w:rsidRPr="008B313C" w:rsidRDefault="00000000">
      <w:pPr>
        <w:pStyle w:val="Ttulo2"/>
        <w:spacing w:before="200" w:after="100"/>
        <w:rPr>
          <w:rFonts w:ascii="Arial" w:hAnsi="Arial" w:cs="Arial"/>
        </w:rPr>
      </w:pPr>
      <w:r w:rsidRPr="008B313C">
        <w:rPr>
          <w:rFonts w:ascii="Arial" w:hAnsi="Arial" w:cs="Arial"/>
        </w:rPr>
        <w:t>HU-06 (CU6) — Épica E4</w:t>
      </w:r>
    </w:p>
    <w:p w14:paraId="5A5A4A3B" w14:textId="77777777" w:rsidR="005D53AF" w:rsidRPr="008B313C" w:rsidRDefault="00000000">
      <w:pPr>
        <w:spacing w:after="150"/>
        <w:jc w:val="both"/>
        <w:rPr>
          <w:rFonts w:ascii="Arial" w:hAnsi="Arial" w:cs="Arial"/>
        </w:rPr>
      </w:pPr>
      <w:r w:rsidRPr="008B313C">
        <w:rPr>
          <w:rFonts w:ascii="Arial" w:hAnsi="Arial" w:cs="Arial"/>
        </w:rPr>
        <w:t>Como Analista Contable, quiero visualizar el reporte de excepciones, para priorizar cuáles debo resolver primero.</w:t>
      </w:r>
    </w:p>
    <w:p w14:paraId="54DEA421" w14:textId="77777777" w:rsidR="005D53AF" w:rsidRPr="008B313C" w:rsidRDefault="00000000">
      <w:pPr>
        <w:spacing w:after="60"/>
        <w:rPr>
          <w:rFonts w:ascii="Arial" w:hAnsi="Arial" w:cs="Arial"/>
        </w:rPr>
      </w:pPr>
      <w:r w:rsidRPr="008B313C">
        <w:rPr>
          <w:rFonts w:ascii="Arial" w:hAnsi="Arial" w:cs="Arial"/>
          <w:b/>
          <w:bCs/>
        </w:rPr>
        <w:t>Criterios de aceptación:</w:t>
      </w:r>
    </w:p>
    <w:p w14:paraId="7C4B7900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sistema despliega el listado de excepciones junto a su tipo de anomalía.</w:t>
      </w:r>
    </w:p>
    <w:p w14:paraId="766DEE3B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analista puede ver el detalle de cada excepción seleccionada.</w:t>
      </w:r>
    </w:p>
    <w:p w14:paraId="725949BD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Si no hay excepciones pendientes, el sistema indica que no hay registros para mostrar.</w:t>
      </w:r>
    </w:p>
    <w:p w14:paraId="666EBEAF" w14:textId="72F7EC05" w:rsidR="005D53AF" w:rsidRPr="008B313C" w:rsidRDefault="00000000">
      <w:pPr>
        <w:pStyle w:val="Ttulo2"/>
        <w:spacing w:before="200" w:after="100"/>
        <w:rPr>
          <w:rFonts w:ascii="Arial" w:hAnsi="Arial" w:cs="Arial"/>
        </w:rPr>
      </w:pPr>
      <w:r w:rsidRPr="008B313C">
        <w:rPr>
          <w:rFonts w:ascii="Arial" w:hAnsi="Arial" w:cs="Arial"/>
        </w:rPr>
        <w:t>HU-07 (CU7) — Épica E4</w:t>
      </w:r>
    </w:p>
    <w:p w14:paraId="4196367C" w14:textId="77777777" w:rsidR="005D53AF" w:rsidRPr="008B313C" w:rsidRDefault="00000000">
      <w:pPr>
        <w:spacing w:after="150"/>
        <w:jc w:val="both"/>
        <w:rPr>
          <w:rFonts w:ascii="Arial" w:hAnsi="Arial" w:cs="Arial"/>
        </w:rPr>
      </w:pPr>
      <w:r w:rsidRPr="008B313C">
        <w:rPr>
          <w:rFonts w:ascii="Arial" w:hAnsi="Arial" w:cs="Arial"/>
        </w:rPr>
        <w:t>Como Analista Contable, quiero marcar una excepción como resuelta o descartarla, para mantener actualizado el estado real de la conciliación.</w:t>
      </w:r>
    </w:p>
    <w:p w14:paraId="3AB51700" w14:textId="77777777" w:rsidR="005D53AF" w:rsidRPr="008B313C" w:rsidRDefault="00000000">
      <w:pPr>
        <w:spacing w:after="60"/>
        <w:rPr>
          <w:rFonts w:ascii="Arial" w:hAnsi="Arial" w:cs="Arial"/>
        </w:rPr>
      </w:pPr>
      <w:r w:rsidRPr="008B313C">
        <w:rPr>
          <w:rFonts w:ascii="Arial" w:hAnsi="Arial" w:cs="Arial"/>
          <w:b/>
          <w:bCs/>
        </w:rPr>
        <w:t>Criterios de aceptación:</w:t>
      </w:r>
    </w:p>
    <w:p w14:paraId="504040AD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analista puede marcar una excepción como resuelta, ingresando un comentario obligatorio.</w:t>
      </w:r>
    </w:p>
    <w:p w14:paraId="4BFE1958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analista puede descartar una excepción cuando corresponde a un falso positivo.</w:t>
      </w:r>
    </w:p>
    <w:p w14:paraId="6E1F1F68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sistema actualiza el estado de la excepción en el reporte una vez resuelta o descartada.</w:t>
      </w:r>
    </w:p>
    <w:p w14:paraId="3B04BBD6" w14:textId="6858764E" w:rsidR="005D53AF" w:rsidRPr="008B313C" w:rsidRDefault="00000000">
      <w:pPr>
        <w:pStyle w:val="Ttulo2"/>
        <w:spacing w:before="200" w:after="100"/>
        <w:rPr>
          <w:rFonts w:ascii="Arial" w:hAnsi="Arial" w:cs="Arial"/>
        </w:rPr>
      </w:pPr>
      <w:r w:rsidRPr="008B313C">
        <w:rPr>
          <w:rFonts w:ascii="Arial" w:hAnsi="Arial" w:cs="Arial"/>
        </w:rPr>
        <w:t>HU-08 (CU8) — Épica E5</w:t>
      </w:r>
    </w:p>
    <w:p w14:paraId="3FA6DFAD" w14:textId="77777777" w:rsidR="005D53AF" w:rsidRPr="008B313C" w:rsidRDefault="00000000">
      <w:pPr>
        <w:spacing w:after="150"/>
        <w:jc w:val="both"/>
        <w:rPr>
          <w:rFonts w:ascii="Arial" w:hAnsi="Arial" w:cs="Arial"/>
        </w:rPr>
      </w:pPr>
      <w:r w:rsidRPr="008B313C">
        <w:rPr>
          <w:rFonts w:ascii="Arial" w:hAnsi="Arial" w:cs="Arial"/>
        </w:rPr>
        <w:t>Como Analista Contable, quiero exportar el reporte de excepciones, para tener un respaldo o compartirlo fuera del sistema.</w:t>
      </w:r>
    </w:p>
    <w:p w14:paraId="7FDFCF01" w14:textId="77777777" w:rsidR="005D53AF" w:rsidRPr="008B313C" w:rsidRDefault="00000000">
      <w:pPr>
        <w:spacing w:after="60"/>
        <w:rPr>
          <w:rFonts w:ascii="Arial" w:hAnsi="Arial" w:cs="Arial"/>
        </w:rPr>
      </w:pPr>
      <w:r w:rsidRPr="008B313C">
        <w:rPr>
          <w:rFonts w:ascii="Arial" w:hAnsi="Arial" w:cs="Arial"/>
          <w:b/>
          <w:bCs/>
        </w:rPr>
        <w:t>Criterios de aceptación:</w:t>
      </w:r>
    </w:p>
    <w:p w14:paraId="48154D6D" w14:textId="77777777" w:rsidR="005D53AF" w:rsidRPr="008B313C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sistema genera un archivo descargable con el contenido del reporte.</w:t>
      </w:r>
    </w:p>
    <w:p w14:paraId="7448365F" w14:textId="77777777" w:rsidR="005D53AF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8B313C">
        <w:rPr>
          <w:rFonts w:ascii="Arial" w:hAnsi="Arial" w:cs="Arial"/>
        </w:rPr>
        <w:t>El analista puede reintentar la exportación si ocurre un error al generar el archivo.</w:t>
      </w:r>
    </w:p>
    <w:p w14:paraId="2F4937CC" w14:textId="77777777" w:rsidR="008B313C" w:rsidRDefault="008B313C" w:rsidP="008B313C">
      <w:pPr>
        <w:spacing w:after="60"/>
        <w:rPr>
          <w:rFonts w:ascii="Arial" w:hAnsi="Arial" w:cs="Arial"/>
        </w:rPr>
      </w:pPr>
    </w:p>
    <w:p w14:paraId="3C0AE493" w14:textId="77777777" w:rsidR="008B313C" w:rsidRDefault="008B313C" w:rsidP="008B313C">
      <w:pPr>
        <w:spacing w:after="60"/>
        <w:rPr>
          <w:rFonts w:ascii="Arial" w:hAnsi="Arial" w:cs="Arial"/>
        </w:rPr>
      </w:pPr>
    </w:p>
    <w:p w14:paraId="70DD681D" w14:textId="77777777" w:rsidR="008B313C" w:rsidRPr="008B313C" w:rsidRDefault="008B313C" w:rsidP="008B313C">
      <w:pPr>
        <w:spacing w:after="60"/>
        <w:rPr>
          <w:rFonts w:ascii="Arial" w:hAnsi="Arial" w:cs="Arial"/>
        </w:rPr>
      </w:pPr>
    </w:p>
    <w:p w14:paraId="115ACA4F" w14:textId="77777777" w:rsidR="005D53AF" w:rsidRPr="008B313C" w:rsidRDefault="00000000">
      <w:pPr>
        <w:pStyle w:val="Ttulo1"/>
        <w:spacing w:before="300" w:after="150"/>
        <w:rPr>
          <w:rFonts w:ascii="Arial" w:hAnsi="Arial" w:cs="Arial"/>
        </w:rPr>
      </w:pPr>
      <w:r w:rsidRPr="008B313C">
        <w:rPr>
          <w:rFonts w:ascii="Arial" w:hAnsi="Arial" w:cs="Arial"/>
        </w:rPr>
        <w:lastRenderedPageBreak/>
        <w:t>3. Sprints</w:t>
      </w:r>
    </w:p>
    <w:p w14:paraId="630FEC79" w14:textId="77777777" w:rsidR="005D53AF" w:rsidRPr="008B313C" w:rsidRDefault="00000000">
      <w:pPr>
        <w:spacing w:after="150"/>
        <w:jc w:val="both"/>
        <w:rPr>
          <w:rFonts w:ascii="Arial" w:hAnsi="Arial" w:cs="Arial"/>
        </w:rPr>
      </w:pPr>
      <w:r w:rsidRPr="008B313C">
        <w:rPr>
          <w:rFonts w:ascii="Arial" w:hAnsi="Arial" w:cs="Arial"/>
        </w:rPr>
        <w:t>La planificación de sprints se ajusta a las fechas definidas en la Carta Gantt del proyecto para la fase de codificación, pruebas y cierre.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50"/>
      </w:tblGrid>
      <w:tr w:rsidR="005D53AF" w:rsidRPr="008B313C" w14:paraId="57007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A7D"/>
          </w:tcPr>
          <w:p w14:paraId="74EFCB80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A7D"/>
          </w:tcPr>
          <w:p w14:paraId="2E5EDCC5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  <w:b/>
                <w:bCs/>
                <w:color w:val="FFFFFF"/>
              </w:rPr>
              <w:t>Fechas</w:t>
            </w:r>
          </w:p>
        </w:tc>
        <w:tc>
          <w:tcPr>
            <w:tcW w:w="4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A7D"/>
          </w:tcPr>
          <w:p w14:paraId="0848415E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  <w:b/>
                <w:bCs/>
                <w:color w:val="FFFFFF"/>
              </w:rPr>
              <w:t>Contenido</w:t>
            </w:r>
          </w:p>
        </w:tc>
      </w:tr>
      <w:tr w:rsidR="005D53AF" w:rsidRPr="008B313C" w14:paraId="62D31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001C2E" w14:textId="2C2546DD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Sprint 0 Preparación técnica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45F976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11 al 22 de septiembre</w:t>
            </w:r>
          </w:p>
        </w:tc>
        <w:tc>
          <w:tcPr>
            <w:tcW w:w="4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7FFB28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Diagrama de arquitectura, documentación de la fase de diseño, scripts de base de datos (SQLite)</w:t>
            </w:r>
          </w:p>
        </w:tc>
      </w:tr>
      <w:tr w:rsidR="005D53AF" w:rsidRPr="008B313C" w14:paraId="549BD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5250B4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Sprint 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EEF13D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22 de septiembre al 8 de octubre</w:t>
            </w:r>
          </w:p>
        </w:tc>
        <w:tc>
          <w:tcPr>
            <w:tcW w:w="4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A9A7EC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HU-01 Autenticarse, HU-02 Cargar insumos, HU-03 Procesar y normalizar archivos</w:t>
            </w:r>
          </w:p>
        </w:tc>
      </w:tr>
      <w:tr w:rsidR="005D53AF" w:rsidRPr="008B313C" w14:paraId="7D9C45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BD59AB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Sprint 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25E0DE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2 al 13 de octubre</w:t>
            </w:r>
          </w:p>
        </w:tc>
        <w:tc>
          <w:tcPr>
            <w:tcW w:w="4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308648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HU-04 Ejecutar cruce y validación, HU-05 Generar reporte de excepciones, HU-06 Visualizar reporte, HU-07 Gestionar / resolver excepción</w:t>
            </w:r>
          </w:p>
        </w:tc>
      </w:tr>
      <w:tr w:rsidR="005D53AF" w:rsidRPr="008B313C" w14:paraId="61EF52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282AA5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Sprint 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F8F134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12 al 18 de octubre</w:t>
            </w:r>
          </w:p>
        </w:tc>
        <w:tc>
          <w:tcPr>
            <w:tcW w:w="4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4A3C12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HU-08 Descargar / exportar reporte, documentación de la fase de codificación</w:t>
            </w:r>
          </w:p>
        </w:tc>
      </w:tr>
      <w:tr w:rsidR="005D53AF" w:rsidRPr="008B313C" w14:paraId="4B6C3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499C7B" w14:textId="33A3C106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Sprint 4 Pruebas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04F21F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19 al 30 de octubre</w:t>
            </w:r>
          </w:p>
        </w:tc>
        <w:tc>
          <w:tcPr>
            <w:tcW w:w="4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C98E7E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Pruebas unitarias e integración, pruebas con datos reales del cliente, documentación de la fase de pruebas</w:t>
            </w:r>
          </w:p>
        </w:tc>
      </w:tr>
      <w:tr w:rsidR="005D53AF" w:rsidRPr="008B313C" w14:paraId="6601C4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36ABBB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Cierre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66EE4A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2 al 6 de noviembre</w:t>
            </w:r>
          </w:p>
        </w:tc>
        <w:tc>
          <w:tcPr>
            <w:tcW w:w="4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D0600E" w14:textId="77777777" w:rsidR="005D53AF" w:rsidRPr="008B313C" w:rsidRDefault="00000000">
            <w:pPr>
              <w:rPr>
                <w:rFonts w:ascii="Arial" w:hAnsi="Arial" w:cs="Arial"/>
              </w:rPr>
            </w:pPr>
            <w:r w:rsidRPr="008B313C">
              <w:rPr>
                <w:rFonts w:ascii="Arial" w:hAnsi="Arial" w:cs="Arial"/>
              </w:rPr>
              <w:t>Manual de usuario, presentación y entrega final</w:t>
            </w:r>
          </w:p>
        </w:tc>
      </w:tr>
    </w:tbl>
    <w:p w14:paraId="6CD7F8DB" w14:textId="77777777" w:rsidR="003762D7" w:rsidRPr="008B313C" w:rsidRDefault="003762D7">
      <w:pPr>
        <w:rPr>
          <w:rFonts w:ascii="Arial" w:hAnsi="Arial" w:cs="Arial"/>
        </w:rPr>
      </w:pPr>
    </w:p>
    <w:sectPr w:rsidR="003762D7" w:rsidRPr="008B31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B64A8"/>
    <w:multiLevelType w:val="hybridMultilevel"/>
    <w:tmpl w:val="BF2206EC"/>
    <w:lvl w:ilvl="0" w:tplc="E9BA33A0">
      <w:start w:val="1"/>
      <w:numFmt w:val="bullet"/>
      <w:lvlText w:val="●"/>
      <w:lvlJc w:val="left"/>
      <w:pPr>
        <w:ind w:left="720" w:hanging="360"/>
      </w:pPr>
    </w:lvl>
    <w:lvl w:ilvl="1" w:tplc="F7448688">
      <w:start w:val="1"/>
      <w:numFmt w:val="bullet"/>
      <w:lvlText w:val="○"/>
      <w:lvlJc w:val="left"/>
      <w:pPr>
        <w:ind w:left="1440" w:hanging="360"/>
      </w:pPr>
    </w:lvl>
    <w:lvl w:ilvl="2" w:tplc="87BCB96A">
      <w:start w:val="1"/>
      <w:numFmt w:val="bullet"/>
      <w:lvlText w:val="■"/>
      <w:lvlJc w:val="left"/>
      <w:pPr>
        <w:ind w:left="2160" w:hanging="360"/>
      </w:pPr>
    </w:lvl>
    <w:lvl w:ilvl="3" w:tplc="CB74C832">
      <w:start w:val="1"/>
      <w:numFmt w:val="bullet"/>
      <w:lvlText w:val="●"/>
      <w:lvlJc w:val="left"/>
      <w:pPr>
        <w:ind w:left="2880" w:hanging="360"/>
      </w:pPr>
    </w:lvl>
    <w:lvl w:ilvl="4" w:tplc="CE841F0A">
      <w:start w:val="1"/>
      <w:numFmt w:val="bullet"/>
      <w:lvlText w:val="○"/>
      <w:lvlJc w:val="left"/>
      <w:pPr>
        <w:ind w:left="3600" w:hanging="360"/>
      </w:pPr>
    </w:lvl>
    <w:lvl w:ilvl="5" w:tplc="1CD4663C">
      <w:start w:val="1"/>
      <w:numFmt w:val="bullet"/>
      <w:lvlText w:val="■"/>
      <w:lvlJc w:val="left"/>
      <w:pPr>
        <w:ind w:left="4320" w:hanging="360"/>
      </w:pPr>
    </w:lvl>
    <w:lvl w:ilvl="6" w:tplc="A90CA8C4">
      <w:start w:val="1"/>
      <w:numFmt w:val="bullet"/>
      <w:lvlText w:val="●"/>
      <w:lvlJc w:val="left"/>
      <w:pPr>
        <w:ind w:left="5040" w:hanging="360"/>
      </w:pPr>
    </w:lvl>
    <w:lvl w:ilvl="7" w:tplc="DCCAC4AE">
      <w:start w:val="1"/>
      <w:numFmt w:val="bullet"/>
      <w:lvlText w:val="●"/>
      <w:lvlJc w:val="left"/>
      <w:pPr>
        <w:ind w:left="5760" w:hanging="360"/>
      </w:pPr>
    </w:lvl>
    <w:lvl w:ilvl="8" w:tplc="BCDCD306">
      <w:start w:val="1"/>
      <w:numFmt w:val="bullet"/>
      <w:lvlText w:val="●"/>
      <w:lvlJc w:val="left"/>
      <w:pPr>
        <w:ind w:left="6480" w:hanging="360"/>
      </w:pPr>
    </w:lvl>
  </w:abstractNum>
  <w:num w:numId="1" w16cid:durableId="907424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3AF"/>
    <w:rsid w:val="003762D7"/>
    <w:rsid w:val="005D53AF"/>
    <w:rsid w:val="008B313C"/>
    <w:rsid w:val="0097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6D6A22"/>
  <w15:docId w15:val="{C2A540C0-B876-446D-841F-2D3E89C0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810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 LUNA GONZALEZ MONTES</cp:lastModifiedBy>
  <cp:revision>2</cp:revision>
  <dcterms:created xsi:type="dcterms:W3CDTF">2026-09-11T22:23:00Z</dcterms:created>
  <dcterms:modified xsi:type="dcterms:W3CDTF">2026-09-11T22:37:00Z</dcterms:modified>
</cp:coreProperties>
</file>