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before="0" w:after="80"/>
              <w:jc w:val="both"/>
            </w:pPr>
            <w:r>
              <w:rPr>
                <w:rFonts w:ascii="Calibri" w:hAnsi="Calibri" w:cs="Arial"/>
                <w:color w:val="000000"/>
                <w:sz w:val="20"/>
                <w:szCs w:val="20"/>
                <w:lang w:eastAsia="es-CL"/>
              </w:rPr>
              <w:t xml:space="preserve">Durante esta fase pasamos del diseño a la construcción del prototipo. Lo primero que hicimos fue auditar el prototipo heredado (v1.0) que recibimos al inicio del proyecto. En esa revisión encontramos fallas que impedían usarlo con confianza: transacciones que se perdían en silencio porque los archivos se volvían a leer sin reiniciar el puntero de lectura, totales que se corrompían con valores NaN, facturas divididas que el sistema no reconocía, lectura de columnas por posición fija, ausencia total de base de datos y claves de API expuestas en el código. A partir de ese diagnóstico decidimos reconstruir la plataforma desde cero (v2.0) en Django, manteniendo el alcance y los objetivos definidos en la Fase 1.</w:t>
            </w:r>
          </w:p>
          <w:p>
            <w:pPr>
              <w:spacing w:before="0" w:after="80"/>
              <w:jc w:val="both"/>
            </w:pPr>
            <w:r>
              <w:rPr>
                <w:rFonts w:ascii="Calibri" w:hAnsi="Calibri" w:cs="Arial"/>
                <w:color w:val="000000"/>
                <w:sz w:val="20"/>
                <w:szCs w:val="20"/>
                <w:lang w:eastAsia="es-CL"/>
              </w:rPr>
              <w:t xml:space="preserve">Respecto de los objetivos específicos, el avance a la fecha es el siguiente:</w:t>
            </w:r>
          </w:p>
          <w:p>
            <w:pPr>
              <w:spacing w:before="0" w:after="80"/>
              <w:jc w:val="both"/>
            </w:pPr>
            <w:r>
              <w:rPr>
                <w:rFonts w:ascii="Calibri" w:hAnsi="Calibri" w:cs="Arial"/>
                <w:b/>
                <w:bCs/>
                <w:color w:val="000000"/>
                <w:sz w:val="20"/>
                <w:szCs w:val="20"/>
                <w:lang w:eastAsia="es-CL"/>
              </w:rPr>
              <w:t xml:space="preserve">Levantar y documentar el flujo contable (completado).</w:t>
            </w:r>
            <w:r>
              <w:rPr>
                <w:rFonts w:ascii="Calibri" w:hAnsi="Calibri" w:cs="Arial"/>
                <w:color w:val="000000"/>
                <w:sz w:val="20"/>
                <w:szCs w:val="20"/>
                <w:lang w:eastAsia="es-CL"/>
              </w:rPr>
              <w:t xml:space="preserve"> Lo cerramos en la Fase 1 a partir del material que nos envió el docente (apuntes de sus reuniones con el hotel y archivos de ejemplo), de donde obtuvimos las reglas de negocio, las llaves de cruce, las tolerancias y los errores de digitación más frecuentes (por ejemplo, una letra O en lugar de un 0).</w:t>
            </w:r>
          </w:p>
          <w:p>
            <w:pPr>
              <w:spacing w:before="0" w:after="80"/>
              <w:jc w:val="both"/>
            </w:pPr>
            <w:r>
              <w:rPr>
                <w:rFonts w:ascii="Calibri" w:hAnsi="Calibri" w:cs="Arial"/>
                <w:b/>
                <w:bCs/>
                <w:color w:val="000000"/>
                <w:sz w:val="20"/>
                <w:szCs w:val="20"/>
                <w:lang w:eastAsia="es-CL"/>
              </w:rPr>
              <w:t xml:space="preserve">Diseñar el modelo de datos (completado).</w:t>
            </w:r>
            <w:r>
              <w:rPr>
                <w:rFonts w:ascii="Calibri" w:hAnsi="Calibri" w:cs="Arial"/>
                <w:color w:val="000000"/>
                <w:sz w:val="20"/>
                <w:szCs w:val="20"/>
                <w:lang w:eastAsia="es-CL"/>
              </w:rPr>
              <w:t xml:space="preserve"> Diseñamos un modelo relacional de 11 modelos (3 catálogos y 8 tablas operativas) que guarda cada cierre, sus transacciones y una bitácora de resoluciones. Además, implementamos la lectura y normalización de todos los insumos (cartola, Transbank, operadoras y borderó paginado del ERP), un detector de columnas por nombre de encabezado y un detector que reconoce cada archivo por su contenido, para que el contador pueda subirlos todos juntos y en cualquier orden.</w:t>
            </w:r>
          </w:p>
          <w:p>
            <w:pPr>
              <w:spacing w:before="0" w:after="80"/>
              <w:jc w:val="both"/>
            </w:pPr>
            <w:r>
              <w:rPr>
                <w:rFonts w:ascii="Calibri" w:hAnsi="Calibri" w:cs="Arial"/>
                <w:b/>
                <w:bCs/>
                <w:color w:val="000000"/>
                <w:sz w:val="20"/>
                <w:szCs w:val="20"/>
                <w:lang w:eastAsia="es-CL"/>
              </w:rPr>
              <w:t xml:space="preserve">Desarrollar el motor de validación con tolerancia (completado).</w:t>
            </w:r>
            <w:r>
              <w:rPr>
                <w:rFonts w:ascii="Calibri" w:hAnsi="Calibri" w:cs="Arial"/>
                <w:color w:val="000000"/>
                <w:sz w:val="20"/>
                <w:szCs w:val="20"/>
                <w:lang w:eastAsia="es-CL"/>
              </w:rPr>
              <w:t xml:space="preserve"> Construimos dos motores. El de dólares (USD) cruza Transbank, ERP y operadoras (Visa, Mastercard, Amex y Diners) y confirma el abono en la cartola. El de pesos (CLP) valida por separado los tres abonos diarios (crédito, débito y prepago) contra la cartola y cruza cada voucher con el borderó en dos pasadas, descontando las reversas. Ambos usan tolerancias configurables.</w:t>
            </w:r>
          </w:p>
          <w:p>
            <w:pPr>
              <w:spacing w:before="0" w:after="80"/>
              <w:jc w:val="both"/>
            </w:pPr>
            <w:r>
              <w:rPr>
                <w:rFonts w:ascii="Calibri" w:hAnsi="Calibri" w:cs="Arial"/>
                <w:b/>
                <w:bCs/>
                <w:color w:val="000000"/>
                <w:sz w:val="20"/>
                <w:szCs w:val="20"/>
                <w:lang w:eastAsia="es-CL"/>
              </w:rPr>
              <w:t xml:space="preserve">Clasificar los tipos de anomalía (completado).</w:t>
            </w:r>
            <w:r>
              <w:rPr>
                <w:rFonts w:ascii="Calibri" w:hAnsi="Calibri" w:cs="Arial"/>
                <w:color w:val="000000"/>
                <w:sz w:val="20"/>
                <w:szCs w:val="20"/>
                <w:lang w:eastAsia="es-CL"/>
              </w:rPr>
              <w:t xml:space="preserve"> El sistema separa las diferencias de monto, los vouchers que no aparecen en el ERP, los errores de medio de pago y las ventas fuera de período o en cuotas posteriores. Sumamos un motor de sugerencias de segundo nivel, que propone el registro correcto ante errores de tipeo en el código de autorización, sin modificar el resultado automático.</w:t>
            </w:r>
          </w:p>
          <w:p>
            <w:pPr>
              <w:spacing w:before="0" w:after="80"/>
              <w:jc w:val="both"/>
            </w:pPr>
            <w:r>
              <w:rPr>
                <w:rFonts w:ascii="Calibri" w:hAnsi="Calibri" w:cs="Arial"/>
                <w:b/>
                <w:bCs/>
                <w:color w:val="000000"/>
                <w:sz w:val="20"/>
                <w:szCs w:val="20"/>
                <w:lang w:eastAsia="es-CL"/>
              </w:rPr>
              <w:t xml:space="preserve">Generar el reporte único de excepciones (completado).</w:t>
            </w:r>
            <w:r>
              <w:rPr>
                <w:rFonts w:ascii="Calibri" w:hAnsi="Calibri" w:cs="Arial"/>
                <w:color w:val="000000"/>
                <w:sz w:val="20"/>
                <w:szCs w:val="20"/>
                <w:lang w:eastAsia="es-CL"/>
              </w:rPr>
              <w:t xml:space="preserve"> El contador revisa una previsualización en pantalla con indicadores, tablas de cuadratura y pestañas por tipo de excepción. Al confirmar, el cierre se guarda y se puede descargar un Excel oficial de varias hojas (resumen, registros cuadrados y excepciones).</w:t>
            </w:r>
          </w:p>
          <w:p>
            <w:pPr>
              <w:spacing w:before="0" w:after="80"/>
              <w:jc w:val="both"/>
            </w:pPr>
            <w:r>
              <w:rPr>
                <w:rFonts w:ascii="Calibri" w:hAnsi="Calibri" w:cs="Arial"/>
                <w:b/>
                <w:bCs/>
                <w:color w:val="000000"/>
                <w:sz w:val="20"/>
                <w:szCs w:val="20"/>
                <w:lang w:eastAsia="es-CL"/>
              </w:rPr>
              <w:t xml:space="preserve">Validar con los insumos reales del hotel (en curso).</w:t>
            </w:r>
            <w:r>
              <w:rPr>
                <w:rFonts w:ascii="Calibri" w:hAnsi="Calibri" w:cs="Arial"/>
                <w:color w:val="000000"/>
                <w:sz w:val="20"/>
                <w:szCs w:val="20"/>
                <w:lang w:eastAsia="es-CL"/>
              </w:rPr>
              <w:t xml:space="preserve"> Estamos probando el sistema con los archivos reales del hotel que nos hizo llegar el docente, tanto en dólares como en pesos, y con esas pruebas estamos calibrando las tolerancias.</w:t>
            </w:r>
          </w:p>
          <w:p>
            <w:pPr>
              <w:spacing w:before="0" w:after="80"/>
              <w:jc w:val="both"/>
            </w:pPr>
            <w:r>
              <w:rPr>
                <w:rFonts w:ascii="Calibri" w:hAnsi="Calibri" w:cs="Arial"/>
                <w:color w:val="000000"/>
                <w:sz w:val="20"/>
                <w:szCs w:val="20"/>
                <w:lang w:eastAsia="es-CL"/>
              </w:rPr>
              <w:t xml:space="preserve">Además, incorporamos inicio de sesión obligatorio, un panel de inicio con el resumen de los últimos cierres en dólares y en pesos, una interfaz con la identidad visual del hotel (modo claro y oscuro) y un conjunto de pruebas automatizadas. También comenzamos a preparar el despliegue del prototipo en un servidor.</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80"/>
              <w:jc w:val="both"/>
            </w:pPr>
            <w:r>
              <w:rPr>
                <w:rFonts w:ascii="Calibri" w:hAnsi="Calibri" w:cs="Arial"/>
                <w:color w:val="000000"/>
                <w:sz w:val="20"/>
                <w:szCs w:val="20"/>
                <w:lang w:eastAsia="es-CL"/>
              </w:rPr>
              <w:t xml:space="preserve">Sin ajustes. Mantenemos el objetivo general y los objetivos específicos definidos en la Fase 1.</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80"/>
              <w:jc w:val="both"/>
            </w:pPr>
            <w:r>
              <w:rPr>
                <w:rFonts w:ascii="Calibri" w:hAnsi="Calibri" w:cs="Arial"/>
                <w:color w:val="000000"/>
                <w:sz w:val="20"/>
                <w:szCs w:val="20"/>
                <w:lang w:eastAsia="es-CL"/>
              </w:rPr>
              <w:t xml:space="preserve">Sin ajustes. Seguimos trabajando con la metodología ágil por sprints definida en la Fase 1.</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before="0" w:after="80"/>
              <w:jc w:val="both"/>
            </w:pPr>
            <w:r>
              <w:rPr>
                <w:rFonts w:ascii="Calibri" w:hAnsi="Calibri" w:cs="Arial"/>
                <w:b/>
                <w:bCs/>
                <w:color w:val="000000"/>
                <w:sz w:val="20"/>
                <w:szCs w:val="20"/>
                <w:lang w:eastAsia="es-CL"/>
              </w:rPr>
              <w:t xml:space="preserve">Evidencia 1: Prototipo funcional en avance (v2.0).</w:t>
            </w:r>
            <w:r>
              <w:rPr>
                <w:rFonts w:ascii="Calibri" w:hAnsi="Calibri" w:cs="Arial"/>
                <w:color w:val="000000"/>
                <w:sz w:val="20"/>
                <w:szCs w:val="20"/>
                <w:lang w:eastAsia="es-CL"/>
              </w:rPr>
              <w:t xml:space="preserve"> Presentamos el repositorio en GitHub con el código, el historial de commits, las ramas por funcionalidad y los pull requests; el README técnico, que documenta los flujos en dólares y en pesos; y capturas de las pantallas principales: carga con detección automática de archivos, previsualización de la conciliación en USD y en CLP, sugerencias de segundo nivel, panel de inicio y el Excel exportado. Esta evidencia da cuenta del cumplimiento de los objetivos de modelo de datos, motor de validación, clasificación de anomalías y reporte de excepciones.</w:t>
            </w:r>
          </w:p>
          <w:p>
            <w:pPr>
              <w:spacing w:before="0" w:after="80"/>
              <w:jc w:val="both"/>
            </w:pPr>
            <w:r>
              <w:rPr>
                <w:rFonts w:ascii="Calibri" w:hAnsi="Calibri" w:cs="Arial"/>
                <w:b/>
                <w:bCs/>
                <w:color w:val="000000"/>
                <w:sz w:val="20"/>
                <w:szCs w:val="20"/>
                <w:lang w:eastAsia="es-CL"/>
              </w:rPr>
              <w:t xml:space="preserve">Evidencia 2: Pruebas.</w:t>
            </w:r>
            <w:r>
              <w:rPr>
                <w:rFonts w:ascii="Calibri" w:hAnsi="Calibri" w:cs="Arial"/>
                <w:color w:val="000000"/>
                <w:sz w:val="20"/>
                <w:szCs w:val="20"/>
                <w:lang w:eastAsia="es-CL"/>
              </w:rPr>
              <w:t xml:space="preserve"> Incluimos el conjunto de 20 pruebas automatizadas del proyecto (normalización de códigos, tolerancias, reversas, ventas fuera de período, detección de archivos, guardado sin duplicados y vistas principales) y las pruebas de calibración de tolerancias hechas con datos reales del hotel. En estas últimas comparamos los resultados con distintas cotas (±US$ 0,50 frente a ±US$ 5, y $100, $1.000 y $5.000 en pesos). Así verificamos, por ejemplo, que una tolerancia de US$ 5 habría ocultado una diferencia real de US$ 1,20. Esta evidencia muestra que estamos validando el sistema con los insumos reales del hotel.</w:t>
            </w:r>
          </w:p>
          <w:p>
            <w:pPr>
              <w:spacing w:before="0" w:after="80"/>
              <w:jc w:val="both"/>
            </w:pPr>
            <w:r>
              <w:rPr>
                <w:rFonts w:ascii="Calibri" w:hAnsi="Calibri" w:cs="Arial"/>
                <w:b/>
                <w:bCs/>
                <w:color w:val="000000"/>
                <w:sz w:val="20"/>
                <w:szCs w:val="20"/>
                <w:lang w:eastAsia="es-CL"/>
              </w:rPr>
              <w:t xml:space="preserve">Resguardo de la calidad.</w:t>
            </w:r>
            <w:r>
              <w:rPr>
                <w:rFonts w:ascii="Calibri" w:hAnsi="Calibri" w:cs="Arial"/>
                <w:color w:val="000000"/>
                <w:sz w:val="20"/>
                <w:szCs w:val="20"/>
                <w:lang w:eastAsia="es-CL"/>
              </w:rPr>
              <w:t xml:space="preserve"> Para asegurar la calidad del proyecto, trabajamos con control de versiones en ramas y pull requests revisados antes de integrarlos a la rama principal, con pruebas automatizadas y con aritmética Decimal para evitar errores de redondeo. Además, separamos la previsualización (que no escribe en la base de datos) del guardado definitivo, que se ejecuta como una transacción atómica, y evitamos los registros duplicados cuando un mismo cierre se vuelve a subir.</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blHeade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trPr>
          <w:cantSplit/>
        </w:trPr>
        <w:tc>
          <w:tcPr>
            <w:tcW w:w="1328" w:type="dxa"/>
          </w:tcPr>
          <w:p>
            <w:pPr>
              <w:spacing w:before="0" w:after="80"/>
              <w:jc w:val="left"/>
            </w:pPr>
            <w:r>
              <w:rPr>
                <w:rFonts w:ascii="Calibri" w:hAnsi="Calibri" w:cs="Arial"/>
                <w:color w:val="000000"/>
                <w:sz w:val="16"/>
                <w:szCs w:val="16"/>
                <w:lang w:eastAsia="es-CL"/>
              </w:rPr>
              <w:t xml:space="preserve">Diseño y gestión de requisitos</w:t>
            </w:r>
          </w:p>
        </w:tc>
        <w:tc>
          <w:tcPr>
            <w:tcW w:w="1077" w:type="dxa"/>
          </w:tcPr>
          <w:p>
            <w:pPr>
              <w:spacing w:before="0" w:after="80"/>
              <w:jc w:val="left"/>
            </w:pPr>
            <w:r>
              <w:rPr>
                <w:rFonts w:ascii="Calibri" w:hAnsi="Calibri" w:cs="Arial"/>
                <w:color w:val="000000"/>
                <w:sz w:val="16"/>
                <w:szCs w:val="16"/>
                <w:lang w:eastAsia="es-CL"/>
              </w:rPr>
              <w:t xml:space="preserve">Análisis: requerimientos (RF/RNF), casos de uso y documentación</w:t>
            </w:r>
          </w:p>
        </w:tc>
        <w:tc>
          <w:tcPr>
            <w:tcW w:w="1276" w:type="dxa"/>
          </w:tcPr>
          <w:p>
            <w:pPr>
              <w:spacing w:before="0" w:after="80"/>
              <w:jc w:val="left"/>
            </w:pPr>
            <w:r>
              <w:rPr>
                <w:rFonts w:ascii="Calibri" w:hAnsi="Calibri" w:cs="Arial"/>
                <w:color w:val="000000"/>
                <w:sz w:val="16"/>
                <w:szCs w:val="16"/>
                <w:lang w:eastAsia="es-CL"/>
              </w:rPr>
              <w:t xml:space="preserve">Material enviado por el docente (apuntes y archivos de ejemplo), Google Drive</w:t>
            </w:r>
          </w:p>
        </w:tc>
        <w:tc>
          <w:tcPr>
            <w:tcW w:w="1276" w:type="dxa"/>
          </w:tcPr>
          <w:p>
            <w:pPr>
              <w:spacing w:before="0" w:after="80"/>
              <w:jc w:val="left"/>
            </w:pPr>
            <w:r>
              <w:rPr>
                <w:rFonts w:ascii="Calibri" w:hAnsi="Calibri" w:cs="Arial"/>
                <w:color w:val="000000"/>
                <w:sz w:val="16"/>
                <w:szCs w:val="16"/>
                <w:lang w:eastAsia="es-CL"/>
              </w:rPr>
              <w:t xml:space="preserve">10 sept. (1 día)</w:t>
            </w:r>
          </w:p>
        </w:tc>
        <w:tc>
          <w:tcPr>
            <w:tcW w:w="1275" w:type="dxa"/>
          </w:tcPr>
          <w:p>
            <w:pPr>
              <w:spacing w:before="0" w:after="80"/>
              <w:jc w:val="left"/>
            </w:pPr>
            <w:r>
              <w:rPr>
                <w:rFonts w:ascii="Calibri" w:hAnsi="Calibri" w:cs="Arial"/>
                <w:color w:val="000000"/>
                <w:sz w:val="16"/>
                <w:szCs w:val="16"/>
                <w:lang w:eastAsia="es-CL"/>
              </w:rPr>
              <w:t xml:space="preserve">Eva González (requerimientos, casos de uso y documentación), Fabián Araya (requerimientos), Diego Reyes (casos de uso)</w:t>
            </w:r>
          </w:p>
        </w:tc>
        <w:tc>
          <w:tcPr>
            <w:tcW w:w="1276" w:type="dxa"/>
          </w:tcPr>
          <w:p>
            <w:pPr>
              <w:spacing w:before="0" w:after="80"/>
              <w:jc w:val="left"/>
            </w:pPr>
            <w:r>
              <w:rPr>
                <w:rFonts w:ascii="Calibri" w:hAnsi="Calibri" w:cs="Arial"/>
                <w:color w:val="000000"/>
                <w:sz w:val="16"/>
                <w:szCs w:val="16"/>
                <w:lang w:eastAsia="es-CL"/>
              </w:rPr>
              <w:t xml:space="preserve">Facilitó contar con el material del docente, que detallaba las reglas de negocio del hotel.</w:t>
            </w:r>
          </w:p>
        </w:tc>
        <w:tc>
          <w:tcPr>
            <w:tcW w:w="1418" w:type="dxa"/>
          </w:tcPr>
          <w:p>
            <w:pPr>
              <w:spacing w:before="0" w:after="80"/>
              <w:jc w:val="left"/>
            </w:pPr>
            <w:r>
              <w:rPr>
                <w:rFonts w:ascii="Calibri" w:hAnsi="Calibri" w:cs="Arial"/>
                <w:color w:val="000000"/>
                <w:sz w:val="16"/>
                <w:szCs w:val="16"/>
                <w:lang w:eastAsia="es-CL"/>
              </w:rPr>
              <w:t xml:space="preserve">Completado</w:t>
            </w:r>
          </w:p>
        </w:tc>
        <w:tc>
          <w:tcPr>
            <w:tcW w:w="850" w:type="dxa"/>
          </w:tcPr>
          <w:p>
            <w:pPr>
              <w:spacing w:before="0" w:after="80"/>
              <w:jc w:val="left"/>
            </w:pPr>
            <w:r>
              <w:rPr>
                <w:rFonts w:ascii="Calibri" w:hAnsi="Calibri" w:cs="Arial"/>
                <w:color w:val="000000"/>
                <w:sz w:val="16"/>
                <w:szCs w:val="16"/>
                <w:lang w:eastAsia="es-CL"/>
              </w:rPr>
              <w:t xml:space="preserve">Sin ajustes</w:t>
            </w:r>
          </w:p>
        </w:tc>
      </w:tr>
      <w:tr>
        <w:trPr>
          <w:cantSplit/>
        </w:trPr>
        <w:tc>
          <w:tcPr>
            <w:tcW w:w="1328" w:type="dxa"/>
          </w:tcPr>
          <w:p>
            <w:pPr>
              <w:spacing w:before="0" w:after="80"/>
              <w:jc w:val="left"/>
            </w:pPr>
            <w:r>
              <w:rPr>
                <w:rFonts w:ascii="Calibri" w:hAnsi="Calibri" w:cs="Arial"/>
                <w:color w:val="000000"/>
                <w:sz w:val="16"/>
                <w:szCs w:val="16"/>
                <w:lang w:eastAsia="es-CL"/>
              </w:rPr>
              <w:t xml:space="preserve">Diseño y gestión de requisitos; Modelamiento de base de datos</w:t>
            </w:r>
          </w:p>
        </w:tc>
        <w:tc>
          <w:tcPr>
            <w:tcW w:w="1077" w:type="dxa"/>
          </w:tcPr>
          <w:p>
            <w:pPr>
              <w:spacing w:before="0" w:after="80"/>
              <w:jc w:val="left"/>
            </w:pPr>
            <w:r>
              <w:rPr>
                <w:rFonts w:ascii="Calibri" w:hAnsi="Calibri" w:cs="Arial"/>
                <w:color w:val="000000"/>
                <w:sz w:val="16"/>
                <w:szCs w:val="16"/>
                <w:lang w:eastAsia="es-CL"/>
              </w:rPr>
              <w:t xml:space="preserve">Diseño: diagramas y plantillas de CU, modelo de datos, arquitectura y documentación</w:t>
            </w:r>
          </w:p>
        </w:tc>
        <w:tc>
          <w:tcPr>
            <w:tcW w:w="1276" w:type="dxa"/>
          </w:tcPr>
          <w:p>
            <w:pPr>
              <w:spacing w:before="0" w:after="80"/>
              <w:jc w:val="left"/>
            </w:pPr>
            <w:r>
              <w:rPr>
                <w:rFonts w:ascii="Calibri" w:hAnsi="Calibri" w:cs="Arial"/>
                <w:color w:val="000000"/>
                <w:sz w:val="16"/>
                <w:szCs w:val="16"/>
                <w:lang w:eastAsia="es-CL"/>
              </w:rPr>
              <w:t xml:space="preserve">Herramienta de diagramado, archivos de ejemplo, Google Drive</w:t>
            </w:r>
          </w:p>
        </w:tc>
        <w:tc>
          <w:tcPr>
            <w:tcW w:w="1276" w:type="dxa"/>
          </w:tcPr>
          <w:p>
            <w:pPr>
              <w:spacing w:before="0" w:after="80"/>
              <w:jc w:val="left"/>
            </w:pPr>
            <w:r>
              <w:rPr>
                <w:rFonts w:ascii="Calibri" w:hAnsi="Calibri" w:cs="Arial"/>
                <w:color w:val="000000"/>
                <w:sz w:val="16"/>
                <w:szCs w:val="16"/>
                <w:lang w:eastAsia="es-CL"/>
              </w:rPr>
              <w:t xml:space="preserve">10 al 12 sept. (3 días)</w:t>
            </w:r>
          </w:p>
        </w:tc>
        <w:tc>
          <w:tcPr>
            <w:tcW w:w="1275" w:type="dxa"/>
          </w:tcPr>
          <w:p>
            <w:pPr>
              <w:spacing w:before="0" w:after="80"/>
              <w:jc w:val="left"/>
            </w:pPr>
            <w:r>
              <w:rPr>
                <w:rFonts w:ascii="Calibri" w:hAnsi="Calibri" w:cs="Arial"/>
                <w:color w:val="000000"/>
                <w:sz w:val="16"/>
                <w:szCs w:val="16"/>
                <w:lang w:eastAsia="es-CL"/>
              </w:rPr>
              <w:t xml:space="preserve">Eva González (diagramas y plantillas de CU, documentación), Diego Reyes (plantillas de CU y modelo de datos), Fabián Araya (arquitectura)</w:t>
            </w:r>
          </w:p>
        </w:tc>
        <w:tc>
          <w:tcPr>
            <w:tcW w:w="1276" w:type="dxa"/>
          </w:tcPr>
          <w:p>
            <w:pPr>
              <w:spacing w:before="0" w:after="80"/>
              <w:jc w:val="left"/>
            </w:pPr>
            <w:r>
              <w:rPr>
                <w:rFonts w:ascii="Calibri" w:hAnsi="Calibri" w:cs="Arial"/>
                <w:color w:val="000000"/>
                <w:sz w:val="16"/>
                <w:szCs w:val="16"/>
                <w:lang w:eastAsia="es-CL"/>
              </w:rPr>
              <w:t xml:space="preserve">Insumos con formatos poco estandarizados (borderó paginado, celdas combinadas).</w:t>
            </w:r>
          </w:p>
        </w:tc>
        <w:tc>
          <w:tcPr>
            <w:tcW w:w="1418" w:type="dxa"/>
          </w:tcPr>
          <w:p>
            <w:pPr>
              <w:spacing w:before="0" w:after="80"/>
              <w:jc w:val="left"/>
            </w:pPr>
            <w:r>
              <w:rPr>
                <w:rFonts w:ascii="Calibri" w:hAnsi="Calibri" w:cs="Arial"/>
                <w:color w:val="000000"/>
                <w:sz w:val="16"/>
                <w:szCs w:val="16"/>
                <w:lang w:eastAsia="es-CL"/>
              </w:rPr>
              <w:t xml:space="preserve">Completado</w:t>
            </w:r>
          </w:p>
        </w:tc>
        <w:tc>
          <w:tcPr>
            <w:tcW w:w="850" w:type="dxa"/>
          </w:tcPr>
          <w:p>
            <w:pPr>
              <w:spacing w:before="0" w:after="80"/>
              <w:jc w:val="left"/>
            </w:pPr>
            <w:r>
              <w:rPr>
                <w:rFonts w:ascii="Calibri" w:hAnsi="Calibri" w:cs="Arial"/>
                <w:color w:val="000000"/>
                <w:sz w:val="16"/>
                <w:szCs w:val="16"/>
                <w:lang w:eastAsia="es-CL"/>
              </w:rPr>
              <w:t xml:space="preserve">Modelo de datos rediseñado para la v2.0.</w:t>
            </w:r>
          </w:p>
        </w:tc>
      </w:tr>
      <w:tr>
        <w:trPr>
          <w:cantSplit/>
        </w:trPr>
        <w:tc>
          <w:tcPr>
            <w:tcW w:w="1328" w:type="dxa"/>
          </w:tcPr>
          <w:p>
            <w:pPr>
              <w:spacing w:before="0" w:after="80"/>
              <w:jc w:val="left"/>
            </w:pPr>
            <w:r>
              <w:rPr>
                <w:rFonts w:ascii="Calibri" w:hAnsi="Calibri" w:cs="Arial"/>
                <w:color w:val="000000"/>
                <w:sz w:val="16"/>
                <w:szCs w:val="16"/>
                <w:lang w:eastAsia="es-CL"/>
              </w:rPr>
              <w:t xml:space="preserve">Calidad de software; Programación web</w:t>
            </w:r>
          </w:p>
        </w:tc>
        <w:tc>
          <w:tcPr>
            <w:tcW w:w="1077" w:type="dxa"/>
          </w:tcPr>
          <w:p>
            <w:pPr>
              <w:spacing w:before="0" w:after="80"/>
              <w:jc w:val="left"/>
            </w:pPr>
            <w:r>
              <w:rPr>
                <w:rFonts w:ascii="Calibri" w:hAnsi="Calibri" w:cs="Arial"/>
                <w:color w:val="000000"/>
                <w:sz w:val="16"/>
                <w:szCs w:val="16"/>
                <w:lang w:eastAsia="es-CL"/>
              </w:rPr>
              <w:t xml:space="preserve">Auditoría del prototipo heredado y reconstrucción (v2.0)</w:t>
            </w:r>
          </w:p>
        </w:tc>
        <w:tc>
          <w:tcPr>
            <w:tcW w:w="1276" w:type="dxa"/>
          </w:tcPr>
          <w:p>
            <w:pPr>
              <w:spacing w:before="0" w:after="80"/>
              <w:jc w:val="left"/>
            </w:pPr>
            <w:r>
              <w:rPr>
                <w:rFonts w:ascii="Calibri" w:hAnsi="Calibri" w:cs="Arial"/>
                <w:color w:val="000000"/>
                <w:sz w:val="16"/>
                <w:szCs w:val="16"/>
                <w:lang w:eastAsia="es-CL"/>
              </w:rPr>
              <w:t xml:space="preserve">Prototipo heredado, Python, Django, GitHub</w:t>
            </w:r>
          </w:p>
        </w:tc>
        <w:tc>
          <w:tcPr>
            <w:tcW w:w="1276" w:type="dxa"/>
          </w:tcPr>
          <w:p>
            <w:pPr>
              <w:spacing w:before="0" w:after="80"/>
              <w:jc w:val="left"/>
            </w:pPr>
            <w:r>
              <w:rPr>
                <w:rFonts w:ascii="Calibri" w:hAnsi="Calibri" w:cs="Arial"/>
                <w:color w:val="000000"/>
                <w:sz w:val="16"/>
                <w:szCs w:val="16"/>
                <w:lang w:eastAsia="es-CL"/>
              </w:rPr>
              <w:t xml:space="preserve">2 al 11 oct.</w:t>
            </w:r>
          </w:p>
        </w:tc>
        <w:tc>
          <w:tcPr>
            <w:tcW w:w="1275" w:type="dxa"/>
          </w:tcPr>
          <w:p>
            <w:pPr>
              <w:spacing w:before="0" w:after="80"/>
              <w:jc w:val="left"/>
            </w:pPr>
            <w:r>
              <w:rPr>
                <w:rFonts w:ascii="Calibri" w:hAnsi="Calibri" w:cs="Arial"/>
                <w:color w:val="000000"/>
                <w:sz w:val="16"/>
                <w:szCs w:val="16"/>
                <w:lang w:eastAsia="es-CL"/>
              </w:rPr>
              <w:t xml:space="preserve">Fabián Araya</w:t>
            </w:r>
          </w:p>
        </w:tc>
        <w:tc>
          <w:tcPr>
            <w:tcW w:w="1276" w:type="dxa"/>
          </w:tcPr>
          <w:p>
            <w:pPr>
              <w:spacing w:before="0" w:after="80"/>
              <w:jc w:val="left"/>
            </w:pPr>
            <w:r>
              <w:rPr>
                <w:rFonts w:ascii="Calibri" w:hAnsi="Calibri" w:cs="Arial"/>
                <w:color w:val="000000"/>
                <w:sz w:val="16"/>
                <w:szCs w:val="16"/>
                <w:lang w:eastAsia="es-CL"/>
              </w:rPr>
              <w:t xml:space="preserve">El prototipo perdía transacciones, no tenía base de datos y exponía credenciales.</w:t>
            </w:r>
          </w:p>
        </w:tc>
        <w:tc>
          <w:tcPr>
            <w:tcW w:w="1418" w:type="dxa"/>
          </w:tcPr>
          <w:p>
            <w:pPr>
              <w:spacing w:before="0" w:after="80"/>
              <w:jc w:val="left"/>
            </w:pPr>
            <w:r>
              <w:rPr>
                <w:rFonts w:ascii="Calibri" w:hAnsi="Calibri" w:cs="Arial"/>
                <w:color w:val="000000"/>
                <w:sz w:val="16"/>
                <w:szCs w:val="16"/>
                <w:lang w:eastAsia="es-CL"/>
              </w:rPr>
              <w:t xml:space="preserve">Completado</w:t>
            </w:r>
          </w:p>
        </w:tc>
        <w:tc>
          <w:tcPr>
            <w:tcW w:w="850" w:type="dxa"/>
          </w:tcPr>
          <w:p>
            <w:pPr>
              <w:spacing w:before="0" w:after="80"/>
              <w:jc w:val="left"/>
            </w:pPr>
            <w:r>
              <w:rPr>
                <w:rFonts w:ascii="Calibri" w:hAnsi="Calibri" w:cs="Arial"/>
                <w:color w:val="000000"/>
                <w:sz w:val="16"/>
                <w:szCs w:val="16"/>
                <w:lang w:eastAsia="es-CL"/>
              </w:rPr>
              <w:t xml:space="preserve">Actividad agregada.</w:t>
            </w:r>
          </w:p>
        </w:tc>
      </w:tr>
      <w:tr>
        <w:trPr>
          <w:cantSplit/>
        </w:trPr>
        <w:tc>
          <w:tcPr>
            <w:tcW w:w="1328" w:type="dxa"/>
          </w:tcPr>
          <w:p>
            <w:pPr>
              <w:spacing w:before="0" w:after="80"/>
              <w:jc w:val="left"/>
            </w:pPr>
            <w:r>
              <w:rPr>
                <w:rFonts w:ascii="Calibri" w:hAnsi="Calibri" w:cs="Arial"/>
                <w:color w:val="000000"/>
                <w:sz w:val="16"/>
                <w:szCs w:val="16"/>
                <w:lang w:eastAsia="es-CL"/>
              </w:rPr>
              <w:t xml:space="preserve">Consulta y programación de base de datos; Programación web</w:t>
            </w:r>
          </w:p>
        </w:tc>
        <w:tc>
          <w:tcPr>
            <w:tcW w:w="1077" w:type="dxa"/>
          </w:tcPr>
          <w:p>
            <w:pPr>
              <w:spacing w:before="0" w:after="80"/>
              <w:jc w:val="left"/>
            </w:pPr>
            <w:r>
              <w:rPr>
                <w:rFonts w:ascii="Calibri" w:hAnsi="Calibri" w:cs="Arial"/>
                <w:color w:val="000000"/>
                <w:sz w:val="16"/>
                <w:szCs w:val="16"/>
                <w:lang w:eastAsia="es-CL"/>
              </w:rPr>
              <w:t xml:space="preserve">Base de datos (SQLite) y autenticación (CU1)</w:t>
            </w:r>
          </w:p>
        </w:tc>
        <w:tc>
          <w:tcPr>
            <w:tcW w:w="1276" w:type="dxa"/>
          </w:tcPr>
          <w:p>
            <w:pPr>
              <w:spacing w:before="0" w:after="80"/>
              <w:jc w:val="left"/>
            </w:pPr>
            <w:r>
              <w:rPr>
                <w:rFonts w:ascii="Calibri" w:hAnsi="Calibri" w:cs="Arial"/>
                <w:color w:val="000000"/>
                <w:sz w:val="16"/>
                <w:szCs w:val="16"/>
                <w:lang w:eastAsia="es-CL"/>
              </w:rPr>
              <w:t xml:space="preserve">SQLite, Django ORM y migraciones</w:t>
            </w:r>
          </w:p>
        </w:tc>
        <w:tc>
          <w:tcPr>
            <w:tcW w:w="1276" w:type="dxa"/>
          </w:tcPr>
          <w:p>
            <w:pPr>
              <w:spacing w:before="0" w:after="80"/>
              <w:jc w:val="left"/>
            </w:pPr>
            <w:r>
              <w:rPr>
                <w:rFonts w:ascii="Calibri" w:hAnsi="Calibri" w:cs="Arial"/>
                <w:color w:val="000000"/>
                <w:sz w:val="16"/>
                <w:szCs w:val="16"/>
                <w:lang w:eastAsia="es-CL"/>
              </w:rPr>
              <w:t xml:space="preserve">15 sept. al 8 oct. (3,5 semanas)</w:t>
            </w:r>
          </w:p>
        </w:tc>
        <w:tc>
          <w:tcPr>
            <w:tcW w:w="1275" w:type="dxa"/>
          </w:tcPr>
          <w:p>
            <w:pPr>
              <w:spacing w:before="0" w:after="80"/>
              <w:jc w:val="left"/>
            </w:pPr>
            <w:r>
              <w:rPr>
                <w:rFonts w:ascii="Calibri" w:hAnsi="Calibri" w:cs="Arial"/>
                <w:color w:val="000000"/>
                <w:sz w:val="16"/>
                <w:szCs w:val="16"/>
                <w:lang w:eastAsia="es-CL"/>
              </w:rPr>
              <w:t xml:space="preserve">Diego Reyes (base de datos), Fabián Araya (autenticación)</w:t>
            </w:r>
          </w:p>
        </w:tc>
        <w:tc>
          <w:tcPr>
            <w:tcW w:w="1276" w:type="dxa"/>
          </w:tcPr>
          <w:p>
            <w:pPr>
              <w:spacing w:before="0" w:after="80"/>
              <w:jc w:val="left"/>
            </w:pPr>
            <w:r>
              <w:rPr>
                <w:rFonts w:ascii="Calibri" w:hAnsi="Calibri" w:cs="Arial"/>
                <w:color w:val="000000"/>
                <w:sz w:val="16"/>
                <w:szCs w:val="16"/>
                <w:lang w:eastAsia="es-CL"/>
              </w:rPr>
              <w:t xml:space="preserve">El esquema definitivo se implementó el 9 oct. con la v2.0, sin afectar lo siguiente.</w:t>
            </w:r>
          </w:p>
        </w:tc>
        <w:tc>
          <w:tcPr>
            <w:tcW w:w="1418" w:type="dxa"/>
          </w:tcPr>
          <w:p>
            <w:pPr>
              <w:spacing w:before="0" w:after="80"/>
              <w:jc w:val="left"/>
            </w:pPr>
            <w:r>
              <w:rPr>
                <w:rFonts w:ascii="Calibri" w:hAnsi="Calibri" w:cs="Arial"/>
                <w:color w:val="000000"/>
                <w:sz w:val="16"/>
                <w:szCs w:val="16"/>
                <w:lang w:eastAsia="es-CL"/>
              </w:rPr>
              <w:t xml:space="preserve">Completado</w:t>
            </w:r>
          </w:p>
        </w:tc>
        <w:tc>
          <w:tcPr>
            <w:tcW w:w="850" w:type="dxa"/>
          </w:tcPr>
          <w:p>
            <w:pPr>
              <w:spacing w:before="0" w:after="80"/>
              <w:jc w:val="left"/>
            </w:pPr>
            <w:r>
              <w:rPr>
                <w:rFonts w:ascii="Calibri" w:hAnsi="Calibri" w:cs="Arial"/>
                <w:color w:val="000000"/>
                <w:sz w:val="16"/>
                <w:szCs w:val="16"/>
                <w:lang w:eastAsia="es-CL"/>
              </w:rPr>
              <w:t xml:space="preserve">Sin ajustes</w:t>
            </w:r>
          </w:p>
        </w:tc>
      </w:tr>
      <w:tr>
        <w:trPr>
          <w:cantSplit/>
        </w:trPr>
        <w:tc>
          <w:tcPr>
            <w:tcW w:w="1328" w:type="dxa"/>
          </w:tcPr>
          <w:p>
            <w:pPr>
              <w:spacing w:before="0" w:after="80"/>
              <w:jc w:val="left"/>
            </w:pPr>
            <w:r>
              <w:rPr>
                <w:rFonts w:ascii="Calibri" w:hAnsi="Calibri" w:cs="Arial"/>
                <w:color w:val="000000"/>
                <w:sz w:val="16"/>
                <w:szCs w:val="16"/>
                <w:lang w:eastAsia="es-CL"/>
              </w:rPr>
              <w:t xml:space="preserve">Programación web; Análisis de datos</w:t>
            </w:r>
          </w:p>
        </w:tc>
        <w:tc>
          <w:tcPr>
            <w:tcW w:w="1077" w:type="dxa"/>
          </w:tcPr>
          <w:p>
            <w:pPr>
              <w:spacing w:before="0" w:after="80"/>
              <w:jc w:val="left"/>
            </w:pPr>
            <w:r>
              <w:rPr>
                <w:rFonts w:ascii="Calibri" w:hAnsi="Calibri" w:cs="Arial"/>
                <w:color w:val="000000"/>
                <w:sz w:val="16"/>
                <w:szCs w:val="16"/>
                <w:lang w:eastAsia="es-CL"/>
              </w:rPr>
              <w:t xml:space="preserve">Carga, motor de cruce, visualización, excepciones y exportación (CU2 a CU8), con su documentación</w:t>
            </w:r>
          </w:p>
        </w:tc>
        <w:tc>
          <w:tcPr>
            <w:tcW w:w="1276" w:type="dxa"/>
          </w:tcPr>
          <w:p>
            <w:pPr>
              <w:spacing w:before="0" w:after="80"/>
              <w:jc w:val="left"/>
            </w:pPr>
            <w:r>
              <w:rPr>
                <w:rFonts w:ascii="Calibri" w:hAnsi="Calibri" w:cs="Arial"/>
                <w:color w:val="000000"/>
                <w:sz w:val="16"/>
                <w:szCs w:val="16"/>
                <w:lang w:eastAsia="es-CL"/>
              </w:rPr>
              <w:t xml:space="preserve">Python, Django, pandas, openpyxl, HTML/CSS/JS, archivos reales del hotel</w:t>
            </w:r>
          </w:p>
        </w:tc>
        <w:tc>
          <w:tcPr>
            <w:tcW w:w="1276" w:type="dxa"/>
          </w:tcPr>
          <w:p>
            <w:pPr>
              <w:spacing w:before="0" w:after="80"/>
              <w:jc w:val="left"/>
            </w:pPr>
            <w:r>
              <w:rPr>
                <w:rFonts w:ascii="Calibri" w:hAnsi="Calibri" w:cs="Arial"/>
                <w:color w:val="000000"/>
                <w:sz w:val="16"/>
                <w:szCs w:val="16"/>
                <w:lang w:eastAsia="es-CL"/>
              </w:rPr>
              <w:t xml:space="preserve">22 sept. al 18 oct. (4 semanas)</w:t>
            </w:r>
          </w:p>
        </w:tc>
        <w:tc>
          <w:tcPr>
            <w:tcW w:w="1275" w:type="dxa"/>
          </w:tcPr>
          <w:p>
            <w:pPr>
              <w:spacing w:before="0" w:after="80"/>
              <w:jc w:val="left"/>
            </w:pPr>
            <w:r>
              <w:rPr>
                <w:rFonts w:ascii="Calibri" w:hAnsi="Calibri" w:cs="Arial"/>
                <w:color w:val="000000"/>
                <w:sz w:val="16"/>
                <w:szCs w:val="16"/>
                <w:lang w:eastAsia="es-CL"/>
              </w:rPr>
              <w:t xml:space="preserve">Fabián Araya (carga, motor, CU6 a CU8 y documentación), Diego Reyes (carga), Eva González (interfaz visual, panel de inicio y documentación)</w:t>
            </w:r>
          </w:p>
        </w:tc>
        <w:tc>
          <w:tcPr>
            <w:tcW w:w="1276" w:type="dxa"/>
          </w:tcPr>
          <w:p>
            <w:pPr>
              <w:spacing w:before="0" w:after="80"/>
              <w:jc w:val="left"/>
            </w:pPr>
            <w:r>
              <w:rPr>
                <w:rFonts w:ascii="Calibri" w:hAnsi="Calibri" w:cs="Arial"/>
                <w:color w:val="000000"/>
                <w:sz w:val="16"/>
                <w:szCs w:val="16"/>
                <w:lang w:eastAsia="es-CL"/>
              </w:rPr>
              <w:t xml:space="preserve">Completado en dólares (USD) y pesos (CLP). Se sumó un panel de inicio.</w:t>
            </w:r>
          </w:p>
        </w:tc>
        <w:tc>
          <w:tcPr>
            <w:tcW w:w="1418" w:type="dxa"/>
          </w:tcPr>
          <w:p>
            <w:pPr>
              <w:spacing w:before="0" w:after="80"/>
              <w:jc w:val="left"/>
            </w:pPr>
            <w:r>
              <w:rPr>
                <w:rFonts w:ascii="Calibri" w:hAnsi="Calibri" w:cs="Arial"/>
                <w:color w:val="000000"/>
                <w:sz w:val="16"/>
                <w:szCs w:val="16"/>
                <w:lang w:eastAsia="es-CL"/>
              </w:rPr>
              <w:t xml:space="preserve">Completado (CU7 ajustada)</w:t>
            </w:r>
          </w:p>
        </w:tc>
        <w:tc>
          <w:tcPr>
            <w:tcW w:w="850" w:type="dxa"/>
          </w:tcPr>
          <w:p>
            <w:pPr>
              <w:spacing w:before="0" w:after="80"/>
              <w:jc w:val="left"/>
            </w:pPr>
            <w:r>
              <w:rPr>
                <w:rFonts w:ascii="Calibri" w:hAnsi="Calibri" w:cs="Arial"/>
                <w:color w:val="000000"/>
                <w:sz w:val="16"/>
                <w:szCs w:val="16"/>
                <w:lang w:eastAsia="es-CL"/>
              </w:rPr>
              <w:t xml:space="preserve">CU7: resolución automática con bitácora al volver a subir archivos.</w:t>
            </w:r>
          </w:p>
        </w:tc>
      </w:tr>
      <w:tr>
        <w:trPr>
          <w:cantSplit/>
        </w:trPr>
        <w:tc>
          <w:tcPr>
            <w:tcW w:w="1328" w:type="dxa"/>
          </w:tcPr>
          <w:p>
            <w:pPr>
              <w:spacing w:before="0" w:after="80"/>
              <w:jc w:val="left"/>
            </w:pPr>
            <w:r>
              <w:rPr>
                <w:rFonts w:ascii="Calibri" w:hAnsi="Calibri" w:cs="Arial"/>
                <w:color w:val="000000"/>
                <w:sz w:val="16"/>
                <w:szCs w:val="16"/>
                <w:lang w:eastAsia="es-CL"/>
              </w:rPr>
              <w:t xml:space="preserve">Programación web</w:t>
            </w:r>
          </w:p>
        </w:tc>
        <w:tc>
          <w:tcPr>
            <w:tcW w:w="1077" w:type="dxa"/>
          </w:tcPr>
          <w:p>
            <w:pPr>
              <w:spacing w:before="0" w:after="80"/>
              <w:jc w:val="left"/>
            </w:pPr>
            <w:r>
              <w:rPr>
                <w:rFonts w:ascii="Calibri" w:hAnsi="Calibri" w:cs="Arial"/>
                <w:color w:val="000000"/>
                <w:sz w:val="16"/>
                <w:szCs w:val="16"/>
                <w:lang w:eastAsia="es-CL"/>
              </w:rPr>
              <w:t xml:space="preserve">Despliegue del prototipo en servidor</w:t>
            </w:r>
          </w:p>
        </w:tc>
        <w:tc>
          <w:tcPr>
            <w:tcW w:w="1276" w:type="dxa"/>
          </w:tcPr>
          <w:p>
            <w:pPr>
              <w:spacing w:before="0" w:after="80"/>
              <w:jc w:val="left"/>
            </w:pPr>
            <w:r>
              <w:rPr>
                <w:rFonts w:ascii="Calibri" w:hAnsi="Calibri" w:cs="Arial"/>
                <w:color w:val="000000"/>
                <w:sz w:val="16"/>
                <w:szCs w:val="16"/>
                <w:lang w:eastAsia="es-CL"/>
              </w:rPr>
              <w:t xml:space="preserve">PythonAnywhere, GitHub</w:t>
            </w:r>
          </w:p>
        </w:tc>
        <w:tc>
          <w:tcPr>
            <w:tcW w:w="1276" w:type="dxa"/>
          </w:tcPr>
          <w:p>
            <w:pPr>
              <w:spacing w:before="0" w:after="80"/>
              <w:jc w:val="left"/>
            </w:pPr>
            <w:r>
              <w:rPr>
                <w:rFonts w:ascii="Calibri" w:hAnsi="Calibri" w:cs="Arial"/>
                <w:color w:val="000000"/>
                <w:sz w:val="16"/>
                <w:szCs w:val="16"/>
                <w:lang w:eastAsia="es-CL"/>
              </w:rPr>
              <w:t xml:space="preserve">Desde el 18 oct.</w:t>
            </w:r>
          </w:p>
        </w:tc>
        <w:tc>
          <w:tcPr>
            <w:tcW w:w="1275" w:type="dxa"/>
          </w:tcPr>
          <w:p>
            <w:pPr>
              <w:spacing w:before="0" w:after="80"/>
              <w:jc w:val="left"/>
            </w:pPr>
            <w:r>
              <w:rPr>
                <w:rFonts w:ascii="Calibri" w:hAnsi="Calibri" w:cs="Arial"/>
                <w:color w:val="000000"/>
                <w:sz w:val="16"/>
                <w:szCs w:val="16"/>
                <w:lang w:eastAsia="es-CL"/>
              </w:rPr>
              <w:t xml:space="preserve">Diego Reyes</w:t>
            </w:r>
          </w:p>
        </w:tc>
        <w:tc>
          <w:tcPr>
            <w:tcW w:w="1276" w:type="dxa"/>
          </w:tcPr>
          <w:p>
            <w:pPr>
              <w:spacing w:before="0" w:after="80"/>
              <w:jc w:val="left"/>
            </w:pPr>
            <w:r>
              <w:rPr>
                <w:rFonts w:ascii="Calibri" w:hAnsi="Calibri" w:cs="Arial"/>
                <w:color w:val="000000"/>
                <w:sz w:val="16"/>
                <w:szCs w:val="16"/>
                <w:lang w:eastAsia="es-CL"/>
              </w:rPr>
              <w:t xml:space="preserve">En la Fase 1 el hosting quedó por definir.</w:t>
            </w:r>
          </w:p>
        </w:tc>
        <w:tc>
          <w:tcPr>
            <w:tcW w:w="1418" w:type="dxa"/>
          </w:tcPr>
          <w:p>
            <w:pPr>
              <w:spacing w:before="0" w:after="80"/>
              <w:jc w:val="left"/>
            </w:pPr>
            <w:r>
              <w:rPr>
                <w:rFonts w:ascii="Calibri" w:hAnsi="Calibri" w:cs="Arial"/>
                <w:color w:val="000000"/>
                <w:sz w:val="16"/>
                <w:szCs w:val="16"/>
                <w:lang w:eastAsia="es-CL"/>
              </w:rPr>
              <w:t xml:space="preserve">En curso</w:t>
            </w:r>
          </w:p>
        </w:tc>
        <w:tc>
          <w:tcPr>
            <w:tcW w:w="850" w:type="dxa"/>
          </w:tcPr>
          <w:p>
            <w:pPr>
              <w:spacing w:before="0" w:after="80"/>
              <w:jc w:val="left"/>
            </w:pPr>
            <w:r>
              <w:rPr>
                <w:rFonts w:ascii="Calibri" w:hAnsi="Calibri" w:cs="Arial"/>
                <w:color w:val="000000"/>
                <w:sz w:val="16"/>
                <w:szCs w:val="16"/>
                <w:lang w:eastAsia="es-CL"/>
              </w:rPr>
              <w:t xml:space="preserve">Actividad agregada.</w:t>
            </w:r>
          </w:p>
        </w:tc>
      </w:tr>
      <w:tr>
        <w:trPr>
          <w:cantSplit/>
        </w:trPr>
        <w:tc>
          <w:tcPr>
            <w:tcW w:w="1328" w:type="dxa"/>
          </w:tcPr>
          <w:p>
            <w:pPr>
              <w:spacing w:before="0" w:after="80"/>
              <w:jc w:val="left"/>
            </w:pPr>
            <w:r>
              <w:rPr>
                <w:rFonts w:ascii="Calibri" w:hAnsi="Calibri" w:cs="Arial"/>
                <w:color w:val="000000"/>
                <w:sz w:val="16"/>
                <w:szCs w:val="16"/>
                <w:lang w:eastAsia="es-CL"/>
              </w:rPr>
              <w:t xml:space="preserve">Calidad de software</w:t>
            </w:r>
          </w:p>
        </w:tc>
        <w:tc>
          <w:tcPr>
            <w:tcW w:w="1077" w:type="dxa"/>
          </w:tcPr>
          <w:p>
            <w:pPr>
              <w:spacing w:before="0" w:after="80"/>
              <w:jc w:val="left"/>
            </w:pPr>
            <w:r>
              <w:rPr>
                <w:rFonts w:ascii="Calibri" w:hAnsi="Calibri" w:cs="Arial"/>
                <w:color w:val="000000"/>
                <w:sz w:val="16"/>
                <w:szCs w:val="16"/>
                <w:lang w:eastAsia="es-CL"/>
              </w:rPr>
              <w:t xml:space="preserve">Pruebas unitarias, con datos reales y documentación de pruebas</w:t>
            </w:r>
          </w:p>
        </w:tc>
        <w:tc>
          <w:tcPr>
            <w:tcW w:w="1276" w:type="dxa"/>
          </w:tcPr>
          <w:p>
            <w:pPr>
              <w:spacing w:before="0" w:after="80"/>
              <w:jc w:val="left"/>
            </w:pPr>
            <w:r>
              <w:rPr>
                <w:rFonts w:ascii="Calibri" w:hAnsi="Calibri" w:cs="Arial"/>
                <w:color w:val="000000"/>
                <w:sz w:val="16"/>
                <w:szCs w:val="16"/>
                <w:lang w:eastAsia="es-CL"/>
              </w:rPr>
              <w:t xml:space="preserve">Django TestCase, archivos reales del hotel</w:t>
            </w:r>
          </w:p>
        </w:tc>
        <w:tc>
          <w:tcPr>
            <w:tcW w:w="1276" w:type="dxa"/>
          </w:tcPr>
          <w:p>
            <w:pPr>
              <w:spacing w:before="0" w:after="80"/>
              <w:jc w:val="left"/>
            </w:pPr>
            <w:r>
              <w:rPr>
                <w:rFonts w:ascii="Calibri" w:hAnsi="Calibri" w:cs="Arial"/>
                <w:color w:val="000000"/>
                <w:sz w:val="16"/>
                <w:szCs w:val="16"/>
                <w:lang w:eastAsia="es-CL"/>
              </w:rPr>
              <w:t xml:space="preserve">19 al 30 oct. (1,5 semanas)</w:t>
            </w:r>
          </w:p>
        </w:tc>
        <w:tc>
          <w:tcPr>
            <w:tcW w:w="1275" w:type="dxa"/>
          </w:tcPr>
          <w:p>
            <w:pPr>
              <w:spacing w:before="0" w:after="80"/>
              <w:jc w:val="left"/>
            </w:pPr>
            <w:r>
              <w:rPr>
                <w:rFonts w:ascii="Calibri" w:hAnsi="Calibri" w:cs="Arial"/>
                <w:color w:val="000000"/>
                <w:sz w:val="16"/>
                <w:szCs w:val="16"/>
                <w:lang w:eastAsia="es-CL"/>
              </w:rPr>
              <w:t xml:space="preserve">Fabián Araya y Diego Reyes (pruebas unitarias y con datos reales), Eva González (pruebas con datos reales y documentación)</w:t>
            </w:r>
          </w:p>
        </w:tc>
        <w:tc>
          <w:tcPr>
            <w:tcW w:w="1276" w:type="dxa"/>
          </w:tcPr>
          <w:p>
            <w:pPr>
              <w:spacing w:before="0" w:after="80"/>
              <w:jc w:val="left"/>
            </w:pPr>
            <w:r>
              <w:rPr>
                <w:rFonts w:ascii="Calibri" w:hAnsi="Calibri" w:cs="Arial"/>
                <w:color w:val="000000"/>
                <w:sz w:val="16"/>
                <w:szCs w:val="16"/>
                <w:lang w:eastAsia="es-CL"/>
              </w:rPr>
              <w:t xml:space="preserve">20 pruebas automatizadas; calibración de tolerancias en USD y CLP.</w:t>
            </w:r>
          </w:p>
        </w:tc>
        <w:tc>
          <w:tcPr>
            <w:tcW w:w="1418" w:type="dxa"/>
          </w:tcPr>
          <w:p>
            <w:pPr>
              <w:spacing w:before="0" w:after="80"/>
              <w:jc w:val="left"/>
            </w:pPr>
            <w:r>
              <w:rPr>
                <w:rFonts w:ascii="Calibri" w:hAnsi="Calibri" w:cs="Arial"/>
                <w:color w:val="000000"/>
                <w:sz w:val="16"/>
                <w:szCs w:val="16"/>
                <w:lang w:eastAsia="es-CL"/>
              </w:rPr>
              <w:t xml:space="preserve">En curso</w:t>
            </w:r>
          </w:p>
        </w:tc>
        <w:tc>
          <w:tcPr>
            <w:tcW w:w="850" w:type="dxa"/>
          </w:tcPr>
          <w:p>
            <w:pPr>
              <w:spacing w:before="0" w:after="80"/>
              <w:jc w:val="left"/>
            </w:pPr>
            <w:r>
              <w:rPr>
                <w:rFonts w:ascii="Calibri" w:hAnsi="Calibri" w:cs="Arial"/>
                <w:color w:val="000000"/>
                <w:sz w:val="16"/>
                <w:szCs w:val="16"/>
                <w:lang w:eastAsia="es-CL"/>
              </w:rPr>
              <w:t xml:space="preserve">Sin ajustes</w:t>
            </w:r>
          </w:p>
        </w:tc>
      </w:tr>
      <w:tr>
        <w:trPr>
          <w:cantSplit/>
        </w:trPr>
        <w:tc>
          <w:tcPr>
            <w:tcW w:w="1328" w:type="dxa"/>
          </w:tcPr>
          <w:p>
            <w:pPr>
              <w:spacing w:before="0" w:after="80"/>
              <w:jc w:val="left"/>
            </w:pPr>
            <w:r>
              <w:rPr>
                <w:rFonts w:ascii="Calibri" w:hAnsi="Calibri" w:cs="Arial"/>
                <w:color w:val="000000"/>
                <w:sz w:val="16"/>
                <w:szCs w:val="16"/>
                <w:lang w:eastAsia="es-CL"/>
              </w:rPr>
              <w:t xml:space="preserve">Gestión de proyectos</w:t>
            </w:r>
          </w:p>
        </w:tc>
        <w:tc>
          <w:tcPr>
            <w:tcW w:w="1077" w:type="dxa"/>
          </w:tcPr>
          <w:p>
            <w:pPr>
              <w:spacing w:before="0" w:after="80"/>
              <w:jc w:val="left"/>
            </w:pPr>
            <w:r>
              <w:rPr>
                <w:rFonts w:ascii="Calibri" w:hAnsi="Calibri" w:cs="Arial"/>
                <w:color w:val="000000"/>
                <w:sz w:val="16"/>
                <w:szCs w:val="16"/>
                <w:lang w:eastAsia="es-CL"/>
              </w:rPr>
              <w:t xml:space="preserve">Cierre: manual de usuario, presentación y entrega final</w:t>
            </w:r>
          </w:p>
        </w:tc>
        <w:tc>
          <w:tcPr>
            <w:tcW w:w="1276" w:type="dxa"/>
          </w:tcPr>
          <w:p>
            <w:pPr>
              <w:spacing w:before="0" w:after="80"/>
              <w:jc w:val="left"/>
            </w:pPr>
            <w:r>
              <w:rPr>
                <w:rFonts w:ascii="Calibri" w:hAnsi="Calibri" w:cs="Arial"/>
                <w:color w:val="000000"/>
                <w:sz w:val="16"/>
                <w:szCs w:val="16"/>
                <w:lang w:eastAsia="es-CL"/>
              </w:rPr>
              <w:t xml:space="preserve">Capturas del prototipo, Word, PowerPoint</w:t>
            </w:r>
          </w:p>
        </w:tc>
        <w:tc>
          <w:tcPr>
            <w:tcW w:w="1276" w:type="dxa"/>
          </w:tcPr>
          <w:p>
            <w:pPr>
              <w:spacing w:before="0" w:after="80"/>
              <w:jc w:val="left"/>
            </w:pPr>
            <w:r>
              <w:rPr>
                <w:rFonts w:ascii="Calibri" w:hAnsi="Calibri" w:cs="Arial"/>
                <w:color w:val="000000"/>
                <w:sz w:val="16"/>
                <w:szCs w:val="16"/>
                <w:lang w:eastAsia="es-CL"/>
              </w:rPr>
              <w:t xml:space="preserve">2 al 6 nov. (1 semana)</w:t>
            </w:r>
          </w:p>
        </w:tc>
        <w:tc>
          <w:tcPr>
            <w:tcW w:w="1275" w:type="dxa"/>
          </w:tcPr>
          <w:p>
            <w:pPr>
              <w:spacing w:before="0" w:after="80"/>
              <w:jc w:val="left"/>
            </w:pPr>
            <w:r>
              <w:rPr>
                <w:rFonts w:ascii="Calibri" w:hAnsi="Calibri" w:cs="Arial"/>
                <w:color w:val="000000"/>
                <w:sz w:val="16"/>
                <w:szCs w:val="16"/>
                <w:lang w:eastAsia="es-CL"/>
              </w:rPr>
              <w:t xml:space="preserve">Eva González (manual y presentación), Fabián Araya y Diego Reyes (presentación)</w:t>
            </w:r>
          </w:p>
        </w:tc>
        <w:tc>
          <w:tcPr>
            <w:tcW w:w="1276" w:type="dxa"/>
          </w:tcPr>
          <w:p>
            <w:pPr>
              <w:spacing w:before="0" w:after="80"/>
              <w:jc w:val="left"/>
            </w:pPr>
            <w:r>
              <w:rPr>
                <w:rFonts w:ascii="Calibri" w:hAnsi="Calibri" w:cs="Arial"/>
                <w:color w:val="000000"/>
                <w:sz w:val="16"/>
                <w:szCs w:val="16"/>
                <w:lang w:eastAsia="es-CL"/>
              </w:rPr>
              <w:t xml:space="preserve">Planificado para la etapa de cierre.</w:t>
            </w:r>
          </w:p>
        </w:tc>
        <w:tc>
          <w:tcPr>
            <w:tcW w:w="1418" w:type="dxa"/>
          </w:tcPr>
          <w:p>
            <w:pPr>
              <w:spacing w:before="0" w:after="80"/>
              <w:jc w:val="left"/>
            </w:pPr>
            <w:r>
              <w:rPr>
                <w:rFonts w:ascii="Calibri" w:hAnsi="Calibri" w:cs="Arial"/>
                <w:color w:val="000000"/>
                <w:sz w:val="16"/>
                <w:szCs w:val="16"/>
                <w:lang w:eastAsia="es-CL"/>
              </w:rPr>
              <w:t xml:space="preserve">No iniciado</w:t>
            </w:r>
          </w:p>
        </w:tc>
        <w:tc>
          <w:tcPr>
            <w:tcW w:w="850" w:type="dxa"/>
          </w:tcPr>
          <w:p>
            <w:pPr>
              <w:spacing w:before="0" w:after="80"/>
              <w:jc w:val="left"/>
            </w:pPr>
            <w:r>
              <w:rPr>
                <w:rFonts w:ascii="Calibri" w:hAnsi="Calibri" w:cs="Arial"/>
                <w:color w:val="000000"/>
                <w:sz w:val="16"/>
                <w:szCs w:val="16"/>
                <w:lang w:eastAsia="es-CL"/>
              </w:rPr>
              <w:t xml:space="preserve">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top"/>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pPr>
              <w:spacing w:before="0" w:after="80"/>
              <w:jc w:val="both"/>
            </w:pPr>
            <w:r>
              <w:rPr>
                <w:rFonts w:ascii="Calibri" w:hAnsi="Calibri" w:cs="Arial"/>
                <w:b/>
                <w:bCs/>
                <w:color w:val="000000"/>
                <w:sz w:val="20"/>
                <w:szCs w:val="20"/>
                <w:lang w:eastAsia="es-CL"/>
              </w:rPr>
              <w:t xml:space="preserve">Factores que han facilitado el desarrollo:</w:t>
            </w:r>
          </w:p>
          <w:p>
            <w:pPr>
              <w:spacing w:before="0" w:after="80"/>
              <w:jc w:val="both"/>
            </w:pPr>
            <w:r>
              <w:rPr>
                <w:rFonts w:ascii="Calibri" w:hAnsi="Calibri" w:cs="Arial"/>
                <w:color w:val="000000"/>
                <w:sz w:val="20"/>
                <w:szCs w:val="20"/>
                <w:lang w:eastAsia="es-CL"/>
              </w:rPr>
              <w:t xml:space="preserve">Intentamos mantener una buena comunicación: antes de cada etapa acordamos un horario de trabajo que definía cuándo trabajaríamos en conjunto y cuándo cada uno avanzaría por separado en su parte. Esto nos permitió seguir avanzando aunque no siempre pudiéramos coincidir.</w:t>
            </w:r>
          </w:p>
          <w:p>
            <w:pPr>
              <w:spacing w:before="0" w:after="80"/>
              <w:jc w:val="both"/>
            </w:pPr>
            <w:r>
              <w:rPr>
                <w:rFonts w:ascii="Calibri" w:hAnsi="Calibri" w:cs="Arial"/>
                <w:color w:val="000000"/>
                <w:sz w:val="20"/>
                <w:szCs w:val="20"/>
                <w:lang w:eastAsia="es-CL"/>
              </w:rPr>
              <w:t xml:space="preserve">Trabajamos con un repositorio en GitHub organizado en ramas por funcionalidad y pull requests, lo que nos permitió avanzar en paralelo (por ejemplo, el flujo en dólares, el flujo en pesos y la interfaz) sin pisarnos el trabajo. Toda la documentación, el material enviado por el docente y los archivos del hotel quedaron centralizados en una carpeta compartida de Google Drive.</w:t>
            </w:r>
          </w:p>
          <w:p>
            <w:pPr>
              <w:spacing w:before="0" w:after="80"/>
              <w:jc w:val="both"/>
            </w:pPr>
            <w:r>
              <w:rPr>
                <w:rFonts w:ascii="Calibri" w:hAnsi="Calibri" w:cs="Arial"/>
                <w:color w:val="000000"/>
                <w:sz w:val="20"/>
                <w:szCs w:val="20"/>
                <w:lang w:eastAsia="es-CL"/>
              </w:rPr>
              <w:t xml:space="preserve">Contamos con archivos reales del hotel y con los apuntes que nos envió el docente, que detallan las reglas de negocio, las llaves de cruce y las tolerancias, lo que nos permitió construir y probar el sistema sobre casos concretos. También nos ayudó el conocimiento previo de Python, Django y bases de datos adquirido en la carrera.</w:t>
            </w:r>
          </w:p>
          <w:p>
            <w:pPr>
              <w:spacing w:before="0" w:after="80"/>
              <w:jc w:val="both"/>
            </w:pPr>
            <w:r>
              <w:rPr>
                <w:rFonts w:ascii="Calibri" w:hAnsi="Calibri" w:cs="Arial"/>
                <w:b/>
                <w:bCs/>
                <w:color w:val="000000"/>
                <w:sz w:val="20"/>
                <w:szCs w:val="20"/>
                <w:lang w:eastAsia="es-CL"/>
              </w:rPr>
              <w:t xml:space="preserve">Factores que han dificultado el desarrollo y cómo los abordamos:</w:t>
            </w:r>
          </w:p>
          <w:p>
            <w:pPr>
              <w:spacing w:before="0" w:after="80"/>
              <w:jc w:val="both"/>
            </w:pPr>
            <w:r>
              <w:rPr>
                <w:rFonts w:ascii="Calibri" w:hAnsi="Calibri" w:cs="Arial"/>
                <w:b/>
                <w:bCs/>
                <w:color w:val="000000"/>
                <w:sz w:val="20"/>
                <w:szCs w:val="20"/>
                <w:lang w:eastAsia="es-CL"/>
              </w:rPr>
              <w:t xml:space="preserve">Diferencia de horarios entre los integrantes.</w:t>
            </w:r>
            <w:r>
              <w:rPr>
                <w:rFonts w:ascii="Calibri" w:hAnsi="Calibri" w:cs="Arial"/>
                <w:color w:val="000000"/>
                <w:sz w:val="20"/>
                <w:szCs w:val="20"/>
                <w:lang w:eastAsia="es-CL"/>
              </w:rPr>
              <w:t xml:space="preserve"> Cada uno tiene compromisos y horarios distintos, por lo que no siempre pudimos trabajar al mismo tiempo. Para enfrentarlo acordamos el horario de trabajo antes de cada etapa, dividimos el desarrollo por módulos con un responsable para cada uno y nos coordinamos de forma asíncrona a través del repositorio y del Drive compartido.</w:t>
            </w:r>
          </w:p>
          <w:p>
            <w:pPr>
              <w:spacing w:before="0" w:after="80"/>
              <w:jc w:val="both"/>
            </w:pPr>
            <w:r>
              <w:rPr>
                <w:rFonts w:ascii="Calibri" w:hAnsi="Calibri" w:cs="Arial"/>
                <w:b/>
                <w:bCs/>
                <w:color w:val="000000"/>
                <w:sz w:val="20"/>
                <w:szCs w:val="20"/>
                <w:lang w:eastAsia="es-CL"/>
              </w:rPr>
              <w:t xml:space="preserve">Estado del prototipo heredado.</w:t>
            </w:r>
            <w:r>
              <w:rPr>
                <w:rFonts w:ascii="Calibri" w:hAnsi="Calibri" w:cs="Arial"/>
                <w:color w:val="000000"/>
                <w:sz w:val="20"/>
                <w:szCs w:val="20"/>
                <w:lang w:eastAsia="es-CL"/>
              </w:rPr>
              <w:t xml:space="preserve"> El prototipo que recibimos tenía fallas de fondo (pérdida de transacciones, totales corruptos, sin base de datos y credenciales expuestas). Decidimos auditarlo y reconstruir la plataforma desde cero, lo que nos exigió un esfuerzo inicial mayor, pero nos dejó una base confiable para avanzar.</w:t>
            </w:r>
          </w:p>
          <w:p>
            <w:pPr>
              <w:spacing w:before="0" w:after="80"/>
              <w:jc w:val="both"/>
            </w:pPr>
            <w:r>
              <w:rPr>
                <w:rFonts w:ascii="Calibri" w:hAnsi="Calibri" w:cs="Arial"/>
                <w:b/>
                <w:bCs/>
                <w:color w:val="000000"/>
                <w:sz w:val="20"/>
                <w:szCs w:val="20"/>
                <w:lang w:eastAsia="es-CL"/>
              </w:rPr>
              <w:t xml:space="preserve">Formatos de archivo poco estandarizados.</w:t>
            </w:r>
            <w:r>
              <w:rPr>
                <w:rFonts w:ascii="Calibri" w:hAnsi="Calibri" w:cs="Arial"/>
                <w:color w:val="000000"/>
                <w:sz w:val="20"/>
                <w:szCs w:val="20"/>
                <w:lang w:eastAsia="es-CL"/>
              </w:rPr>
              <w:t xml:space="preserve"> Los archivos del hotel vienen con encabezados decorativos, celdas combinadas, subtotales intermedios y columnas que pueden cambiar de posición. Para resolverlo construimos un detector de columnas por nombre de encabezado y un detector de archivos que reconoce cada insumo por su contenido.</w:t>
            </w:r>
          </w:p>
          <w:p>
            <w:pPr>
              <w:spacing w:before="0" w:after="80"/>
              <w:jc w:val="both"/>
            </w:pPr>
            <w:r>
              <w:rPr>
                <w:rFonts w:ascii="Calibri" w:hAnsi="Calibri" w:cs="Arial"/>
                <w:b/>
                <w:bCs/>
                <w:color w:val="000000"/>
                <w:sz w:val="20"/>
                <w:szCs w:val="20"/>
                <w:lang w:eastAsia="es-CL"/>
              </w:rPr>
              <w:t xml:space="preserve">Definición de las tolerancias.</w:t>
            </w:r>
            <w:r>
              <w:rPr>
                <w:rFonts w:ascii="Calibri" w:hAnsi="Calibri" w:cs="Arial"/>
                <w:color w:val="000000"/>
                <w:sz w:val="20"/>
                <w:szCs w:val="20"/>
                <w:lang w:eastAsia="es-CL"/>
              </w:rPr>
              <w:t xml:space="preserve"> Las cotas que aparecían en los distintos documentos que recibimos no coincidían del todo. Las estamos calibrando con pruebas sobre datos reales, para no ocultar diferencias verdaderas, y se pueden configurar en el sistema.</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top"/>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pPr>
              <w:spacing w:before="0" w:after="80"/>
              <w:jc w:val="both"/>
            </w:pPr>
            <w:r>
              <w:rPr>
                <w:rFonts w:ascii="Calibri" w:hAnsi="Calibri" w:cs="Arial"/>
                <w:color w:val="000000"/>
                <w:sz w:val="20"/>
                <w:szCs w:val="20"/>
                <w:lang w:eastAsia="es-CL"/>
              </w:rPr>
              <w:t xml:space="preserve">No eliminamos ninguna actividad del plan. Realizamos los siguientes ajustes:</w:t>
            </w:r>
          </w:p>
          <w:p>
            <w:pPr>
              <w:spacing w:before="0" w:after="80"/>
              <w:jc w:val="both"/>
            </w:pPr>
            <w:r>
              <w:rPr>
                <w:rFonts w:ascii="Calibri" w:hAnsi="Calibri" w:cs="Arial"/>
                <w:b/>
                <w:bCs/>
                <w:color w:val="000000"/>
                <w:sz w:val="20"/>
                <w:szCs w:val="20"/>
                <w:lang w:eastAsia="es-CL"/>
              </w:rPr>
              <w:t xml:space="preserve">Reconstrucción de la plataforma desde cero (actividad agregada).</w:t>
            </w:r>
            <w:r>
              <w:rPr>
                <w:rFonts w:ascii="Calibri" w:hAnsi="Calibri" w:cs="Arial"/>
                <w:color w:val="000000"/>
                <w:sz w:val="20"/>
                <w:szCs w:val="20"/>
                <w:lang w:eastAsia="es-CL"/>
              </w:rPr>
              <w:t xml:space="preserve"> El plan original suponía avanzar sobre el prototipo heredado. Al auditarlo, encontramos que perdía transacciones en silencio, corrompía los totales con valores NaN, no reconocía las facturas divididas, dependía de posiciones fijas de columnas, no tenía base de datos y exponía claves de API. Por eso decidimos reconstruirlo como v2.0, con un modelo relacional nuevo y una arquitectura modular. Esto también llevó a rediseñar el modelo de datos.</w:t>
            </w:r>
          </w:p>
          <w:p>
            <w:pPr>
              <w:spacing w:before="0" w:after="80"/>
              <w:jc w:val="both"/>
            </w:pPr>
            <w:r>
              <w:rPr>
                <w:rFonts w:ascii="Calibri" w:hAnsi="Calibri" w:cs="Arial"/>
                <w:b/>
                <w:bCs/>
                <w:color w:val="000000"/>
                <w:sz w:val="20"/>
                <w:szCs w:val="20"/>
                <w:lang w:eastAsia="es-CL"/>
              </w:rPr>
              <w:t xml:space="preserve">Gestión de excepciones, CU7 (actividad ajustada).</w:t>
            </w:r>
            <w:r>
              <w:rPr>
                <w:rFonts w:ascii="Calibri" w:hAnsi="Calibri" w:cs="Arial"/>
                <w:color w:val="000000"/>
                <w:sz w:val="20"/>
                <w:szCs w:val="20"/>
                <w:lang w:eastAsia="es-CL"/>
              </w:rPr>
              <w:t xml:space="preserve"> En lugar de que el analista marque cada excepción como resuelta a mano, el sistema registra la resolución automáticamente cuando se vuelven a subir los archivos corregidos: actualiza el resultado del voucher y deja constancia del usuario, la fecha y el cambio en una bitácora (AuditResolutionLog). Optamos por este enfoque porque la corrección real ocurre en el ERP del hotel y así el historial refleja ese cambio sin depender de una acción manual.</w:t>
            </w:r>
          </w:p>
          <w:p>
            <w:pPr>
              <w:spacing w:before="0" w:after="80"/>
              <w:jc w:val="both"/>
            </w:pPr>
            <w:r>
              <w:rPr>
                <w:rFonts w:ascii="Calibri" w:hAnsi="Calibri" w:cs="Arial"/>
                <w:b/>
                <w:bCs/>
                <w:color w:val="000000"/>
                <w:sz w:val="20"/>
                <w:szCs w:val="20"/>
                <w:lang w:eastAsia="es-CL"/>
              </w:rPr>
              <w:t xml:space="preserve">Despliegue del prototipo (actividad agregada).</w:t>
            </w:r>
            <w:r>
              <w:rPr>
                <w:rFonts w:ascii="Calibri" w:hAnsi="Calibri" w:cs="Arial"/>
                <w:color w:val="000000"/>
                <w:sz w:val="20"/>
                <w:szCs w:val="20"/>
                <w:lang w:eastAsia="es-CL"/>
              </w:rPr>
              <w:t xml:space="preserve"> En la Fase 1 el hosting había quedado por definir. Agregamos la preparación del despliegue en PythonAnywhere para que el hotel y el docente puedan evaluar el prototipo sin instalarlo localmente.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top"/>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pPr>
              <w:spacing w:before="0" w:after="80"/>
              <w:jc w:val="both"/>
            </w:pPr>
            <w:r>
              <w:rPr>
                <w:rFonts w:ascii="Calibri" w:hAnsi="Calibri" w:cs="Arial"/>
                <w:color w:val="000000"/>
                <w:sz w:val="20"/>
                <w:szCs w:val="20"/>
                <w:lang w:eastAsia="es-CL"/>
              </w:rPr>
              <w:t xml:space="preserve">No tenemos actividades retrasadas. Algunas tareas de codificación, como los scripts de base de datos, terminaron después de lo planificado en la carta Gantt debido a la reconstrucción de la plataforma, pero ya están completadas y no afectaron las fechas de las pruebas.</w:t>
            </w:r>
          </w:p>
          <w:p>
            <w:pPr>
              <w:spacing w:before="0" w:after="80"/>
              <w:jc w:val="both"/>
            </w:pPr>
            <w:r>
              <w:rPr>
                <w:rFonts w:ascii="Calibri" w:hAnsi="Calibri" w:cs="Arial"/>
                <w:color w:val="000000"/>
                <w:sz w:val="20"/>
                <w:szCs w:val="20"/>
                <w:lang w:eastAsia="es-CL"/>
              </w:rPr>
              <w:t xml:space="preserve">Las actividades que aún no comenzamos son la documentación de la fase de pruebas, el manual de usuario y la presentación y entrega final. Todas están planificadas para la etapa de cierre (Sprint 5) y dependen de terminar las pruebas con datos reales, que están en curso.</w:t>
            </w:r>
          </w:p>
          <w:p>
            <w:pPr>
              <w:spacing w:before="0" w:after="80"/>
              <w:jc w:val="both"/>
            </w:pPr>
            <w:r>
              <w:rPr>
                <w:rFonts w:ascii="Calibri" w:hAnsi="Calibri" w:cs="Arial"/>
                <w:color w:val="000000"/>
                <w:sz w:val="20"/>
                <w:szCs w:val="20"/>
                <w:lang w:eastAsia="es-CL"/>
              </w:rPr>
              <w:t xml:space="preserve">Para no afectar el proyecto, mantendremos el horario de trabajo acordado previamente, iremos registrando los resultados de las pruebas a medida que las realicemos (para que la documentación de pruebas avance en paralelo) y usaremos las capturas del prototipo como base del manual de usuario.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