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Requerimientos del Sistema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Requerimientos Funcionales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5"/>
        <w:gridCol w:w="5625"/>
        <w:gridCol w:w="2895"/>
        <w:tblGridChange w:id="0">
          <w:tblGrid>
            <w:gridCol w:w="855"/>
            <w:gridCol w:w="5625"/>
            <w:gridCol w:w="28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4a7d" w:val="clear"/>
          </w:tcPr>
          <w:p w:rsidR="00000000" w:rsidDel="00000000" w:rsidP="00000000" w:rsidRDefault="00000000" w:rsidRPr="00000000" w14:paraId="00000005">
            <w:pPr>
              <w:spacing w:after="20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4a7d" w:val="clear"/>
          </w:tcPr>
          <w:p w:rsidR="00000000" w:rsidDel="00000000" w:rsidP="00000000" w:rsidRDefault="00000000" w:rsidRPr="00000000" w14:paraId="00000006">
            <w:pPr>
              <w:spacing w:after="20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4a7d" w:val="clear"/>
          </w:tcPr>
          <w:p w:rsidR="00000000" w:rsidDel="00000000" w:rsidP="00000000" w:rsidRDefault="00000000" w:rsidRPr="00000000" w14:paraId="00000007">
            <w:pPr>
              <w:spacing w:after="200" w:before="0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8">
            <w:pPr>
              <w:spacing w:after="20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20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a los usuarios autenticarse mediante usuario y contraseña.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A">
            <w:pPr>
              <w:spacing w:after="20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Analista Contable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20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20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cargar los insumos de conciliación: cartola bancaria, reportes Transbank (crédito, débito, prepago) y borderó del ERP.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20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Analista Contable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20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20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validar el formato de cada archivo cargado antes de almacenarlo, rechazando archivos inválidos.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20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Analista Contable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20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20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normalizar automáticamente los insumos cargados a una estructura tabular estándar, incluyendo la limpieza del formato paginado del borderó (eliminación de subtotales intermedios).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20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Analista Contable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20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20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cruzar automáticamente los registros de las distintas fuentes utilizando llaves de negocio (código de autorización, número de documento, monto).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20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Analista Contable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20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20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aplicar un parámetro de tolerancia definido para determinar si dos registros se consideran coincidentes.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20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Analista Contable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20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RF7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20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clasificar automáticamente el tipo de anomalía de cada registro no conciliado (desfase de tiempo, agrupación de pagos, error de tipeo, nota de crédito, entre otros).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20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Analista Contable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20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RF8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20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generar un reporte de excepciones con las transacciones que no lograron conciliarse automáticamente.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20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Analista Contable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20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RF9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20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visualizar el reporte de excepciones y el detalle de cada anomalía detectada.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20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Analista Contable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20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20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marcar una excepción como resuelta, registrando el comentario del analista.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20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Analista Contable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20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20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descartar una excepción cuando corresponda a un falso positivo.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20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Analista Contable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20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20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exportar/descargar el reporte de excepciones.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20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Analista Contable</w:t>
            </w:r>
          </w:p>
        </w:tc>
      </w:tr>
    </w:tbl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Requerimientos No Funcionales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5"/>
        <w:gridCol w:w="5685"/>
        <w:gridCol w:w="2865"/>
        <w:tblGridChange w:id="0">
          <w:tblGrid>
            <w:gridCol w:w="825"/>
            <w:gridCol w:w="5685"/>
            <w:gridCol w:w="28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4a7d" w:val="clea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4a7d" w:val="clea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4a7d" w:val="clea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2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2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Rendimiento: el sistema debe procesar los insumos y ejecutar el cruce de registros en un tiempo razonable, incluso con volúmenes altos de transacciones diarias.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2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Analista Contable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2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2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Seguridad: el acceso al sistema debe estar protegido mediante autenticación, dado que se maneja información financiera sensible del hotel.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C">
            <w:pPr>
              <w:spacing w:after="2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Analista Contable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2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2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Usabilidad: la interfaz debe ser simple e intuitiva para el equipo contable, sin requerir conocimientos técnicos avanzados.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2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Analista Contable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2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2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Mantenibilidad: el motor de validación debe estar diseñado de forma modular, para facilitar ajustes futuros en las reglas de negocio o en el parámetro de tolerancia.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2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Analista Contable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2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2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Compatibilidad: el sistema debe procesar los archivos tal como se descargan de las fuentes originales (Excel/XLS de Transbank, ERP y banco), sin requerir conversión manual previa.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2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Analista Contable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2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2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Disponibilidad: el sistema debe estar disponible durante el horario laboral del equipo contable del hotel.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2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Analista Contable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2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2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Portabilidad: el sistema debe poder ejecutarse sobre el stack tecnológico definido (Python/Django, HTML/CSS/JavaScript, SQLite) sin dependencias adicionales complejas.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2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Analista Contable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ecr2Pqe65hWyNyUulrSS+M/9kA==">CgMxLjA4AHIhMUlTWWF1OEhtcUtzeHdJMGlXbGt0SDFmTVJRdzRtZk1w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2026-09-11T19:58:10.974Z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