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black"/>
          <w:szCs w:val="24"/>
          <w:b/>
          <w:highlight w:val="white"/>
          <w:rtl/>
        </w:rPr>
        <w:t>٦-١٨- مراكز ارائه دهنده مراقبت هاي اوليه بهداشتي</w:t>
      </w:r>
    </w:p>
    <w:tbl>
      <w:tblPr>
        <w:tblStyle w:val="TableGrid"/>
        <w:bidiVisual/>
      </w:tblPr>
      <w:tr>
        <w:tc>
          <w:tcPr>
            <w:tcW w:w="9314" w:type="dxa"/>
            <w:vMerge w:val="restart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سال و استان</w:t>
            </w:r>
          </w:p>
        </w:tc>
        <w:tc>
          <w:tcPr>
            <w:tcW w:w="13971" w:type="dxa"/>
            <w:gridSpan w:val="3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مراکز بهداشتی و درمانی</w:t>
            </w:r>
          </w:p>
        </w:tc>
        <w:tc>
          <w:tcPr>
            <w:tcW w:w="13971" w:type="dxa"/>
            <w:gridSpan w:val="3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پایگاه بهداشت</w:t>
            </w:r>
          </w:p>
        </w:tc>
        <w:tc>
          <w:tcPr>
            <w:tcW w:w="9314" w:type="dxa"/>
            <w:vMerge w:val="restart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تسهیلات زایمانی</w:t>
            </w:r>
          </w:p>
        </w:tc>
        <w:tc>
          <w:tcPr>
            <w:tcW w:w="13971" w:type="dxa"/>
            <w:vMerge w:val="restart"/>
            <w:gridSpan w:val="3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خانه هاي بهداشت فعال</w:t>
            </w:r>
          </w:p>
        </w:tc>
      </w:tr>
      <w:tr>
        <w:tc>
          <w:tcPr>
            <w:tcW w:w="4657" w:type="dxa"/>
            <w:vMerge/>
            <w:gridSpan w:val="2"/>
          </w:tcPr>
          <w:p/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جمع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شهری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روستایی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جمع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شهری</w:t>
            </w:r>
          </w:p>
        </w:tc>
        <w:tc>
          <w:tcPr>
            <w:tcW w:w="4657" w:type="dxa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روستایی</w:t>
            </w:r>
          </w:p>
        </w:tc>
        <w:tc>
          <w:tcPr>
            <w:tcW w:w="4657" w:type="dxa"/>
            <w:vMerge/>
            <w:gridSpan w:val="2"/>
          </w:tcPr>
          <w:p/>
        </w:tc>
        <w:tc>
          <w:tcPr>
            <w:tcW w:w="4657" w:type="dxa"/>
            <w:vMerge/>
            <w:gridSpan w:val="3"/>
          </w:tcPr>
          <w:p/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1375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13314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1380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1385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12166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1392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...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17749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1393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4657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2376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2281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2401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2278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123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274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17644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1394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4672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2394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2278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2915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2776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139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257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17852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1395</w:t>
            </w:r>
          </w:p>
        </w:tc>
        <w:tc>
          <w:tcPr>
            <w:tcW w:w="4657" w:type="dxa"/>
          </w:tcPr>
          <w:p/>
        </w:tc>
        <w:tc>
          <w:tcPr>
            <w:tcW w:w="4657" w:type="dxa"/>
          </w:tcPr>
          <w:p/>
        </w:tc>
        <w:tc>
          <w:tcPr>
            <w:tcW w:w="4657" w:type="dxa"/>
          </w:tcPr>
          <w:p/>
        </w:tc>
        <w:tc>
          <w:tcPr>
            <w:tcW w:w="4657" w:type="dxa"/>
          </w:tcPr>
          <w:p/>
        </w:tc>
        <w:tc>
          <w:tcPr>
            <w:tcW w:w="4657" w:type="dxa"/>
          </w:tcPr>
          <w:p/>
        </w:tc>
        <w:tc>
          <w:tcPr>
            <w:tcW w:w="4657" w:type="dxa"/>
          </w:tcPr>
          <w:p/>
        </w:tc>
        <w:tc>
          <w:tcPr>
            <w:tcW w:w="9314" w:type="dxa"/>
            <w:gridSpan w:val="2"/>
          </w:tcPr>
          <w:p/>
        </w:tc>
        <w:tc>
          <w:tcPr>
            <w:tcW w:w="13971" w:type="dxa"/>
            <w:gridSpan w:val="3"/>
          </w:tcPr>
          <w:p/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1396</w:t>
            </w:r>
          </w:p>
        </w:tc>
        <w:tc>
          <w:tcPr>
            <w:tcW w:w="4657" w:type="dxa"/>
          </w:tcPr>
          <w:p/>
        </w:tc>
        <w:tc>
          <w:tcPr>
            <w:tcW w:w="4657" w:type="dxa"/>
          </w:tcPr>
          <w:p/>
        </w:tc>
        <w:tc>
          <w:tcPr>
            <w:tcW w:w="4657" w:type="dxa"/>
          </w:tcPr>
          <w:p/>
        </w:tc>
        <w:tc>
          <w:tcPr>
            <w:tcW w:w="4657" w:type="dxa"/>
          </w:tcPr>
          <w:p/>
        </w:tc>
        <w:tc>
          <w:tcPr>
            <w:tcW w:w="4657" w:type="dxa"/>
          </w:tcPr>
          <w:p/>
        </w:tc>
        <w:tc>
          <w:tcPr>
            <w:tcW w:w="4657" w:type="dxa"/>
          </w:tcPr>
          <w:p/>
        </w:tc>
        <w:tc>
          <w:tcPr>
            <w:tcW w:w="9314" w:type="dxa"/>
            <w:gridSpan w:val="2"/>
          </w:tcPr>
          <w:p/>
        </w:tc>
        <w:tc>
          <w:tcPr>
            <w:tcW w:w="13971" w:type="dxa"/>
            <w:gridSpan w:val="3"/>
          </w:tcPr>
          <w:p/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آذربايجان شرقي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280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1072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آذربايجان غربی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985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اردبیل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509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اصفهان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293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204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260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559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البرز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125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80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ایلام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50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204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بوشهر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45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223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تهران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212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396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380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274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چهار محال و بختياري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26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314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خراسان جنوبي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57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316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خراسان رضوی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381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200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181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369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366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1403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خراسان شمالي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54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428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خوزستان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149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863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زنجان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76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448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سمنان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78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16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136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سيستان و بلوچستان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208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46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35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953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فارس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63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1075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قزوین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87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92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277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قم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56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144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59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کردستان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148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75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106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618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کرمان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203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90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113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108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855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کرمانشاه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130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69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25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649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كهگيلويه و بويراحمد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69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27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51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345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گلستان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144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47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97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38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34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 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608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گیلان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192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96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96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43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971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لرستان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73 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44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41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642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مازندران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292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96 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76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74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10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1288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مرکزی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14  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22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396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هرمزگان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154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59  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50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45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30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556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هرمزگان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152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66  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43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32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11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575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یزد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85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49  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91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91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0</w:t>
            </w:r>
          </w:p>
        </w:tc>
        <w:tc>
          <w:tcPr>
            <w:tcW w:w="9314" w:type="dxa"/>
            <w:gridSpan w:val="2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5</w:t>
            </w:r>
          </w:p>
        </w:tc>
        <w:tc>
          <w:tcPr>
            <w:tcW w:w="13971" w:type="dxa"/>
            <w:gridSpan w:val="3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171</w:t>
            </w:r>
          </w:p>
        </w:tc>
      </w:tr>
      <w:tr>
        <w:tc>
          <w:tcPr>
            <w:tcW w:w="9314" w:type="dxa"/>
            <w:gridSpan w:val="2"/>
            <w:vAlign w:val="center"/>
            <w:shd w:val="clear" w:color="auto" w:fill="#DCDCDC"/>
          </w:tcPr>
          <w:p>
            <w:pPr>
              <w:jc w:val="center"/>
            </w:pPr>
            <w:r>
              <w:rPr>
                <w:rFonts w:cs="B Nazanin"/>
                <w:rtl/>
              </w:rPr>
              <w:t>1395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//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×  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××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 </w:t>
            </w:r>
          </w:p>
        </w:tc>
        <w:tc>
          <w:tcPr>
            <w:tcW w:w="4657" w:type="dxa"/>
            <w:vAlign w:val="center"/>
          </w:tcPr>
          <w:p>
            <w:pPr>
              <w:jc w:val="center"/>
            </w:pPr>
            <w:r>
              <w:rPr>
                <w:rFonts w:cs="B Nazanin"/>
                <w:rtl/>
              </w:rPr>
              <w:t> </w:t>
            </w:r>
          </w:p>
        </w:tc>
        <w:tc>
          <w:tcPr>
            <w:tcW w:w="4657" w:type="dxa"/>
          </w:tcPr>
          <w:p/>
        </w:tc>
        <w:tc>
          <w:tcPr>
            <w:tcW w:w="9314" w:type="dxa"/>
            <w:gridSpan w:val="2"/>
          </w:tcPr>
          <w:p/>
        </w:tc>
        <w:tc>
          <w:tcPr>
            <w:tcW w:w="13971" w:type="dxa"/>
            <w:gridSpan w:val="3"/>
          </w:tcPr>
          <w:p/>
        </w:tc>
      </w:tr>
    </w:tbl>
    <w:p/>
    <w:p>
      <w:pPr>
        <w:bidi/>
      </w:pPr>
      <w:r>
        <w:rPr>
          <w:rFonts w:cs="B Nazanin" w:hint="cs"/>
          <w:color w:val="black"/>
          <w:szCs w:val="16"/>
          <w:b/>
          <w:highlight w:val="white"/>
          <w:rtl/>
        </w:rPr>
        <w:t>مأخذ - وزارت بهداشت، درمان و آموزش پزشكي.</w:t>
      </w:r>
    </w:p>
    <w:p>
      <w:pPr>
        <w:bidi/>
      </w:pPr>
      <w:r>
        <w:rPr>
          <w:rFonts w:cs="B Nazanin" w:hint="cs"/>
          <w:color w:val="black"/>
          <w:szCs w:val="16"/>
          <w:b/>
          <w:highlight w:val="white"/>
          <w:rtl/>
        </w:rPr>
        <w:t>- وزارت بهداشت، درمان و آموزش پزشكي. دفتر مديريت آمار و فناوري اطلاعات.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