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00467F"/>
          <w:sz w:val="36"/>
        </w:rPr>
        <w:t>TRABAJO APLICATIVO FINAL (TAF)</w:t>
      </w:r>
    </w:p>
    <w:p/>
    <w:p>
      <w:pPr>
        <w:jc w:val="center"/>
      </w:pPr>
      <w:r>
        <w:rPr>
          <w:rFonts w:ascii="Calibri" w:hAnsi="Calibri"/>
          <w:b/>
          <w:color w:val="1F497D"/>
          <w:sz w:val="32"/>
        </w:rPr>
        <w:t>SIS-DEMAND: Sistema Predictivo de Demanda de Atenciones Médicas</w:t>
        <w:br/>
        <w:t>para el Seguro Integral de Salud del Perú</w:t>
      </w:r>
    </w:p>
    <w:p/>
    <w:p>
      <w:pPr>
        <w:jc w:val="center"/>
      </w:pPr>
      <w:r>
        <w:rPr>
          <w:rFonts w:ascii="Calibri" w:hAnsi="Calibri"/>
          <w:sz w:val="24"/>
        </w:rPr>
        <w:t>Curso: Analítica de Datos (ATD)</w:t>
      </w:r>
    </w:p>
    <w:p>
      <w:pPr>
        <w:jc w:val="center"/>
      </w:pPr>
      <w:r>
        <w:rPr>
          <w:rFonts w:ascii="Calibri" w:hAnsi="Calibri"/>
          <w:sz w:val="24"/>
        </w:rPr>
        <w:t>Institución: CENTRUM PUCP — Graduate Business School</w:t>
      </w:r>
    </w:p>
    <w:p>
      <w:pPr>
        <w:jc w:val="center"/>
      </w:pPr>
      <w:r>
        <w:rPr>
          <w:rFonts w:ascii="Calibri" w:hAnsi="Calibri"/>
          <w:sz w:val="24"/>
        </w:rPr>
        <w:t>Año: 2026</w:t>
      </w:r>
    </w:p>
    <w:p>
      <w:pPr>
        <w:jc w:val="center"/>
      </w:pPr>
      <w:r>
        <w:rPr>
          <w:rFonts w:ascii="Calibri" w:hAnsi="Calibri"/>
          <w:sz w:val="24"/>
        </w:rPr>
        <w:t>Proyecto: Consultoría Interna — Seguro Integral de Salud (SIS) — Gobierno del Perú</w:t>
      </w:r>
    </w:p>
    <w:p>
      <w:r>
        <w:br w:type="page"/>
      </w:r>
    </w:p>
    <w:p>
      <w:pPr>
        <w:pStyle w:val="Heading1"/>
      </w:pPr>
      <w:r>
        <w:rPr>
          <w:rFonts w:ascii="Calibri" w:hAnsi="Calibri"/>
          <w:color w:val="00467F"/>
        </w:rPr>
        <w:t>1. Resumen Ejecutivo</w:t>
      </w:r>
    </w:p>
    <w:p>
      <w:pPr>
        <w:spacing w:after="120"/>
      </w:pPr>
      <w:r>
        <w:rPr>
          <w:rFonts w:ascii="Calibri" w:hAnsi="Calibri"/>
          <w:sz w:val="22"/>
        </w:rPr>
        <w:t>El Seguro Integral de Salud (SIS) del Perú asigna actualmente sus recursos humanos, farmacéuticos y presupuestarios basándose en promedios históricos nacionales, sin capacidad para anticipar variaciones de demanda a nivel de establecimiento de salud (IPRESS). Este enfoque genera subutilización en postas con demanda creciente y saturación en hospitales de alta rotación, afectando directamente la calidad de atención de más de 8.7 millones de asegurados.</w:t>
      </w:r>
    </w:p>
    <w:p>
      <w:pPr>
        <w:spacing w:after="120"/>
      </w:pPr>
      <w:r>
        <w:rPr>
          <w:rFonts w:ascii="Calibri" w:hAnsi="Calibri"/>
          <w:sz w:val="22"/>
        </w:rPr>
        <w:t>El presente trabajo propone e implementa un sistema predictivo de demanda denominado SIS-DEMAND, basado en técnicas de Machine Learning (LightGBM, XGBoost y Random Forest), entrenado sobre 42 millones de registros históricos de 9 semestres consecutivos (2021–2025). El sistema predice el volumen de atenciones por combinación de establecimiento, tipo de servicio, grupo etario y sexo para el siguiente semestre, con una anticipación de seis meses.</w:t>
      </w:r>
    </w:p>
    <w:p>
      <w:pPr>
        <w:spacing w:after="60"/>
      </w:pPr>
      <w:r>
        <w:rPr>
          <w:rFonts w:ascii="Calibri" w:hAnsi="Calibri"/>
          <w:b/>
          <w:color w:val="44546A"/>
          <w:sz w:val="20"/>
        </w:rPr>
        <w:t>Tabla 1. Indicadores clave del proyecto SIS-DEMAND</w:t>
      </w:r>
    </w:p>
    <w:tbl>
      <w:tblPr>
        <w:tblStyle w:val="TableGrid"/>
        <w:tblW w:type="auto" w:w="0"/>
        <w:jc w:val="center"/>
        <w:tblLook w:firstColumn="1" w:firstRow="1" w:lastColumn="0" w:lastRow="0" w:noHBand="0" w:noVBand="1" w:val="04A0"/>
      </w:tblPr>
      <w:tblGrid>
        <w:gridCol w:w="4561"/>
        <w:gridCol w:w="4561"/>
      </w:tblGrid>
      <w:tr>
        <w:tc>
          <w:tcPr>
            <w:tcW w:type="dxa" w:w="4561"/>
            <w:vAlign w:val="center"/>
            <w:shd w:val="clear" w:color="auto" w:fill="00468F"/>
          </w:tcPr>
          <w:p>
            <w:pPr>
              <w:jc w:val="center"/>
            </w:pPr>
            <w:r>
              <w:rPr>
                <w:rFonts w:ascii="Calibri" w:hAnsi="Calibri"/>
                <w:b/>
                <w:color w:val="FFFFFF"/>
                <w:sz w:val="20"/>
              </w:rPr>
              <w:t>Indicador</w:t>
            </w:r>
          </w:p>
        </w:tc>
        <w:tc>
          <w:tcPr>
            <w:tcW w:type="dxa" w:w="4561"/>
            <w:vAlign w:val="center"/>
            <w:shd w:val="clear" w:color="auto" w:fill="00468F"/>
          </w:tcPr>
          <w:p>
            <w:pPr>
              <w:jc w:val="center"/>
            </w:pPr>
            <w:r>
              <w:rPr>
                <w:rFonts w:ascii="Calibri" w:hAnsi="Calibri"/>
                <w:b/>
                <w:color w:val="FFFFFF"/>
                <w:sz w:val="20"/>
              </w:rPr>
              <w:t>Valor</w:t>
            </w:r>
          </w:p>
        </w:tc>
      </w:tr>
      <w:tr>
        <w:tc>
          <w:tcPr>
            <w:tcW w:type="dxa" w:w="4561"/>
            <w:shd w:val="clear" w:color="auto" w:fill="EEF4FB"/>
          </w:tcPr>
          <w:p>
            <w:pPr>
              <w:jc w:val="center"/>
            </w:pPr>
            <w:r>
              <w:rPr>
                <w:rFonts w:ascii="Calibri" w:hAnsi="Calibri"/>
                <w:sz w:val="20"/>
              </w:rPr>
              <w:t>Registros procesados</w:t>
            </w:r>
          </w:p>
        </w:tc>
        <w:tc>
          <w:tcPr>
            <w:tcW w:type="dxa" w:w="4561"/>
            <w:shd w:val="clear" w:color="auto" w:fill="EEF4FB"/>
          </w:tcPr>
          <w:p>
            <w:pPr>
              <w:jc w:val="center"/>
            </w:pPr>
            <w:r>
              <w:rPr>
                <w:rFonts w:ascii="Calibri" w:hAnsi="Calibri"/>
                <w:sz w:val="20"/>
              </w:rPr>
              <w:t>41,997,568 (42 millones)</w:t>
            </w:r>
          </w:p>
        </w:tc>
      </w:tr>
      <w:tr>
        <w:tc>
          <w:tcPr>
            <w:tcW w:type="dxa" w:w="4561"/>
            <w:shd w:val="clear" w:color="auto" w:fill="FFFFFF"/>
          </w:tcPr>
          <w:p>
            <w:pPr>
              <w:jc w:val="center"/>
            </w:pPr>
            <w:r>
              <w:rPr>
                <w:rFonts w:ascii="Calibri" w:hAnsi="Calibri"/>
                <w:sz w:val="20"/>
              </w:rPr>
              <w:t>Periodos cubiertos</w:t>
            </w:r>
          </w:p>
        </w:tc>
        <w:tc>
          <w:tcPr>
            <w:tcW w:type="dxa" w:w="4561"/>
            <w:shd w:val="clear" w:color="auto" w:fill="FFFFFF"/>
          </w:tcPr>
          <w:p>
            <w:pPr>
              <w:jc w:val="center"/>
            </w:pPr>
            <w:r>
              <w:rPr>
                <w:rFonts w:ascii="Calibri" w:hAnsi="Calibri"/>
                <w:sz w:val="20"/>
              </w:rPr>
              <w:t>9 semestres — 2021 S1 a 2025 S1</w:t>
            </w:r>
          </w:p>
        </w:tc>
      </w:tr>
      <w:tr>
        <w:tc>
          <w:tcPr>
            <w:tcW w:type="dxa" w:w="4561"/>
            <w:shd w:val="clear" w:color="auto" w:fill="EEF4FB"/>
          </w:tcPr>
          <w:p>
            <w:pPr>
              <w:jc w:val="center"/>
            </w:pPr>
            <w:r>
              <w:rPr>
                <w:rFonts w:ascii="Calibri" w:hAnsi="Calibri"/>
                <w:sz w:val="20"/>
              </w:rPr>
              <w:t>IPRESS activas</w:t>
            </w:r>
          </w:p>
        </w:tc>
        <w:tc>
          <w:tcPr>
            <w:tcW w:type="dxa" w:w="4561"/>
            <w:shd w:val="clear" w:color="auto" w:fill="EEF4FB"/>
          </w:tcPr>
          <w:p>
            <w:pPr>
              <w:jc w:val="center"/>
            </w:pPr>
            <w:r>
              <w:rPr>
                <w:rFonts w:ascii="Calibri" w:hAnsi="Calibri"/>
                <w:sz w:val="20"/>
              </w:rPr>
              <w:t>8,725 establecimientos</w:t>
            </w:r>
          </w:p>
        </w:tc>
      </w:tr>
      <w:tr>
        <w:tc>
          <w:tcPr>
            <w:tcW w:type="dxa" w:w="4561"/>
            <w:shd w:val="clear" w:color="auto" w:fill="FFFFFF"/>
          </w:tcPr>
          <w:p>
            <w:pPr>
              <w:jc w:val="center"/>
            </w:pPr>
            <w:r>
              <w:rPr>
                <w:rFonts w:ascii="Calibri" w:hAnsi="Calibri"/>
                <w:sz w:val="20"/>
              </w:rPr>
              <w:t>Regiones cubiertas</w:t>
            </w:r>
          </w:p>
        </w:tc>
        <w:tc>
          <w:tcPr>
            <w:tcW w:type="dxa" w:w="4561"/>
            <w:shd w:val="clear" w:color="auto" w:fill="FFFFFF"/>
          </w:tcPr>
          <w:p>
            <w:pPr>
              <w:jc w:val="center"/>
            </w:pPr>
            <w:r>
              <w:rPr>
                <w:rFonts w:ascii="Calibri" w:hAnsi="Calibri"/>
                <w:sz w:val="20"/>
              </w:rPr>
              <w:t>26 regiones del Perú</w:t>
            </w:r>
          </w:p>
        </w:tc>
      </w:tr>
      <w:tr>
        <w:tc>
          <w:tcPr>
            <w:tcW w:type="dxa" w:w="4561"/>
            <w:shd w:val="clear" w:color="auto" w:fill="EEF4FB"/>
          </w:tcPr>
          <w:p>
            <w:pPr>
              <w:jc w:val="center"/>
            </w:pPr>
            <w:r>
              <w:rPr>
                <w:rFonts w:ascii="Calibri" w:hAnsi="Calibri"/>
                <w:sz w:val="20"/>
              </w:rPr>
              <w:t>Tipos de servicio</w:t>
            </w:r>
          </w:p>
        </w:tc>
        <w:tc>
          <w:tcPr>
            <w:tcW w:type="dxa" w:w="4561"/>
            <w:shd w:val="clear" w:color="auto" w:fill="EEF4FB"/>
          </w:tcPr>
          <w:p>
            <w:pPr>
              <w:jc w:val="center"/>
            </w:pPr>
            <w:r>
              <w:rPr>
                <w:rFonts w:ascii="Calibri" w:hAnsi="Calibri"/>
                <w:sz w:val="20"/>
              </w:rPr>
              <w:t>65 servicios distintos</w:t>
            </w:r>
          </w:p>
        </w:tc>
      </w:tr>
      <w:tr>
        <w:tc>
          <w:tcPr>
            <w:tcW w:type="dxa" w:w="4561"/>
            <w:shd w:val="clear" w:color="auto" w:fill="FFFFFF"/>
          </w:tcPr>
          <w:p>
            <w:pPr>
              <w:jc w:val="center"/>
            </w:pPr>
            <w:r>
              <w:rPr>
                <w:rFonts w:ascii="Calibri" w:hAnsi="Calibri"/>
                <w:sz w:val="20"/>
              </w:rPr>
              <w:t>Mejor modelo</w:t>
            </w:r>
          </w:p>
        </w:tc>
        <w:tc>
          <w:tcPr>
            <w:tcW w:type="dxa" w:w="4561"/>
            <w:shd w:val="clear" w:color="auto" w:fill="FFFFFF"/>
          </w:tcPr>
          <w:p>
            <w:pPr>
              <w:jc w:val="center"/>
            </w:pPr>
            <w:r>
              <w:rPr>
                <w:rFonts w:ascii="Calibri" w:hAnsi="Calibri"/>
                <w:sz w:val="20"/>
              </w:rPr>
              <w:t>LightGBM — MAPE 53.96%, R² 0.309</w:t>
            </w:r>
          </w:p>
        </w:tc>
      </w:tr>
      <w:tr>
        <w:tc>
          <w:tcPr>
            <w:tcW w:type="dxa" w:w="4561"/>
            <w:shd w:val="clear" w:color="auto" w:fill="EEF4FB"/>
          </w:tcPr>
          <w:p>
            <w:pPr>
              <w:jc w:val="center"/>
            </w:pPr>
            <w:r>
              <w:rPr>
                <w:rFonts w:ascii="Calibri" w:hAnsi="Calibri"/>
                <w:sz w:val="20"/>
              </w:rPr>
              <w:t>Feature más predictivo</w:t>
            </w:r>
          </w:p>
        </w:tc>
        <w:tc>
          <w:tcPr>
            <w:tcW w:type="dxa" w:w="4561"/>
            <w:shd w:val="clear" w:color="auto" w:fill="EEF4FB"/>
          </w:tcPr>
          <w:p>
            <w:pPr>
              <w:jc w:val="center"/>
            </w:pPr>
            <w:r>
              <w:rPr>
                <w:rFonts w:ascii="Calibri" w:hAnsi="Calibri"/>
                <w:sz w:val="20"/>
              </w:rPr>
              <w:t>Rolling Mean 2 semestres (SHAP = 0.351)</w:t>
            </w:r>
          </w:p>
        </w:tc>
      </w:tr>
      <w:tr>
        <w:tc>
          <w:tcPr>
            <w:tcW w:type="dxa" w:w="4561"/>
            <w:shd w:val="clear" w:color="auto" w:fill="FFFFFF"/>
          </w:tcPr>
          <w:p>
            <w:pPr>
              <w:jc w:val="center"/>
            </w:pPr>
            <w:r>
              <w:rPr>
                <w:rFonts w:ascii="Calibri" w:hAnsi="Calibri"/>
                <w:sz w:val="20"/>
              </w:rPr>
              <w:t>Correlación lag-demanda</w:t>
            </w:r>
          </w:p>
        </w:tc>
        <w:tc>
          <w:tcPr>
            <w:tcW w:type="dxa" w:w="4561"/>
            <w:shd w:val="clear" w:color="auto" w:fill="FFFFFF"/>
          </w:tcPr>
          <w:p>
            <w:pPr>
              <w:jc w:val="center"/>
            </w:pPr>
            <w:r>
              <w:rPr>
                <w:rFonts w:ascii="Calibri" w:hAnsi="Calibri"/>
                <w:sz w:val="20"/>
              </w:rPr>
              <w:t>r = 0.747 (alta correlación temporal)</w:t>
            </w:r>
          </w:p>
        </w:tc>
      </w:tr>
    </w:tbl>
    <w:p/>
    <w:p>
      <w:pPr>
        <w:spacing w:after="120"/>
      </w:pPr>
      <w:r>
        <w:rPr>
          <w:rFonts w:ascii="Calibri" w:hAnsi="Calibri"/>
          <w:sz w:val="22"/>
        </w:rPr>
        <w:t>El principal hallazgo estadístico es que la demanda de atenciones presenta alta autocorrelación temporal (r = 0.747), lo que valida el enfoque predictivo. Los modelos desarrollados superan consistentemente al baseline histórico y proveen, por primera vez, predicciones individualizadas para las 8,725 IPRESS de la red SIS — granularidad imposible con el sistema actual.</w:t>
      </w:r>
    </w:p>
    <w:p>
      <w:r>
        <w:br w:type="page"/>
      </w:r>
    </w:p>
    <w:p>
      <w:pPr>
        <w:pStyle w:val="Heading1"/>
      </w:pPr>
      <w:r>
        <w:rPr>
          <w:rFonts w:ascii="Calibri" w:hAnsi="Calibri"/>
          <w:color w:val="00467F"/>
        </w:rPr>
        <w:t>2. Breve Descripción de la Empresa</w:t>
      </w:r>
    </w:p>
    <w:p>
      <w:pPr>
        <w:pStyle w:val="Heading2"/>
      </w:pPr>
      <w:r>
        <w:rPr>
          <w:rFonts w:ascii="Calibri" w:hAnsi="Calibri"/>
          <w:color w:val="1F497D"/>
        </w:rPr>
        <w:t>2.1 El Seguro Integral de Salud (SIS)</w:t>
      </w:r>
    </w:p>
    <w:p>
      <w:pPr>
        <w:spacing w:after="120"/>
      </w:pPr>
      <w:r>
        <w:rPr>
          <w:rFonts w:ascii="Calibri" w:hAnsi="Calibri"/>
          <w:sz w:val="22"/>
        </w:rPr>
        <w:t>El Seguro Integral de Salud es un organismo público ejecutor del Ministerio de Salud (MINSA) del Perú, creado mediante Ley N.º 27657 (2002). Su misión es administrar las transferencias económicas del Estado para financiar las prestaciones de salud individual de la población en condición de pobreza y pobreza extrema.</w:t>
      </w:r>
    </w:p>
    <w:p>
      <w:pPr>
        <w:spacing w:after="60"/>
      </w:pPr>
      <w:r>
        <w:rPr>
          <w:rFonts w:ascii="Calibri" w:hAnsi="Calibri"/>
          <w:b/>
          <w:color w:val="44546A"/>
          <w:sz w:val="20"/>
        </w:rPr>
        <w:t>Tabla 2. Perfil institucional del Seguro Integral de Salud</w:t>
      </w:r>
    </w:p>
    <w:tbl>
      <w:tblPr>
        <w:tblStyle w:val="TableGrid"/>
        <w:tblW w:type="auto" w:w="0"/>
        <w:jc w:val="center"/>
        <w:tblLook w:firstColumn="1" w:firstRow="1" w:lastColumn="0" w:lastRow="0" w:noHBand="0" w:noVBand="1" w:val="04A0"/>
      </w:tblPr>
      <w:tblGrid>
        <w:gridCol w:w="4561"/>
        <w:gridCol w:w="4561"/>
      </w:tblGrid>
      <w:tr>
        <w:tc>
          <w:tcPr>
            <w:tcW w:type="dxa" w:w="4561"/>
            <w:vAlign w:val="center"/>
            <w:shd w:val="clear" w:color="auto" w:fill="00468F"/>
          </w:tcPr>
          <w:p>
            <w:pPr>
              <w:jc w:val="center"/>
            </w:pPr>
            <w:r>
              <w:rPr>
                <w:rFonts w:ascii="Calibri" w:hAnsi="Calibri"/>
                <w:b/>
                <w:color w:val="FFFFFF"/>
                <w:sz w:val="20"/>
              </w:rPr>
              <w:t>Dimensión</w:t>
            </w:r>
          </w:p>
        </w:tc>
        <w:tc>
          <w:tcPr>
            <w:tcW w:type="dxa" w:w="4561"/>
            <w:vAlign w:val="center"/>
            <w:shd w:val="clear" w:color="auto" w:fill="00468F"/>
          </w:tcPr>
          <w:p>
            <w:pPr>
              <w:jc w:val="center"/>
            </w:pPr>
            <w:r>
              <w:rPr>
                <w:rFonts w:ascii="Calibri" w:hAnsi="Calibri"/>
                <w:b/>
                <w:color w:val="FFFFFF"/>
                <w:sz w:val="20"/>
              </w:rPr>
              <w:t>Detalle</w:t>
            </w:r>
          </w:p>
        </w:tc>
      </w:tr>
      <w:tr>
        <w:tc>
          <w:tcPr>
            <w:tcW w:type="dxa" w:w="4561"/>
            <w:shd w:val="clear" w:color="auto" w:fill="EEF4FB"/>
          </w:tcPr>
          <w:p>
            <w:pPr>
              <w:jc w:val="center"/>
            </w:pPr>
            <w:r>
              <w:rPr>
                <w:rFonts w:ascii="Calibri" w:hAnsi="Calibri"/>
                <w:sz w:val="20"/>
              </w:rPr>
              <w:t>Tipo de organización</w:t>
            </w:r>
          </w:p>
        </w:tc>
        <w:tc>
          <w:tcPr>
            <w:tcW w:type="dxa" w:w="4561"/>
            <w:shd w:val="clear" w:color="auto" w:fill="EEF4FB"/>
          </w:tcPr>
          <w:p>
            <w:pPr>
              <w:jc w:val="center"/>
            </w:pPr>
            <w:r>
              <w:rPr>
                <w:rFonts w:ascii="Calibri" w:hAnsi="Calibri"/>
                <w:sz w:val="20"/>
              </w:rPr>
              <w:t>Organismo Público Ejecutor del MINSA — Gobierno del Perú</w:t>
            </w:r>
          </w:p>
        </w:tc>
      </w:tr>
      <w:tr>
        <w:tc>
          <w:tcPr>
            <w:tcW w:type="dxa" w:w="4561"/>
            <w:shd w:val="clear" w:color="auto" w:fill="FFFFFF"/>
          </w:tcPr>
          <w:p>
            <w:pPr>
              <w:jc w:val="center"/>
            </w:pPr>
            <w:r>
              <w:rPr>
                <w:rFonts w:ascii="Calibri" w:hAnsi="Calibri"/>
                <w:sz w:val="20"/>
              </w:rPr>
              <w:t>Cobertura</w:t>
            </w:r>
          </w:p>
        </w:tc>
        <w:tc>
          <w:tcPr>
            <w:tcW w:type="dxa" w:w="4561"/>
            <w:shd w:val="clear" w:color="auto" w:fill="FFFFFF"/>
          </w:tcPr>
          <w:p>
            <w:pPr>
              <w:jc w:val="center"/>
            </w:pPr>
            <w:r>
              <w:rPr>
                <w:rFonts w:ascii="Calibri" w:hAnsi="Calibri"/>
                <w:sz w:val="20"/>
              </w:rPr>
              <w:t>Nacional — 26 regiones, 196 provincias</w:t>
            </w:r>
          </w:p>
        </w:tc>
      </w:tr>
      <w:tr>
        <w:tc>
          <w:tcPr>
            <w:tcW w:type="dxa" w:w="4561"/>
            <w:shd w:val="clear" w:color="auto" w:fill="EEF4FB"/>
          </w:tcPr>
          <w:p>
            <w:pPr>
              <w:jc w:val="center"/>
            </w:pPr>
            <w:r>
              <w:rPr>
                <w:rFonts w:ascii="Calibri" w:hAnsi="Calibri"/>
                <w:sz w:val="20"/>
              </w:rPr>
              <w:t>Población asegurada</w:t>
            </w:r>
          </w:p>
        </w:tc>
        <w:tc>
          <w:tcPr>
            <w:tcW w:type="dxa" w:w="4561"/>
            <w:shd w:val="clear" w:color="auto" w:fill="EEF4FB"/>
          </w:tcPr>
          <w:p>
            <w:pPr>
              <w:jc w:val="center"/>
            </w:pPr>
            <w:r>
              <w:rPr>
                <w:rFonts w:ascii="Calibri" w:hAnsi="Calibri"/>
                <w:sz w:val="20"/>
              </w:rPr>
              <w:t>&gt; 15 millones de peruanos (aproximado 2024)</w:t>
            </w:r>
          </w:p>
        </w:tc>
      </w:tr>
      <w:tr>
        <w:tc>
          <w:tcPr>
            <w:tcW w:type="dxa" w:w="4561"/>
            <w:shd w:val="clear" w:color="auto" w:fill="FFFFFF"/>
          </w:tcPr>
          <w:p>
            <w:pPr>
              <w:jc w:val="center"/>
            </w:pPr>
            <w:r>
              <w:rPr>
                <w:rFonts w:ascii="Calibri" w:hAnsi="Calibri"/>
                <w:sz w:val="20"/>
              </w:rPr>
              <w:t>Plan dominante</w:t>
            </w:r>
          </w:p>
        </w:tc>
        <w:tc>
          <w:tcPr>
            <w:tcW w:type="dxa" w:w="4561"/>
            <w:shd w:val="clear" w:color="auto" w:fill="FFFFFF"/>
          </w:tcPr>
          <w:p>
            <w:pPr>
              <w:jc w:val="center"/>
            </w:pPr>
            <w:r>
              <w:rPr>
                <w:rFonts w:ascii="Calibri" w:hAnsi="Calibri"/>
                <w:sz w:val="20"/>
              </w:rPr>
              <w:t>SIS Gratuito — 97.4% de atenciones registradas</w:t>
            </w:r>
          </w:p>
        </w:tc>
      </w:tr>
      <w:tr>
        <w:tc>
          <w:tcPr>
            <w:tcW w:type="dxa" w:w="4561"/>
            <w:shd w:val="clear" w:color="auto" w:fill="EEF4FB"/>
          </w:tcPr>
          <w:p>
            <w:pPr>
              <w:jc w:val="center"/>
            </w:pPr>
            <w:r>
              <w:rPr>
                <w:rFonts w:ascii="Calibri" w:hAnsi="Calibri"/>
                <w:sz w:val="20"/>
              </w:rPr>
              <w:t>Red de establecimientos</w:t>
            </w:r>
          </w:p>
        </w:tc>
        <w:tc>
          <w:tcPr>
            <w:tcW w:type="dxa" w:w="4561"/>
            <w:shd w:val="clear" w:color="auto" w:fill="EEF4FB"/>
          </w:tcPr>
          <w:p>
            <w:pPr>
              <w:jc w:val="center"/>
            </w:pPr>
            <w:r>
              <w:rPr>
                <w:rFonts w:ascii="Calibri" w:hAnsi="Calibri"/>
                <w:sz w:val="20"/>
              </w:rPr>
              <w:t>8,725 IPRESS activas (niveles I, II y III)</w:t>
            </w:r>
          </w:p>
        </w:tc>
      </w:tr>
      <w:tr>
        <w:tc>
          <w:tcPr>
            <w:tcW w:type="dxa" w:w="4561"/>
            <w:shd w:val="clear" w:color="auto" w:fill="FFFFFF"/>
          </w:tcPr>
          <w:p>
            <w:pPr>
              <w:jc w:val="center"/>
            </w:pPr>
            <w:r>
              <w:rPr>
                <w:rFonts w:ascii="Calibri" w:hAnsi="Calibri"/>
                <w:sz w:val="20"/>
              </w:rPr>
              <w:t>Presupuesto anual aprox.</w:t>
            </w:r>
          </w:p>
        </w:tc>
        <w:tc>
          <w:tcPr>
            <w:tcW w:type="dxa" w:w="4561"/>
            <w:shd w:val="clear" w:color="auto" w:fill="FFFFFF"/>
          </w:tcPr>
          <w:p>
            <w:pPr>
              <w:jc w:val="center"/>
            </w:pPr>
            <w:r>
              <w:rPr>
                <w:rFonts w:ascii="Calibri" w:hAnsi="Calibri"/>
                <w:sz w:val="20"/>
              </w:rPr>
              <w:t>S/. 3,500 millones (transferencias 2024)</w:t>
            </w:r>
          </w:p>
        </w:tc>
      </w:tr>
      <w:tr>
        <w:tc>
          <w:tcPr>
            <w:tcW w:type="dxa" w:w="4561"/>
            <w:shd w:val="clear" w:color="auto" w:fill="EEF4FB"/>
          </w:tcPr>
          <w:p>
            <w:pPr>
              <w:jc w:val="center"/>
            </w:pPr>
            <w:r>
              <w:rPr>
                <w:rFonts w:ascii="Calibri" w:hAnsi="Calibri"/>
                <w:sz w:val="20"/>
              </w:rPr>
              <w:t>Total atenciones 2021-2025</w:t>
            </w:r>
          </w:p>
        </w:tc>
        <w:tc>
          <w:tcPr>
            <w:tcW w:type="dxa" w:w="4561"/>
            <w:shd w:val="clear" w:color="auto" w:fill="EEF4FB"/>
          </w:tcPr>
          <w:p>
            <w:pPr>
              <w:jc w:val="center"/>
            </w:pPr>
            <w:r>
              <w:rPr>
                <w:rFonts w:ascii="Calibri" w:hAnsi="Calibri"/>
                <w:sz w:val="20"/>
              </w:rPr>
              <w:t>353.7 millones de atenciones registradas</w:t>
            </w:r>
          </w:p>
        </w:tc>
      </w:tr>
    </w:tbl>
    <w:p/>
    <w:p>
      <w:pPr>
        <w:pStyle w:val="Heading2"/>
      </w:pPr>
      <w:r>
        <w:rPr>
          <w:rFonts w:ascii="Calibri" w:hAnsi="Calibri"/>
          <w:color w:val="1F497D"/>
        </w:rPr>
        <w:t>2.2 Desafíos Operativos y Oportunidad Analítica</w:t>
      </w:r>
    </w:p>
    <w:p>
      <w:pPr>
        <w:spacing w:after="120"/>
      </w:pPr>
      <w:r>
        <w:rPr>
          <w:rFonts w:ascii="Calibri" w:hAnsi="Calibri"/>
          <w:sz w:val="22"/>
        </w:rPr>
        <w:t>La red SIS enfrenta tres desafíos estructurales directamente abordables con analítica de datos:</w:t>
      </w:r>
    </w:p>
    <w:p>
      <w:pPr>
        <w:pStyle w:val="ListBullet"/>
      </w:pPr>
      <w:r>
        <w:rPr>
          <w:rFonts w:ascii="Calibri" w:hAnsi="Calibri"/>
          <w:sz w:val="22"/>
        </w:rPr>
        <w:t>Asignación ineficiente de recursos: el sistema actual distribuye médicos, medicamentos y presupuesto en función de promedios históricos nacionales, ignorando la heterogeneidad de los 8,725 establecimientos.</w:t>
      </w:r>
    </w:p>
    <w:p>
      <w:pPr>
        <w:pStyle w:val="ListBullet"/>
      </w:pPr>
      <w:r>
        <w:rPr>
          <w:rFonts w:ascii="Calibri" w:hAnsi="Calibri"/>
          <w:sz w:val="22"/>
        </w:rPr>
        <w:t>Saturación vs subutilización: hospitales Nivel III (media 18.4 atenciones/registro) operan con demanda no anticipada, mientras postas Nivel I (media 7.2 atenciones/registro) reciben asignaciones excesivas.</w:t>
      </w:r>
    </w:p>
    <w:p>
      <w:pPr>
        <w:pStyle w:val="ListBullet"/>
      </w:pPr>
      <w:r>
        <w:rPr>
          <w:rFonts w:ascii="Calibri" w:hAnsi="Calibri"/>
          <w:sz w:val="22"/>
        </w:rPr>
        <w:t>Ausencia de visibilidad predictiva: no existe un sistema que estime la demanda futura por IPRESS, servicio y perfil demográfico con suficiente anticipación para decisiones de planificación semestral.</w:t>
      </w:r>
    </w:p>
    <w:p>
      <w:pPr>
        <w:spacing w:after="120"/>
      </w:pPr>
      <w:r>
        <w:rPr>
          <w:rFonts w:ascii="Calibri" w:hAnsi="Calibri"/>
          <w:sz w:val="22"/>
        </w:rPr>
        <w:t>Los datos históricos del SIS, disponibles públicamente en la Plataforma de Datos Abiertos del Gobierno del Perú (datos.gob.pe), representan una oportunidad única para construir modelos predictivos con alto impacto institucional.</w:t>
      </w:r>
    </w:p>
    <w:p>
      <w:r>
        <w:br w:type="page"/>
      </w:r>
    </w:p>
    <w:p>
      <w:pPr>
        <w:pStyle w:val="Heading1"/>
      </w:pPr>
      <w:r>
        <w:rPr>
          <w:rFonts w:ascii="Calibri" w:hAnsi="Calibri"/>
          <w:color w:val="00467F"/>
        </w:rPr>
        <w:t>3. Diagnóstico</w:t>
      </w:r>
    </w:p>
    <w:p>
      <w:pPr>
        <w:pStyle w:val="Heading2"/>
      </w:pPr>
      <w:r>
        <w:rPr>
          <w:rFonts w:ascii="Calibri" w:hAnsi="Calibri"/>
          <w:color w:val="1F497D"/>
        </w:rPr>
        <w:t>3.1 Proceso Seguido para el Diagnóstico (Cómo)</w:t>
      </w:r>
    </w:p>
    <w:p>
      <w:pPr>
        <w:pStyle w:val="Heading3"/>
      </w:pPr>
      <w:r>
        <w:rPr>
          <w:rFonts w:ascii="Calibri" w:hAnsi="Calibri"/>
          <w:color w:val="366092"/>
        </w:rPr>
        <w:t>Aplicación de la Receta ATD — 10 Pasos</w:t>
      </w:r>
    </w:p>
    <w:p>
      <w:pPr>
        <w:spacing w:before="160"/>
        <w:shd w:val="clear" w:color="auto" w:fill="00468F"/>
      </w:pPr>
      <w:r>
        <w:rPr>
          <w:rFonts w:ascii="Calibri" w:hAnsi="Calibri"/>
          <w:b/>
          <w:color w:val="FFFFFF"/>
          <w:sz w:val="22"/>
        </w:rPr>
        <w:t xml:space="preserve">  Paso 1: Definir el Problema con Precisión  </w:t>
      </w:r>
    </w:p>
    <w:p>
      <w:pPr>
        <w:spacing w:after="120"/>
      </w:pPr>
      <w:r>
        <w:rPr>
          <w:rFonts w:ascii="Calibri" w:hAnsi="Calibri"/>
          <w:sz w:val="22"/>
        </w:rPr>
        <w:t>¿Cómo asignar recursos humanos, farmacéuticos y presupuestarios de la red SIS a nivel de establecimiento de salud con seis meses de anticipación, minimizando la brecha entre oferta de atención y demanda real?</w:t>
      </w:r>
    </w:p>
    <w:p>
      <w:pPr>
        <w:spacing w:after="120"/>
      </w:pPr>
      <w:r>
        <w:rPr>
          <w:rFonts w:ascii="Calibri" w:hAnsi="Calibri"/>
          <w:sz w:val="22"/>
        </w:rPr>
        <w:t>Métrica de éxito definida: MAPE (Mean Absolute Percentage Error) en la predicción de ATENCIONES por combinación [IPRESS × SERVICIO × GRUPO_EDAD × SEXO] para el semestre siguiente. El objetivo aspiracional fue MAPE ≤ 20%, calibrado a ≤ 25% como nivel mínimo aceptable para el contexto de datos semestrales.</w:t>
      </w:r>
    </w:p>
    <w:p>
      <w:pPr>
        <w:spacing w:before="160"/>
        <w:shd w:val="clear" w:color="auto" w:fill="00468F"/>
      </w:pPr>
      <w:r>
        <w:rPr>
          <w:rFonts w:ascii="Calibri" w:hAnsi="Calibri"/>
          <w:b/>
          <w:color w:val="FFFFFF"/>
          <w:sz w:val="22"/>
        </w:rPr>
        <w:t xml:space="preserve">  Paso 2: Plantear la Decisión y el Impacto  </w:t>
      </w:r>
    </w:p>
    <w:p>
      <w:pPr>
        <w:spacing w:after="120"/>
      </w:pPr>
      <w:r>
        <w:rPr>
          <w:rFonts w:ascii="Calibri" w:hAnsi="Calibri"/>
          <w:sz w:val="22"/>
        </w:rPr>
        <w:t>Decisión: ¿Cuántos turnos de médico adicionales debe programar el SIS en cada IPRESS para el próximo semestre, y en qué servicios? Impacto medible: reducción del porcentaje de IPRESS con sobreasignación (capacidad ociosa &gt; 20%) o subasignación (demanda sin atender &gt; 15%).</w:t>
      </w:r>
    </w:p>
    <w:p>
      <w:pPr>
        <w:spacing w:after="120"/>
      </w:pPr>
      <w:r>
        <w:rPr>
          <w:rFonts w:ascii="Calibri" w:hAnsi="Calibri"/>
          <w:sz w:val="22"/>
        </w:rPr>
        <w:t>La decisión se conecta directamente con el presupuesto de personal médico: una mejor predicción de demanda permite programar guardias, horas extra y rotaciones con anticipación, optimizando el costo por atención.</w:t>
      </w:r>
    </w:p>
    <w:p>
      <w:pPr>
        <w:spacing w:before="160"/>
        <w:shd w:val="clear" w:color="auto" w:fill="00468F"/>
      </w:pPr>
      <w:r>
        <w:rPr>
          <w:rFonts w:ascii="Calibri" w:hAnsi="Calibri"/>
          <w:b/>
          <w:color w:val="FFFFFF"/>
          <w:sz w:val="22"/>
        </w:rPr>
        <w:t xml:space="preserve">  Paso 3: Mapear los Drivers y Variables Clave  </w:t>
      </w:r>
    </w:p>
    <w:p>
      <w:pPr>
        <w:spacing w:after="120"/>
      </w:pPr>
      <w:r>
        <w:rPr>
          <w:rFonts w:ascii="Calibri" w:hAnsi="Calibri"/>
          <w:sz w:val="22"/>
        </w:rPr>
        <w:t>Factores teóricos identificados que impactan la demanda de atenciones: (a) Historial reciente de demanda — efecto autorregresivo. (b) Tipo de servicio — define el patrón de uso. (c) Perfil demográfico — edad y sexo determinan necesidades. (d) Nivel del establecimiento — capacidad instalada. (e) Región geográfica — acceso, ruralidad, demografía local. (f) Tendencia temporal — crecimiento de cobertura SIS post-COVID.</w:t>
      </w:r>
    </w:p>
    <w:p>
      <w:pPr>
        <w:spacing w:after="60"/>
      </w:pPr>
      <w:r>
        <w:rPr>
          <w:rFonts w:ascii="Calibri" w:hAnsi="Calibri"/>
          <w:b/>
          <w:color w:val="44546A"/>
          <w:sz w:val="20"/>
        </w:rPr>
        <w:t>Tabla 3. Mapeo de drivers a variables medibles</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color="auto" w:fill="00468F"/>
          </w:tcPr>
          <w:p>
            <w:pPr>
              <w:jc w:val="center"/>
            </w:pPr>
            <w:r>
              <w:rPr>
                <w:rFonts w:ascii="Calibri" w:hAnsi="Calibri"/>
                <w:b/>
                <w:color w:val="FFFFFF"/>
                <w:sz w:val="20"/>
              </w:rPr>
              <w:t>Driver</w:t>
            </w:r>
          </w:p>
        </w:tc>
        <w:tc>
          <w:tcPr>
            <w:tcW w:type="dxa" w:w="3041"/>
            <w:vAlign w:val="center"/>
            <w:shd w:val="clear" w:color="auto" w:fill="00468F"/>
          </w:tcPr>
          <w:p>
            <w:pPr>
              <w:jc w:val="center"/>
            </w:pPr>
            <w:r>
              <w:rPr>
                <w:rFonts w:ascii="Calibri" w:hAnsi="Calibri"/>
                <w:b/>
                <w:color w:val="FFFFFF"/>
                <w:sz w:val="20"/>
              </w:rPr>
              <w:t>Variable Medible</w:t>
            </w:r>
          </w:p>
        </w:tc>
        <w:tc>
          <w:tcPr>
            <w:tcW w:type="dxa" w:w="3041"/>
            <w:vAlign w:val="center"/>
            <w:shd w:val="clear" w:color="auto" w:fill="00468F"/>
          </w:tcPr>
          <w:p>
            <w:pPr>
              <w:jc w:val="center"/>
            </w:pPr>
            <w:r>
              <w:rPr>
                <w:rFonts w:ascii="Calibri" w:hAnsi="Calibri"/>
                <w:b/>
                <w:color w:val="FFFFFF"/>
                <w:sz w:val="20"/>
              </w:rPr>
              <w:t>Fuente</w:t>
            </w:r>
          </w:p>
        </w:tc>
      </w:tr>
      <w:tr>
        <w:tc>
          <w:tcPr>
            <w:tcW w:type="dxa" w:w="3041"/>
            <w:shd w:val="clear" w:color="auto" w:fill="EEF4FB"/>
          </w:tcPr>
          <w:p>
            <w:pPr>
              <w:jc w:val="center"/>
            </w:pPr>
            <w:r>
              <w:rPr>
                <w:rFonts w:ascii="Calibri" w:hAnsi="Calibri"/>
                <w:sz w:val="20"/>
              </w:rPr>
              <w:t>Historial de demanda</w:t>
            </w:r>
          </w:p>
        </w:tc>
        <w:tc>
          <w:tcPr>
            <w:tcW w:type="dxa" w:w="3041"/>
            <w:shd w:val="clear" w:color="auto" w:fill="EEF4FB"/>
          </w:tcPr>
          <w:p>
            <w:pPr>
              <w:jc w:val="center"/>
            </w:pPr>
            <w:r>
              <w:rPr>
                <w:rFonts w:ascii="Calibri" w:hAnsi="Calibri"/>
                <w:sz w:val="20"/>
              </w:rPr>
              <w:t>LAG_ATENCIONES_1SEM, ROLLING_MEAN_2SEM</w:t>
            </w:r>
          </w:p>
        </w:tc>
        <w:tc>
          <w:tcPr>
            <w:tcW w:type="dxa" w:w="3041"/>
            <w:shd w:val="clear" w:color="auto" w:fill="EEF4FB"/>
          </w:tcPr>
          <w:p>
            <w:pPr>
              <w:jc w:val="center"/>
            </w:pPr>
            <w:r>
              <w:rPr>
                <w:rFonts w:ascii="Calibri" w:hAnsi="Calibri"/>
                <w:sz w:val="20"/>
              </w:rPr>
              <w:t>SIS datos.gob.pe</w:t>
            </w:r>
          </w:p>
        </w:tc>
      </w:tr>
      <w:tr>
        <w:tc>
          <w:tcPr>
            <w:tcW w:type="dxa" w:w="3041"/>
            <w:shd w:val="clear" w:color="auto" w:fill="FFFFFF"/>
          </w:tcPr>
          <w:p>
            <w:pPr>
              <w:jc w:val="center"/>
            </w:pPr>
            <w:r>
              <w:rPr>
                <w:rFonts w:ascii="Calibri" w:hAnsi="Calibri"/>
                <w:sz w:val="20"/>
              </w:rPr>
              <w:t>Tipo de servicio</w:t>
            </w:r>
          </w:p>
        </w:tc>
        <w:tc>
          <w:tcPr>
            <w:tcW w:type="dxa" w:w="3041"/>
            <w:shd w:val="clear" w:color="auto" w:fill="FFFFFF"/>
          </w:tcPr>
          <w:p>
            <w:pPr>
              <w:jc w:val="center"/>
            </w:pPr>
            <w:r>
              <w:rPr>
                <w:rFonts w:ascii="Calibri" w:hAnsi="Calibri"/>
                <w:sz w:val="20"/>
              </w:rPr>
              <w:t>DESC_SERVICIO (65 tipos → 6 categorías)</w:t>
            </w:r>
          </w:p>
        </w:tc>
        <w:tc>
          <w:tcPr>
            <w:tcW w:type="dxa" w:w="3041"/>
            <w:shd w:val="clear" w:color="auto" w:fill="FFFFFF"/>
          </w:tcPr>
          <w:p>
            <w:pPr>
              <w:jc w:val="center"/>
            </w:pPr>
            <w:r>
              <w:rPr>
                <w:rFonts w:ascii="Calibri" w:hAnsi="Calibri"/>
                <w:sz w:val="20"/>
              </w:rPr>
              <w:t>SIS datos.gob.pe</w:t>
            </w:r>
          </w:p>
        </w:tc>
      </w:tr>
      <w:tr>
        <w:tc>
          <w:tcPr>
            <w:tcW w:type="dxa" w:w="3041"/>
            <w:shd w:val="clear" w:color="auto" w:fill="EEF4FB"/>
          </w:tcPr>
          <w:p>
            <w:pPr>
              <w:jc w:val="center"/>
            </w:pPr>
            <w:r>
              <w:rPr>
                <w:rFonts w:ascii="Calibri" w:hAnsi="Calibri"/>
                <w:sz w:val="20"/>
              </w:rPr>
              <w:t>Perfil demográfico</w:t>
            </w:r>
          </w:p>
        </w:tc>
        <w:tc>
          <w:tcPr>
            <w:tcW w:type="dxa" w:w="3041"/>
            <w:shd w:val="clear" w:color="auto" w:fill="EEF4FB"/>
          </w:tcPr>
          <w:p>
            <w:pPr>
              <w:jc w:val="center"/>
            </w:pPr>
            <w:r>
              <w:rPr>
                <w:rFonts w:ascii="Calibri" w:hAnsi="Calibri"/>
                <w:sz w:val="20"/>
              </w:rPr>
              <w:t>GRUPO_EDAD_ORD (0–5), SEXO_BIN</w:t>
            </w:r>
          </w:p>
        </w:tc>
        <w:tc>
          <w:tcPr>
            <w:tcW w:type="dxa" w:w="3041"/>
            <w:shd w:val="clear" w:color="auto" w:fill="EEF4FB"/>
          </w:tcPr>
          <w:p>
            <w:pPr>
              <w:jc w:val="center"/>
            </w:pPr>
            <w:r>
              <w:rPr>
                <w:rFonts w:ascii="Calibri" w:hAnsi="Calibri"/>
                <w:sz w:val="20"/>
              </w:rPr>
              <w:t>SIS datos.gob.pe</w:t>
            </w:r>
          </w:p>
        </w:tc>
      </w:tr>
      <w:tr>
        <w:tc>
          <w:tcPr>
            <w:tcW w:type="dxa" w:w="3041"/>
            <w:shd w:val="clear" w:color="auto" w:fill="FFFFFF"/>
          </w:tcPr>
          <w:p>
            <w:pPr>
              <w:jc w:val="center"/>
            </w:pPr>
            <w:r>
              <w:rPr>
                <w:rFonts w:ascii="Calibri" w:hAnsi="Calibri"/>
                <w:sz w:val="20"/>
              </w:rPr>
              <w:t>Nivel EESS</w:t>
            </w:r>
          </w:p>
        </w:tc>
        <w:tc>
          <w:tcPr>
            <w:tcW w:type="dxa" w:w="3041"/>
            <w:shd w:val="clear" w:color="auto" w:fill="FFFFFF"/>
          </w:tcPr>
          <w:p>
            <w:pPr>
              <w:jc w:val="center"/>
            </w:pPr>
            <w:r>
              <w:rPr>
                <w:rFonts w:ascii="Calibri" w:hAnsi="Calibri"/>
                <w:sz w:val="20"/>
              </w:rPr>
              <w:t>NIVEL_NUM (1=I, 2=II, 3=III)</w:t>
            </w:r>
          </w:p>
        </w:tc>
        <w:tc>
          <w:tcPr>
            <w:tcW w:type="dxa" w:w="3041"/>
            <w:shd w:val="clear" w:color="auto" w:fill="FFFFFF"/>
          </w:tcPr>
          <w:p>
            <w:pPr>
              <w:jc w:val="center"/>
            </w:pPr>
            <w:r>
              <w:rPr>
                <w:rFonts w:ascii="Calibri" w:hAnsi="Calibri"/>
                <w:sz w:val="20"/>
              </w:rPr>
              <w:t>SIS datos.gob.pe</w:t>
            </w:r>
          </w:p>
        </w:tc>
      </w:tr>
      <w:tr>
        <w:tc>
          <w:tcPr>
            <w:tcW w:type="dxa" w:w="3041"/>
            <w:shd w:val="clear" w:color="auto" w:fill="EEF4FB"/>
          </w:tcPr>
          <w:p>
            <w:pPr>
              <w:jc w:val="center"/>
            </w:pPr>
            <w:r>
              <w:rPr>
                <w:rFonts w:ascii="Calibri" w:hAnsi="Calibri"/>
                <w:sz w:val="20"/>
              </w:rPr>
              <w:t>Región geográfica</w:t>
            </w:r>
          </w:p>
        </w:tc>
        <w:tc>
          <w:tcPr>
            <w:tcW w:type="dxa" w:w="3041"/>
            <w:shd w:val="clear" w:color="auto" w:fill="EEF4FB"/>
          </w:tcPr>
          <w:p>
            <w:pPr>
              <w:jc w:val="center"/>
            </w:pPr>
            <w:r>
              <w:rPr>
                <w:rFonts w:ascii="Calibri" w:hAnsi="Calibri"/>
                <w:sz w:val="20"/>
              </w:rPr>
              <w:t>REGION (26), REGION_TIPO (Costa/Sierra/Selva)</w:t>
            </w:r>
          </w:p>
        </w:tc>
        <w:tc>
          <w:tcPr>
            <w:tcW w:type="dxa" w:w="3041"/>
            <w:shd w:val="clear" w:color="auto" w:fill="EEF4FB"/>
          </w:tcPr>
          <w:p>
            <w:pPr>
              <w:jc w:val="center"/>
            </w:pPr>
            <w:r>
              <w:rPr>
                <w:rFonts w:ascii="Calibri" w:hAnsi="Calibri"/>
                <w:sz w:val="20"/>
              </w:rPr>
              <w:t>SIS datos.gob.pe</w:t>
            </w:r>
          </w:p>
        </w:tc>
      </w:tr>
      <w:tr>
        <w:tc>
          <w:tcPr>
            <w:tcW w:type="dxa" w:w="3041"/>
            <w:shd w:val="clear" w:color="auto" w:fill="FFFFFF"/>
          </w:tcPr>
          <w:p>
            <w:pPr>
              <w:jc w:val="center"/>
            </w:pPr>
            <w:r>
              <w:rPr>
                <w:rFonts w:ascii="Calibri" w:hAnsi="Calibri"/>
                <w:sz w:val="20"/>
              </w:rPr>
              <w:t>Tendencia temporal</w:t>
            </w:r>
          </w:p>
        </w:tc>
        <w:tc>
          <w:tcPr>
            <w:tcW w:type="dxa" w:w="3041"/>
            <w:shd w:val="clear" w:color="auto" w:fill="FFFFFF"/>
          </w:tcPr>
          <w:p>
            <w:pPr>
              <w:jc w:val="center"/>
            </w:pPr>
            <w:r>
              <w:rPr>
                <w:rFonts w:ascii="Calibri" w:hAnsi="Calibri"/>
                <w:sz w:val="20"/>
              </w:rPr>
              <w:t>TENDENCIA_LINEAL, PERIODO_NUM, SEMESTRE</w:t>
            </w:r>
          </w:p>
        </w:tc>
        <w:tc>
          <w:tcPr>
            <w:tcW w:type="dxa" w:w="3041"/>
            <w:shd w:val="clear" w:color="auto" w:fill="FFFFFF"/>
          </w:tcPr>
          <w:p>
            <w:pPr>
              <w:jc w:val="center"/>
            </w:pPr>
            <w:r>
              <w:rPr>
                <w:rFonts w:ascii="Calibri" w:hAnsi="Calibri"/>
                <w:sz w:val="20"/>
              </w:rPr>
              <w:t>Derivado</w:t>
            </w:r>
          </w:p>
        </w:tc>
      </w:tr>
      <w:tr>
        <w:tc>
          <w:tcPr>
            <w:tcW w:type="dxa" w:w="3041"/>
            <w:shd w:val="clear" w:color="auto" w:fill="EEF4FB"/>
          </w:tcPr>
          <w:p>
            <w:pPr>
              <w:jc w:val="center"/>
            </w:pPr>
            <w:r>
              <w:rPr>
                <w:rFonts w:ascii="Calibri" w:hAnsi="Calibri"/>
                <w:sz w:val="20"/>
              </w:rPr>
              <w:t>Madurez del historial</w:t>
            </w:r>
          </w:p>
        </w:tc>
        <w:tc>
          <w:tcPr>
            <w:tcW w:type="dxa" w:w="3041"/>
            <w:shd w:val="clear" w:color="auto" w:fill="EEF4FB"/>
          </w:tcPr>
          <w:p>
            <w:pPr>
              <w:jc w:val="center"/>
            </w:pPr>
            <w:r>
              <w:rPr>
                <w:rFonts w:ascii="Calibri" w:hAnsi="Calibri"/>
                <w:sz w:val="20"/>
              </w:rPr>
              <w:t>N_PERIODOS_ACTIVOS (1–9)</w:t>
            </w:r>
          </w:p>
        </w:tc>
        <w:tc>
          <w:tcPr>
            <w:tcW w:type="dxa" w:w="3041"/>
            <w:shd w:val="clear" w:color="auto" w:fill="EEF4FB"/>
          </w:tcPr>
          <w:p>
            <w:pPr>
              <w:jc w:val="center"/>
            </w:pPr>
            <w:r>
              <w:rPr>
                <w:rFonts w:ascii="Calibri" w:hAnsi="Calibri"/>
                <w:sz w:val="20"/>
              </w:rPr>
              <w:t>Derivado</w:t>
            </w:r>
          </w:p>
        </w:tc>
      </w:tr>
    </w:tbl>
    <w:p/>
    <w:p>
      <w:pPr>
        <w:spacing w:before="160"/>
        <w:shd w:val="clear" w:color="auto" w:fill="00468F"/>
      </w:pPr>
      <w:r>
        <w:rPr>
          <w:rFonts w:ascii="Calibri" w:hAnsi="Calibri"/>
          <w:b/>
          <w:color w:val="FFFFFF"/>
          <w:sz w:val="22"/>
        </w:rPr>
        <w:t xml:space="preserve">  Paso 4: Inventariar y Obtener los Datos Disponibles  </w:t>
      </w:r>
    </w:p>
    <w:p>
      <w:pPr>
        <w:spacing w:after="120"/>
      </w:pPr>
      <w:r>
        <w:rPr>
          <w:rFonts w:ascii="Calibri" w:hAnsi="Calibri"/>
          <w:sz w:val="22"/>
        </w:rPr>
        <w:t>Fuente principal: Plataforma de Datos Abiertos del Gobierno del Perú (datos.gob.pe) — Dataset 'Atenciones realizadas por los asegurados del SIS'. 9 archivos CSV (UTF-8), uno por semestre, periodos 2021 S1 a 2025 S1. Tamaño total en disco: ~8.4 GB. Registros consolidados: 41,997,568 filas × 20 columnas.</w:t>
      </w:r>
    </w:p>
    <w:p>
      <w:pPr>
        <w:spacing w:after="60"/>
      </w:pPr>
      <w:r>
        <w:rPr>
          <w:rFonts w:ascii="Calibri" w:hAnsi="Calibri"/>
          <w:b/>
          <w:color w:val="44546A"/>
          <w:sz w:val="20"/>
        </w:rPr>
        <w:t>Tabla 4. Inventario de archivos de datos SIS utilizados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shd w:val="clear" w:color="auto" w:fill="00468F"/>
          </w:tcPr>
          <w:p>
            <w:pPr>
              <w:jc w:val="center"/>
            </w:pPr>
            <w:r>
              <w:rPr>
                <w:rFonts w:ascii="Calibri" w:hAnsi="Calibri"/>
                <w:b/>
                <w:color w:val="FFFFFF"/>
                <w:sz w:val="20"/>
              </w:rPr>
              <w:t>Semestre</w:t>
            </w:r>
          </w:p>
        </w:tc>
        <w:tc>
          <w:tcPr>
            <w:tcW w:type="dxa" w:w="2280"/>
            <w:vAlign w:val="center"/>
            <w:shd w:val="clear" w:color="auto" w:fill="00468F"/>
          </w:tcPr>
          <w:p>
            <w:pPr>
              <w:jc w:val="center"/>
            </w:pPr>
            <w:r>
              <w:rPr>
                <w:rFonts w:ascii="Calibri" w:hAnsi="Calibri"/>
                <w:b/>
                <w:color w:val="FFFFFF"/>
                <w:sz w:val="20"/>
              </w:rPr>
              <w:t>Periodo</w:t>
            </w:r>
          </w:p>
        </w:tc>
        <w:tc>
          <w:tcPr>
            <w:tcW w:type="dxa" w:w="2280"/>
            <w:vAlign w:val="center"/>
            <w:shd w:val="clear" w:color="auto" w:fill="00468F"/>
          </w:tcPr>
          <w:p>
            <w:pPr>
              <w:jc w:val="center"/>
            </w:pPr>
            <w:r>
              <w:rPr>
                <w:rFonts w:ascii="Calibri" w:hAnsi="Calibri"/>
                <w:b/>
                <w:color w:val="FFFFFF"/>
                <w:sz w:val="20"/>
              </w:rPr>
              <w:t>Filas</w:t>
            </w:r>
          </w:p>
        </w:tc>
        <w:tc>
          <w:tcPr>
            <w:tcW w:type="dxa" w:w="2280"/>
            <w:vAlign w:val="center"/>
            <w:shd w:val="clear" w:color="auto" w:fill="00468F"/>
          </w:tcPr>
          <w:p>
            <w:pPr>
              <w:jc w:val="center"/>
            </w:pPr>
            <w:r>
              <w:rPr>
                <w:rFonts w:ascii="Calibri" w:hAnsi="Calibri"/>
                <w:b/>
                <w:color w:val="FFFFFF"/>
                <w:sz w:val="20"/>
              </w:rPr>
              <w:t>Tamaño aprox.</w:t>
            </w:r>
          </w:p>
        </w:tc>
      </w:tr>
      <w:tr>
        <w:tc>
          <w:tcPr>
            <w:tcW w:type="dxa" w:w="2280"/>
            <w:shd w:val="clear" w:color="auto" w:fill="EEF4FB"/>
          </w:tcPr>
          <w:p>
            <w:pPr>
              <w:jc w:val="center"/>
            </w:pPr>
            <w:r>
              <w:rPr>
                <w:rFonts w:ascii="Calibri" w:hAnsi="Calibri"/>
                <w:sz w:val="20"/>
              </w:rPr>
              <w:t>2021 S1</w:t>
            </w:r>
          </w:p>
        </w:tc>
        <w:tc>
          <w:tcPr>
            <w:tcW w:type="dxa" w:w="2280"/>
            <w:shd w:val="clear" w:color="auto" w:fill="EEF4FB"/>
          </w:tcPr>
          <w:p>
            <w:pPr>
              <w:jc w:val="center"/>
            </w:pPr>
            <w:r>
              <w:rPr>
                <w:rFonts w:ascii="Calibri" w:hAnsi="Calibri"/>
                <w:sz w:val="20"/>
              </w:rPr>
              <w:t>Ene–Jun 2021</w:t>
            </w:r>
          </w:p>
        </w:tc>
        <w:tc>
          <w:tcPr>
            <w:tcW w:type="dxa" w:w="2280"/>
            <w:shd w:val="clear" w:color="auto" w:fill="EEF4FB"/>
          </w:tcPr>
          <w:p>
            <w:pPr>
              <w:jc w:val="center"/>
            </w:pPr>
            <w:r>
              <w:rPr>
                <w:rFonts w:ascii="Calibri" w:hAnsi="Calibri"/>
                <w:sz w:val="20"/>
              </w:rPr>
              <w:t>3,338,348</w:t>
            </w:r>
          </w:p>
        </w:tc>
        <w:tc>
          <w:tcPr>
            <w:tcW w:type="dxa" w:w="2280"/>
            <w:shd w:val="clear" w:color="auto" w:fill="EEF4FB"/>
          </w:tcPr>
          <w:p>
            <w:pPr>
              <w:jc w:val="center"/>
            </w:pPr>
            <w:r>
              <w:rPr>
                <w:rFonts w:ascii="Calibri" w:hAnsi="Calibri"/>
                <w:sz w:val="20"/>
              </w:rPr>
              <w:t>660 MB</w:t>
            </w:r>
          </w:p>
        </w:tc>
      </w:tr>
      <w:tr>
        <w:tc>
          <w:tcPr>
            <w:tcW w:type="dxa" w:w="2280"/>
            <w:shd w:val="clear" w:color="auto" w:fill="FFFFFF"/>
          </w:tcPr>
          <w:p>
            <w:pPr>
              <w:jc w:val="center"/>
            </w:pPr>
            <w:r>
              <w:rPr>
                <w:rFonts w:ascii="Calibri" w:hAnsi="Calibri"/>
                <w:sz w:val="20"/>
              </w:rPr>
              <w:t>2021 S2</w:t>
            </w:r>
          </w:p>
        </w:tc>
        <w:tc>
          <w:tcPr>
            <w:tcW w:type="dxa" w:w="2280"/>
            <w:shd w:val="clear" w:color="auto" w:fill="FFFFFF"/>
          </w:tcPr>
          <w:p>
            <w:pPr>
              <w:jc w:val="center"/>
            </w:pPr>
            <w:r>
              <w:rPr>
                <w:rFonts w:ascii="Calibri" w:hAnsi="Calibri"/>
                <w:sz w:val="20"/>
              </w:rPr>
              <w:t>Jul–Dic 2021</w:t>
            </w:r>
          </w:p>
        </w:tc>
        <w:tc>
          <w:tcPr>
            <w:tcW w:type="dxa" w:w="2280"/>
            <w:shd w:val="clear" w:color="auto" w:fill="FFFFFF"/>
          </w:tcPr>
          <w:p>
            <w:pPr>
              <w:jc w:val="center"/>
            </w:pPr>
            <w:r>
              <w:rPr>
                <w:rFonts w:ascii="Calibri" w:hAnsi="Calibri"/>
                <w:sz w:val="20"/>
              </w:rPr>
              <w:t>3,832,485</w:t>
            </w:r>
          </w:p>
        </w:tc>
        <w:tc>
          <w:tcPr>
            <w:tcW w:type="dxa" w:w="2280"/>
            <w:shd w:val="clear" w:color="auto" w:fill="FFFFFF"/>
          </w:tcPr>
          <w:p>
            <w:pPr>
              <w:jc w:val="center"/>
            </w:pPr>
            <w:r>
              <w:rPr>
                <w:rFonts w:ascii="Calibri" w:hAnsi="Calibri"/>
                <w:sz w:val="20"/>
              </w:rPr>
              <w:t>764 MB</w:t>
            </w:r>
          </w:p>
        </w:tc>
      </w:tr>
      <w:tr>
        <w:tc>
          <w:tcPr>
            <w:tcW w:type="dxa" w:w="2280"/>
            <w:shd w:val="clear" w:color="auto" w:fill="EEF4FB"/>
          </w:tcPr>
          <w:p>
            <w:pPr>
              <w:jc w:val="center"/>
            </w:pPr>
            <w:r>
              <w:rPr>
                <w:rFonts w:ascii="Calibri" w:hAnsi="Calibri"/>
                <w:sz w:val="20"/>
              </w:rPr>
              <w:t>2022 S1</w:t>
            </w:r>
          </w:p>
        </w:tc>
        <w:tc>
          <w:tcPr>
            <w:tcW w:type="dxa" w:w="2280"/>
            <w:shd w:val="clear" w:color="auto" w:fill="EEF4FB"/>
          </w:tcPr>
          <w:p>
            <w:pPr>
              <w:jc w:val="center"/>
            </w:pPr>
            <w:r>
              <w:rPr>
                <w:rFonts w:ascii="Calibri" w:hAnsi="Calibri"/>
                <w:sz w:val="20"/>
              </w:rPr>
              <w:t>Ene–Jun 2022</w:t>
            </w:r>
          </w:p>
        </w:tc>
        <w:tc>
          <w:tcPr>
            <w:tcW w:type="dxa" w:w="2280"/>
            <w:shd w:val="clear" w:color="auto" w:fill="EEF4FB"/>
          </w:tcPr>
          <w:p>
            <w:pPr>
              <w:jc w:val="center"/>
            </w:pPr>
            <w:r>
              <w:rPr>
                <w:rFonts w:ascii="Calibri" w:hAnsi="Calibri"/>
                <w:sz w:val="20"/>
              </w:rPr>
              <w:t>4,247,280</w:t>
            </w:r>
          </w:p>
        </w:tc>
        <w:tc>
          <w:tcPr>
            <w:tcW w:type="dxa" w:w="2280"/>
            <w:shd w:val="clear" w:color="auto" w:fill="EEF4FB"/>
          </w:tcPr>
          <w:p>
            <w:pPr>
              <w:jc w:val="center"/>
            </w:pPr>
            <w:r>
              <w:rPr>
                <w:rFonts w:ascii="Calibri" w:hAnsi="Calibri"/>
                <w:sz w:val="20"/>
              </w:rPr>
              <w:t>850 MB</w:t>
            </w:r>
          </w:p>
        </w:tc>
      </w:tr>
      <w:tr>
        <w:tc>
          <w:tcPr>
            <w:tcW w:type="dxa" w:w="2280"/>
            <w:shd w:val="clear" w:color="auto" w:fill="FFFFFF"/>
          </w:tcPr>
          <w:p>
            <w:pPr>
              <w:jc w:val="center"/>
            </w:pPr>
            <w:r>
              <w:rPr>
                <w:rFonts w:ascii="Calibri" w:hAnsi="Calibri"/>
                <w:sz w:val="20"/>
              </w:rPr>
              <w:t>2022 S2</w:t>
            </w:r>
          </w:p>
        </w:tc>
        <w:tc>
          <w:tcPr>
            <w:tcW w:type="dxa" w:w="2280"/>
            <w:shd w:val="clear" w:color="auto" w:fill="FFFFFF"/>
          </w:tcPr>
          <w:p>
            <w:pPr>
              <w:jc w:val="center"/>
            </w:pPr>
            <w:r>
              <w:rPr>
                <w:rFonts w:ascii="Calibri" w:hAnsi="Calibri"/>
                <w:sz w:val="20"/>
              </w:rPr>
              <w:t>Jul–Dic 2022</w:t>
            </w:r>
          </w:p>
        </w:tc>
        <w:tc>
          <w:tcPr>
            <w:tcW w:type="dxa" w:w="2280"/>
            <w:shd w:val="clear" w:color="auto" w:fill="FFFFFF"/>
          </w:tcPr>
          <w:p>
            <w:pPr>
              <w:jc w:val="center"/>
            </w:pPr>
            <w:r>
              <w:rPr>
                <w:rFonts w:ascii="Calibri" w:hAnsi="Calibri"/>
                <w:sz w:val="20"/>
              </w:rPr>
              <w:t>4,418,825</w:t>
            </w:r>
          </w:p>
        </w:tc>
        <w:tc>
          <w:tcPr>
            <w:tcW w:type="dxa" w:w="2280"/>
            <w:shd w:val="clear" w:color="auto" w:fill="FFFFFF"/>
          </w:tcPr>
          <w:p>
            <w:pPr>
              <w:jc w:val="center"/>
            </w:pPr>
            <w:r>
              <w:rPr>
                <w:rFonts w:ascii="Calibri" w:hAnsi="Calibri"/>
                <w:sz w:val="20"/>
              </w:rPr>
              <w:t>886 MB</w:t>
            </w:r>
          </w:p>
        </w:tc>
      </w:tr>
      <w:tr>
        <w:tc>
          <w:tcPr>
            <w:tcW w:type="dxa" w:w="2280"/>
            <w:shd w:val="clear" w:color="auto" w:fill="EEF4FB"/>
          </w:tcPr>
          <w:p>
            <w:pPr>
              <w:jc w:val="center"/>
            </w:pPr>
            <w:r>
              <w:rPr>
                <w:rFonts w:ascii="Calibri" w:hAnsi="Calibri"/>
                <w:sz w:val="20"/>
              </w:rPr>
              <w:t>2023 S1</w:t>
            </w:r>
          </w:p>
        </w:tc>
        <w:tc>
          <w:tcPr>
            <w:tcW w:type="dxa" w:w="2280"/>
            <w:shd w:val="clear" w:color="auto" w:fill="EEF4FB"/>
          </w:tcPr>
          <w:p>
            <w:pPr>
              <w:jc w:val="center"/>
            </w:pPr>
            <w:r>
              <w:rPr>
                <w:rFonts w:ascii="Calibri" w:hAnsi="Calibri"/>
                <w:sz w:val="20"/>
              </w:rPr>
              <w:t>Ene–Jun 2023</w:t>
            </w:r>
          </w:p>
        </w:tc>
        <w:tc>
          <w:tcPr>
            <w:tcW w:type="dxa" w:w="2280"/>
            <w:shd w:val="clear" w:color="auto" w:fill="EEF4FB"/>
          </w:tcPr>
          <w:p>
            <w:pPr>
              <w:jc w:val="center"/>
            </w:pPr>
            <w:r>
              <w:rPr>
                <w:rFonts w:ascii="Calibri" w:hAnsi="Calibri"/>
                <w:sz w:val="20"/>
              </w:rPr>
              <w:t>5,024,801</w:t>
            </w:r>
          </w:p>
        </w:tc>
        <w:tc>
          <w:tcPr>
            <w:tcW w:type="dxa" w:w="2280"/>
            <w:shd w:val="clear" w:color="auto" w:fill="EEF4FB"/>
          </w:tcPr>
          <w:p>
            <w:pPr>
              <w:jc w:val="center"/>
            </w:pPr>
            <w:r>
              <w:rPr>
                <w:rFonts w:ascii="Calibri" w:hAnsi="Calibri"/>
                <w:sz w:val="20"/>
              </w:rPr>
              <w:t>1,010 MB</w:t>
            </w:r>
          </w:p>
        </w:tc>
      </w:tr>
      <w:tr>
        <w:tc>
          <w:tcPr>
            <w:tcW w:type="dxa" w:w="2280"/>
            <w:shd w:val="clear" w:color="auto" w:fill="FFFFFF"/>
          </w:tcPr>
          <w:p>
            <w:pPr>
              <w:jc w:val="center"/>
            </w:pPr>
            <w:r>
              <w:rPr>
                <w:rFonts w:ascii="Calibri" w:hAnsi="Calibri"/>
                <w:sz w:val="20"/>
              </w:rPr>
              <w:t>2023 S2</w:t>
            </w:r>
          </w:p>
        </w:tc>
        <w:tc>
          <w:tcPr>
            <w:tcW w:type="dxa" w:w="2280"/>
            <w:shd w:val="clear" w:color="auto" w:fill="FFFFFF"/>
          </w:tcPr>
          <w:p>
            <w:pPr>
              <w:jc w:val="center"/>
            </w:pPr>
            <w:r>
              <w:rPr>
                <w:rFonts w:ascii="Calibri" w:hAnsi="Calibri"/>
                <w:sz w:val="20"/>
              </w:rPr>
              <w:t>Jul–Dic 2023</w:t>
            </w:r>
          </w:p>
        </w:tc>
        <w:tc>
          <w:tcPr>
            <w:tcW w:type="dxa" w:w="2280"/>
            <w:shd w:val="clear" w:color="auto" w:fill="FFFFFF"/>
          </w:tcPr>
          <w:p>
            <w:pPr>
              <w:jc w:val="center"/>
            </w:pPr>
            <w:r>
              <w:rPr>
                <w:rFonts w:ascii="Calibri" w:hAnsi="Calibri"/>
                <w:sz w:val="20"/>
              </w:rPr>
              <w:t>5,001,987</w:t>
            </w:r>
          </w:p>
        </w:tc>
        <w:tc>
          <w:tcPr>
            <w:tcW w:type="dxa" w:w="2280"/>
            <w:shd w:val="clear" w:color="auto" w:fill="FFFFFF"/>
          </w:tcPr>
          <w:p>
            <w:pPr>
              <w:jc w:val="center"/>
            </w:pPr>
            <w:r>
              <w:rPr>
                <w:rFonts w:ascii="Calibri" w:hAnsi="Calibri"/>
                <w:sz w:val="20"/>
              </w:rPr>
              <w:t>1,007 MB</w:t>
            </w:r>
          </w:p>
        </w:tc>
      </w:tr>
      <w:tr>
        <w:tc>
          <w:tcPr>
            <w:tcW w:type="dxa" w:w="2280"/>
            <w:shd w:val="clear" w:color="auto" w:fill="EEF4FB"/>
          </w:tcPr>
          <w:p>
            <w:pPr>
              <w:jc w:val="center"/>
            </w:pPr>
            <w:r>
              <w:rPr>
                <w:rFonts w:ascii="Calibri" w:hAnsi="Calibri"/>
                <w:sz w:val="20"/>
              </w:rPr>
              <w:t>2024 S1</w:t>
            </w:r>
          </w:p>
        </w:tc>
        <w:tc>
          <w:tcPr>
            <w:tcW w:type="dxa" w:w="2280"/>
            <w:shd w:val="clear" w:color="auto" w:fill="EEF4FB"/>
          </w:tcPr>
          <w:p>
            <w:pPr>
              <w:jc w:val="center"/>
            </w:pPr>
            <w:r>
              <w:rPr>
                <w:rFonts w:ascii="Calibri" w:hAnsi="Calibri"/>
                <w:sz w:val="20"/>
              </w:rPr>
              <w:t>Ene–Jun 2024</w:t>
            </w:r>
          </w:p>
        </w:tc>
        <w:tc>
          <w:tcPr>
            <w:tcW w:type="dxa" w:w="2280"/>
            <w:shd w:val="clear" w:color="auto" w:fill="EEF4FB"/>
          </w:tcPr>
          <w:p>
            <w:pPr>
              <w:jc w:val="center"/>
            </w:pPr>
            <w:r>
              <w:rPr>
                <w:rFonts w:ascii="Calibri" w:hAnsi="Calibri"/>
                <w:sz w:val="20"/>
              </w:rPr>
              <w:t>5,352,228</w:t>
            </w:r>
          </w:p>
        </w:tc>
        <w:tc>
          <w:tcPr>
            <w:tcW w:type="dxa" w:w="2280"/>
            <w:shd w:val="clear" w:color="auto" w:fill="EEF4FB"/>
          </w:tcPr>
          <w:p>
            <w:pPr>
              <w:jc w:val="center"/>
            </w:pPr>
            <w:r>
              <w:rPr>
                <w:rFonts w:ascii="Calibri" w:hAnsi="Calibri"/>
                <w:sz w:val="20"/>
              </w:rPr>
              <w:t>1,080 MB</w:t>
            </w:r>
          </w:p>
        </w:tc>
      </w:tr>
      <w:tr>
        <w:tc>
          <w:tcPr>
            <w:tcW w:type="dxa" w:w="2280"/>
            <w:shd w:val="clear" w:color="auto" w:fill="FFFFFF"/>
          </w:tcPr>
          <w:p>
            <w:pPr>
              <w:jc w:val="center"/>
            </w:pPr>
            <w:r>
              <w:rPr>
                <w:rFonts w:ascii="Calibri" w:hAnsi="Calibri"/>
                <w:sz w:val="20"/>
              </w:rPr>
              <w:t>2024 S2</w:t>
            </w:r>
          </w:p>
        </w:tc>
        <w:tc>
          <w:tcPr>
            <w:tcW w:type="dxa" w:w="2280"/>
            <w:shd w:val="clear" w:color="auto" w:fill="FFFFFF"/>
          </w:tcPr>
          <w:p>
            <w:pPr>
              <w:jc w:val="center"/>
            </w:pPr>
            <w:r>
              <w:rPr>
                <w:rFonts w:ascii="Calibri" w:hAnsi="Calibri"/>
                <w:sz w:val="20"/>
              </w:rPr>
              <w:t>Jul–Dic 2024</w:t>
            </w:r>
          </w:p>
        </w:tc>
        <w:tc>
          <w:tcPr>
            <w:tcW w:type="dxa" w:w="2280"/>
            <w:shd w:val="clear" w:color="auto" w:fill="FFFFFF"/>
          </w:tcPr>
          <w:p>
            <w:pPr>
              <w:jc w:val="center"/>
            </w:pPr>
            <w:r>
              <w:rPr>
                <w:rFonts w:ascii="Calibri" w:hAnsi="Calibri"/>
                <w:sz w:val="20"/>
              </w:rPr>
              <w:t>5,205,985</w:t>
            </w:r>
          </w:p>
        </w:tc>
        <w:tc>
          <w:tcPr>
            <w:tcW w:type="dxa" w:w="2280"/>
            <w:shd w:val="clear" w:color="auto" w:fill="FFFFFF"/>
          </w:tcPr>
          <w:p>
            <w:pPr>
              <w:jc w:val="center"/>
            </w:pPr>
            <w:r>
              <w:rPr>
                <w:rFonts w:ascii="Calibri" w:hAnsi="Calibri"/>
                <w:sz w:val="20"/>
              </w:rPr>
              <w:t>1,052 MB</w:t>
            </w:r>
          </w:p>
        </w:tc>
      </w:tr>
      <w:tr>
        <w:tc>
          <w:tcPr>
            <w:tcW w:type="dxa" w:w="2280"/>
            <w:shd w:val="clear" w:color="auto" w:fill="EEF4FB"/>
          </w:tcPr>
          <w:p>
            <w:pPr>
              <w:jc w:val="center"/>
            </w:pPr>
            <w:r>
              <w:rPr>
                <w:rFonts w:ascii="Calibri" w:hAnsi="Calibri"/>
                <w:sz w:val="20"/>
              </w:rPr>
              <w:t>2025 S1</w:t>
            </w:r>
          </w:p>
        </w:tc>
        <w:tc>
          <w:tcPr>
            <w:tcW w:type="dxa" w:w="2280"/>
            <w:shd w:val="clear" w:color="auto" w:fill="EEF4FB"/>
          </w:tcPr>
          <w:p>
            <w:pPr>
              <w:jc w:val="center"/>
            </w:pPr>
            <w:r>
              <w:rPr>
                <w:rFonts w:ascii="Calibri" w:hAnsi="Calibri"/>
                <w:sz w:val="20"/>
              </w:rPr>
              <w:t>Ene–Jun 2025</w:t>
            </w:r>
          </w:p>
        </w:tc>
        <w:tc>
          <w:tcPr>
            <w:tcW w:type="dxa" w:w="2280"/>
            <w:shd w:val="clear" w:color="auto" w:fill="EEF4FB"/>
          </w:tcPr>
          <w:p>
            <w:pPr>
              <w:jc w:val="center"/>
            </w:pPr>
            <w:r>
              <w:rPr>
                <w:rFonts w:ascii="Calibri" w:hAnsi="Calibri"/>
                <w:sz w:val="20"/>
              </w:rPr>
              <w:t>5,575,629</w:t>
            </w:r>
          </w:p>
        </w:tc>
        <w:tc>
          <w:tcPr>
            <w:tcW w:type="dxa" w:w="2280"/>
            <w:shd w:val="clear" w:color="auto" w:fill="EEF4FB"/>
          </w:tcPr>
          <w:p>
            <w:pPr>
              <w:jc w:val="center"/>
            </w:pPr>
            <w:r>
              <w:rPr>
                <w:rFonts w:ascii="Calibri" w:hAnsi="Calibri"/>
                <w:sz w:val="20"/>
              </w:rPr>
              <w:t>1,128 MB</w:t>
            </w:r>
          </w:p>
        </w:tc>
      </w:tr>
      <w:tr>
        <w:tc>
          <w:tcPr>
            <w:tcW w:type="dxa" w:w="2280"/>
            <w:shd w:val="clear" w:color="auto" w:fill="FFFFFF"/>
          </w:tcPr>
          <w:p>
            <w:pPr>
              <w:jc w:val="center"/>
            </w:pPr>
            <w:r>
              <w:rPr>
                <w:rFonts w:ascii="Calibri" w:hAnsi="Calibri"/>
                <w:sz w:val="20"/>
              </w:rPr>
              <w:t>TOTAL</w:t>
            </w:r>
          </w:p>
        </w:tc>
        <w:tc>
          <w:tcPr>
            <w:tcW w:type="dxa" w:w="2280"/>
            <w:shd w:val="clear" w:color="auto" w:fill="FFFFFF"/>
          </w:tcPr>
          <w:p>
            <w:pPr>
              <w:jc w:val="center"/>
            </w:pPr>
            <w:r>
              <w:rPr>
                <w:rFonts w:ascii="Calibri" w:hAnsi="Calibri"/>
                <w:sz w:val="20"/>
              </w:rPr>
              <w:t>2021–2025</w:t>
            </w:r>
          </w:p>
        </w:tc>
        <w:tc>
          <w:tcPr>
            <w:tcW w:type="dxa" w:w="2280"/>
            <w:shd w:val="clear" w:color="auto" w:fill="FFFFFF"/>
          </w:tcPr>
          <w:p>
            <w:pPr>
              <w:jc w:val="center"/>
            </w:pPr>
            <w:r>
              <w:rPr>
                <w:rFonts w:ascii="Calibri" w:hAnsi="Calibri"/>
                <w:sz w:val="20"/>
              </w:rPr>
              <w:t>41,997,568</w:t>
            </w:r>
          </w:p>
        </w:tc>
        <w:tc>
          <w:tcPr>
            <w:tcW w:type="dxa" w:w="2280"/>
            <w:shd w:val="clear" w:color="auto" w:fill="FFFFFF"/>
          </w:tcPr>
          <w:p>
            <w:pPr>
              <w:jc w:val="center"/>
            </w:pPr>
            <w:r>
              <w:rPr>
                <w:rFonts w:ascii="Calibri" w:hAnsi="Calibri"/>
                <w:sz w:val="20"/>
              </w:rPr>
              <w:t>~8.4 GB</w:t>
            </w:r>
          </w:p>
        </w:tc>
      </w:tr>
    </w:tbl>
    <w:p/>
    <w:p>
      <w:pPr>
        <w:pStyle w:val="Heading2"/>
      </w:pPr>
      <w:r>
        <w:rPr>
          <w:rFonts w:ascii="Calibri" w:hAnsi="Calibri"/>
          <w:color w:val="1F497D"/>
        </w:rPr>
        <w:t>3.2 Resultados del Diagnóstico (Qué)</w:t>
      </w:r>
    </w:p>
    <w:p>
      <w:pPr>
        <w:pStyle w:val="Heading3"/>
      </w:pPr>
      <w:r>
        <w:rPr>
          <w:rFonts w:ascii="Calibri" w:hAnsi="Calibri"/>
          <w:color w:val="366092"/>
        </w:rPr>
        <w:t>Hallazgos del Análisis Exploratorio de Datos</w:t>
      </w:r>
    </w:p>
    <w:p>
      <w:pPr>
        <w:spacing w:after="120"/>
      </w:pPr>
      <w:r>
        <w:rPr>
          <w:rFonts w:ascii="Calibri" w:hAnsi="Calibri"/>
          <w:sz w:val="22"/>
        </w:rPr>
        <w:t>Se realizó un análisis exploratorio en tres niveles (univariado, bivariado y multivariado) sobre el dataset consolidado. Los hallazgos estadísticamente significativos son:</w:t>
      </w:r>
    </w:p>
    <w:p>
      <w:pPr>
        <w:pStyle w:val="Heading3"/>
      </w:pPr>
      <w:r>
        <w:rPr>
          <w:rFonts w:ascii="Calibri" w:hAnsi="Calibri"/>
          <w:color w:val="366092"/>
        </w:rPr>
        <w:t>a) Distribución de la Variable Objetivo — ATENCIONES</w:t>
      </w:r>
    </w:p>
    <w:p>
      <w:pPr>
        <w:spacing w:after="60"/>
      </w:pPr>
      <w:r>
        <w:rPr>
          <w:rFonts w:ascii="Calibri" w:hAnsi="Calibri"/>
          <w:b/>
          <w:color w:val="44546A"/>
          <w:sz w:val="20"/>
        </w:rPr>
        <w:t>Tabla 5. Estadísticas descriptivas de la variable objetivo ATENCIONES</w:t>
      </w:r>
    </w:p>
    <w:tbl>
      <w:tblPr>
        <w:tblStyle w:val="TableGrid"/>
        <w:tblW w:type="auto" w:w="0"/>
        <w:jc w:val="center"/>
        <w:tblLook w:firstColumn="1" w:firstRow="1" w:lastColumn="0" w:lastRow="0" w:noHBand="0" w:noVBand="1" w:val="04A0"/>
      </w:tblPr>
      <w:tblGrid>
        <w:gridCol w:w="4561"/>
        <w:gridCol w:w="4561"/>
      </w:tblGrid>
      <w:tr>
        <w:tc>
          <w:tcPr>
            <w:tcW w:type="dxa" w:w="4561"/>
            <w:vAlign w:val="center"/>
            <w:shd w:val="clear" w:color="auto" w:fill="00468F"/>
          </w:tcPr>
          <w:p>
            <w:pPr>
              <w:jc w:val="center"/>
            </w:pPr>
            <w:r>
              <w:rPr>
                <w:rFonts w:ascii="Calibri" w:hAnsi="Calibri"/>
                <w:b/>
                <w:color w:val="FFFFFF"/>
                <w:sz w:val="20"/>
              </w:rPr>
              <w:t>Estadístico</w:t>
            </w:r>
          </w:p>
        </w:tc>
        <w:tc>
          <w:tcPr>
            <w:tcW w:type="dxa" w:w="4561"/>
            <w:vAlign w:val="center"/>
            <w:shd w:val="clear" w:color="auto" w:fill="00468F"/>
          </w:tcPr>
          <w:p>
            <w:pPr>
              <w:jc w:val="center"/>
            </w:pPr>
            <w:r>
              <w:rPr>
                <w:rFonts w:ascii="Calibri" w:hAnsi="Calibri"/>
                <w:b/>
                <w:color w:val="FFFFFF"/>
                <w:sz w:val="20"/>
              </w:rPr>
              <w:t>Valor</w:t>
            </w:r>
          </w:p>
        </w:tc>
      </w:tr>
      <w:tr>
        <w:tc>
          <w:tcPr>
            <w:tcW w:type="dxa" w:w="4561"/>
            <w:shd w:val="clear" w:color="auto" w:fill="EEF4FB"/>
          </w:tcPr>
          <w:p>
            <w:pPr>
              <w:jc w:val="center"/>
            </w:pPr>
            <w:r>
              <w:rPr>
                <w:rFonts w:ascii="Calibri" w:hAnsi="Calibri"/>
                <w:sz w:val="20"/>
              </w:rPr>
              <w:t>Media</w:t>
            </w:r>
          </w:p>
        </w:tc>
        <w:tc>
          <w:tcPr>
            <w:tcW w:type="dxa" w:w="4561"/>
            <w:shd w:val="clear" w:color="auto" w:fill="EEF4FB"/>
          </w:tcPr>
          <w:p>
            <w:pPr>
              <w:jc w:val="center"/>
            </w:pPr>
            <w:r>
              <w:rPr>
                <w:rFonts w:ascii="Calibri" w:hAnsi="Calibri"/>
                <w:sz w:val="20"/>
              </w:rPr>
              <w:t>8.42 atenciones/registro</w:t>
            </w:r>
          </w:p>
        </w:tc>
      </w:tr>
      <w:tr>
        <w:tc>
          <w:tcPr>
            <w:tcW w:type="dxa" w:w="4561"/>
            <w:shd w:val="clear" w:color="auto" w:fill="FFFFFF"/>
          </w:tcPr>
          <w:p>
            <w:pPr>
              <w:jc w:val="center"/>
            </w:pPr>
            <w:r>
              <w:rPr>
                <w:rFonts w:ascii="Calibri" w:hAnsi="Calibri"/>
                <w:sz w:val="20"/>
              </w:rPr>
              <w:t>Mediana</w:t>
            </w:r>
          </w:p>
        </w:tc>
        <w:tc>
          <w:tcPr>
            <w:tcW w:type="dxa" w:w="4561"/>
            <w:shd w:val="clear" w:color="auto" w:fill="FFFFFF"/>
          </w:tcPr>
          <w:p>
            <w:pPr>
              <w:jc w:val="center"/>
            </w:pPr>
            <w:r>
              <w:rPr>
                <w:rFonts w:ascii="Calibri" w:hAnsi="Calibri"/>
                <w:sz w:val="20"/>
              </w:rPr>
              <w:t>3 atenciones/registro</w:t>
            </w:r>
          </w:p>
        </w:tc>
      </w:tr>
      <w:tr>
        <w:tc>
          <w:tcPr>
            <w:tcW w:type="dxa" w:w="4561"/>
            <w:shd w:val="clear" w:color="auto" w:fill="EEF4FB"/>
          </w:tcPr>
          <w:p>
            <w:pPr>
              <w:jc w:val="center"/>
            </w:pPr>
            <w:r>
              <w:rPr>
                <w:rFonts w:ascii="Calibri" w:hAnsi="Calibri"/>
                <w:sz w:val="20"/>
              </w:rPr>
              <w:t>Percentil 90</w:t>
            </w:r>
          </w:p>
        </w:tc>
        <w:tc>
          <w:tcPr>
            <w:tcW w:type="dxa" w:w="4561"/>
            <w:shd w:val="clear" w:color="auto" w:fill="EEF4FB"/>
          </w:tcPr>
          <w:p>
            <w:pPr>
              <w:jc w:val="center"/>
            </w:pPr>
            <w:r>
              <w:rPr>
                <w:rFonts w:ascii="Calibri" w:hAnsi="Calibri"/>
                <w:sz w:val="20"/>
              </w:rPr>
              <w:t>17 atenciones/registro</w:t>
            </w:r>
          </w:p>
        </w:tc>
      </w:tr>
      <w:tr>
        <w:tc>
          <w:tcPr>
            <w:tcW w:type="dxa" w:w="4561"/>
            <w:shd w:val="clear" w:color="auto" w:fill="FFFFFF"/>
          </w:tcPr>
          <w:p>
            <w:pPr>
              <w:jc w:val="center"/>
            </w:pPr>
            <w:r>
              <w:rPr>
                <w:rFonts w:ascii="Calibri" w:hAnsi="Calibri"/>
                <w:sz w:val="20"/>
              </w:rPr>
              <w:t>Percentil 99</w:t>
            </w:r>
          </w:p>
        </w:tc>
        <w:tc>
          <w:tcPr>
            <w:tcW w:type="dxa" w:w="4561"/>
            <w:shd w:val="clear" w:color="auto" w:fill="FFFFFF"/>
          </w:tcPr>
          <w:p>
            <w:pPr>
              <w:jc w:val="center"/>
            </w:pPr>
            <w:r>
              <w:rPr>
                <w:rFonts w:ascii="Calibri" w:hAnsi="Calibri"/>
                <w:sz w:val="20"/>
              </w:rPr>
              <w:t>85 atenciones/registro</w:t>
            </w:r>
          </w:p>
        </w:tc>
      </w:tr>
      <w:tr>
        <w:tc>
          <w:tcPr>
            <w:tcW w:type="dxa" w:w="4561"/>
            <w:shd w:val="clear" w:color="auto" w:fill="EEF4FB"/>
          </w:tcPr>
          <w:p>
            <w:pPr>
              <w:jc w:val="center"/>
            </w:pPr>
            <w:r>
              <w:rPr>
                <w:rFonts w:ascii="Calibri" w:hAnsi="Calibri"/>
                <w:sz w:val="20"/>
              </w:rPr>
              <w:t>Máximo</w:t>
            </w:r>
          </w:p>
        </w:tc>
        <w:tc>
          <w:tcPr>
            <w:tcW w:type="dxa" w:w="4561"/>
            <w:shd w:val="clear" w:color="auto" w:fill="EEF4FB"/>
          </w:tcPr>
          <w:p>
            <w:pPr>
              <w:jc w:val="center"/>
            </w:pPr>
            <w:r>
              <w:rPr>
                <w:rFonts w:ascii="Calibri" w:hAnsi="Calibri"/>
                <w:sz w:val="20"/>
              </w:rPr>
              <w:t>9,923 atenciones/registro</w:t>
            </w:r>
          </w:p>
        </w:tc>
      </w:tr>
      <w:tr>
        <w:tc>
          <w:tcPr>
            <w:tcW w:type="dxa" w:w="4561"/>
            <w:shd w:val="clear" w:color="auto" w:fill="FFFFFF"/>
          </w:tcPr>
          <w:p>
            <w:pPr>
              <w:jc w:val="center"/>
            </w:pPr>
            <w:r>
              <w:rPr>
                <w:rFonts w:ascii="Calibri" w:hAnsi="Calibri"/>
                <w:sz w:val="20"/>
              </w:rPr>
              <w:t>Skewness</w:t>
            </w:r>
          </w:p>
        </w:tc>
        <w:tc>
          <w:tcPr>
            <w:tcW w:type="dxa" w:w="4561"/>
            <w:shd w:val="clear" w:color="auto" w:fill="FFFFFF"/>
          </w:tcPr>
          <w:p>
            <w:pPr>
              <w:jc w:val="center"/>
            </w:pPr>
            <w:r>
              <w:rPr>
                <w:rFonts w:ascii="Calibri" w:hAnsi="Calibri"/>
                <w:sz w:val="20"/>
              </w:rPr>
              <w:t>&gt; 5 (alta asimetría positiva)</w:t>
            </w:r>
          </w:p>
        </w:tc>
      </w:tr>
      <w:tr>
        <w:tc>
          <w:tcPr>
            <w:tcW w:type="dxa" w:w="4561"/>
            <w:shd w:val="clear" w:color="auto" w:fill="EEF4FB"/>
          </w:tcPr>
          <w:p>
            <w:pPr>
              <w:jc w:val="center"/>
            </w:pPr>
            <w:r>
              <w:rPr>
                <w:rFonts w:ascii="Calibri" w:hAnsi="Calibri"/>
                <w:sz w:val="20"/>
              </w:rPr>
              <w:t>Test Kolmogorov-Smirnov</w:t>
            </w:r>
          </w:p>
        </w:tc>
        <w:tc>
          <w:tcPr>
            <w:tcW w:type="dxa" w:w="4561"/>
            <w:shd w:val="clear" w:color="auto" w:fill="EEF4FB"/>
          </w:tcPr>
          <w:p>
            <w:pPr>
              <w:jc w:val="center"/>
            </w:pPr>
            <w:r>
              <w:rPr>
                <w:rFonts w:ascii="Calibri" w:hAnsi="Calibri"/>
                <w:sz w:val="20"/>
              </w:rPr>
              <w:t>p ≈ 0 — rechaza normalidad</w:t>
            </w:r>
          </w:p>
        </w:tc>
      </w:tr>
      <w:tr>
        <w:tc>
          <w:tcPr>
            <w:tcW w:type="dxa" w:w="4561"/>
            <w:shd w:val="clear" w:color="auto" w:fill="FFFFFF"/>
          </w:tcPr>
          <w:p>
            <w:pPr>
              <w:jc w:val="center"/>
            </w:pPr>
            <w:r>
              <w:rPr>
                <w:rFonts w:ascii="Calibri" w:hAnsi="Calibri"/>
                <w:sz w:val="20"/>
              </w:rPr>
              <w:t>Implicación</w:t>
            </w:r>
          </w:p>
        </w:tc>
        <w:tc>
          <w:tcPr>
            <w:tcW w:type="dxa" w:w="4561"/>
            <w:shd w:val="clear" w:color="auto" w:fill="FFFFFF"/>
          </w:tcPr>
          <w:p>
            <w:pPr>
              <w:jc w:val="center"/>
            </w:pPr>
            <w:r>
              <w:rPr>
                <w:rFonts w:ascii="Calibri" w:hAnsi="Calibri"/>
                <w:sz w:val="20"/>
              </w:rPr>
              <w:t>Transformación log1p obligatoria para modelado</w:t>
            </w:r>
          </w:p>
        </w:tc>
      </w:tr>
    </w:tbl>
    <w:p/>
    <w:p>
      <w:pPr>
        <w:spacing w:after="120"/>
      </w:pPr>
      <w:r>
        <w:rPr>
          <w:rFonts w:ascii="Calibri" w:hAnsi="Calibri"/>
          <w:sz w:val="22"/>
        </w:rPr>
        <w:t>La alta asimetría de ATENCIONES (skewness &gt; 5) es característica de datos de conteo en salud pública y confirma la necesidad de usar la transformación logarítmica log1p(x) como target del modelo.</w:t>
      </w:r>
    </w:p>
    <w:p>
      <w:pPr>
        <w:pStyle w:val="Heading3"/>
      </w:pPr>
      <w:r>
        <w:rPr>
          <w:rFonts w:ascii="Calibri" w:hAnsi="Calibri"/>
          <w:color w:val="366092"/>
        </w:rPr>
        <w:t>b) Tests de Significancia Estadística — Variables Explicativas</w:t>
      </w:r>
    </w:p>
    <w:p>
      <w:pPr>
        <w:spacing w:after="60"/>
      </w:pPr>
      <w:r>
        <w:rPr>
          <w:rFonts w:ascii="Calibri" w:hAnsi="Calibri"/>
          <w:b/>
          <w:color w:val="44546A"/>
          <w:sz w:val="20"/>
        </w:rPr>
        <w:t>Tabla 6. Resultados de tests no paramétricos (Kruskal-Wallis y Mann-Whitney)</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shd w:val="clear" w:color="auto" w:fill="00468F"/>
          </w:tcPr>
          <w:p>
            <w:pPr>
              <w:jc w:val="center"/>
            </w:pPr>
            <w:r>
              <w:rPr>
                <w:rFonts w:ascii="Calibri" w:hAnsi="Calibri"/>
                <w:b/>
                <w:color w:val="FFFFFF"/>
                <w:sz w:val="20"/>
              </w:rPr>
              <w:t>Variable</w:t>
            </w:r>
          </w:p>
        </w:tc>
        <w:tc>
          <w:tcPr>
            <w:tcW w:type="dxa" w:w="2280"/>
            <w:vAlign w:val="center"/>
            <w:shd w:val="clear" w:color="auto" w:fill="00468F"/>
          </w:tcPr>
          <w:p>
            <w:pPr>
              <w:jc w:val="center"/>
            </w:pPr>
            <w:r>
              <w:rPr>
                <w:rFonts w:ascii="Calibri" w:hAnsi="Calibri"/>
                <w:b/>
                <w:color w:val="FFFFFF"/>
                <w:sz w:val="20"/>
              </w:rPr>
              <w:t>Test</w:t>
            </w:r>
          </w:p>
        </w:tc>
        <w:tc>
          <w:tcPr>
            <w:tcW w:type="dxa" w:w="2280"/>
            <w:vAlign w:val="center"/>
            <w:shd w:val="clear" w:color="auto" w:fill="00468F"/>
          </w:tcPr>
          <w:p>
            <w:pPr>
              <w:jc w:val="center"/>
            </w:pPr>
            <w:r>
              <w:rPr>
                <w:rFonts w:ascii="Calibri" w:hAnsi="Calibri"/>
                <w:b/>
                <w:color w:val="FFFFFF"/>
                <w:sz w:val="20"/>
              </w:rPr>
              <w:t>Resultado</w:t>
            </w:r>
          </w:p>
        </w:tc>
        <w:tc>
          <w:tcPr>
            <w:tcW w:type="dxa" w:w="2280"/>
            <w:vAlign w:val="center"/>
            <w:shd w:val="clear" w:color="auto" w:fill="00468F"/>
          </w:tcPr>
          <w:p>
            <w:pPr>
              <w:jc w:val="center"/>
            </w:pPr>
            <w:r>
              <w:rPr>
                <w:rFonts w:ascii="Calibri" w:hAnsi="Calibri"/>
                <w:b/>
                <w:color w:val="FFFFFF"/>
                <w:sz w:val="20"/>
              </w:rPr>
              <w:t>Interpretación</w:t>
            </w:r>
          </w:p>
        </w:tc>
      </w:tr>
      <w:tr>
        <w:tc>
          <w:tcPr>
            <w:tcW w:type="dxa" w:w="2280"/>
            <w:shd w:val="clear" w:color="auto" w:fill="EEF4FB"/>
          </w:tcPr>
          <w:p>
            <w:pPr>
              <w:jc w:val="center"/>
            </w:pPr>
            <w:r>
              <w:rPr>
                <w:rFonts w:ascii="Calibri" w:hAnsi="Calibri"/>
                <w:sz w:val="20"/>
              </w:rPr>
              <w:t>NIVEL_EESS</w:t>
            </w:r>
          </w:p>
        </w:tc>
        <w:tc>
          <w:tcPr>
            <w:tcW w:type="dxa" w:w="2280"/>
            <w:shd w:val="clear" w:color="auto" w:fill="EEF4FB"/>
          </w:tcPr>
          <w:p>
            <w:pPr>
              <w:jc w:val="center"/>
            </w:pPr>
            <w:r>
              <w:rPr>
                <w:rFonts w:ascii="Calibri" w:hAnsi="Calibri"/>
                <w:sz w:val="20"/>
              </w:rPr>
              <w:t>Kruskal-Wallis</w:t>
            </w:r>
          </w:p>
        </w:tc>
        <w:tc>
          <w:tcPr>
            <w:tcW w:type="dxa" w:w="2280"/>
            <w:shd w:val="clear" w:color="auto" w:fill="EEF4FB"/>
          </w:tcPr>
          <w:p>
            <w:pPr>
              <w:jc w:val="center"/>
            </w:pPr>
            <w:r>
              <w:rPr>
                <w:rFonts w:ascii="Calibri" w:hAnsi="Calibri"/>
                <w:sz w:val="20"/>
              </w:rPr>
              <w:t>p &lt; 0.001 ***</w:t>
            </w:r>
          </w:p>
        </w:tc>
        <w:tc>
          <w:tcPr>
            <w:tcW w:type="dxa" w:w="2280"/>
            <w:shd w:val="clear" w:color="auto" w:fill="EEF4FB"/>
          </w:tcPr>
          <w:p>
            <w:pPr>
              <w:jc w:val="center"/>
            </w:pPr>
            <w:r>
              <w:rPr>
                <w:rFonts w:ascii="Calibri" w:hAnsi="Calibri"/>
                <w:sz w:val="20"/>
              </w:rPr>
              <w:t>Diferencia significativa entre niveles</w:t>
            </w:r>
          </w:p>
        </w:tc>
      </w:tr>
      <w:tr>
        <w:tc>
          <w:tcPr>
            <w:tcW w:type="dxa" w:w="2280"/>
            <w:shd w:val="clear" w:color="auto" w:fill="FFFFFF"/>
          </w:tcPr>
          <w:p>
            <w:pPr>
              <w:jc w:val="center"/>
            </w:pPr>
            <w:r>
              <w:rPr>
                <w:rFonts w:ascii="Calibri" w:hAnsi="Calibri"/>
                <w:sz w:val="20"/>
              </w:rPr>
              <w:t>GRUPO_EDAD</w:t>
            </w:r>
          </w:p>
        </w:tc>
        <w:tc>
          <w:tcPr>
            <w:tcW w:type="dxa" w:w="2280"/>
            <w:shd w:val="clear" w:color="auto" w:fill="FFFFFF"/>
          </w:tcPr>
          <w:p>
            <w:pPr>
              <w:jc w:val="center"/>
            </w:pPr>
            <w:r>
              <w:rPr>
                <w:rFonts w:ascii="Calibri" w:hAnsi="Calibri"/>
                <w:sz w:val="20"/>
              </w:rPr>
              <w:t>Kruskal-Wallis</w:t>
            </w:r>
          </w:p>
        </w:tc>
        <w:tc>
          <w:tcPr>
            <w:tcW w:type="dxa" w:w="2280"/>
            <w:shd w:val="clear" w:color="auto" w:fill="FFFFFF"/>
          </w:tcPr>
          <w:p>
            <w:pPr>
              <w:jc w:val="center"/>
            </w:pPr>
            <w:r>
              <w:rPr>
                <w:rFonts w:ascii="Calibri" w:hAnsi="Calibri"/>
                <w:sz w:val="20"/>
              </w:rPr>
              <w:t>p &lt; 0.001 ***</w:t>
            </w:r>
          </w:p>
        </w:tc>
        <w:tc>
          <w:tcPr>
            <w:tcW w:type="dxa" w:w="2280"/>
            <w:shd w:val="clear" w:color="auto" w:fill="FFFFFF"/>
          </w:tcPr>
          <w:p>
            <w:pPr>
              <w:jc w:val="center"/>
            </w:pPr>
            <w:r>
              <w:rPr>
                <w:rFonts w:ascii="Calibri" w:hAnsi="Calibri"/>
                <w:sz w:val="20"/>
              </w:rPr>
              <w:t>Cada grupo etario tiene demanda distinta</w:t>
            </w:r>
          </w:p>
        </w:tc>
      </w:tr>
      <w:tr>
        <w:tc>
          <w:tcPr>
            <w:tcW w:type="dxa" w:w="2280"/>
            <w:shd w:val="clear" w:color="auto" w:fill="EEF4FB"/>
          </w:tcPr>
          <w:p>
            <w:pPr>
              <w:jc w:val="center"/>
            </w:pPr>
            <w:r>
              <w:rPr>
                <w:rFonts w:ascii="Calibri" w:hAnsi="Calibri"/>
                <w:sz w:val="20"/>
              </w:rPr>
              <w:t>SEXO</w:t>
            </w:r>
          </w:p>
        </w:tc>
        <w:tc>
          <w:tcPr>
            <w:tcW w:type="dxa" w:w="2280"/>
            <w:shd w:val="clear" w:color="auto" w:fill="EEF4FB"/>
          </w:tcPr>
          <w:p>
            <w:pPr>
              <w:jc w:val="center"/>
            </w:pPr>
            <w:r>
              <w:rPr>
                <w:rFonts w:ascii="Calibri" w:hAnsi="Calibri"/>
                <w:sz w:val="20"/>
              </w:rPr>
              <w:t>Mann-Whitney U</w:t>
            </w:r>
          </w:p>
        </w:tc>
        <w:tc>
          <w:tcPr>
            <w:tcW w:type="dxa" w:w="2280"/>
            <w:shd w:val="clear" w:color="auto" w:fill="EEF4FB"/>
          </w:tcPr>
          <w:p>
            <w:pPr>
              <w:jc w:val="center"/>
            </w:pPr>
            <w:r>
              <w:rPr>
                <w:rFonts w:ascii="Calibri" w:hAnsi="Calibri"/>
                <w:sz w:val="20"/>
              </w:rPr>
              <w:t>p &lt; 0.001 ***</w:t>
            </w:r>
          </w:p>
        </w:tc>
        <w:tc>
          <w:tcPr>
            <w:tcW w:type="dxa" w:w="2280"/>
            <w:shd w:val="clear" w:color="auto" w:fill="EEF4FB"/>
          </w:tcPr>
          <w:p>
            <w:pPr>
              <w:jc w:val="center"/>
            </w:pPr>
            <w:r>
              <w:rPr>
                <w:rFonts w:ascii="Calibri" w:hAnsi="Calibri"/>
                <w:sz w:val="20"/>
              </w:rPr>
              <w:t>Femenino mayor demanda (servicios maternos)</w:t>
            </w:r>
          </w:p>
        </w:tc>
      </w:tr>
      <w:tr>
        <w:tc>
          <w:tcPr>
            <w:tcW w:type="dxa" w:w="2280"/>
            <w:shd w:val="clear" w:color="auto" w:fill="FFFFFF"/>
          </w:tcPr>
          <w:p>
            <w:pPr>
              <w:jc w:val="center"/>
            </w:pPr>
            <w:r>
              <w:rPr>
                <w:rFonts w:ascii="Calibri" w:hAnsi="Calibri"/>
                <w:sz w:val="20"/>
              </w:rPr>
              <w:t>SEMESTRE</w:t>
            </w:r>
          </w:p>
        </w:tc>
        <w:tc>
          <w:tcPr>
            <w:tcW w:type="dxa" w:w="2280"/>
            <w:shd w:val="clear" w:color="auto" w:fill="FFFFFF"/>
          </w:tcPr>
          <w:p>
            <w:pPr>
              <w:jc w:val="center"/>
            </w:pPr>
            <w:r>
              <w:rPr>
                <w:rFonts w:ascii="Calibri" w:hAnsi="Calibri"/>
                <w:sz w:val="20"/>
              </w:rPr>
              <w:t>Mann-Whitney U</w:t>
            </w:r>
          </w:p>
        </w:tc>
        <w:tc>
          <w:tcPr>
            <w:tcW w:type="dxa" w:w="2280"/>
            <w:shd w:val="clear" w:color="auto" w:fill="FFFFFF"/>
          </w:tcPr>
          <w:p>
            <w:pPr>
              <w:jc w:val="center"/>
            </w:pPr>
            <w:r>
              <w:rPr>
                <w:rFonts w:ascii="Calibri" w:hAnsi="Calibri"/>
                <w:sz w:val="20"/>
              </w:rPr>
              <w:t>p &lt; 0.05 *</w:t>
            </w:r>
          </w:p>
        </w:tc>
        <w:tc>
          <w:tcPr>
            <w:tcW w:type="dxa" w:w="2280"/>
            <w:shd w:val="clear" w:color="auto" w:fill="FFFFFF"/>
          </w:tcPr>
          <w:p>
            <w:pPr>
              <w:jc w:val="center"/>
            </w:pPr>
            <w:r>
              <w:rPr>
                <w:rFonts w:ascii="Calibri" w:hAnsi="Calibri"/>
                <w:sz w:val="20"/>
              </w:rPr>
              <w:t>Estacionalidad semestral leve pero real</w:t>
            </w:r>
          </w:p>
        </w:tc>
      </w:tr>
      <w:tr>
        <w:tc>
          <w:tcPr>
            <w:tcW w:type="dxa" w:w="2280"/>
            <w:shd w:val="clear" w:color="auto" w:fill="EEF4FB"/>
          </w:tcPr>
          <w:p>
            <w:pPr>
              <w:jc w:val="center"/>
            </w:pPr>
            <w:r>
              <w:rPr>
                <w:rFonts w:ascii="Calibri" w:hAnsi="Calibri"/>
                <w:sz w:val="20"/>
              </w:rPr>
              <w:t>REGION</w:t>
            </w:r>
          </w:p>
        </w:tc>
        <w:tc>
          <w:tcPr>
            <w:tcW w:type="dxa" w:w="2280"/>
            <w:shd w:val="clear" w:color="auto" w:fill="EEF4FB"/>
          </w:tcPr>
          <w:p>
            <w:pPr>
              <w:jc w:val="center"/>
            </w:pPr>
            <w:r>
              <w:rPr>
                <w:rFonts w:ascii="Calibri" w:hAnsi="Calibri"/>
                <w:sz w:val="20"/>
              </w:rPr>
              <w:t>Kruskal-Wallis</w:t>
            </w:r>
          </w:p>
        </w:tc>
        <w:tc>
          <w:tcPr>
            <w:tcW w:type="dxa" w:w="2280"/>
            <w:shd w:val="clear" w:color="auto" w:fill="EEF4FB"/>
          </w:tcPr>
          <w:p>
            <w:pPr>
              <w:jc w:val="center"/>
            </w:pPr>
            <w:r>
              <w:rPr>
                <w:rFonts w:ascii="Calibri" w:hAnsi="Calibri"/>
                <w:sz w:val="20"/>
              </w:rPr>
              <w:t>p &lt; 0.001 ***</w:t>
            </w:r>
          </w:p>
        </w:tc>
        <w:tc>
          <w:tcPr>
            <w:tcW w:type="dxa" w:w="2280"/>
            <w:shd w:val="clear" w:color="auto" w:fill="EEF4FB"/>
          </w:tcPr>
          <w:p>
            <w:pPr>
              <w:jc w:val="center"/>
            </w:pPr>
            <w:r>
              <w:rPr>
                <w:rFonts w:ascii="Calibri" w:hAnsi="Calibri"/>
                <w:sz w:val="20"/>
              </w:rPr>
              <w:t>Alta variabilidad inter-regional</w:t>
            </w:r>
          </w:p>
        </w:tc>
      </w:tr>
    </w:tbl>
    <w:p/>
    <w:p>
      <w:pPr>
        <w:spacing w:after="120"/>
      </w:pPr>
      <w:r>
        <w:rPr>
          <w:rFonts w:ascii="Calibri" w:hAnsi="Calibri"/>
          <w:sz w:val="22"/>
        </w:rPr>
        <w:t>Todos los tests se realizaron con la alternativa no paramétrica (Kruskal-Wallis y Mann-Whitney) dado que ATENCIONES no sigue distribución normal. El nivel de significancia fue α = 0.05.</w:t>
      </w:r>
    </w:p>
    <w:p>
      <w:pPr>
        <w:pStyle w:val="Heading3"/>
      </w:pPr>
      <w:r>
        <w:rPr>
          <w:rFonts w:ascii="Calibri" w:hAnsi="Calibri"/>
          <w:color w:val="366092"/>
        </w:rPr>
        <w:t>c) Análisis de Correlación — Autocorrelación Temporal</w:t>
      </w:r>
    </w:p>
    <w:p>
      <w:pPr>
        <w:spacing w:after="120"/>
      </w:pPr>
      <w:r>
        <w:rPr>
          <w:rFonts w:ascii="Calibri" w:hAnsi="Calibri"/>
          <w:sz w:val="22"/>
        </w:rPr>
        <w:t>La correlación de Spearman entre LAG_ATENCIONES_1SEM (demanda del semestre anterior) y ATENCIONES (demanda actual) fue r = 0.747 (p &lt; 0.001), confirmando alta autocorrelación temporal. Esto valida el enfoque de Machine Learning con features de lag como pieza central del modelo.</w:t>
      </w:r>
    </w:p>
    <w:p>
      <w:pPr>
        <w:pStyle w:val="Heading3"/>
      </w:pPr>
      <w:r>
        <w:rPr>
          <w:rFonts w:ascii="Calibri" w:hAnsi="Calibri"/>
          <w:color w:val="366092"/>
        </w:rPr>
        <w:t>d) Segmentación de IPRESS — Clustering K-Means</w:t>
      </w:r>
    </w:p>
    <w:p>
      <w:pPr>
        <w:spacing w:after="120"/>
      </w:pPr>
      <w:r>
        <w:rPr>
          <w:rFonts w:ascii="Calibri" w:hAnsi="Calibri"/>
          <w:sz w:val="22"/>
        </w:rPr>
        <w:t>Se aplicó K-Means con selección de K óptimo mediante Silhouette Score y Davies-Bouldin Index, identificando 4 perfiles diferenciados de establecimientos:</w:t>
      </w:r>
    </w:p>
    <w:p>
      <w:pPr>
        <w:spacing w:after="60"/>
      </w:pPr>
      <w:r>
        <w:rPr>
          <w:rFonts w:ascii="Calibri" w:hAnsi="Calibri"/>
          <w:b/>
          <w:color w:val="44546A"/>
          <w:sz w:val="20"/>
        </w:rPr>
        <w:t>Tabla 7. Perfiles de IPRESS identificados mediante K-Means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shd w:val="clear" w:color="auto" w:fill="00468F"/>
          </w:tcPr>
          <w:p>
            <w:pPr>
              <w:jc w:val="center"/>
            </w:pPr>
            <w:r>
              <w:rPr>
                <w:rFonts w:ascii="Calibri" w:hAnsi="Calibri"/>
                <w:b/>
                <w:color w:val="FFFFFF"/>
                <w:sz w:val="20"/>
              </w:rPr>
              <w:t>Cluster</w:t>
            </w:r>
          </w:p>
        </w:tc>
        <w:tc>
          <w:tcPr>
            <w:tcW w:type="dxa" w:w="2280"/>
            <w:vAlign w:val="center"/>
            <w:shd w:val="clear" w:color="auto" w:fill="00468F"/>
          </w:tcPr>
          <w:p>
            <w:pPr>
              <w:jc w:val="center"/>
            </w:pPr>
            <w:r>
              <w:rPr>
                <w:rFonts w:ascii="Calibri" w:hAnsi="Calibri"/>
                <w:b/>
                <w:color w:val="FFFFFF"/>
                <w:sz w:val="20"/>
              </w:rPr>
              <w:t>Perfil</w:t>
            </w:r>
          </w:p>
        </w:tc>
        <w:tc>
          <w:tcPr>
            <w:tcW w:type="dxa" w:w="2280"/>
            <w:vAlign w:val="center"/>
            <w:shd w:val="clear" w:color="auto" w:fill="00468F"/>
          </w:tcPr>
          <w:p>
            <w:pPr>
              <w:jc w:val="center"/>
            </w:pPr>
            <w:r>
              <w:rPr>
                <w:rFonts w:ascii="Calibri" w:hAnsi="Calibri"/>
                <w:b/>
                <w:color w:val="FFFFFF"/>
                <w:sz w:val="20"/>
              </w:rPr>
              <w:t>Características Dominantes</w:t>
            </w:r>
          </w:p>
        </w:tc>
        <w:tc>
          <w:tcPr>
            <w:tcW w:type="dxa" w:w="2280"/>
            <w:vAlign w:val="center"/>
            <w:shd w:val="clear" w:color="auto" w:fill="00468F"/>
          </w:tcPr>
          <w:p>
            <w:pPr>
              <w:jc w:val="center"/>
            </w:pPr>
            <w:r>
              <w:rPr>
                <w:rFonts w:ascii="Calibri" w:hAnsi="Calibri"/>
                <w:b/>
                <w:color w:val="FFFFFF"/>
                <w:sz w:val="20"/>
              </w:rPr>
              <w:t>Implicación Estratégica</w:t>
            </w:r>
          </w:p>
        </w:tc>
      </w:tr>
      <w:tr>
        <w:tc>
          <w:tcPr>
            <w:tcW w:type="dxa" w:w="2280"/>
            <w:shd w:val="clear" w:color="auto" w:fill="EEF4FB"/>
          </w:tcPr>
          <w:p>
            <w:pPr>
              <w:jc w:val="center"/>
            </w:pPr>
            <w:r>
              <w:rPr>
                <w:rFonts w:ascii="Calibri" w:hAnsi="Calibri"/>
                <w:sz w:val="20"/>
              </w:rPr>
              <w:t>0</w:t>
            </w:r>
          </w:p>
        </w:tc>
        <w:tc>
          <w:tcPr>
            <w:tcW w:type="dxa" w:w="2280"/>
            <w:shd w:val="clear" w:color="auto" w:fill="EEF4FB"/>
          </w:tcPr>
          <w:p>
            <w:pPr>
              <w:jc w:val="center"/>
            </w:pPr>
            <w:r>
              <w:rPr>
                <w:rFonts w:ascii="Calibri" w:hAnsi="Calibri"/>
                <w:sz w:val="20"/>
              </w:rPr>
              <w:t>Hospitales de referencia</w:t>
            </w:r>
          </w:p>
        </w:tc>
        <w:tc>
          <w:tcPr>
            <w:tcW w:type="dxa" w:w="2280"/>
            <w:shd w:val="clear" w:color="auto" w:fill="EEF4FB"/>
          </w:tcPr>
          <w:p>
            <w:pPr>
              <w:jc w:val="center"/>
            </w:pPr>
            <w:r>
              <w:rPr>
                <w:rFonts w:ascii="Calibri" w:hAnsi="Calibri"/>
                <w:sz w:val="20"/>
              </w:rPr>
              <w:t>Nivel II/III, alto volumen, mix diverso</w:t>
            </w:r>
          </w:p>
        </w:tc>
        <w:tc>
          <w:tcPr>
            <w:tcW w:type="dxa" w:w="2280"/>
            <w:shd w:val="clear" w:color="auto" w:fill="EEF4FB"/>
          </w:tcPr>
          <w:p>
            <w:pPr>
              <w:jc w:val="center"/>
            </w:pPr>
            <w:r>
              <w:rPr>
                <w:rFonts w:ascii="Calibri" w:hAnsi="Calibri"/>
                <w:sz w:val="20"/>
              </w:rPr>
              <w:t>Mayor impacto presupuestal por error de predicción</w:t>
            </w:r>
          </w:p>
        </w:tc>
      </w:tr>
      <w:tr>
        <w:tc>
          <w:tcPr>
            <w:tcW w:type="dxa" w:w="2280"/>
            <w:shd w:val="clear" w:color="auto" w:fill="FFFFFF"/>
          </w:tcPr>
          <w:p>
            <w:pPr>
              <w:jc w:val="center"/>
            </w:pPr>
            <w:r>
              <w:rPr>
                <w:rFonts w:ascii="Calibri" w:hAnsi="Calibri"/>
                <w:sz w:val="20"/>
              </w:rPr>
              <w:t>1</w:t>
            </w:r>
          </w:p>
        </w:tc>
        <w:tc>
          <w:tcPr>
            <w:tcW w:type="dxa" w:w="2280"/>
            <w:shd w:val="clear" w:color="auto" w:fill="FFFFFF"/>
          </w:tcPr>
          <w:p>
            <w:pPr>
              <w:jc w:val="center"/>
            </w:pPr>
            <w:r>
              <w:rPr>
                <w:rFonts w:ascii="Calibri" w:hAnsi="Calibri"/>
                <w:sz w:val="20"/>
              </w:rPr>
              <w:t>Centros maternos</w:t>
            </w:r>
          </w:p>
        </w:tc>
        <w:tc>
          <w:tcPr>
            <w:tcW w:type="dxa" w:w="2280"/>
            <w:shd w:val="clear" w:color="auto" w:fill="FFFFFF"/>
          </w:tcPr>
          <w:p>
            <w:pPr>
              <w:jc w:val="center"/>
            </w:pPr>
            <w:r>
              <w:rPr>
                <w:rFonts w:ascii="Calibri" w:hAnsi="Calibri"/>
                <w:sz w:val="20"/>
              </w:rPr>
              <w:t>Alto % servicios maternos-infantiles, sierra/selva</w:t>
            </w:r>
          </w:p>
        </w:tc>
        <w:tc>
          <w:tcPr>
            <w:tcW w:type="dxa" w:w="2280"/>
            <w:shd w:val="clear" w:color="auto" w:fill="FFFFFF"/>
          </w:tcPr>
          <w:p>
            <w:pPr>
              <w:jc w:val="center"/>
            </w:pPr>
            <w:r>
              <w:rPr>
                <w:rFonts w:ascii="Calibri" w:hAnsi="Calibri"/>
                <w:sz w:val="20"/>
              </w:rPr>
              <w:t>Planificación de obstetras y matronas</w:t>
            </w:r>
          </w:p>
        </w:tc>
      </w:tr>
      <w:tr>
        <w:tc>
          <w:tcPr>
            <w:tcW w:type="dxa" w:w="2280"/>
            <w:shd w:val="clear" w:color="auto" w:fill="EEF4FB"/>
          </w:tcPr>
          <w:p>
            <w:pPr>
              <w:jc w:val="center"/>
            </w:pPr>
            <w:r>
              <w:rPr>
                <w:rFonts w:ascii="Calibri" w:hAnsi="Calibri"/>
                <w:sz w:val="20"/>
              </w:rPr>
              <w:t>2</w:t>
            </w:r>
          </w:p>
        </w:tc>
        <w:tc>
          <w:tcPr>
            <w:tcW w:type="dxa" w:w="2280"/>
            <w:shd w:val="clear" w:color="auto" w:fill="EEF4FB"/>
          </w:tcPr>
          <w:p>
            <w:pPr>
              <w:jc w:val="center"/>
            </w:pPr>
            <w:r>
              <w:rPr>
                <w:rFonts w:ascii="Calibri" w:hAnsi="Calibri"/>
                <w:sz w:val="20"/>
              </w:rPr>
              <w:t>IPRESS telemáticas</w:t>
            </w:r>
          </w:p>
        </w:tc>
        <w:tc>
          <w:tcPr>
            <w:tcW w:type="dxa" w:w="2280"/>
            <w:shd w:val="clear" w:color="auto" w:fill="EEF4FB"/>
          </w:tcPr>
          <w:p>
            <w:pPr>
              <w:jc w:val="center"/>
            </w:pPr>
            <w:r>
              <w:rPr>
                <w:rFonts w:ascii="Calibri" w:hAnsi="Calibri"/>
                <w:sz w:val="20"/>
              </w:rPr>
              <w:t>Alto % telemonitoreo, zonas remotas</w:t>
            </w:r>
          </w:p>
        </w:tc>
        <w:tc>
          <w:tcPr>
            <w:tcW w:type="dxa" w:w="2280"/>
            <w:shd w:val="clear" w:color="auto" w:fill="EEF4FB"/>
          </w:tcPr>
          <w:p>
            <w:pPr>
              <w:jc w:val="center"/>
            </w:pPr>
            <w:r>
              <w:rPr>
                <w:rFonts w:ascii="Calibri" w:hAnsi="Calibri"/>
                <w:sz w:val="20"/>
              </w:rPr>
              <w:t>Patrón de crecimiento diferente al presencial</w:t>
            </w:r>
          </w:p>
        </w:tc>
      </w:tr>
      <w:tr>
        <w:tc>
          <w:tcPr>
            <w:tcW w:type="dxa" w:w="2280"/>
            <w:shd w:val="clear" w:color="auto" w:fill="FFFFFF"/>
          </w:tcPr>
          <w:p>
            <w:pPr>
              <w:jc w:val="center"/>
            </w:pPr>
            <w:r>
              <w:rPr>
                <w:rFonts w:ascii="Calibri" w:hAnsi="Calibri"/>
                <w:sz w:val="20"/>
              </w:rPr>
              <w:t>3</w:t>
            </w:r>
          </w:p>
        </w:tc>
        <w:tc>
          <w:tcPr>
            <w:tcW w:type="dxa" w:w="2280"/>
            <w:shd w:val="clear" w:color="auto" w:fill="FFFFFF"/>
          </w:tcPr>
          <w:p>
            <w:pPr>
              <w:jc w:val="center"/>
            </w:pPr>
            <w:r>
              <w:rPr>
                <w:rFonts w:ascii="Calibri" w:hAnsi="Calibri"/>
                <w:sz w:val="20"/>
              </w:rPr>
              <w:t>Postas nuevas</w:t>
            </w:r>
          </w:p>
        </w:tc>
        <w:tc>
          <w:tcPr>
            <w:tcW w:type="dxa" w:w="2280"/>
            <w:shd w:val="clear" w:color="auto" w:fill="FFFFFF"/>
          </w:tcPr>
          <w:p>
            <w:pPr>
              <w:jc w:val="center"/>
            </w:pPr>
            <w:r>
              <w:rPr>
                <w:rFonts w:ascii="Calibri" w:hAnsi="Calibri"/>
                <w:sz w:val="20"/>
              </w:rPr>
              <w:t>Bajo volumen, N_PERIODOS ≤ 2</w:t>
            </w:r>
          </w:p>
        </w:tc>
        <w:tc>
          <w:tcPr>
            <w:tcW w:type="dxa" w:w="2280"/>
            <w:shd w:val="clear" w:color="auto" w:fill="FFFFFF"/>
          </w:tcPr>
          <w:p>
            <w:pPr>
              <w:jc w:val="center"/>
            </w:pPr>
            <w:r>
              <w:rPr>
                <w:rFonts w:ascii="Calibri" w:hAnsi="Calibri"/>
                <w:sz w:val="20"/>
              </w:rPr>
              <w:t>Requieren estrategia cold-start</w:t>
            </w:r>
          </w:p>
        </w:tc>
      </w:tr>
    </w:tbl>
    <w:p/>
    <w:p>
      <w:pPr>
        <w:pStyle w:val="Heading3"/>
      </w:pPr>
      <w:r>
        <w:rPr>
          <w:rFonts w:ascii="Calibri" w:hAnsi="Calibri"/>
          <w:color w:val="366092"/>
        </w:rPr>
        <w:t>e) Análisis de Tendencia Nacional</w:t>
      </w:r>
    </w:p>
    <w:p>
      <w:pPr>
        <w:spacing w:after="120"/>
      </w:pPr>
      <w:r>
        <w:rPr>
          <w:rFonts w:ascii="Calibri" w:hAnsi="Calibri"/>
          <w:sz w:val="22"/>
        </w:rPr>
        <w:t>Las atenciones totales crecieron de 3.3 millones (2021 S1) a 5.6 millones (2025 S1), un incremento del +67% en 9 semestres. La tendencia refleja la recuperación post-COVID de 2021–2022 y la expansión sostenida de la cobertura SIS. El 70% de las IPRESS exhibe tendencia positiva en su serie individual.</w:t>
      </w:r>
    </w:p>
    <w:p>
      <w:r>
        <w:br w:type="page"/>
      </w:r>
    </w:p>
    <w:p>
      <w:pPr>
        <w:pStyle w:val="Heading1"/>
      </w:pPr>
      <w:r>
        <w:rPr>
          <w:rFonts w:ascii="Calibri" w:hAnsi="Calibri"/>
          <w:color w:val="00467F"/>
        </w:rPr>
        <w:t>4. Propuesta de Cambio</w:t>
      </w:r>
    </w:p>
    <w:p>
      <w:pPr>
        <w:pStyle w:val="Heading2"/>
      </w:pPr>
      <w:r>
        <w:rPr>
          <w:rFonts w:ascii="Calibri" w:hAnsi="Calibri"/>
          <w:color w:val="1F497D"/>
        </w:rPr>
        <w:t>4.1 Descripción de la Solución Propuesta</w:t>
      </w:r>
    </w:p>
    <w:p>
      <w:pPr>
        <w:spacing w:after="120"/>
      </w:pPr>
      <w:r>
        <w:rPr>
          <w:rFonts w:ascii="Calibri" w:hAnsi="Calibri"/>
          <w:sz w:val="22"/>
        </w:rPr>
        <w:t>Se propone implementar SIS-DEMAND, un sistema predictivo de demanda de atenciones médicas basado en Machine Learning, que genera predicciones individualizadas para cada combinación [IPRESS × SERVICIO × GRUPO_EDAD × SEXO] con seis meses de anticipación, y las pone a disposición de planificadores del SIS mediante un dashboard interactivo.</w:t>
      </w:r>
    </w:p>
    <w:p>
      <w:pPr>
        <w:spacing w:before="160"/>
        <w:shd w:val="clear" w:color="auto" w:fill="00468F"/>
      </w:pPr>
      <w:r>
        <w:rPr>
          <w:rFonts w:ascii="Calibri" w:hAnsi="Calibri"/>
          <w:b/>
          <w:color w:val="FFFFFF"/>
          <w:sz w:val="22"/>
        </w:rPr>
        <w:t xml:space="preserve">  Paso 5: Preparar y Limpiar los Datos  </w:t>
      </w:r>
    </w:p>
    <w:p>
      <w:pPr>
        <w:spacing w:after="120"/>
      </w:pPr>
      <w:r>
        <w:rPr>
          <w:rFonts w:ascii="Calibri" w:hAnsi="Calibri"/>
          <w:sz w:val="22"/>
        </w:rPr>
        <w:t>Acciones aplicadas: (1) Consolidación de 9 CSVs en un único dataset Parquet con compresión Snappy. (2) Normalización de encoding UTF-8. (3) Winsorización al percentil 99 por grupo NIVEL_EESS × DESC_SERVICIO para tratar outliers. (4) Construcción de KEY única por combinación IPRESS × SERVICIO × EDAD × SEXO. (5) Imputación cold-start con mediana de IPRESS similares del mismo grupo.</w:t>
      </w:r>
    </w:p>
    <w:p>
      <w:pPr>
        <w:spacing w:before="160"/>
        <w:shd w:val="clear" w:color="auto" w:fill="00468F"/>
      </w:pPr>
      <w:r>
        <w:rPr>
          <w:rFonts w:ascii="Calibri" w:hAnsi="Calibri"/>
          <w:b/>
          <w:color w:val="FFFFFF"/>
          <w:sz w:val="22"/>
        </w:rPr>
        <w:t xml:space="preserve">  Paso 6: Establecer un Baseline Simple  </w:t>
      </w:r>
    </w:p>
    <w:p>
      <w:pPr>
        <w:spacing w:after="120"/>
      </w:pPr>
      <w:r>
        <w:rPr>
          <w:rFonts w:ascii="Calibri" w:hAnsi="Calibri"/>
          <w:sz w:val="22"/>
        </w:rPr>
        <w:t>Baseline definido: promedio histórico de ATENCIONES por perfil (NIVEL_EESS × GRUPO_EDAD × SEXO) calculado sobre el periodo de entrenamiento. MAPE del baseline en validación: ~55.89%. Este es el punto de comparación obligatorio para justificar el valor del modelo complejo.</w:t>
      </w:r>
    </w:p>
    <w:p>
      <w:pPr>
        <w:pStyle w:val="Heading2"/>
      </w:pPr>
      <w:r>
        <w:rPr>
          <w:rFonts w:ascii="Calibri" w:hAnsi="Calibri"/>
          <w:color w:val="1F497D"/>
        </w:rPr>
        <w:t>4.2 Arquitectura del Pipeline Analítico</w:t>
      </w:r>
    </w:p>
    <w:p>
      <w:pPr>
        <w:spacing w:after="60"/>
      </w:pPr>
      <w:r>
        <w:rPr>
          <w:rFonts w:ascii="Calibri" w:hAnsi="Calibri"/>
          <w:b/>
          <w:color w:val="44546A"/>
          <w:sz w:val="20"/>
        </w:rPr>
        <w:t>Tabla 8. Pipeline completo SIS-DEMAND — 9 etapas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shd w:val="clear" w:color="auto" w:fill="00468F"/>
          </w:tcPr>
          <w:p>
            <w:pPr>
              <w:jc w:val="center"/>
            </w:pPr>
            <w:r>
              <w:rPr>
                <w:rFonts w:ascii="Calibri" w:hAnsi="Calibri"/>
                <w:b/>
                <w:color w:val="FFFFFF"/>
                <w:sz w:val="20"/>
              </w:rPr>
              <w:t>Etapa</w:t>
            </w:r>
          </w:p>
        </w:tc>
        <w:tc>
          <w:tcPr>
            <w:tcW w:type="dxa" w:w="2280"/>
            <w:vAlign w:val="center"/>
            <w:shd w:val="clear" w:color="auto" w:fill="00468F"/>
          </w:tcPr>
          <w:p>
            <w:pPr>
              <w:jc w:val="center"/>
            </w:pPr>
            <w:r>
              <w:rPr>
                <w:rFonts w:ascii="Calibri" w:hAnsi="Calibri"/>
                <w:b/>
                <w:color w:val="FFFFFF"/>
                <w:sz w:val="20"/>
              </w:rPr>
              <w:t>Notebook</w:t>
            </w:r>
          </w:p>
        </w:tc>
        <w:tc>
          <w:tcPr>
            <w:tcW w:type="dxa" w:w="2280"/>
            <w:vAlign w:val="center"/>
            <w:shd w:val="clear" w:color="auto" w:fill="00468F"/>
          </w:tcPr>
          <w:p>
            <w:pPr>
              <w:jc w:val="center"/>
            </w:pPr>
            <w:r>
              <w:rPr>
                <w:rFonts w:ascii="Calibri" w:hAnsi="Calibri"/>
                <w:b/>
                <w:color w:val="FFFFFF"/>
                <w:sz w:val="20"/>
              </w:rPr>
              <w:t>Técnica</w:t>
            </w:r>
          </w:p>
        </w:tc>
        <w:tc>
          <w:tcPr>
            <w:tcW w:type="dxa" w:w="2280"/>
            <w:vAlign w:val="center"/>
            <w:shd w:val="clear" w:color="auto" w:fill="00468F"/>
          </w:tcPr>
          <w:p>
            <w:pPr>
              <w:jc w:val="center"/>
            </w:pPr>
            <w:r>
              <w:rPr>
                <w:rFonts w:ascii="Calibri" w:hAnsi="Calibri"/>
                <w:b/>
                <w:color w:val="FFFFFF"/>
                <w:sz w:val="20"/>
              </w:rPr>
              <w:t>Output</w:t>
            </w:r>
          </w:p>
        </w:tc>
      </w:tr>
      <w:tr>
        <w:tc>
          <w:tcPr>
            <w:tcW w:type="dxa" w:w="2280"/>
            <w:shd w:val="clear" w:color="auto" w:fill="EEF4FB"/>
          </w:tcPr>
          <w:p>
            <w:pPr>
              <w:jc w:val="center"/>
            </w:pPr>
            <w:r>
              <w:rPr>
                <w:rFonts w:ascii="Calibri" w:hAnsi="Calibri"/>
                <w:sz w:val="20"/>
              </w:rPr>
              <w:t>00 Ingesta</w:t>
            </w:r>
          </w:p>
        </w:tc>
        <w:tc>
          <w:tcPr>
            <w:tcW w:type="dxa" w:w="2280"/>
            <w:shd w:val="clear" w:color="auto" w:fill="EEF4FB"/>
          </w:tcPr>
          <w:p>
            <w:pPr>
              <w:jc w:val="center"/>
            </w:pPr>
            <w:r>
              <w:rPr>
                <w:rFonts w:ascii="Calibri" w:hAnsi="Calibri"/>
                <w:sz w:val="20"/>
              </w:rPr>
              <w:t>00_ingesta_consolidacion</w:t>
            </w:r>
          </w:p>
        </w:tc>
        <w:tc>
          <w:tcPr>
            <w:tcW w:type="dxa" w:w="2280"/>
            <w:shd w:val="clear" w:color="auto" w:fill="EEF4FB"/>
          </w:tcPr>
          <w:p>
            <w:pPr>
              <w:jc w:val="center"/>
            </w:pPr>
            <w:r>
              <w:rPr>
                <w:rFonts w:ascii="Calibri" w:hAnsi="Calibri"/>
                <w:sz w:val="20"/>
              </w:rPr>
              <w:t>Pandas + PyArrow</w:t>
            </w:r>
          </w:p>
        </w:tc>
        <w:tc>
          <w:tcPr>
            <w:tcW w:type="dxa" w:w="2280"/>
            <w:shd w:val="clear" w:color="auto" w:fill="EEF4FB"/>
          </w:tcPr>
          <w:p>
            <w:pPr>
              <w:jc w:val="center"/>
            </w:pPr>
            <w:r>
              <w:rPr>
                <w:rFonts w:ascii="Calibri" w:hAnsi="Calibri"/>
                <w:sz w:val="20"/>
              </w:rPr>
              <w:t>sis_consolidado.parquet (42M filas)</w:t>
            </w:r>
          </w:p>
        </w:tc>
      </w:tr>
      <w:tr>
        <w:tc>
          <w:tcPr>
            <w:tcW w:type="dxa" w:w="2280"/>
            <w:shd w:val="clear" w:color="auto" w:fill="FFFFFF"/>
          </w:tcPr>
          <w:p>
            <w:pPr>
              <w:jc w:val="center"/>
            </w:pPr>
            <w:r>
              <w:rPr>
                <w:rFonts w:ascii="Calibri" w:hAnsi="Calibri"/>
                <w:sz w:val="20"/>
              </w:rPr>
              <w:t>01–03 EDA</w:t>
            </w:r>
          </w:p>
        </w:tc>
        <w:tc>
          <w:tcPr>
            <w:tcW w:type="dxa" w:w="2280"/>
            <w:shd w:val="clear" w:color="auto" w:fill="FFFFFF"/>
          </w:tcPr>
          <w:p>
            <w:pPr>
              <w:jc w:val="center"/>
            </w:pPr>
            <w:r>
              <w:rPr>
                <w:rFonts w:ascii="Calibri" w:hAnsi="Calibri"/>
                <w:sz w:val="20"/>
              </w:rPr>
              <w:t>01/02/03_eda_*.ipynb</w:t>
            </w:r>
          </w:p>
        </w:tc>
        <w:tc>
          <w:tcPr>
            <w:tcW w:type="dxa" w:w="2280"/>
            <w:shd w:val="clear" w:color="auto" w:fill="FFFFFF"/>
          </w:tcPr>
          <w:p>
            <w:pPr>
              <w:jc w:val="center"/>
            </w:pPr>
            <w:r>
              <w:rPr>
                <w:rFonts w:ascii="Calibri" w:hAnsi="Calibri"/>
                <w:sz w:val="20"/>
              </w:rPr>
              <w:t>KS, Kruskal-Wallis, Spearman, PCA, VIF</w:t>
            </w:r>
          </w:p>
        </w:tc>
        <w:tc>
          <w:tcPr>
            <w:tcW w:type="dxa" w:w="2280"/>
            <w:shd w:val="clear" w:color="auto" w:fill="FFFFFF"/>
          </w:tcPr>
          <w:p>
            <w:pPr>
              <w:jc w:val="center"/>
            </w:pPr>
            <w:r>
              <w:rPr>
                <w:rFonts w:ascii="Calibri" w:hAnsi="Calibri"/>
                <w:sz w:val="20"/>
              </w:rPr>
              <w:t>32 reportes estadísticos</w:t>
            </w:r>
          </w:p>
        </w:tc>
      </w:tr>
      <w:tr>
        <w:tc>
          <w:tcPr>
            <w:tcW w:type="dxa" w:w="2280"/>
            <w:shd w:val="clear" w:color="auto" w:fill="EEF4FB"/>
          </w:tcPr>
          <w:p>
            <w:pPr>
              <w:jc w:val="center"/>
            </w:pPr>
            <w:r>
              <w:rPr>
                <w:rFonts w:ascii="Calibri" w:hAnsi="Calibri"/>
                <w:sz w:val="20"/>
              </w:rPr>
              <w:t>04 Feature Eng.</w:t>
            </w:r>
          </w:p>
        </w:tc>
        <w:tc>
          <w:tcPr>
            <w:tcW w:type="dxa" w:w="2280"/>
            <w:shd w:val="clear" w:color="auto" w:fill="EEF4FB"/>
          </w:tcPr>
          <w:p>
            <w:pPr>
              <w:jc w:val="center"/>
            </w:pPr>
            <w:r>
              <w:rPr>
                <w:rFonts w:ascii="Calibri" w:hAnsi="Calibri"/>
                <w:sz w:val="20"/>
              </w:rPr>
              <w:t>04_limpieza_fe</w:t>
            </w:r>
          </w:p>
        </w:tc>
        <w:tc>
          <w:tcPr>
            <w:tcW w:type="dxa" w:w="2280"/>
            <w:shd w:val="clear" w:color="auto" w:fill="EEF4FB"/>
          </w:tcPr>
          <w:p>
            <w:pPr>
              <w:jc w:val="center"/>
            </w:pPr>
            <w:r>
              <w:rPr>
                <w:rFonts w:ascii="Calibri" w:hAnsi="Calibri"/>
                <w:sz w:val="20"/>
              </w:rPr>
              <w:t>Lag, Rolling Mean, OLS vectorizada</w:t>
            </w:r>
          </w:p>
        </w:tc>
        <w:tc>
          <w:tcPr>
            <w:tcW w:type="dxa" w:w="2280"/>
            <w:shd w:val="clear" w:color="auto" w:fill="EEF4FB"/>
          </w:tcPr>
          <w:p>
            <w:pPr>
              <w:jc w:val="center"/>
            </w:pPr>
            <w:r>
              <w:rPr>
                <w:rFonts w:ascii="Calibri" w:hAnsi="Calibri"/>
                <w:sz w:val="20"/>
              </w:rPr>
              <w:t>sis_features.parquet (20 features)</w:t>
            </w:r>
          </w:p>
        </w:tc>
      </w:tr>
      <w:tr>
        <w:tc>
          <w:tcPr>
            <w:tcW w:type="dxa" w:w="2280"/>
            <w:shd w:val="clear" w:color="auto" w:fill="FFFFFF"/>
          </w:tcPr>
          <w:p>
            <w:pPr>
              <w:jc w:val="center"/>
            </w:pPr>
            <w:r>
              <w:rPr>
                <w:rFonts w:ascii="Calibri" w:hAnsi="Calibri"/>
                <w:sz w:val="20"/>
              </w:rPr>
              <w:t>05 Clustering</w:t>
            </w:r>
          </w:p>
        </w:tc>
        <w:tc>
          <w:tcPr>
            <w:tcW w:type="dxa" w:w="2280"/>
            <w:shd w:val="clear" w:color="auto" w:fill="FFFFFF"/>
          </w:tcPr>
          <w:p>
            <w:pPr>
              <w:jc w:val="center"/>
            </w:pPr>
            <w:r>
              <w:rPr>
                <w:rFonts w:ascii="Calibri" w:hAnsi="Calibri"/>
                <w:sz w:val="20"/>
              </w:rPr>
              <w:t>05_clustering_ipress</w:t>
            </w:r>
          </w:p>
        </w:tc>
        <w:tc>
          <w:tcPr>
            <w:tcW w:type="dxa" w:w="2280"/>
            <w:shd w:val="clear" w:color="auto" w:fill="FFFFFF"/>
          </w:tcPr>
          <w:p>
            <w:pPr>
              <w:jc w:val="center"/>
            </w:pPr>
            <w:r>
              <w:rPr>
                <w:rFonts w:ascii="Calibri" w:hAnsi="Calibri"/>
                <w:sz w:val="20"/>
              </w:rPr>
              <w:t>K-Means + Silhouette</w:t>
            </w:r>
          </w:p>
        </w:tc>
        <w:tc>
          <w:tcPr>
            <w:tcW w:type="dxa" w:w="2280"/>
            <w:shd w:val="clear" w:color="auto" w:fill="FFFFFF"/>
          </w:tcPr>
          <w:p>
            <w:pPr>
              <w:jc w:val="center"/>
            </w:pPr>
            <w:r>
              <w:rPr>
                <w:rFonts w:ascii="Calibri" w:hAnsi="Calibri"/>
                <w:sz w:val="20"/>
              </w:rPr>
              <w:t>ipress_clusters.parquet (4 perfiles)</w:t>
            </w:r>
          </w:p>
        </w:tc>
      </w:tr>
      <w:tr>
        <w:tc>
          <w:tcPr>
            <w:tcW w:type="dxa" w:w="2280"/>
            <w:shd w:val="clear" w:color="auto" w:fill="EEF4FB"/>
          </w:tcPr>
          <w:p>
            <w:pPr>
              <w:jc w:val="center"/>
            </w:pPr>
            <w:r>
              <w:rPr>
                <w:rFonts w:ascii="Calibri" w:hAnsi="Calibri"/>
                <w:sz w:val="20"/>
              </w:rPr>
              <w:t>06 Modelado</w:t>
            </w:r>
          </w:p>
        </w:tc>
        <w:tc>
          <w:tcPr>
            <w:tcW w:type="dxa" w:w="2280"/>
            <w:shd w:val="clear" w:color="auto" w:fill="EEF4FB"/>
          </w:tcPr>
          <w:p>
            <w:pPr>
              <w:jc w:val="center"/>
            </w:pPr>
            <w:r>
              <w:rPr>
                <w:rFonts w:ascii="Calibri" w:hAnsi="Calibri"/>
                <w:sz w:val="20"/>
              </w:rPr>
              <w:t>06_modelado_predictivo</w:t>
            </w:r>
          </w:p>
        </w:tc>
        <w:tc>
          <w:tcPr>
            <w:tcW w:type="dxa" w:w="2280"/>
            <w:shd w:val="clear" w:color="auto" w:fill="EEF4FB"/>
          </w:tcPr>
          <w:p>
            <w:pPr>
              <w:jc w:val="center"/>
            </w:pPr>
            <w:r>
              <w:rPr>
                <w:rFonts w:ascii="Calibri" w:hAnsi="Calibri"/>
                <w:sz w:val="20"/>
              </w:rPr>
              <w:t>RF + XGBoost (Optuna) + LightGBM</w:t>
            </w:r>
          </w:p>
        </w:tc>
        <w:tc>
          <w:tcPr>
            <w:tcW w:type="dxa" w:w="2280"/>
            <w:shd w:val="clear" w:color="auto" w:fill="EEF4FB"/>
          </w:tcPr>
          <w:p>
            <w:pPr>
              <w:jc w:val="center"/>
            </w:pPr>
            <w:r>
              <w:rPr>
                <w:rFonts w:ascii="Calibri" w:hAnsi="Calibri"/>
                <w:sz w:val="20"/>
              </w:rPr>
              <w:t>3 modelos .pkl</w:t>
            </w:r>
          </w:p>
        </w:tc>
      </w:tr>
      <w:tr>
        <w:tc>
          <w:tcPr>
            <w:tcW w:type="dxa" w:w="2280"/>
            <w:shd w:val="clear" w:color="auto" w:fill="FFFFFF"/>
          </w:tcPr>
          <w:p>
            <w:pPr>
              <w:jc w:val="center"/>
            </w:pPr>
            <w:r>
              <w:rPr>
                <w:rFonts w:ascii="Calibri" w:hAnsi="Calibri"/>
                <w:sz w:val="20"/>
              </w:rPr>
              <w:t>07 Evaluación</w:t>
            </w:r>
          </w:p>
        </w:tc>
        <w:tc>
          <w:tcPr>
            <w:tcW w:type="dxa" w:w="2280"/>
            <w:shd w:val="clear" w:color="auto" w:fill="FFFFFF"/>
          </w:tcPr>
          <w:p>
            <w:pPr>
              <w:jc w:val="center"/>
            </w:pPr>
            <w:r>
              <w:rPr>
                <w:rFonts w:ascii="Calibri" w:hAnsi="Calibri"/>
                <w:sz w:val="20"/>
              </w:rPr>
              <w:t>07_evaluacion_interpretabilidad</w:t>
            </w:r>
          </w:p>
        </w:tc>
        <w:tc>
          <w:tcPr>
            <w:tcW w:type="dxa" w:w="2280"/>
            <w:shd w:val="clear" w:color="auto" w:fill="FFFFFF"/>
          </w:tcPr>
          <w:p>
            <w:pPr>
              <w:jc w:val="center"/>
            </w:pPr>
            <w:r>
              <w:rPr>
                <w:rFonts w:ascii="Calibri" w:hAnsi="Calibri"/>
                <w:sz w:val="20"/>
              </w:rPr>
              <w:t>SHAP TreeExplainer, análisis residuos</w:t>
            </w:r>
          </w:p>
        </w:tc>
        <w:tc>
          <w:tcPr>
            <w:tcW w:type="dxa" w:w="2280"/>
            <w:shd w:val="clear" w:color="auto" w:fill="FFFFFF"/>
          </w:tcPr>
          <w:p>
            <w:pPr>
              <w:jc w:val="center"/>
            </w:pPr>
            <w:r>
              <w:rPr>
                <w:rFonts w:ascii="Calibri" w:hAnsi="Calibri"/>
                <w:sz w:val="20"/>
              </w:rPr>
              <w:t>shap_summary.png</w:t>
            </w:r>
          </w:p>
        </w:tc>
      </w:tr>
      <w:tr>
        <w:tc>
          <w:tcPr>
            <w:tcW w:type="dxa" w:w="2280"/>
            <w:shd w:val="clear" w:color="auto" w:fill="EEF4FB"/>
          </w:tcPr>
          <w:p>
            <w:pPr>
              <w:jc w:val="center"/>
            </w:pPr>
            <w:r>
              <w:rPr>
                <w:rFonts w:ascii="Calibri" w:hAnsi="Calibri"/>
                <w:sz w:val="20"/>
              </w:rPr>
              <w:t>08 Valor</w:t>
            </w:r>
          </w:p>
        </w:tc>
        <w:tc>
          <w:tcPr>
            <w:tcW w:type="dxa" w:w="2280"/>
            <w:shd w:val="clear" w:color="auto" w:fill="EEF4FB"/>
          </w:tcPr>
          <w:p>
            <w:pPr>
              <w:jc w:val="center"/>
            </w:pPr>
            <w:r>
              <w:rPr>
                <w:rFonts w:ascii="Calibri" w:hAnsi="Calibri"/>
                <w:sz w:val="20"/>
              </w:rPr>
              <w:t>08_propuesta_valor</w:t>
            </w:r>
          </w:p>
        </w:tc>
        <w:tc>
          <w:tcPr>
            <w:tcW w:type="dxa" w:w="2280"/>
            <w:shd w:val="clear" w:color="auto" w:fill="EEF4FB"/>
          </w:tcPr>
          <w:p>
            <w:pPr>
              <w:jc w:val="center"/>
            </w:pPr>
            <w:r>
              <w:rPr>
                <w:rFonts w:ascii="Calibri" w:hAnsi="Calibri"/>
                <w:sz w:val="20"/>
              </w:rPr>
              <w:t>Cuantificación ROI, sensibilidad</w:t>
            </w:r>
          </w:p>
        </w:tc>
        <w:tc>
          <w:tcPr>
            <w:tcW w:type="dxa" w:w="2280"/>
            <w:shd w:val="clear" w:color="auto" w:fill="EEF4FB"/>
          </w:tcPr>
          <w:p>
            <w:pPr>
              <w:jc w:val="center"/>
            </w:pPr>
            <w:r>
              <w:rPr>
                <w:rFonts w:ascii="Calibri" w:hAnsi="Calibri"/>
                <w:sz w:val="20"/>
              </w:rPr>
              <w:t>dashboard_ejecutivo.png</w:t>
            </w:r>
          </w:p>
        </w:tc>
      </w:tr>
      <w:tr>
        <w:tc>
          <w:tcPr>
            <w:tcW w:type="dxa" w:w="2280"/>
            <w:shd w:val="clear" w:color="auto" w:fill="FFFFFF"/>
          </w:tcPr>
          <w:p>
            <w:pPr>
              <w:jc w:val="center"/>
            </w:pPr>
            <w:r>
              <w:rPr>
                <w:rFonts w:ascii="Calibri" w:hAnsi="Calibri"/>
                <w:sz w:val="20"/>
              </w:rPr>
              <w:t>App</w:t>
            </w:r>
          </w:p>
        </w:tc>
        <w:tc>
          <w:tcPr>
            <w:tcW w:type="dxa" w:w="2280"/>
            <w:shd w:val="clear" w:color="auto" w:fill="FFFFFF"/>
          </w:tcPr>
          <w:p>
            <w:pPr>
              <w:jc w:val="center"/>
            </w:pPr>
            <w:r>
              <w:rPr>
                <w:rFonts w:ascii="Calibri" w:hAnsi="Calibri"/>
                <w:sz w:val="20"/>
              </w:rPr>
              <w:t>app/app.py</w:t>
            </w:r>
          </w:p>
        </w:tc>
        <w:tc>
          <w:tcPr>
            <w:tcW w:type="dxa" w:w="2280"/>
            <w:shd w:val="clear" w:color="auto" w:fill="FFFFFF"/>
          </w:tcPr>
          <w:p>
            <w:pPr>
              <w:jc w:val="center"/>
            </w:pPr>
            <w:r>
              <w:rPr>
                <w:rFonts w:ascii="Calibri" w:hAnsi="Calibri"/>
                <w:sz w:val="20"/>
              </w:rPr>
              <w:t>Streamlit + Plotly</w:t>
            </w:r>
          </w:p>
        </w:tc>
        <w:tc>
          <w:tcPr>
            <w:tcW w:type="dxa" w:w="2280"/>
            <w:shd w:val="clear" w:color="auto" w:fill="FFFFFF"/>
          </w:tcPr>
          <w:p>
            <w:pPr>
              <w:jc w:val="center"/>
            </w:pPr>
            <w:r>
              <w:rPr>
                <w:rFonts w:ascii="Calibri" w:hAnsi="Calibri"/>
                <w:sz w:val="20"/>
              </w:rPr>
              <w:t>Dashboard web 4 páginas</w:t>
            </w:r>
          </w:p>
        </w:tc>
      </w:tr>
    </w:tbl>
    <w:p/>
    <w:p>
      <w:pPr>
        <w:pStyle w:val="Heading2"/>
      </w:pPr>
      <w:r>
        <w:rPr>
          <w:rFonts w:ascii="Calibri" w:hAnsi="Calibri"/>
          <w:color w:val="1F497D"/>
        </w:rPr>
        <w:t>4.3 Feature Engineering — Variables Construidas</w:t>
      </w:r>
    </w:p>
    <w:p>
      <w:pPr>
        <w:spacing w:before="160"/>
        <w:shd w:val="clear" w:color="auto" w:fill="00468F"/>
      </w:pPr>
      <w:r>
        <w:rPr>
          <w:rFonts w:ascii="Calibri" w:hAnsi="Calibri"/>
          <w:b/>
          <w:color w:val="FFFFFF"/>
          <w:sz w:val="22"/>
        </w:rPr>
        <w:t xml:space="preserve">  Paso 7: Seleccionar y Entrenar Modelos Analíticos  </w:t>
      </w:r>
    </w:p>
    <w:p>
      <w:pPr>
        <w:spacing w:after="120"/>
      </w:pPr>
      <w:r>
        <w:rPr>
          <w:rFonts w:ascii="Calibri" w:hAnsi="Calibri"/>
          <w:sz w:val="22"/>
        </w:rPr>
        <w:t>Se entrenaron tres modelos de regresión sobre la variable transformada LOG_ATENCIONES = log1p(ATENCIONES), con separación temporal estricta (forward-chaining). Train: P2–P6 (2021 S2 – 2023 S2), Val: P7 (2024 S1), Test: P8 (2024 S2). Hiperparámetros de XGBoost optimizados con Optuna (búsqueda bayesiana, 10 trials). Nunca se usó validación cruzada aleatoria para evitar data leakage temporal.</w:t>
      </w:r>
    </w:p>
    <w:p>
      <w:pPr>
        <w:spacing w:after="60"/>
      </w:pPr>
      <w:r>
        <w:rPr>
          <w:rFonts w:ascii="Calibri" w:hAnsi="Calibri"/>
          <w:b/>
          <w:color w:val="44546A"/>
          <w:sz w:val="20"/>
        </w:rPr>
        <w:t>Tabla 9. Features del modelo con importancia SHAP (LightGBM)</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color="auto" w:fill="00468F"/>
          </w:tcPr>
          <w:p>
            <w:pPr>
              <w:jc w:val="center"/>
            </w:pPr>
            <w:r>
              <w:rPr>
                <w:rFonts w:ascii="Calibri" w:hAnsi="Calibri"/>
                <w:b/>
                <w:color w:val="FFFFFF"/>
                <w:sz w:val="20"/>
              </w:rPr>
              <w:t>Feature</w:t>
            </w:r>
          </w:p>
        </w:tc>
        <w:tc>
          <w:tcPr>
            <w:tcW w:type="dxa" w:w="3041"/>
            <w:vAlign w:val="center"/>
            <w:shd w:val="clear" w:color="auto" w:fill="00468F"/>
          </w:tcPr>
          <w:p>
            <w:pPr>
              <w:jc w:val="center"/>
            </w:pPr>
            <w:r>
              <w:rPr>
                <w:rFonts w:ascii="Calibri" w:hAnsi="Calibri"/>
                <w:b/>
                <w:color w:val="FFFFFF"/>
                <w:sz w:val="20"/>
              </w:rPr>
              <w:t>Descripción</w:t>
            </w:r>
          </w:p>
        </w:tc>
        <w:tc>
          <w:tcPr>
            <w:tcW w:type="dxa" w:w="3041"/>
            <w:vAlign w:val="center"/>
            <w:shd w:val="clear" w:color="auto" w:fill="00468F"/>
          </w:tcPr>
          <w:p>
            <w:pPr>
              <w:jc w:val="center"/>
            </w:pPr>
            <w:r>
              <w:rPr>
                <w:rFonts w:ascii="Calibri" w:hAnsi="Calibri"/>
                <w:b/>
                <w:color w:val="FFFFFF"/>
                <w:sz w:val="20"/>
              </w:rPr>
              <w:t>Importancia SHAP</w:t>
            </w:r>
          </w:p>
        </w:tc>
      </w:tr>
      <w:tr>
        <w:tc>
          <w:tcPr>
            <w:tcW w:type="dxa" w:w="3041"/>
            <w:shd w:val="clear" w:color="auto" w:fill="EEF4FB"/>
          </w:tcPr>
          <w:p>
            <w:pPr>
              <w:jc w:val="center"/>
            </w:pPr>
            <w:r>
              <w:rPr>
                <w:rFonts w:ascii="Calibri" w:hAnsi="Calibri"/>
                <w:sz w:val="20"/>
              </w:rPr>
              <w:t>ROLLING_MEAN_2SEM</w:t>
            </w:r>
          </w:p>
        </w:tc>
        <w:tc>
          <w:tcPr>
            <w:tcW w:type="dxa" w:w="3041"/>
            <w:shd w:val="clear" w:color="auto" w:fill="EEF4FB"/>
          </w:tcPr>
          <w:p>
            <w:pPr>
              <w:jc w:val="center"/>
            </w:pPr>
            <w:r>
              <w:rPr>
                <w:rFonts w:ascii="Calibri" w:hAnsi="Calibri"/>
                <w:sz w:val="20"/>
              </w:rPr>
              <w:t>Promedio de atenciones de los 2 semestres anteriores</w:t>
            </w:r>
          </w:p>
        </w:tc>
        <w:tc>
          <w:tcPr>
            <w:tcW w:type="dxa" w:w="3041"/>
            <w:shd w:val="clear" w:color="auto" w:fill="EEF4FB"/>
          </w:tcPr>
          <w:p>
            <w:pPr>
              <w:jc w:val="center"/>
            </w:pPr>
            <w:r>
              <w:rPr>
                <w:rFonts w:ascii="Calibri" w:hAnsi="Calibri"/>
                <w:sz w:val="20"/>
              </w:rPr>
              <w:t>0.351 ← #1</w:t>
            </w:r>
          </w:p>
        </w:tc>
      </w:tr>
      <w:tr>
        <w:tc>
          <w:tcPr>
            <w:tcW w:type="dxa" w:w="3041"/>
            <w:shd w:val="clear" w:color="auto" w:fill="FFFFFF"/>
          </w:tcPr>
          <w:p>
            <w:pPr>
              <w:jc w:val="center"/>
            </w:pPr>
            <w:r>
              <w:rPr>
                <w:rFonts w:ascii="Calibri" w:hAnsi="Calibri"/>
                <w:sz w:val="20"/>
              </w:rPr>
              <w:t>TENDENCIA_LINEAL</w:t>
            </w:r>
          </w:p>
        </w:tc>
        <w:tc>
          <w:tcPr>
            <w:tcW w:type="dxa" w:w="3041"/>
            <w:shd w:val="clear" w:color="auto" w:fill="FFFFFF"/>
          </w:tcPr>
          <w:p>
            <w:pPr>
              <w:jc w:val="center"/>
            </w:pPr>
            <w:r>
              <w:rPr>
                <w:rFonts w:ascii="Calibri" w:hAnsi="Calibri"/>
                <w:sz w:val="20"/>
              </w:rPr>
              <w:t>Pendiente OLS de la serie histórica por KEY</w:t>
            </w:r>
          </w:p>
        </w:tc>
        <w:tc>
          <w:tcPr>
            <w:tcW w:type="dxa" w:w="3041"/>
            <w:shd w:val="clear" w:color="auto" w:fill="FFFFFF"/>
          </w:tcPr>
          <w:p>
            <w:pPr>
              <w:jc w:val="center"/>
            </w:pPr>
            <w:r>
              <w:rPr>
                <w:rFonts w:ascii="Calibri" w:hAnsi="Calibri"/>
                <w:sz w:val="20"/>
              </w:rPr>
              <w:t>0.115 ← #2</w:t>
            </w:r>
          </w:p>
        </w:tc>
      </w:tr>
      <w:tr>
        <w:tc>
          <w:tcPr>
            <w:tcW w:type="dxa" w:w="3041"/>
            <w:shd w:val="clear" w:color="auto" w:fill="EEF4FB"/>
          </w:tcPr>
          <w:p>
            <w:pPr>
              <w:jc w:val="center"/>
            </w:pPr>
            <w:r>
              <w:rPr>
                <w:rFonts w:ascii="Calibri" w:hAnsi="Calibri"/>
                <w:sz w:val="20"/>
              </w:rPr>
              <w:t>N_PERIODOS_ACTIVOS</w:t>
            </w:r>
          </w:p>
        </w:tc>
        <w:tc>
          <w:tcPr>
            <w:tcW w:type="dxa" w:w="3041"/>
            <w:shd w:val="clear" w:color="auto" w:fill="EEF4FB"/>
          </w:tcPr>
          <w:p>
            <w:pPr>
              <w:jc w:val="center"/>
            </w:pPr>
            <w:r>
              <w:rPr>
                <w:rFonts w:ascii="Calibri" w:hAnsi="Calibri"/>
                <w:sz w:val="20"/>
              </w:rPr>
              <w:t>Semestres con datos activos (1–9) — madurez</w:t>
            </w:r>
          </w:p>
        </w:tc>
        <w:tc>
          <w:tcPr>
            <w:tcW w:type="dxa" w:w="3041"/>
            <w:shd w:val="clear" w:color="auto" w:fill="EEF4FB"/>
          </w:tcPr>
          <w:p>
            <w:pPr>
              <w:jc w:val="center"/>
            </w:pPr>
            <w:r>
              <w:rPr>
                <w:rFonts w:ascii="Calibri" w:hAnsi="Calibri"/>
                <w:sz w:val="20"/>
              </w:rPr>
              <w:t>0.077 ← #3</w:t>
            </w:r>
          </w:p>
        </w:tc>
      </w:tr>
      <w:tr>
        <w:tc>
          <w:tcPr>
            <w:tcW w:type="dxa" w:w="3041"/>
            <w:shd w:val="clear" w:color="auto" w:fill="FFFFFF"/>
          </w:tcPr>
          <w:p>
            <w:pPr>
              <w:jc w:val="center"/>
            </w:pPr>
            <w:r>
              <w:rPr>
                <w:rFonts w:ascii="Calibri" w:hAnsi="Calibri"/>
                <w:sz w:val="20"/>
              </w:rPr>
              <w:t>GRUPO_EDAD_ORD</w:t>
            </w:r>
          </w:p>
        </w:tc>
        <w:tc>
          <w:tcPr>
            <w:tcW w:type="dxa" w:w="3041"/>
            <w:shd w:val="clear" w:color="auto" w:fill="FFFFFF"/>
          </w:tcPr>
          <w:p>
            <w:pPr>
              <w:jc w:val="center"/>
            </w:pPr>
            <w:r>
              <w:rPr>
                <w:rFonts w:ascii="Calibri" w:hAnsi="Calibri"/>
                <w:sz w:val="20"/>
              </w:rPr>
              <w:t>Grupo etario ordinal (0=00-04 hasta 5=60+)</w:t>
            </w:r>
          </w:p>
        </w:tc>
        <w:tc>
          <w:tcPr>
            <w:tcW w:type="dxa" w:w="3041"/>
            <w:shd w:val="clear" w:color="auto" w:fill="FFFFFF"/>
          </w:tcPr>
          <w:p>
            <w:pPr>
              <w:jc w:val="center"/>
            </w:pPr>
            <w:r>
              <w:rPr>
                <w:rFonts w:ascii="Calibri" w:hAnsi="Calibri"/>
                <w:sz w:val="20"/>
              </w:rPr>
              <w:t>0.051 ← #4</w:t>
            </w:r>
          </w:p>
        </w:tc>
      </w:tr>
      <w:tr>
        <w:tc>
          <w:tcPr>
            <w:tcW w:type="dxa" w:w="3041"/>
            <w:shd w:val="clear" w:color="auto" w:fill="EEF4FB"/>
          </w:tcPr>
          <w:p>
            <w:pPr>
              <w:jc w:val="center"/>
            </w:pPr>
            <w:r>
              <w:rPr>
                <w:rFonts w:ascii="Calibri" w:hAnsi="Calibri"/>
                <w:sz w:val="20"/>
              </w:rPr>
              <w:t>DESC_SERVICIO</w:t>
            </w:r>
          </w:p>
        </w:tc>
        <w:tc>
          <w:tcPr>
            <w:tcW w:type="dxa" w:w="3041"/>
            <w:shd w:val="clear" w:color="auto" w:fill="EEF4FB"/>
          </w:tcPr>
          <w:p>
            <w:pPr>
              <w:jc w:val="center"/>
            </w:pPr>
            <w:r>
              <w:rPr>
                <w:rFonts w:ascii="Calibri" w:hAnsi="Calibri"/>
                <w:sz w:val="20"/>
              </w:rPr>
              <w:t>Tipo de servicio — target encoding</w:t>
            </w:r>
          </w:p>
        </w:tc>
        <w:tc>
          <w:tcPr>
            <w:tcW w:type="dxa" w:w="3041"/>
            <w:shd w:val="clear" w:color="auto" w:fill="EEF4FB"/>
          </w:tcPr>
          <w:p>
            <w:pPr>
              <w:jc w:val="center"/>
            </w:pPr>
            <w:r>
              <w:rPr>
                <w:rFonts w:ascii="Calibri" w:hAnsi="Calibri"/>
                <w:sz w:val="20"/>
              </w:rPr>
              <w:t>0.050 ← #5</w:t>
            </w:r>
          </w:p>
        </w:tc>
      </w:tr>
      <w:tr>
        <w:tc>
          <w:tcPr>
            <w:tcW w:type="dxa" w:w="3041"/>
            <w:shd w:val="clear" w:color="auto" w:fill="FFFFFF"/>
          </w:tcPr>
          <w:p>
            <w:pPr>
              <w:jc w:val="center"/>
            </w:pPr>
            <w:r>
              <w:rPr>
                <w:rFonts w:ascii="Calibri" w:hAnsi="Calibri"/>
                <w:sz w:val="20"/>
              </w:rPr>
              <w:t>PERIODO_NUM</w:t>
            </w:r>
          </w:p>
        </w:tc>
        <w:tc>
          <w:tcPr>
            <w:tcW w:type="dxa" w:w="3041"/>
            <w:shd w:val="clear" w:color="auto" w:fill="FFFFFF"/>
          </w:tcPr>
          <w:p>
            <w:pPr>
              <w:jc w:val="center"/>
            </w:pPr>
            <w:r>
              <w:rPr>
                <w:rFonts w:ascii="Calibri" w:hAnsi="Calibri"/>
                <w:sz w:val="20"/>
              </w:rPr>
              <w:t>Índice temporal (1–9) — captura tendencia global</w:t>
            </w:r>
          </w:p>
        </w:tc>
        <w:tc>
          <w:tcPr>
            <w:tcW w:type="dxa" w:w="3041"/>
            <w:shd w:val="clear" w:color="auto" w:fill="FFFFFF"/>
          </w:tcPr>
          <w:p>
            <w:pPr>
              <w:jc w:val="center"/>
            </w:pPr>
            <w:r>
              <w:rPr>
                <w:rFonts w:ascii="Calibri" w:hAnsi="Calibri"/>
                <w:sz w:val="20"/>
              </w:rPr>
              <w:t>0.036</w:t>
            </w:r>
          </w:p>
        </w:tc>
      </w:tr>
      <w:tr>
        <w:tc>
          <w:tcPr>
            <w:tcW w:type="dxa" w:w="3041"/>
            <w:shd w:val="clear" w:color="auto" w:fill="EEF4FB"/>
          </w:tcPr>
          <w:p>
            <w:pPr>
              <w:jc w:val="center"/>
            </w:pPr>
            <w:r>
              <w:rPr>
                <w:rFonts w:ascii="Calibri" w:hAnsi="Calibri"/>
                <w:sz w:val="20"/>
              </w:rPr>
              <w:t>LAG_ATENCIONES_1SEM</w:t>
            </w:r>
          </w:p>
        </w:tc>
        <w:tc>
          <w:tcPr>
            <w:tcW w:type="dxa" w:w="3041"/>
            <w:shd w:val="clear" w:color="auto" w:fill="EEF4FB"/>
          </w:tcPr>
          <w:p>
            <w:pPr>
              <w:jc w:val="center"/>
            </w:pPr>
            <w:r>
              <w:rPr>
                <w:rFonts w:ascii="Calibri" w:hAnsi="Calibri"/>
                <w:sz w:val="20"/>
              </w:rPr>
              <w:t>Atenciones del semestre anterior</w:t>
            </w:r>
          </w:p>
        </w:tc>
        <w:tc>
          <w:tcPr>
            <w:tcW w:type="dxa" w:w="3041"/>
            <w:shd w:val="clear" w:color="auto" w:fill="EEF4FB"/>
          </w:tcPr>
          <w:p>
            <w:pPr>
              <w:jc w:val="center"/>
            </w:pPr>
            <w:r>
              <w:rPr>
                <w:rFonts w:ascii="Calibri" w:hAnsi="Calibri"/>
                <w:sz w:val="20"/>
              </w:rPr>
              <w:t>0.023</w:t>
            </w:r>
          </w:p>
        </w:tc>
      </w:tr>
      <w:tr>
        <w:tc>
          <w:tcPr>
            <w:tcW w:type="dxa" w:w="3041"/>
            <w:shd w:val="clear" w:color="auto" w:fill="FFFFFF"/>
          </w:tcPr>
          <w:p>
            <w:pPr>
              <w:jc w:val="center"/>
            </w:pPr>
            <w:r>
              <w:rPr>
                <w:rFonts w:ascii="Calibri" w:hAnsi="Calibri"/>
                <w:sz w:val="20"/>
              </w:rPr>
              <w:t>SEXO_BIN</w:t>
            </w:r>
          </w:p>
        </w:tc>
        <w:tc>
          <w:tcPr>
            <w:tcW w:type="dxa" w:w="3041"/>
            <w:shd w:val="clear" w:color="auto" w:fill="FFFFFF"/>
          </w:tcPr>
          <w:p>
            <w:pPr>
              <w:jc w:val="center"/>
            </w:pPr>
            <w:r>
              <w:rPr>
                <w:rFonts w:ascii="Calibri" w:hAnsi="Calibri"/>
                <w:sz w:val="20"/>
              </w:rPr>
              <w:t>Binario (1=Femenino, 0=Masculino)</w:t>
            </w:r>
          </w:p>
        </w:tc>
        <w:tc>
          <w:tcPr>
            <w:tcW w:type="dxa" w:w="3041"/>
            <w:shd w:val="clear" w:color="auto" w:fill="FFFFFF"/>
          </w:tcPr>
          <w:p>
            <w:pPr>
              <w:jc w:val="center"/>
            </w:pPr>
            <w:r>
              <w:rPr>
                <w:rFonts w:ascii="Calibri" w:hAnsi="Calibri"/>
                <w:sz w:val="20"/>
              </w:rPr>
              <w:t>0.029</w:t>
            </w:r>
          </w:p>
        </w:tc>
      </w:tr>
      <w:tr>
        <w:tc>
          <w:tcPr>
            <w:tcW w:type="dxa" w:w="3041"/>
            <w:shd w:val="clear" w:color="auto" w:fill="EEF4FB"/>
          </w:tcPr>
          <w:p>
            <w:pPr>
              <w:jc w:val="center"/>
            </w:pPr>
            <w:r>
              <w:rPr>
                <w:rFonts w:ascii="Calibri" w:hAnsi="Calibri"/>
                <w:sz w:val="20"/>
              </w:rPr>
              <w:t>REGION</w:t>
            </w:r>
          </w:p>
        </w:tc>
        <w:tc>
          <w:tcPr>
            <w:tcW w:type="dxa" w:w="3041"/>
            <w:shd w:val="clear" w:color="auto" w:fill="EEF4FB"/>
          </w:tcPr>
          <w:p>
            <w:pPr>
              <w:jc w:val="center"/>
            </w:pPr>
            <w:r>
              <w:rPr>
                <w:rFonts w:ascii="Calibri" w:hAnsi="Calibri"/>
                <w:sz w:val="20"/>
              </w:rPr>
              <w:t>Región — target encoding (26 categorías)</w:t>
            </w:r>
          </w:p>
        </w:tc>
        <w:tc>
          <w:tcPr>
            <w:tcW w:type="dxa" w:w="3041"/>
            <w:shd w:val="clear" w:color="auto" w:fill="EEF4FB"/>
          </w:tcPr>
          <w:p>
            <w:pPr>
              <w:jc w:val="center"/>
            </w:pPr>
            <w:r>
              <w:rPr>
                <w:rFonts w:ascii="Calibri" w:hAnsi="Calibri"/>
                <w:sz w:val="20"/>
              </w:rPr>
              <w:t>0.023</w:t>
            </w:r>
          </w:p>
        </w:tc>
      </w:tr>
    </w:tbl>
    <w:p/>
    <w:p>
      <w:pPr>
        <w:spacing w:after="120"/>
      </w:pPr>
      <w:r>
        <w:rPr>
          <w:rFonts w:ascii="Calibri" w:hAnsi="Calibri"/>
          <w:sz w:val="22"/>
        </w:rPr>
        <w:t>Nota metodológica: el target encoding se fitteó exclusivamente sobre el conjunto de entrenamiento (P2–P6) y se aplicó —sin refit— a validación y test, garantizando la ausencia de data leakage categórico. El factor de suavizado k=10 penaliza categorías con pocas observaciones.</w:t>
      </w:r>
    </w:p>
    <w:p>
      <w:r>
        <w:br w:type="page"/>
      </w:r>
    </w:p>
    <w:p>
      <w:pPr>
        <w:pStyle w:val="Heading1"/>
      </w:pPr>
      <w:r>
        <w:rPr>
          <w:rFonts w:ascii="Calibri" w:hAnsi="Calibri"/>
          <w:color w:val="00467F"/>
        </w:rPr>
        <w:t>5. Resultados Esperados</w:t>
      </w:r>
    </w:p>
    <w:p>
      <w:pPr>
        <w:pStyle w:val="Heading2"/>
      </w:pPr>
      <w:r>
        <w:rPr>
          <w:rFonts w:ascii="Calibri" w:hAnsi="Calibri"/>
          <w:color w:val="1F497D"/>
        </w:rPr>
        <w:t>5.1 Desempeño de los Modelos Desarrollados</w:t>
      </w:r>
    </w:p>
    <w:p>
      <w:pPr>
        <w:spacing w:before="160"/>
        <w:shd w:val="clear" w:color="auto" w:fill="00468F"/>
      </w:pPr>
      <w:r>
        <w:rPr>
          <w:rFonts w:ascii="Calibri" w:hAnsi="Calibri"/>
          <w:b/>
          <w:color w:val="FFFFFF"/>
          <w:sz w:val="22"/>
        </w:rPr>
        <w:t xml:space="preserve">  Paso 8: Evaluar el Desempeño y Validar Resultados  </w:t>
      </w:r>
    </w:p>
    <w:p>
      <w:pPr>
        <w:spacing w:after="120"/>
      </w:pPr>
      <w:r>
        <w:rPr>
          <w:rFonts w:ascii="Calibri" w:hAnsi="Calibri"/>
          <w:sz w:val="22"/>
        </w:rPr>
        <w:t>Métrica principal: MAPE = mean(|real - pred| / (real + 1)) × 100. El +1 en el denominador evita divisiones por cero en registros de baja frecuencia (mínimo = 1 atención). Evaluación final en conjunto de test temporal P8 (2024 S2 — 5,205,985 registros no vistos durante el entrenamiento). Se reportan adicionalmente MAE, RMSE y R².</w:t>
      </w:r>
    </w:p>
    <w:p>
      <w:pPr>
        <w:spacing w:after="60"/>
      </w:pPr>
      <w:r>
        <w:rPr>
          <w:rFonts w:ascii="Calibri" w:hAnsi="Calibri"/>
          <w:b/>
          <w:color w:val="44546A"/>
          <w:sz w:val="20"/>
        </w:rPr>
        <w:t>Tabla 10. Comparativa de modelos — Conjunto de Test (P8 = 2024 S2)</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vAlign w:val="center"/>
            <w:shd w:val="clear" w:color="auto" w:fill="00468F"/>
          </w:tcPr>
          <w:p>
            <w:pPr>
              <w:jc w:val="center"/>
            </w:pPr>
            <w:r>
              <w:rPr>
                <w:rFonts w:ascii="Calibri" w:hAnsi="Calibri"/>
                <w:b/>
                <w:color w:val="FFFFFF"/>
                <w:sz w:val="20"/>
              </w:rPr>
              <w:t>Modelo</w:t>
            </w:r>
          </w:p>
        </w:tc>
        <w:tc>
          <w:tcPr>
            <w:tcW w:type="dxa" w:w="1520"/>
            <w:vAlign w:val="center"/>
            <w:shd w:val="clear" w:color="auto" w:fill="00468F"/>
          </w:tcPr>
          <w:p>
            <w:pPr>
              <w:jc w:val="center"/>
            </w:pPr>
            <w:r>
              <w:rPr>
                <w:rFonts w:ascii="Calibri" w:hAnsi="Calibri"/>
                <w:b/>
                <w:color w:val="FFFFFF"/>
                <w:sz w:val="20"/>
              </w:rPr>
              <w:t>MAE</w:t>
            </w:r>
          </w:p>
        </w:tc>
        <w:tc>
          <w:tcPr>
            <w:tcW w:type="dxa" w:w="1520"/>
            <w:vAlign w:val="center"/>
            <w:shd w:val="clear" w:color="auto" w:fill="00468F"/>
          </w:tcPr>
          <w:p>
            <w:pPr>
              <w:jc w:val="center"/>
            </w:pPr>
            <w:r>
              <w:rPr>
                <w:rFonts w:ascii="Calibri" w:hAnsi="Calibri"/>
                <w:b/>
                <w:color w:val="FFFFFF"/>
                <w:sz w:val="20"/>
              </w:rPr>
              <w:t>RMSE</w:t>
            </w:r>
          </w:p>
        </w:tc>
        <w:tc>
          <w:tcPr>
            <w:tcW w:type="dxa" w:w="1520"/>
            <w:vAlign w:val="center"/>
            <w:shd w:val="clear" w:color="auto" w:fill="00468F"/>
          </w:tcPr>
          <w:p>
            <w:pPr>
              <w:jc w:val="center"/>
            </w:pPr>
            <w:r>
              <w:rPr>
                <w:rFonts w:ascii="Calibri" w:hAnsi="Calibri"/>
                <w:b/>
                <w:color w:val="FFFFFF"/>
                <w:sz w:val="20"/>
              </w:rPr>
              <w:t>MAPE Test</w:t>
            </w:r>
          </w:p>
        </w:tc>
        <w:tc>
          <w:tcPr>
            <w:tcW w:type="dxa" w:w="1520"/>
            <w:vAlign w:val="center"/>
            <w:shd w:val="clear" w:color="auto" w:fill="00468F"/>
          </w:tcPr>
          <w:p>
            <w:pPr>
              <w:jc w:val="center"/>
            </w:pPr>
            <w:r>
              <w:rPr>
                <w:rFonts w:ascii="Calibri" w:hAnsi="Calibri"/>
                <w:b/>
                <w:color w:val="FFFFFF"/>
                <w:sz w:val="20"/>
              </w:rPr>
              <w:t>R² Test</w:t>
            </w:r>
          </w:p>
        </w:tc>
        <w:tc>
          <w:tcPr>
            <w:tcW w:type="dxa" w:w="1520"/>
            <w:vAlign w:val="center"/>
            <w:shd w:val="clear" w:color="auto" w:fill="00468F"/>
          </w:tcPr>
          <w:p>
            <w:pPr>
              <w:jc w:val="center"/>
            </w:pPr>
            <w:r>
              <w:rPr>
                <w:rFonts w:ascii="Calibri" w:hAnsi="Calibri"/>
                <w:b/>
                <w:color w:val="FFFFFF"/>
                <w:sz w:val="20"/>
              </w:rPr>
              <w:t>¿Mejor?</w:t>
            </w:r>
          </w:p>
        </w:tc>
      </w:tr>
      <w:tr>
        <w:tc>
          <w:tcPr>
            <w:tcW w:type="dxa" w:w="1520"/>
            <w:shd w:val="clear" w:color="auto" w:fill="EEF4FB"/>
          </w:tcPr>
          <w:p>
            <w:pPr>
              <w:jc w:val="center"/>
            </w:pPr>
            <w:r>
              <w:rPr>
                <w:rFonts w:ascii="Calibri" w:hAnsi="Calibri"/>
                <w:sz w:val="20"/>
              </w:rPr>
              <w:t>Baseline (media histórica)</w:t>
            </w:r>
          </w:p>
        </w:tc>
        <w:tc>
          <w:tcPr>
            <w:tcW w:type="dxa" w:w="1520"/>
            <w:shd w:val="clear" w:color="auto" w:fill="EEF4FB"/>
          </w:tcPr>
          <w:p>
            <w:pPr>
              <w:jc w:val="center"/>
            </w:pPr>
            <w:r>
              <w:rPr>
                <w:rFonts w:ascii="Calibri" w:hAnsi="Calibri"/>
                <w:sz w:val="20"/>
              </w:rPr>
              <w:t>—</w:t>
            </w:r>
          </w:p>
        </w:tc>
        <w:tc>
          <w:tcPr>
            <w:tcW w:type="dxa" w:w="1520"/>
            <w:shd w:val="clear" w:color="auto" w:fill="EEF4FB"/>
          </w:tcPr>
          <w:p>
            <w:pPr>
              <w:jc w:val="center"/>
            </w:pPr>
            <w:r>
              <w:rPr>
                <w:rFonts w:ascii="Calibri" w:hAnsi="Calibri"/>
                <w:sz w:val="20"/>
              </w:rPr>
              <w:t>—</w:t>
            </w:r>
          </w:p>
        </w:tc>
        <w:tc>
          <w:tcPr>
            <w:tcW w:type="dxa" w:w="1520"/>
            <w:shd w:val="clear" w:color="auto" w:fill="EEF4FB"/>
          </w:tcPr>
          <w:p>
            <w:pPr>
              <w:jc w:val="center"/>
            </w:pPr>
            <w:r>
              <w:rPr>
                <w:rFonts w:ascii="Calibri" w:hAnsi="Calibri"/>
                <w:sz w:val="20"/>
              </w:rPr>
              <w:t>~55.9%</w:t>
            </w:r>
          </w:p>
        </w:tc>
        <w:tc>
          <w:tcPr>
            <w:tcW w:type="dxa" w:w="1520"/>
            <w:shd w:val="clear" w:color="auto" w:fill="EEF4FB"/>
          </w:tcPr>
          <w:p>
            <w:pPr>
              <w:jc w:val="center"/>
            </w:pPr>
            <w:r>
              <w:rPr>
                <w:rFonts w:ascii="Calibri" w:hAnsi="Calibri"/>
                <w:sz w:val="20"/>
              </w:rPr>
              <w:t>—</w:t>
            </w:r>
          </w:p>
        </w:tc>
        <w:tc>
          <w:tcPr>
            <w:tcW w:type="dxa" w:w="1520"/>
            <w:shd w:val="clear" w:color="auto" w:fill="EEF4FB"/>
          </w:tcPr>
          <w:p>
            <w:pPr>
              <w:jc w:val="center"/>
            </w:pPr>
            <w:r>
              <w:rPr>
                <w:rFonts w:ascii="Calibri" w:hAnsi="Calibri"/>
                <w:sz w:val="20"/>
              </w:rPr>
            </w:r>
          </w:p>
        </w:tc>
      </w:tr>
      <w:tr>
        <w:tc>
          <w:tcPr>
            <w:tcW w:type="dxa" w:w="1520"/>
            <w:shd w:val="clear" w:color="auto" w:fill="FFFFFF"/>
          </w:tcPr>
          <w:p>
            <w:pPr>
              <w:jc w:val="center"/>
            </w:pPr>
            <w:r>
              <w:rPr>
                <w:rFonts w:ascii="Calibri" w:hAnsi="Calibri"/>
                <w:sz w:val="20"/>
              </w:rPr>
              <w:t>Random Forest</w:t>
            </w:r>
          </w:p>
        </w:tc>
        <w:tc>
          <w:tcPr>
            <w:tcW w:type="dxa" w:w="1520"/>
            <w:shd w:val="clear" w:color="auto" w:fill="FFFFFF"/>
          </w:tcPr>
          <w:p>
            <w:pPr>
              <w:jc w:val="center"/>
            </w:pPr>
            <w:r>
              <w:rPr>
                <w:rFonts w:ascii="Calibri" w:hAnsi="Calibri"/>
                <w:sz w:val="20"/>
              </w:rPr>
              <w:t>—</w:t>
            </w:r>
          </w:p>
        </w:tc>
        <w:tc>
          <w:tcPr>
            <w:tcW w:type="dxa" w:w="1520"/>
            <w:shd w:val="clear" w:color="auto" w:fill="FFFFFF"/>
          </w:tcPr>
          <w:p>
            <w:pPr>
              <w:jc w:val="center"/>
            </w:pPr>
            <w:r>
              <w:rPr>
                <w:rFonts w:ascii="Calibri" w:hAnsi="Calibri"/>
                <w:sz w:val="20"/>
              </w:rPr>
              <w:t>—</w:t>
            </w:r>
          </w:p>
        </w:tc>
        <w:tc>
          <w:tcPr>
            <w:tcW w:type="dxa" w:w="1520"/>
            <w:shd w:val="clear" w:color="auto" w:fill="FFFFFF"/>
          </w:tcPr>
          <w:p>
            <w:pPr>
              <w:jc w:val="center"/>
            </w:pPr>
            <w:r>
              <w:rPr>
                <w:rFonts w:ascii="Calibri" w:hAnsi="Calibri"/>
                <w:sz w:val="20"/>
              </w:rPr>
              <w:t>54.79%</w:t>
            </w:r>
          </w:p>
        </w:tc>
        <w:tc>
          <w:tcPr>
            <w:tcW w:type="dxa" w:w="1520"/>
            <w:shd w:val="clear" w:color="auto" w:fill="FFFFFF"/>
          </w:tcPr>
          <w:p>
            <w:pPr>
              <w:jc w:val="center"/>
            </w:pPr>
            <w:r>
              <w:rPr>
                <w:rFonts w:ascii="Calibri" w:hAnsi="Calibri"/>
                <w:sz w:val="20"/>
              </w:rPr>
              <w:t>0.300</w:t>
            </w:r>
          </w:p>
        </w:tc>
        <w:tc>
          <w:tcPr>
            <w:tcW w:type="dxa" w:w="1520"/>
            <w:shd w:val="clear" w:color="auto" w:fill="FFFFFF"/>
          </w:tcPr>
          <w:p>
            <w:pPr>
              <w:jc w:val="center"/>
            </w:pPr>
            <w:r>
              <w:rPr>
                <w:rFonts w:ascii="Calibri" w:hAnsi="Calibri"/>
                <w:sz w:val="20"/>
              </w:rPr>
            </w:r>
          </w:p>
        </w:tc>
      </w:tr>
      <w:tr>
        <w:tc>
          <w:tcPr>
            <w:tcW w:type="dxa" w:w="1520"/>
            <w:shd w:val="clear" w:color="auto" w:fill="EEF4FB"/>
          </w:tcPr>
          <w:p>
            <w:pPr>
              <w:jc w:val="center"/>
            </w:pPr>
            <w:r>
              <w:rPr>
                <w:rFonts w:ascii="Calibri" w:hAnsi="Calibri"/>
                <w:sz w:val="20"/>
              </w:rPr>
              <w:t>XGBoost (Optuna)</w:t>
            </w:r>
          </w:p>
        </w:tc>
        <w:tc>
          <w:tcPr>
            <w:tcW w:type="dxa" w:w="1520"/>
            <w:shd w:val="clear" w:color="auto" w:fill="EEF4FB"/>
          </w:tcPr>
          <w:p>
            <w:pPr>
              <w:jc w:val="center"/>
            </w:pPr>
            <w:r>
              <w:rPr>
                <w:rFonts w:ascii="Calibri" w:hAnsi="Calibri"/>
                <w:sz w:val="20"/>
              </w:rPr>
              <w:t>—</w:t>
            </w:r>
          </w:p>
        </w:tc>
        <w:tc>
          <w:tcPr>
            <w:tcW w:type="dxa" w:w="1520"/>
            <w:shd w:val="clear" w:color="auto" w:fill="EEF4FB"/>
          </w:tcPr>
          <w:p>
            <w:pPr>
              <w:jc w:val="center"/>
            </w:pPr>
            <w:r>
              <w:rPr>
                <w:rFonts w:ascii="Calibri" w:hAnsi="Calibri"/>
                <w:sz w:val="20"/>
              </w:rPr>
              <w:t>—</w:t>
            </w:r>
          </w:p>
        </w:tc>
        <w:tc>
          <w:tcPr>
            <w:tcW w:type="dxa" w:w="1520"/>
            <w:shd w:val="clear" w:color="auto" w:fill="EEF4FB"/>
          </w:tcPr>
          <w:p>
            <w:pPr>
              <w:jc w:val="center"/>
            </w:pPr>
            <w:r>
              <w:rPr>
                <w:rFonts w:ascii="Calibri" w:hAnsi="Calibri"/>
                <w:sz w:val="20"/>
              </w:rPr>
              <w:t>54.26%</w:t>
            </w:r>
          </w:p>
        </w:tc>
        <w:tc>
          <w:tcPr>
            <w:tcW w:type="dxa" w:w="1520"/>
            <w:shd w:val="clear" w:color="auto" w:fill="EEF4FB"/>
          </w:tcPr>
          <w:p>
            <w:pPr>
              <w:jc w:val="center"/>
            </w:pPr>
            <w:r>
              <w:rPr>
                <w:rFonts w:ascii="Calibri" w:hAnsi="Calibri"/>
                <w:sz w:val="20"/>
              </w:rPr>
              <w:t>0.297</w:t>
            </w:r>
          </w:p>
        </w:tc>
        <w:tc>
          <w:tcPr>
            <w:tcW w:type="dxa" w:w="1520"/>
            <w:shd w:val="clear" w:color="auto" w:fill="EEF4FB"/>
          </w:tcPr>
          <w:p>
            <w:pPr>
              <w:jc w:val="center"/>
            </w:pPr>
            <w:r>
              <w:rPr>
                <w:rFonts w:ascii="Calibri" w:hAnsi="Calibri"/>
                <w:sz w:val="20"/>
              </w:rPr>
            </w:r>
          </w:p>
        </w:tc>
      </w:tr>
      <w:tr>
        <w:tc>
          <w:tcPr>
            <w:tcW w:type="dxa" w:w="1520"/>
            <w:shd w:val="clear" w:color="auto" w:fill="FFFFFF"/>
          </w:tcPr>
          <w:p>
            <w:pPr>
              <w:jc w:val="center"/>
            </w:pPr>
            <w:r>
              <w:rPr>
                <w:rFonts w:ascii="Calibri" w:hAnsi="Calibri"/>
                <w:sz w:val="20"/>
              </w:rPr>
              <w:t>LightGBM</w:t>
            </w:r>
          </w:p>
        </w:tc>
        <w:tc>
          <w:tcPr>
            <w:tcW w:type="dxa" w:w="1520"/>
            <w:shd w:val="clear" w:color="auto" w:fill="FFFFFF"/>
          </w:tcPr>
          <w:p>
            <w:pPr>
              <w:jc w:val="center"/>
            </w:pPr>
            <w:r>
              <w:rPr>
                <w:rFonts w:ascii="Calibri" w:hAnsi="Calibri"/>
                <w:sz w:val="20"/>
              </w:rPr>
              <w:t>—</w:t>
            </w:r>
          </w:p>
        </w:tc>
        <w:tc>
          <w:tcPr>
            <w:tcW w:type="dxa" w:w="1520"/>
            <w:shd w:val="clear" w:color="auto" w:fill="FFFFFF"/>
          </w:tcPr>
          <w:p>
            <w:pPr>
              <w:jc w:val="center"/>
            </w:pPr>
            <w:r>
              <w:rPr>
                <w:rFonts w:ascii="Calibri" w:hAnsi="Calibri"/>
                <w:sz w:val="20"/>
              </w:rPr>
              <w:t>—</w:t>
            </w:r>
          </w:p>
        </w:tc>
        <w:tc>
          <w:tcPr>
            <w:tcW w:type="dxa" w:w="1520"/>
            <w:shd w:val="clear" w:color="auto" w:fill="FFFFFF"/>
          </w:tcPr>
          <w:p>
            <w:pPr>
              <w:jc w:val="center"/>
            </w:pPr>
            <w:r>
              <w:rPr>
                <w:rFonts w:ascii="Calibri" w:hAnsi="Calibri"/>
                <w:sz w:val="20"/>
              </w:rPr>
              <w:t>53.96%</w:t>
            </w:r>
          </w:p>
        </w:tc>
        <w:tc>
          <w:tcPr>
            <w:tcW w:type="dxa" w:w="1520"/>
            <w:shd w:val="clear" w:color="auto" w:fill="FFFFFF"/>
          </w:tcPr>
          <w:p>
            <w:pPr>
              <w:jc w:val="center"/>
            </w:pPr>
            <w:r>
              <w:rPr>
                <w:rFonts w:ascii="Calibri" w:hAnsi="Calibri"/>
                <w:sz w:val="20"/>
              </w:rPr>
              <w:t>0.309</w:t>
            </w:r>
          </w:p>
        </w:tc>
        <w:tc>
          <w:tcPr>
            <w:tcW w:type="dxa" w:w="1520"/>
            <w:shd w:val="clear" w:color="auto" w:fill="FFFFFF"/>
          </w:tcPr>
          <w:p>
            <w:pPr>
              <w:jc w:val="center"/>
            </w:pPr>
            <w:r>
              <w:rPr>
                <w:rFonts w:ascii="Calibri" w:hAnsi="Calibri"/>
                <w:sz w:val="20"/>
              </w:rPr>
              <w:t>★ Mejor</w:t>
            </w:r>
          </w:p>
        </w:tc>
      </w:tr>
    </w:tbl>
    <w:p/>
    <w:p>
      <w:pPr>
        <w:spacing w:after="120"/>
      </w:pPr>
      <w:r>
        <w:rPr>
          <w:rFonts w:ascii="Calibri" w:hAnsi="Calibri"/>
          <w:sz w:val="22"/>
        </w:rPr>
        <w:t>El modelo LightGBM obtiene el mejor desempeño con MAPE = 53.96% y R² = 0.309, superando consistentemente al baseline en los tres modelos. La alta autocorrelación temporal (r = 0.747) confirma que la demanda médica SIS es predecible con features de lag, aunque el MAPE refleja la inherente volatilidad de datos granulares.</w:t>
      </w:r>
    </w:p>
    <w:p>
      <w:pPr>
        <w:pStyle w:val="Heading2"/>
      </w:pPr>
      <w:r>
        <w:rPr>
          <w:rFonts w:ascii="Calibri" w:hAnsi="Calibri"/>
          <w:color w:val="1F497D"/>
        </w:rPr>
        <w:t>5.2 Contextualización del MAPE Obtenido</w:t>
      </w:r>
    </w:p>
    <w:p>
      <w:pPr>
        <w:spacing w:after="120"/>
      </w:pPr>
      <w:r>
        <w:rPr>
          <w:rFonts w:ascii="Calibri" w:hAnsi="Calibri"/>
          <w:sz w:val="22"/>
        </w:rPr>
        <w:t>El MAPE de 53.96% debe interpretarse en su contexto estadístico correcto. La granularidad IPRESS × SERVICIO × EDAD × SEXO es extremadamente fina: el 50% de los registros tiene ATENCIONES ≤ 3. Con valores tan pequeños, un error de ±2 atenciones equivale al 50–100% de MAPE por registro, elevando sistemáticamente la métrica global. Este fenómeno es documentado en la literatura de forecasting para series cortas con alta variabilidad estocástica (Armstrong &amp; Collopy, 1992; Hyndman &amp; Koehler, 2006).</w:t>
      </w:r>
    </w:p>
    <w:p>
      <w:pPr>
        <w:spacing w:after="120"/>
      </w:pPr>
      <w:r>
        <w:rPr>
          <w:rFonts w:ascii="Calibri" w:hAnsi="Calibri"/>
          <w:sz w:val="22"/>
        </w:rPr>
        <w:t>El valor estratégico del modelo no reside únicamente en la reducción del MAPE porcentual, sino en tres dimensiones que el sistema actual no puede proveer:</w:t>
      </w:r>
    </w:p>
    <w:p>
      <w:pPr>
        <w:pStyle w:val="ListBullet"/>
      </w:pPr>
      <w:r>
        <w:rPr>
          <w:rFonts w:ascii="Calibri" w:hAnsi="Calibri"/>
          <w:sz w:val="22"/>
        </w:rPr>
        <w:t>Granularidad sin precedentes: 8,725 predicciones individuales por IPRESS vs una cifra nacional promedio. Esto habilita decisiones de asignación específicas imposibles con el sistema actual.</w:t>
      </w:r>
    </w:p>
    <w:p>
      <w:pPr>
        <w:pStyle w:val="ListBullet"/>
      </w:pPr>
      <w:r>
        <w:rPr>
          <w:rFonts w:ascii="Calibri" w:hAnsi="Calibri"/>
          <w:sz w:val="22"/>
        </w:rPr>
        <w:t>Detección de tendencia: el feature TENDENCIA_LINEAL (SHAP = 0.115) identifica establecimientos con demanda creciente antes de que la saturación sea visible operativamente.</w:t>
      </w:r>
    </w:p>
    <w:p>
      <w:pPr>
        <w:pStyle w:val="ListBullet"/>
      </w:pPr>
      <w:r>
        <w:rPr>
          <w:rFonts w:ascii="Calibri" w:hAnsi="Calibri"/>
          <w:sz w:val="22"/>
        </w:rPr>
        <w:t>Gestión del cold-start: el sistema imputa predicciones para IPRESS nuevas (~10% del total) usando perfiles de establecimientos similares, eliminando la asignación arbitraria actual.</w:t>
      </w:r>
    </w:p>
    <w:p>
      <w:pPr>
        <w:pStyle w:val="Heading2"/>
      </w:pPr>
      <w:r>
        <w:rPr>
          <w:rFonts w:ascii="Calibri" w:hAnsi="Calibri"/>
          <w:color w:val="1F497D"/>
        </w:rPr>
        <w:t>5.3 Propuesta de Valor Cuantificada</w:t>
      </w:r>
    </w:p>
    <w:p>
      <w:pPr>
        <w:spacing w:after="120"/>
      </w:pPr>
      <w:r>
        <w:rPr>
          <w:rFonts w:ascii="Calibri" w:hAnsi="Calibri"/>
          <w:sz w:val="22"/>
        </w:rPr>
        <w:t>La cuantificación del impacto económico se basa en tres supuestos conservadores derivados de la estructura salarial del MINSA (2024) y estadísticas operativas del SIS:</w:t>
      </w:r>
    </w:p>
    <w:p>
      <w:pPr>
        <w:spacing w:after="60"/>
      </w:pPr>
      <w:r>
        <w:rPr>
          <w:rFonts w:ascii="Calibri" w:hAnsi="Calibri"/>
          <w:b/>
          <w:color w:val="44546A"/>
          <w:sz w:val="20"/>
        </w:rPr>
        <w:t>Tabla 11. Supuestos para la cuantificación del valor económico</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color="auto" w:fill="00468F"/>
          </w:tcPr>
          <w:p>
            <w:pPr>
              <w:jc w:val="center"/>
            </w:pPr>
            <w:r>
              <w:rPr>
                <w:rFonts w:ascii="Calibri" w:hAnsi="Calibri"/>
                <w:b/>
                <w:color w:val="FFFFFF"/>
                <w:sz w:val="20"/>
              </w:rPr>
              <w:t>Supuesto</w:t>
            </w:r>
          </w:p>
        </w:tc>
        <w:tc>
          <w:tcPr>
            <w:tcW w:type="dxa" w:w="3041"/>
            <w:vAlign w:val="center"/>
            <w:shd w:val="clear" w:color="auto" w:fill="00468F"/>
          </w:tcPr>
          <w:p>
            <w:pPr>
              <w:jc w:val="center"/>
            </w:pPr>
            <w:r>
              <w:rPr>
                <w:rFonts w:ascii="Calibri" w:hAnsi="Calibri"/>
                <w:b/>
                <w:color w:val="FFFFFF"/>
                <w:sz w:val="20"/>
              </w:rPr>
              <w:t>Valor</w:t>
            </w:r>
          </w:p>
        </w:tc>
        <w:tc>
          <w:tcPr>
            <w:tcW w:type="dxa" w:w="3041"/>
            <w:vAlign w:val="center"/>
            <w:shd w:val="clear" w:color="auto" w:fill="00468F"/>
          </w:tcPr>
          <w:p>
            <w:pPr>
              <w:jc w:val="center"/>
            </w:pPr>
            <w:r>
              <w:rPr>
                <w:rFonts w:ascii="Calibri" w:hAnsi="Calibri"/>
                <w:b/>
                <w:color w:val="FFFFFF"/>
                <w:sz w:val="20"/>
              </w:rPr>
              <w:t>Fuente</w:t>
            </w:r>
          </w:p>
        </w:tc>
      </w:tr>
      <w:tr>
        <w:tc>
          <w:tcPr>
            <w:tcW w:type="dxa" w:w="3041"/>
            <w:shd w:val="clear" w:color="auto" w:fill="EEF4FB"/>
          </w:tcPr>
          <w:p>
            <w:pPr>
              <w:jc w:val="center"/>
            </w:pPr>
            <w:r>
              <w:rPr>
                <w:rFonts w:ascii="Calibri" w:hAnsi="Calibri"/>
                <w:sz w:val="20"/>
              </w:rPr>
              <w:t>Costo médico/mes — Nivel I</w:t>
            </w:r>
          </w:p>
        </w:tc>
        <w:tc>
          <w:tcPr>
            <w:tcW w:type="dxa" w:w="3041"/>
            <w:shd w:val="clear" w:color="auto" w:fill="EEF4FB"/>
          </w:tcPr>
          <w:p>
            <w:pPr>
              <w:jc w:val="center"/>
            </w:pPr>
            <w:r>
              <w:rPr>
                <w:rFonts w:ascii="Calibri" w:hAnsi="Calibri"/>
                <w:sz w:val="20"/>
              </w:rPr>
              <w:t>S/. 8,500</w:t>
            </w:r>
          </w:p>
        </w:tc>
        <w:tc>
          <w:tcPr>
            <w:tcW w:type="dxa" w:w="3041"/>
            <w:shd w:val="clear" w:color="auto" w:fill="EEF4FB"/>
          </w:tcPr>
          <w:p>
            <w:pPr>
              <w:jc w:val="center"/>
            </w:pPr>
            <w:r>
              <w:rPr>
                <w:rFonts w:ascii="Calibri" w:hAnsi="Calibri"/>
                <w:sz w:val="20"/>
              </w:rPr>
              <w:t>MINSA Resolución Ministerial 2024</w:t>
            </w:r>
          </w:p>
        </w:tc>
      </w:tr>
      <w:tr>
        <w:tc>
          <w:tcPr>
            <w:tcW w:type="dxa" w:w="3041"/>
            <w:shd w:val="clear" w:color="auto" w:fill="FFFFFF"/>
          </w:tcPr>
          <w:p>
            <w:pPr>
              <w:jc w:val="center"/>
            </w:pPr>
            <w:r>
              <w:rPr>
                <w:rFonts w:ascii="Calibri" w:hAnsi="Calibri"/>
                <w:sz w:val="20"/>
              </w:rPr>
              <w:t>Costo médico/mes — Nivel II</w:t>
            </w:r>
          </w:p>
        </w:tc>
        <w:tc>
          <w:tcPr>
            <w:tcW w:type="dxa" w:w="3041"/>
            <w:shd w:val="clear" w:color="auto" w:fill="FFFFFF"/>
          </w:tcPr>
          <w:p>
            <w:pPr>
              <w:jc w:val="center"/>
            </w:pPr>
            <w:r>
              <w:rPr>
                <w:rFonts w:ascii="Calibri" w:hAnsi="Calibri"/>
                <w:sz w:val="20"/>
              </w:rPr>
              <w:t>S/. 12,000</w:t>
            </w:r>
          </w:p>
        </w:tc>
        <w:tc>
          <w:tcPr>
            <w:tcW w:type="dxa" w:w="3041"/>
            <w:shd w:val="clear" w:color="auto" w:fill="FFFFFF"/>
          </w:tcPr>
          <w:p>
            <w:pPr>
              <w:jc w:val="center"/>
            </w:pPr>
            <w:r>
              <w:rPr>
                <w:rFonts w:ascii="Calibri" w:hAnsi="Calibri"/>
                <w:sz w:val="20"/>
              </w:rPr>
              <w:t>MINSA</w:t>
            </w:r>
          </w:p>
        </w:tc>
      </w:tr>
      <w:tr>
        <w:tc>
          <w:tcPr>
            <w:tcW w:type="dxa" w:w="3041"/>
            <w:shd w:val="clear" w:color="auto" w:fill="EEF4FB"/>
          </w:tcPr>
          <w:p>
            <w:pPr>
              <w:jc w:val="center"/>
            </w:pPr>
            <w:r>
              <w:rPr>
                <w:rFonts w:ascii="Calibri" w:hAnsi="Calibri"/>
                <w:sz w:val="20"/>
              </w:rPr>
              <w:t>Costo médico/mes — Nivel III</w:t>
            </w:r>
          </w:p>
        </w:tc>
        <w:tc>
          <w:tcPr>
            <w:tcW w:type="dxa" w:w="3041"/>
            <w:shd w:val="clear" w:color="auto" w:fill="EEF4FB"/>
          </w:tcPr>
          <w:p>
            <w:pPr>
              <w:jc w:val="center"/>
            </w:pPr>
            <w:r>
              <w:rPr>
                <w:rFonts w:ascii="Calibri" w:hAnsi="Calibri"/>
                <w:sz w:val="20"/>
              </w:rPr>
              <w:t>S/. 18,000</w:t>
            </w:r>
          </w:p>
        </w:tc>
        <w:tc>
          <w:tcPr>
            <w:tcW w:type="dxa" w:w="3041"/>
            <w:shd w:val="clear" w:color="auto" w:fill="EEF4FB"/>
          </w:tcPr>
          <w:p>
            <w:pPr>
              <w:jc w:val="center"/>
            </w:pPr>
            <w:r>
              <w:rPr>
                <w:rFonts w:ascii="Calibri" w:hAnsi="Calibri"/>
                <w:sz w:val="20"/>
              </w:rPr>
              <w:t>MINSA</w:t>
            </w:r>
          </w:p>
        </w:tc>
      </w:tr>
      <w:tr>
        <w:tc>
          <w:tcPr>
            <w:tcW w:type="dxa" w:w="3041"/>
            <w:shd w:val="clear" w:color="auto" w:fill="FFFFFF"/>
          </w:tcPr>
          <w:p>
            <w:pPr>
              <w:jc w:val="center"/>
            </w:pPr>
            <w:r>
              <w:rPr>
                <w:rFonts w:ascii="Calibri" w:hAnsi="Calibri"/>
                <w:sz w:val="20"/>
              </w:rPr>
              <w:t>Total IPRESS en red SIS</w:t>
            </w:r>
          </w:p>
        </w:tc>
        <w:tc>
          <w:tcPr>
            <w:tcW w:type="dxa" w:w="3041"/>
            <w:shd w:val="clear" w:color="auto" w:fill="FFFFFF"/>
          </w:tcPr>
          <w:p>
            <w:pPr>
              <w:jc w:val="center"/>
            </w:pPr>
            <w:r>
              <w:rPr>
                <w:rFonts w:ascii="Calibri" w:hAnsi="Calibri"/>
                <w:sz w:val="20"/>
              </w:rPr>
              <w:t>8,725</w:t>
            </w:r>
          </w:p>
        </w:tc>
        <w:tc>
          <w:tcPr>
            <w:tcW w:type="dxa" w:w="3041"/>
            <w:shd w:val="clear" w:color="auto" w:fill="FFFFFF"/>
          </w:tcPr>
          <w:p>
            <w:pPr>
              <w:jc w:val="center"/>
            </w:pPr>
            <w:r>
              <w:rPr>
                <w:rFonts w:ascii="Calibri" w:hAnsi="Calibri"/>
                <w:sz w:val="20"/>
              </w:rPr>
              <w:t>Datos propios NB00</w:t>
            </w:r>
          </w:p>
        </w:tc>
      </w:tr>
      <w:tr>
        <w:tc>
          <w:tcPr>
            <w:tcW w:type="dxa" w:w="3041"/>
            <w:shd w:val="clear" w:color="auto" w:fill="EEF4FB"/>
          </w:tcPr>
          <w:p>
            <w:pPr>
              <w:jc w:val="center"/>
            </w:pPr>
            <w:r>
              <w:rPr>
                <w:rFonts w:ascii="Calibri" w:hAnsi="Calibri"/>
                <w:sz w:val="20"/>
              </w:rPr>
              <w:t>% IPRESS impactables (conservador)</w:t>
            </w:r>
          </w:p>
        </w:tc>
        <w:tc>
          <w:tcPr>
            <w:tcW w:type="dxa" w:w="3041"/>
            <w:shd w:val="clear" w:color="auto" w:fill="EEF4FB"/>
          </w:tcPr>
          <w:p>
            <w:pPr>
              <w:jc w:val="center"/>
            </w:pPr>
            <w:r>
              <w:rPr>
                <w:rFonts w:ascii="Calibri" w:hAnsi="Calibri"/>
                <w:sz w:val="20"/>
              </w:rPr>
              <w:t>15%</w:t>
            </w:r>
          </w:p>
        </w:tc>
        <w:tc>
          <w:tcPr>
            <w:tcW w:type="dxa" w:w="3041"/>
            <w:shd w:val="clear" w:color="auto" w:fill="EEF4FB"/>
          </w:tcPr>
          <w:p>
            <w:pPr>
              <w:jc w:val="center"/>
            </w:pPr>
            <w:r>
              <w:rPr>
                <w:rFonts w:ascii="Calibri" w:hAnsi="Calibri"/>
                <w:sz w:val="20"/>
              </w:rPr>
              <w:t>Supuesto</w:t>
            </w:r>
          </w:p>
        </w:tc>
      </w:tr>
      <w:tr>
        <w:tc>
          <w:tcPr>
            <w:tcW w:type="dxa" w:w="3041"/>
            <w:shd w:val="clear" w:color="auto" w:fill="FFFFFF"/>
          </w:tcPr>
          <w:p>
            <w:pPr>
              <w:jc w:val="center"/>
            </w:pPr>
            <w:r>
              <w:rPr>
                <w:rFonts w:ascii="Calibri" w:hAnsi="Calibri"/>
                <w:sz w:val="20"/>
              </w:rPr>
              <w:t>% costo de personal optimizable</w:t>
            </w:r>
          </w:p>
        </w:tc>
        <w:tc>
          <w:tcPr>
            <w:tcW w:type="dxa" w:w="3041"/>
            <w:shd w:val="clear" w:color="auto" w:fill="FFFFFF"/>
          </w:tcPr>
          <w:p>
            <w:pPr>
              <w:jc w:val="center"/>
            </w:pPr>
            <w:r>
              <w:rPr>
                <w:rFonts w:ascii="Calibri" w:hAnsi="Calibri"/>
                <w:sz w:val="20"/>
              </w:rPr>
              <w:t>20%</w:t>
            </w:r>
          </w:p>
        </w:tc>
        <w:tc>
          <w:tcPr>
            <w:tcW w:type="dxa" w:w="3041"/>
            <w:shd w:val="clear" w:color="auto" w:fill="FFFFFF"/>
          </w:tcPr>
          <w:p>
            <w:pPr>
              <w:jc w:val="center"/>
            </w:pPr>
            <w:r>
              <w:rPr>
                <w:rFonts w:ascii="Calibri" w:hAnsi="Calibri"/>
                <w:sz w:val="20"/>
              </w:rPr>
              <w:t>Supuesto (turnos y guardias flexibles)</w:t>
            </w:r>
          </w:p>
        </w:tc>
      </w:tr>
      <w:tr>
        <w:tc>
          <w:tcPr>
            <w:tcW w:type="dxa" w:w="3041"/>
            <w:shd w:val="clear" w:color="auto" w:fill="EEF4FB"/>
          </w:tcPr>
          <w:p>
            <w:pPr>
              <w:jc w:val="center"/>
            </w:pPr>
            <w:r>
              <w:rPr>
                <w:rFonts w:ascii="Calibri" w:hAnsi="Calibri"/>
                <w:sz w:val="20"/>
              </w:rPr>
              <w:t>Costo por atención perdida</w:t>
            </w:r>
          </w:p>
        </w:tc>
        <w:tc>
          <w:tcPr>
            <w:tcW w:type="dxa" w:w="3041"/>
            <w:shd w:val="clear" w:color="auto" w:fill="EEF4FB"/>
          </w:tcPr>
          <w:p>
            <w:pPr>
              <w:jc w:val="center"/>
            </w:pPr>
            <w:r>
              <w:rPr>
                <w:rFonts w:ascii="Calibri" w:hAnsi="Calibri"/>
                <w:sz w:val="20"/>
              </w:rPr>
              <w:t>S/. 35</w:t>
            </w:r>
          </w:p>
        </w:tc>
        <w:tc>
          <w:tcPr>
            <w:tcW w:type="dxa" w:w="3041"/>
            <w:shd w:val="clear" w:color="auto" w:fill="EEF4FB"/>
          </w:tcPr>
          <w:p>
            <w:pPr>
              <w:jc w:val="center"/>
            </w:pPr>
            <w:r>
              <w:rPr>
                <w:rFonts w:ascii="Calibri" w:hAnsi="Calibri"/>
                <w:sz w:val="20"/>
              </w:rPr>
              <w:t>Minsa — costo promedio Nivel I</w:t>
            </w:r>
          </w:p>
        </w:tc>
      </w:tr>
    </w:tbl>
    <w:p/>
    <w:p>
      <w:pPr>
        <w:spacing w:after="120"/>
      </w:pPr>
      <w:r>
        <w:rPr>
          <w:rFonts w:ascii="Calibri" w:hAnsi="Calibri"/>
          <w:sz w:val="22"/>
        </w:rPr>
        <w:t>Con estos supuestos, el gasto anual estimado en personal médico de la red SIS asciende a:</w:t>
      </w:r>
    </w:p>
    <w:p>
      <w:pPr>
        <w:spacing w:after="120"/>
      </w:pPr>
      <w:r>
        <w:rPr>
          <w:rFonts w:ascii="Calibri" w:hAnsi="Calibri"/>
          <w:sz w:val="22"/>
        </w:rPr>
        <w:t>Nivel I (6,544 IPRESS × 1.5 médicos × S/.8,500 × 12): S/. 999,720,000</w:t>
      </w:r>
    </w:p>
    <w:p>
      <w:pPr>
        <w:spacing w:after="120"/>
      </w:pPr>
      <w:r>
        <w:rPr>
          <w:rFonts w:ascii="Calibri" w:hAnsi="Calibri"/>
          <w:sz w:val="22"/>
        </w:rPr>
        <w:t>Nivel II (1,570 IPRESS × 6 médicos × S/.12,000 × 12): S/. 1,361,160,000</w:t>
      </w:r>
    </w:p>
    <w:p>
      <w:pPr>
        <w:spacing w:after="120"/>
      </w:pPr>
      <w:r>
        <w:rPr>
          <w:rFonts w:ascii="Calibri" w:hAnsi="Calibri"/>
          <w:sz w:val="22"/>
        </w:rPr>
        <w:t>Nivel III (612 IPRESS × 25 médicos × S/.18,000 × 12): S/. 3,304,800,000</w:t>
      </w:r>
    </w:p>
    <w:p>
      <w:pPr>
        <w:spacing w:after="120"/>
      </w:pPr>
      <w:r>
        <w:rPr>
          <w:rFonts w:ascii="Calibri" w:hAnsi="Calibri"/>
          <w:sz w:val="22"/>
        </w:rPr>
        <w:t>Gasto total estimado en personal médico: S/. 5,665,680,000 anuales.</w:t>
      </w:r>
    </w:p>
    <w:p>
      <w:pPr>
        <w:spacing w:after="120"/>
      </w:pPr>
      <w:r>
        <w:rPr>
          <w:rFonts w:ascii="Calibri" w:hAnsi="Calibri"/>
          <w:sz w:val="22"/>
        </w:rPr>
        <w:t>La tabla siguiente muestra tres escenarios de impacto económico según el porcentaje de IPRESS impactadas (10%, 15% o 20%) y el porcentaje de eficiencia ganada en la asignación de personal (10%, 20% o 30%), considerando siempre un 20% de costos flexibles (turnos y guardias ajustables a corto plazo):</w:t>
      </w:r>
    </w:p>
    <w:p>
      <w:pPr>
        <w:spacing w:after="60"/>
      </w:pPr>
      <w:r>
        <w:rPr>
          <w:rFonts w:ascii="Calibri" w:hAnsi="Calibri"/>
          <w:b/>
          <w:color w:val="44546A"/>
          <w:sz w:val="20"/>
        </w:rPr>
        <w:t>Tabla 12. Análisis de sensibilidad — Ahorro anual por escenario</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shd w:val="clear" w:color="auto" w:fill="00468F"/>
          </w:tcPr>
          <w:p>
            <w:pPr>
              <w:jc w:val="center"/>
            </w:pPr>
            <w:r>
              <w:rPr>
                <w:rFonts w:ascii="Calibri" w:hAnsi="Calibri"/>
                <w:b/>
                <w:color w:val="FFFFFF"/>
                <w:sz w:val="20"/>
              </w:rPr>
              <w:t>Escenario</w:t>
            </w:r>
          </w:p>
        </w:tc>
        <w:tc>
          <w:tcPr>
            <w:tcW w:type="dxa" w:w="2280"/>
            <w:vAlign w:val="center"/>
            <w:shd w:val="clear" w:color="auto" w:fill="00468F"/>
          </w:tcPr>
          <w:p>
            <w:pPr>
              <w:jc w:val="center"/>
            </w:pPr>
            <w:r>
              <w:rPr>
                <w:rFonts w:ascii="Calibri" w:hAnsi="Calibri"/>
                <w:b/>
                <w:color w:val="FFFFFF"/>
                <w:sz w:val="20"/>
              </w:rPr>
              <w:t>IPRESS impactadas</w:t>
            </w:r>
          </w:p>
        </w:tc>
        <w:tc>
          <w:tcPr>
            <w:tcW w:type="dxa" w:w="2280"/>
            <w:vAlign w:val="center"/>
            <w:shd w:val="clear" w:color="auto" w:fill="00468F"/>
          </w:tcPr>
          <w:p>
            <w:pPr>
              <w:jc w:val="center"/>
            </w:pPr>
            <w:r>
              <w:rPr>
                <w:rFonts w:ascii="Calibri" w:hAnsi="Calibri"/>
                <w:b/>
                <w:color w:val="FFFFFF"/>
                <w:sz w:val="20"/>
              </w:rPr>
              <w:t>% Mejora eficiencia</w:t>
            </w:r>
          </w:p>
        </w:tc>
        <w:tc>
          <w:tcPr>
            <w:tcW w:type="dxa" w:w="2280"/>
            <w:vAlign w:val="center"/>
            <w:shd w:val="clear" w:color="auto" w:fill="00468F"/>
          </w:tcPr>
          <w:p>
            <w:pPr>
              <w:jc w:val="center"/>
            </w:pPr>
            <w:r>
              <w:rPr>
                <w:rFonts w:ascii="Calibri" w:hAnsi="Calibri"/>
                <w:b/>
                <w:color w:val="FFFFFF"/>
                <w:sz w:val="20"/>
              </w:rPr>
              <w:t>Ahorro anual estimado</w:t>
            </w:r>
          </w:p>
        </w:tc>
      </w:tr>
      <w:tr>
        <w:tc>
          <w:tcPr>
            <w:tcW w:type="dxa" w:w="2280"/>
            <w:shd w:val="clear" w:color="auto" w:fill="EEF4FB"/>
          </w:tcPr>
          <w:p>
            <w:pPr>
              <w:jc w:val="center"/>
            </w:pPr>
            <w:r>
              <w:rPr>
                <w:rFonts w:ascii="Calibri" w:hAnsi="Calibri"/>
                <w:sz w:val="20"/>
              </w:rPr>
              <w:t>Conservador</w:t>
            </w:r>
          </w:p>
        </w:tc>
        <w:tc>
          <w:tcPr>
            <w:tcW w:type="dxa" w:w="2280"/>
            <w:shd w:val="clear" w:color="auto" w:fill="EEF4FB"/>
          </w:tcPr>
          <w:p>
            <w:pPr>
              <w:jc w:val="center"/>
            </w:pPr>
            <w:r>
              <w:rPr>
                <w:rFonts w:ascii="Calibri" w:hAnsi="Calibri"/>
                <w:sz w:val="20"/>
              </w:rPr>
              <w:t>875 (10%)</w:t>
            </w:r>
          </w:p>
        </w:tc>
        <w:tc>
          <w:tcPr>
            <w:tcW w:type="dxa" w:w="2280"/>
            <w:shd w:val="clear" w:color="auto" w:fill="EEF4FB"/>
          </w:tcPr>
          <w:p>
            <w:pPr>
              <w:jc w:val="center"/>
            </w:pPr>
            <w:r>
              <w:rPr>
                <w:rFonts w:ascii="Calibri" w:hAnsi="Calibri"/>
              </w:rPr>
              <w:t>10%</w:t>
            </w:r>
          </w:p>
        </w:tc>
        <w:tc>
          <w:tcPr>
            <w:tcW w:type="dxa" w:w="2280"/>
            <w:shd w:val="clear" w:color="auto" w:fill="EEF4FB"/>
          </w:tcPr>
          <w:p>
            <w:pPr>
              <w:jc w:val="center"/>
            </w:pPr>
            <w:r>
              <w:rPr>
                <w:rFonts w:ascii="Calibri" w:hAnsi="Calibri"/>
                <w:sz w:val="20"/>
              </w:rPr>
              <w:t>S/. 11.3 millones</w:t>
            </w:r>
          </w:p>
        </w:tc>
      </w:tr>
      <w:tr>
        <w:tc>
          <w:tcPr>
            <w:tcW w:type="dxa" w:w="2280"/>
            <w:shd w:val="clear" w:color="auto" w:fill="FFFFFF"/>
          </w:tcPr>
          <w:p>
            <w:pPr>
              <w:jc w:val="center"/>
            </w:pPr>
            <w:r>
              <w:rPr>
                <w:rFonts w:ascii="Calibri" w:hAnsi="Calibri"/>
                <w:sz w:val="20"/>
              </w:rPr>
              <w:t>Base</w:t>
            </w:r>
          </w:p>
        </w:tc>
        <w:tc>
          <w:tcPr>
            <w:tcW w:type="dxa" w:w="2280"/>
            <w:shd w:val="clear" w:color="auto" w:fill="FFFFFF"/>
          </w:tcPr>
          <w:p>
            <w:pPr>
              <w:jc w:val="center"/>
            </w:pPr>
            <w:r>
              <w:rPr>
                <w:rFonts w:ascii="Calibri" w:hAnsi="Calibri"/>
                <w:sz w:val="20"/>
              </w:rPr>
              <w:t>1,309 (15%)</w:t>
            </w:r>
          </w:p>
        </w:tc>
        <w:tc>
          <w:tcPr>
            <w:tcW w:type="dxa" w:w="2280"/>
            <w:shd w:val="clear" w:color="auto" w:fill="FFFFFF"/>
          </w:tcPr>
          <w:p>
            <w:pPr>
              <w:jc w:val="center"/>
            </w:pPr>
            <w:r>
              <w:rPr>
                <w:rFonts w:ascii="Calibri" w:hAnsi="Calibri"/>
              </w:rPr>
              <w:t>20%</w:t>
            </w:r>
          </w:p>
        </w:tc>
        <w:tc>
          <w:tcPr>
            <w:tcW w:type="dxa" w:w="2280"/>
            <w:shd w:val="clear" w:color="auto" w:fill="FFFFFF"/>
          </w:tcPr>
          <w:p>
            <w:pPr>
              <w:jc w:val="center"/>
            </w:pPr>
            <w:r>
              <w:rPr>
                <w:rFonts w:ascii="Calibri" w:hAnsi="Calibri"/>
                <w:sz w:val="20"/>
              </w:rPr>
              <w:t>S/. 33.9 millones</w:t>
            </w:r>
          </w:p>
        </w:tc>
      </w:tr>
      <w:tr>
        <w:tc>
          <w:tcPr>
            <w:tcW w:type="dxa" w:w="2280"/>
            <w:shd w:val="clear" w:color="auto" w:fill="EEF4FB"/>
          </w:tcPr>
          <w:p>
            <w:pPr>
              <w:jc w:val="center"/>
            </w:pPr>
            <w:r>
              <w:rPr>
                <w:rFonts w:ascii="Calibri" w:hAnsi="Calibri"/>
                <w:sz w:val="20"/>
              </w:rPr>
              <w:t>Optimista</w:t>
            </w:r>
          </w:p>
        </w:tc>
        <w:tc>
          <w:tcPr>
            <w:tcW w:type="dxa" w:w="2280"/>
            <w:shd w:val="clear" w:color="auto" w:fill="EEF4FB"/>
          </w:tcPr>
          <w:p>
            <w:pPr>
              <w:jc w:val="center"/>
            </w:pPr>
            <w:r>
              <w:rPr>
                <w:rFonts w:ascii="Calibri" w:hAnsi="Calibri"/>
                <w:sz w:val="20"/>
              </w:rPr>
              <w:t>1,745 (20%)</w:t>
            </w:r>
          </w:p>
        </w:tc>
        <w:tc>
          <w:tcPr>
            <w:tcW w:type="dxa" w:w="2280"/>
            <w:shd w:val="clear" w:color="auto" w:fill="EEF4FB"/>
          </w:tcPr>
          <w:p>
            <w:pPr>
              <w:jc w:val="center"/>
            </w:pPr>
            <w:r>
              <w:rPr>
                <w:rFonts w:ascii="Calibri" w:hAnsi="Calibri"/>
              </w:rPr>
              <w:t>30%</w:t>
            </w:r>
          </w:p>
        </w:tc>
        <w:tc>
          <w:tcPr>
            <w:tcW w:type="dxa" w:w="2280"/>
            <w:shd w:val="clear" w:color="auto" w:fill="EEF4FB"/>
          </w:tcPr>
          <w:p>
            <w:pPr>
              <w:jc w:val="center"/>
            </w:pPr>
            <w:r>
              <w:rPr>
                <w:rFonts w:ascii="Calibri" w:hAnsi="Calibri"/>
                <w:sz w:val="20"/>
              </w:rPr>
              <w:t>S/. 67.9 millones</w:t>
            </w:r>
          </w:p>
        </w:tc>
      </w:tr>
    </w:tbl>
    <w:p/>
    <w:p>
      <w:pPr>
        <w:spacing w:after="120"/>
      </w:pPr>
      <w:r>
        <w:rPr>
          <w:rFonts w:ascii="Calibri" w:hAnsi="Calibri"/>
          <w:sz w:val="22"/>
        </w:rPr>
        <w:t>Más allá del ahorro en RRHH, SIS-DEMAND habilita beneficios adicionales no monetizados directamente: reducción de atenciones perdidas por saturación, mejora en indicadores de cobertura preventiva, y focalización de brigadas en zonas con déficit identificado.</w:t>
      </w:r>
    </w:p>
    <w:p>
      <w:pPr>
        <w:pStyle w:val="Heading2"/>
      </w:pPr>
      <w:r>
        <w:rPr>
          <w:rFonts w:ascii="Calibri" w:hAnsi="Calibri"/>
          <w:color w:val="1F497D"/>
        </w:rPr>
        <w:t>5.4 Análisis SHAP — Interpretabilidad del Modelo</w:t>
      </w:r>
    </w:p>
    <w:p>
      <w:pPr>
        <w:spacing w:before="160"/>
        <w:shd w:val="clear" w:color="auto" w:fill="00468F"/>
      </w:pPr>
      <w:r>
        <w:rPr>
          <w:rFonts w:ascii="Calibri" w:hAnsi="Calibri"/>
          <w:b/>
          <w:color w:val="FFFFFF"/>
          <w:sz w:val="22"/>
        </w:rPr>
        <w:t xml:space="preserve">  Paso 9: Traducir Modelos en Decisiones Accionables  </w:t>
      </w:r>
    </w:p>
    <w:p>
      <w:pPr>
        <w:spacing w:after="120"/>
      </w:pPr>
      <w:r>
        <w:rPr>
          <w:rFonts w:ascii="Calibri" w:hAnsi="Calibri"/>
          <w:sz w:val="22"/>
        </w:rPr>
        <w:t>Reglas operativas derivadas del modelo: (1) Cualquier IPRESS con ROLLING_MEAN_2SEM &gt; 50 debe recibir revisión de dotación para el semestre siguiente. (2) IPRESS con TENDENCIA_LINEAL &gt; +5 atenciones/sem son candidatas a ampliación de capacidad. (3) IPRESS con N_PERIODOS_ACTIVOS ≤ 2 requieren supervisión manual — predicción con mayor incertidumbre. (4) Servicios con ES_TELEMATICA = 1 deben monitorearse separadamente dado su patrón de crecimiento distinto al presencial.</w:t>
      </w:r>
    </w:p>
    <w:p>
      <w:pPr>
        <w:spacing w:after="120"/>
      </w:pPr>
      <w:r>
        <w:rPr>
          <w:rFonts w:ascii="Calibri" w:hAnsi="Calibri"/>
          <w:sz w:val="22"/>
        </w:rPr>
        <w:t>El análisis SHAP (SHapley Additive exPlanations) confirma que el modelo aprende relaciones estadísticamente coherentes con la teoría de demanda en salud pública:</w:t>
      </w:r>
    </w:p>
    <w:p>
      <w:pPr>
        <w:pStyle w:val="ListBullet"/>
      </w:pPr>
      <w:r>
        <w:rPr>
          <w:rFonts w:ascii="Calibri" w:hAnsi="Calibri"/>
          <w:sz w:val="22"/>
        </w:rPr>
        <w:t>ROLLING_MEAN_2SEM (SHAP = 0.351): la demanda reciente suavizada es el predictor dominante — consistente con la alta autocorrelación (r = 0.747).</w:t>
      </w:r>
    </w:p>
    <w:p>
      <w:pPr>
        <w:pStyle w:val="ListBullet"/>
      </w:pPr>
      <w:r>
        <w:rPr>
          <w:rFonts w:ascii="Calibri" w:hAnsi="Calibri"/>
          <w:sz w:val="22"/>
        </w:rPr>
        <w:t>TENDENCIA_LINEAL (SHAP = 0.115): la pendiente histórica captura el crecimiento estructural de la cobertura SIS post-COVID.</w:t>
      </w:r>
    </w:p>
    <w:p>
      <w:pPr>
        <w:pStyle w:val="ListBullet"/>
      </w:pPr>
      <w:r>
        <w:rPr>
          <w:rFonts w:ascii="Calibri" w:hAnsi="Calibri"/>
          <w:sz w:val="22"/>
        </w:rPr>
        <w:t>N_PERIODOS_ACTIVOS (SHAP = 0.077): los establecimientos maduros tienen demanda más predecible — el modelo es más conservador con IPRESS nuevas.</w:t>
      </w:r>
    </w:p>
    <w:p>
      <w:pPr>
        <w:pStyle w:val="ListBullet"/>
      </w:pPr>
      <w:r>
        <w:rPr>
          <w:rFonts w:ascii="Calibri" w:hAnsi="Calibri"/>
          <w:sz w:val="22"/>
        </w:rPr>
        <w:t>Efecto NIVEL_EESS: aunque su SHAP directo (0.006) es bajo, interactúa con LAG: un hospital Nivel III con mismo LAG que una posta recibe predicción significativamente mayor.</w:t>
      </w:r>
    </w:p>
    <w:p>
      <w:r>
        <w:br w:type="page"/>
      </w:r>
    </w:p>
    <w:p>
      <w:pPr>
        <w:pStyle w:val="Heading1"/>
      </w:pPr>
      <w:r>
        <w:rPr>
          <w:rFonts w:ascii="Calibri" w:hAnsi="Calibri"/>
          <w:color w:val="00467F"/>
        </w:rPr>
        <w:t>6. Plan de Acción</w:t>
      </w:r>
    </w:p>
    <w:p>
      <w:pPr>
        <w:spacing w:after="60"/>
      </w:pPr>
      <w:r>
        <w:rPr>
          <w:rFonts w:ascii="Calibri" w:hAnsi="Calibri"/>
          <w:b/>
          <w:color w:val="44546A"/>
          <w:sz w:val="20"/>
        </w:rPr>
        <w:t>Tabla 13. Plan de acción por fases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shd w:val="clear" w:color="auto" w:fill="00468F"/>
          </w:tcPr>
          <w:p>
            <w:pPr>
              <w:jc w:val="center"/>
            </w:pPr>
            <w:r>
              <w:rPr>
                <w:rFonts w:ascii="Calibri" w:hAnsi="Calibri"/>
                <w:b/>
                <w:color w:val="FFFFFF"/>
                <w:sz w:val="20"/>
              </w:rPr>
              <w:t>Fase</w:t>
            </w:r>
          </w:p>
        </w:tc>
        <w:tc>
          <w:tcPr>
            <w:tcW w:type="dxa" w:w="1824"/>
            <w:vAlign w:val="center"/>
            <w:shd w:val="clear" w:color="auto" w:fill="00468F"/>
          </w:tcPr>
          <w:p>
            <w:pPr>
              <w:jc w:val="center"/>
            </w:pPr>
            <w:r>
              <w:rPr>
                <w:rFonts w:ascii="Calibri" w:hAnsi="Calibri"/>
                <w:b/>
                <w:color w:val="FFFFFF"/>
                <w:sz w:val="20"/>
              </w:rPr>
              <w:t>Actividades</w:t>
            </w:r>
          </w:p>
        </w:tc>
        <w:tc>
          <w:tcPr>
            <w:tcW w:type="dxa" w:w="1824"/>
            <w:vAlign w:val="center"/>
            <w:shd w:val="clear" w:color="auto" w:fill="00468F"/>
          </w:tcPr>
          <w:p>
            <w:pPr>
              <w:jc w:val="center"/>
            </w:pPr>
            <w:r>
              <w:rPr>
                <w:rFonts w:ascii="Calibri" w:hAnsi="Calibri"/>
                <w:b/>
                <w:color w:val="FFFFFF"/>
                <w:sz w:val="20"/>
              </w:rPr>
              <w:t>Responsable</w:t>
            </w:r>
          </w:p>
        </w:tc>
        <w:tc>
          <w:tcPr>
            <w:tcW w:type="dxa" w:w="1824"/>
            <w:vAlign w:val="center"/>
            <w:shd w:val="clear" w:color="auto" w:fill="00468F"/>
          </w:tcPr>
          <w:p>
            <w:pPr>
              <w:jc w:val="center"/>
            </w:pPr>
            <w:r>
              <w:rPr>
                <w:rFonts w:ascii="Calibri" w:hAnsi="Calibri"/>
                <w:b/>
                <w:color w:val="FFFFFF"/>
                <w:sz w:val="20"/>
              </w:rPr>
              <w:t>Plazo</w:t>
            </w:r>
          </w:p>
        </w:tc>
        <w:tc>
          <w:tcPr>
            <w:tcW w:type="dxa" w:w="1824"/>
            <w:vAlign w:val="center"/>
            <w:shd w:val="clear" w:color="auto" w:fill="00468F"/>
          </w:tcPr>
          <w:p>
            <w:pPr>
              <w:jc w:val="center"/>
            </w:pPr>
            <w:r>
              <w:rPr>
                <w:rFonts w:ascii="Calibri" w:hAnsi="Calibri"/>
                <w:b/>
                <w:color w:val="FFFFFF"/>
                <w:sz w:val="20"/>
              </w:rPr>
              <w:t>KPI</w:t>
            </w:r>
          </w:p>
        </w:tc>
      </w:tr>
      <w:tr>
        <w:tc>
          <w:tcPr>
            <w:tcW w:type="dxa" w:w="1824"/>
            <w:shd w:val="clear" w:color="auto" w:fill="EEF4FB"/>
          </w:tcPr>
          <w:p>
            <w:pPr>
              <w:jc w:val="center"/>
            </w:pPr>
            <w:r>
              <w:rPr>
                <w:rFonts w:ascii="Calibri" w:hAnsi="Calibri"/>
                <w:sz w:val="20"/>
              </w:rPr>
              <w:t>Fase 1: Piloto</w:t>
            </w:r>
          </w:p>
        </w:tc>
        <w:tc>
          <w:tcPr>
            <w:tcW w:type="dxa" w:w="1824"/>
            <w:shd w:val="clear" w:color="auto" w:fill="EEF4FB"/>
          </w:tcPr>
          <w:p>
            <w:pPr>
              <w:jc w:val="center"/>
            </w:pPr>
            <w:r>
              <w:rPr>
                <w:rFonts w:ascii="Calibri" w:hAnsi="Calibri"/>
                <w:sz w:val="20"/>
              </w:rPr>
              <w:t>Desplegar SIS-DEMAND en 3 regiones piloto (Lima, Cusco, Loreto)</w:t>
            </w:r>
          </w:p>
        </w:tc>
        <w:tc>
          <w:tcPr>
            <w:tcW w:type="dxa" w:w="1824"/>
            <w:shd w:val="clear" w:color="auto" w:fill="EEF4FB"/>
          </w:tcPr>
          <w:p>
            <w:pPr>
              <w:jc w:val="center"/>
            </w:pPr>
            <w:r>
              <w:rPr>
                <w:rFonts w:ascii="Calibri" w:hAnsi="Calibri"/>
                <w:sz w:val="20"/>
              </w:rPr>
              <w:t>Equipo TI + Planificación SIS</w:t>
            </w:r>
          </w:p>
        </w:tc>
        <w:tc>
          <w:tcPr>
            <w:tcW w:type="dxa" w:w="1824"/>
            <w:shd w:val="clear" w:color="auto" w:fill="EEF4FB"/>
          </w:tcPr>
          <w:p>
            <w:pPr>
              <w:jc w:val="center"/>
            </w:pPr>
            <w:r>
              <w:rPr>
                <w:rFonts w:ascii="Calibri" w:hAnsi="Calibri"/>
                <w:sz w:val="20"/>
              </w:rPr>
              <w:t>Meses 1–3</w:t>
            </w:r>
          </w:p>
        </w:tc>
        <w:tc>
          <w:tcPr>
            <w:tcW w:type="dxa" w:w="1824"/>
            <w:shd w:val="clear" w:color="auto" w:fill="EEF4FB"/>
          </w:tcPr>
          <w:p>
            <w:pPr>
              <w:jc w:val="center"/>
            </w:pPr>
            <w:r>
              <w:rPr>
                <w:rFonts w:ascii="Calibri" w:hAnsi="Calibri"/>
                <w:sz w:val="20"/>
              </w:rPr>
              <w:t>App desplegada, usuarios capacitados</w:t>
            </w:r>
          </w:p>
        </w:tc>
      </w:tr>
      <w:tr>
        <w:tc>
          <w:tcPr>
            <w:tcW w:type="dxa" w:w="1824"/>
            <w:shd w:val="clear" w:color="auto" w:fill="FFFFFF"/>
          </w:tcPr>
          <w:p>
            <w:pPr>
              <w:jc w:val="center"/>
            </w:pPr>
            <w:r>
              <w:rPr>
                <w:rFonts w:ascii="Calibri" w:hAnsi="Calibri"/>
                <w:sz w:val="20"/>
              </w:rPr>
              <w:t>Fase 2: Validación</w:t>
            </w:r>
          </w:p>
        </w:tc>
        <w:tc>
          <w:tcPr>
            <w:tcW w:type="dxa" w:w="1824"/>
            <w:shd w:val="clear" w:color="auto" w:fill="FFFFFF"/>
          </w:tcPr>
          <w:p>
            <w:pPr>
              <w:jc w:val="center"/>
            </w:pPr>
            <w:r>
              <w:rPr>
                <w:rFonts w:ascii="Calibri" w:hAnsi="Calibri"/>
                <w:sz w:val="20"/>
              </w:rPr>
              <w:t>Comparar predicciones vs demanda real 2025 S2. Ajustar modelos.</w:t>
            </w:r>
          </w:p>
        </w:tc>
        <w:tc>
          <w:tcPr>
            <w:tcW w:type="dxa" w:w="1824"/>
            <w:shd w:val="clear" w:color="auto" w:fill="FFFFFF"/>
          </w:tcPr>
          <w:p>
            <w:pPr>
              <w:jc w:val="center"/>
            </w:pPr>
            <w:r>
              <w:rPr>
                <w:rFonts w:ascii="Calibri" w:hAnsi="Calibri"/>
                <w:sz w:val="20"/>
              </w:rPr>
              <w:t>Científico de datos SIS</w:t>
            </w:r>
          </w:p>
        </w:tc>
        <w:tc>
          <w:tcPr>
            <w:tcW w:type="dxa" w:w="1824"/>
            <w:shd w:val="clear" w:color="auto" w:fill="FFFFFF"/>
          </w:tcPr>
          <w:p>
            <w:pPr>
              <w:jc w:val="center"/>
            </w:pPr>
            <w:r>
              <w:rPr>
                <w:rFonts w:ascii="Calibri" w:hAnsi="Calibri"/>
                <w:sz w:val="20"/>
              </w:rPr>
              <w:t>Mes 4–6</w:t>
            </w:r>
          </w:p>
        </w:tc>
        <w:tc>
          <w:tcPr>
            <w:tcW w:type="dxa" w:w="1824"/>
            <w:shd w:val="clear" w:color="auto" w:fill="FFFFFF"/>
          </w:tcPr>
          <w:p>
            <w:pPr>
              <w:jc w:val="center"/>
            </w:pPr>
            <w:r>
              <w:rPr>
                <w:rFonts w:ascii="Calibri" w:hAnsi="Calibri"/>
                <w:sz w:val="20"/>
              </w:rPr>
              <w:t>MAPE &lt; 50% en piloto</w:t>
            </w:r>
          </w:p>
        </w:tc>
      </w:tr>
      <w:tr>
        <w:tc>
          <w:tcPr>
            <w:tcW w:type="dxa" w:w="1824"/>
            <w:shd w:val="clear" w:color="auto" w:fill="EEF4FB"/>
          </w:tcPr>
          <w:p>
            <w:pPr>
              <w:jc w:val="center"/>
            </w:pPr>
            <w:r>
              <w:rPr>
                <w:rFonts w:ascii="Calibri" w:hAnsi="Calibri"/>
                <w:sz w:val="20"/>
              </w:rPr>
              <w:t>Fase 3: Escala</w:t>
            </w:r>
          </w:p>
        </w:tc>
        <w:tc>
          <w:tcPr>
            <w:tcW w:type="dxa" w:w="1824"/>
            <w:shd w:val="clear" w:color="auto" w:fill="EEF4FB"/>
          </w:tcPr>
          <w:p>
            <w:pPr>
              <w:jc w:val="center"/>
            </w:pPr>
            <w:r>
              <w:rPr>
                <w:rFonts w:ascii="Calibri" w:hAnsi="Calibri"/>
                <w:sz w:val="20"/>
              </w:rPr>
              <w:t>Extensión a las 26 regiones. Integración con sistema de RRHH MINSA.</w:t>
            </w:r>
          </w:p>
        </w:tc>
        <w:tc>
          <w:tcPr>
            <w:tcW w:type="dxa" w:w="1824"/>
            <w:shd w:val="clear" w:color="auto" w:fill="EEF4FB"/>
          </w:tcPr>
          <w:p>
            <w:pPr>
              <w:jc w:val="center"/>
            </w:pPr>
            <w:r>
              <w:rPr>
                <w:rFonts w:ascii="Calibri" w:hAnsi="Calibri"/>
                <w:sz w:val="20"/>
              </w:rPr>
              <w:t>MINSA CTIC + SIS</w:t>
            </w:r>
          </w:p>
        </w:tc>
        <w:tc>
          <w:tcPr>
            <w:tcW w:type="dxa" w:w="1824"/>
            <w:shd w:val="clear" w:color="auto" w:fill="EEF4FB"/>
          </w:tcPr>
          <w:p>
            <w:pPr>
              <w:jc w:val="center"/>
            </w:pPr>
            <w:r>
              <w:rPr>
                <w:rFonts w:ascii="Calibri" w:hAnsi="Calibri"/>
                <w:sz w:val="20"/>
              </w:rPr>
              <w:t>Meses 7–12</w:t>
            </w:r>
          </w:p>
        </w:tc>
        <w:tc>
          <w:tcPr>
            <w:tcW w:type="dxa" w:w="1824"/>
            <w:shd w:val="clear" w:color="auto" w:fill="EEF4FB"/>
          </w:tcPr>
          <w:p>
            <w:pPr>
              <w:jc w:val="center"/>
            </w:pPr>
            <w:r>
              <w:rPr>
                <w:rFonts w:ascii="Calibri" w:hAnsi="Calibri"/>
                <w:sz w:val="20"/>
              </w:rPr>
              <w:t>8,725 IPRESS con predicción activa</w:t>
            </w:r>
          </w:p>
        </w:tc>
      </w:tr>
      <w:tr>
        <w:tc>
          <w:tcPr>
            <w:tcW w:type="dxa" w:w="1824"/>
            <w:shd w:val="clear" w:color="auto" w:fill="FFFFFF"/>
          </w:tcPr>
          <w:p>
            <w:pPr>
              <w:jc w:val="center"/>
            </w:pPr>
            <w:r>
              <w:rPr>
                <w:rFonts w:ascii="Calibri" w:hAnsi="Calibri"/>
                <w:sz w:val="20"/>
              </w:rPr>
              <w:t>Fase 4: Sostenimiento</w:t>
            </w:r>
          </w:p>
        </w:tc>
        <w:tc>
          <w:tcPr>
            <w:tcW w:type="dxa" w:w="1824"/>
            <w:shd w:val="clear" w:color="auto" w:fill="FFFFFF"/>
          </w:tcPr>
          <w:p>
            <w:pPr>
              <w:jc w:val="center"/>
            </w:pPr>
            <w:r>
              <w:rPr>
                <w:rFonts w:ascii="Calibri" w:hAnsi="Calibri"/>
                <w:sz w:val="20"/>
              </w:rPr>
              <w:t>Reentrenamiento semestral del modelo con nuevos datos.</w:t>
            </w:r>
          </w:p>
        </w:tc>
        <w:tc>
          <w:tcPr>
            <w:tcW w:type="dxa" w:w="1824"/>
            <w:shd w:val="clear" w:color="auto" w:fill="FFFFFF"/>
          </w:tcPr>
          <w:p>
            <w:pPr>
              <w:jc w:val="center"/>
            </w:pPr>
            <w:r>
              <w:rPr>
                <w:rFonts w:ascii="Calibri" w:hAnsi="Calibri"/>
                <w:sz w:val="20"/>
              </w:rPr>
              <w:t>Célula analytics SIS</w:t>
            </w:r>
          </w:p>
        </w:tc>
        <w:tc>
          <w:tcPr>
            <w:tcW w:type="dxa" w:w="1824"/>
            <w:shd w:val="clear" w:color="auto" w:fill="FFFFFF"/>
          </w:tcPr>
          <w:p>
            <w:pPr>
              <w:jc w:val="center"/>
            </w:pPr>
            <w:r>
              <w:rPr>
                <w:rFonts w:ascii="Calibri" w:hAnsi="Calibri"/>
                <w:sz w:val="20"/>
              </w:rPr>
              <w:t>Semestral</w:t>
            </w:r>
          </w:p>
        </w:tc>
        <w:tc>
          <w:tcPr>
            <w:tcW w:type="dxa" w:w="1824"/>
            <w:shd w:val="clear" w:color="auto" w:fill="FFFFFF"/>
          </w:tcPr>
          <w:p>
            <w:pPr>
              <w:jc w:val="center"/>
            </w:pPr>
            <w:r>
              <w:rPr>
                <w:rFonts w:ascii="Calibri" w:hAnsi="Calibri"/>
                <w:sz w:val="20"/>
              </w:rPr>
              <w:t>Deriva del modelo &lt; 5pp MAPE</w:t>
            </w:r>
          </w:p>
        </w:tc>
      </w:tr>
    </w:tbl>
    <w:p/>
    <w:p>
      <w:pPr>
        <w:pStyle w:val="Heading2"/>
      </w:pPr>
      <w:r>
        <w:rPr>
          <w:rFonts w:ascii="Calibri" w:hAnsi="Calibri"/>
          <w:color w:val="1F497D"/>
        </w:rPr>
        <w:t>6.1 Requerimientos de Implementación</w:t>
      </w:r>
    </w:p>
    <w:p>
      <w:pPr>
        <w:pStyle w:val="ListBullet"/>
      </w:pPr>
      <w:r>
        <w:rPr>
          <w:rFonts w:ascii="Calibri" w:hAnsi="Calibri"/>
          <w:sz w:val="22"/>
        </w:rPr>
        <w:t>Infraestructura: servidor con 16 GB RAM y Python 3.10+ (costo estimado S/. 3,000/mes en nube AWS/GCP en tier estándar).</w:t>
      </w:r>
    </w:p>
    <w:p>
      <w:pPr>
        <w:pStyle w:val="ListBullet"/>
      </w:pPr>
      <w:r>
        <w:rPr>
          <w:rFonts w:ascii="Calibri" w:hAnsi="Calibri"/>
          <w:sz w:val="22"/>
        </w:rPr>
        <w:t>Datos: acceso automatizado a la API de datos.gob.pe o carga manual semestral de los archivos CSV del SIS.</w:t>
      </w:r>
    </w:p>
    <w:p>
      <w:pPr>
        <w:pStyle w:val="ListBullet"/>
      </w:pPr>
      <w:r>
        <w:rPr>
          <w:rFonts w:ascii="Calibri" w:hAnsi="Calibri"/>
          <w:sz w:val="22"/>
        </w:rPr>
        <w:t>Integración: conexión con el sistema de planificación de RRHH del MINSA para que las predicciones alimenten directamente las órdenes de turno.</w:t>
      </w:r>
    </w:p>
    <w:p>
      <w:pPr>
        <w:pStyle w:val="ListBullet"/>
      </w:pPr>
      <w:r>
        <w:rPr>
          <w:rFonts w:ascii="Calibri" w:hAnsi="Calibri"/>
          <w:sz w:val="22"/>
        </w:rPr>
        <w:t>Capacitación: 2 sesiones de 4 horas para planificadores regionales del SIS sobre uso del dashboard Streamlit.</w:t>
      </w:r>
    </w:p>
    <w:p>
      <w:pPr>
        <w:pStyle w:val="Heading1"/>
      </w:pPr>
      <w:r>
        <w:rPr>
          <w:rFonts w:ascii="Calibri" w:hAnsi="Calibri"/>
          <w:color w:val="00467F"/>
        </w:rPr>
        <w:t>7. Equipo de Trabajo Propuesto para la Implementación</w:t>
      </w:r>
    </w:p>
    <w:p>
      <w:pPr>
        <w:spacing w:after="60"/>
      </w:pPr>
      <w:r>
        <w:rPr>
          <w:rFonts w:ascii="Calibri" w:hAnsi="Calibri"/>
          <w:b/>
          <w:color w:val="44546A"/>
          <w:sz w:val="20"/>
        </w:rPr>
        <w:t>Tabla 14. Equipo propuesto para implementación de SIS-DEMAND</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shd w:val="clear" w:color="auto" w:fill="00468F"/>
          </w:tcPr>
          <w:p>
            <w:pPr>
              <w:jc w:val="center"/>
            </w:pPr>
            <w:r>
              <w:rPr>
                <w:rFonts w:ascii="Calibri" w:hAnsi="Calibri"/>
                <w:b/>
                <w:color w:val="FFFFFF"/>
                <w:sz w:val="20"/>
              </w:rPr>
              <w:t>Rol</w:t>
            </w:r>
          </w:p>
        </w:tc>
        <w:tc>
          <w:tcPr>
            <w:tcW w:type="dxa" w:w="2280"/>
            <w:vAlign w:val="center"/>
            <w:shd w:val="clear" w:color="auto" w:fill="00468F"/>
          </w:tcPr>
          <w:p>
            <w:pPr>
              <w:jc w:val="center"/>
            </w:pPr>
            <w:r>
              <w:rPr>
                <w:rFonts w:ascii="Calibri" w:hAnsi="Calibri"/>
                <w:b/>
                <w:color w:val="FFFFFF"/>
                <w:sz w:val="20"/>
              </w:rPr>
              <w:t>Perfil Requerido</w:t>
            </w:r>
          </w:p>
        </w:tc>
        <w:tc>
          <w:tcPr>
            <w:tcW w:type="dxa" w:w="2280"/>
            <w:vAlign w:val="center"/>
            <w:shd w:val="clear" w:color="auto" w:fill="00468F"/>
          </w:tcPr>
          <w:p>
            <w:pPr>
              <w:jc w:val="center"/>
            </w:pPr>
            <w:r>
              <w:rPr>
                <w:rFonts w:ascii="Calibri" w:hAnsi="Calibri"/>
                <w:b/>
                <w:color w:val="FFFFFF"/>
                <w:sz w:val="20"/>
              </w:rPr>
              <w:t>Dedicación</w:t>
            </w:r>
          </w:p>
        </w:tc>
        <w:tc>
          <w:tcPr>
            <w:tcW w:type="dxa" w:w="2280"/>
            <w:vAlign w:val="center"/>
            <w:shd w:val="clear" w:color="auto" w:fill="00468F"/>
          </w:tcPr>
          <w:p>
            <w:pPr>
              <w:jc w:val="center"/>
            </w:pPr>
            <w:r>
              <w:rPr>
                <w:rFonts w:ascii="Calibri" w:hAnsi="Calibri"/>
                <w:b/>
                <w:color w:val="FFFFFF"/>
                <w:sz w:val="20"/>
              </w:rPr>
              <w:t>Responsabilidad Principal</w:t>
            </w:r>
          </w:p>
        </w:tc>
      </w:tr>
      <w:tr>
        <w:tc>
          <w:tcPr>
            <w:tcW w:type="dxa" w:w="2280"/>
            <w:shd w:val="clear" w:color="auto" w:fill="EEF4FB"/>
          </w:tcPr>
          <w:p>
            <w:pPr>
              <w:jc w:val="center"/>
            </w:pPr>
            <w:r>
              <w:rPr>
                <w:rFonts w:ascii="Calibri" w:hAnsi="Calibri"/>
                <w:sz w:val="20"/>
              </w:rPr>
              <w:t>Científico de Datos Senior</w:t>
            </w:r>
          </w:p>
        </w:tc>
        <w:tc>
          <w:tcPr>
            <w:tcW w:type="dxa" w:w="2280"/>
            <w:shd w:val="clear" w:color="auto" w:fill="EEF4FB"/>
          </w:tcPr>
          <w:p>
            <w:pPr>
              <w:jc w:val="center"/>
            </w:pPr>
            <w:r>
              <w:rPr>
                <w:rFonts w:ascii="Calibri" w:hAnsi="Calibri"/>
                <w:sz w:val="20"/>
              </w:rPr>
              <w:t>PhD o Maestría en Ciencia de Datos, 5+ años</w:t>
            </w:r>
          </w:p>
        </w:tc>
        <w:tc>
          <w:tcPr>
            <w:tcW w:type="dxa" w:w="2280"/>
            <w:shd w:val="clear" w:color="auto" w:fill="EEF4FB"/>
          </w:tcPr>
          <w:p>
            <w:pPr>
              <w:jc w:val="center"/>
            </w:pPr>
            <w:r>
              <w:rPr>
                <w:rFonts w:ascii="Calibri" w:hAnsi="Calibri"/>
                <w:sz w:val="20"/>
              </w:rPr>
              <w:t>100% (Fase 1–2)</w:t>
            </w:r>
          </w:p>
        </w:tc>
        <w:tc>
          <w:tcPr>
            <w:tcW w:type="dxa" w:w="2280"/>
            <w:shd w:val="clear" w:color="auto" w:fill="EEF4FB"/>
          </w:tcPr>
          <w:p>
            <w:pPr>
              <w:jc w:val="center"/>
            </w:pPr>
            <w:r>
              <w:rPr>
                <w:rFonts w:ascii="Calibri" w:hAnsi="Calibri"/>
                <w:sz w:val="20"/>
              </w:rPr>
              <w:t>Mantenimiento y mejora de modelos</w:t>
            </w:r>
          </w:p>
        </w:tc>
      </w:tr>
      <w:tr>
        <w:tc>
          <w:tcPr>
            <w:tcW w:type="dxa" w:w="2280"/>
            <w:shd w:val="clear" w:color="auto" w:fill="FFFFFF"/>
          </w:tcPr>
          <w:p>
            <w:pPr>
              <w:jc w:val="center"/>
            </w:pPr>
            <w:r>
              <w:rPr>
                <w:rFonts w:ascii="Calibri" w:hAnsi="Calibri"/>
                <w:sz w:val="20"/>
              </w:rPr>
              <w:t>Ingeniero de Datos</w:t>
            </w:r>
          </w:p>
        </w:tc>
        <w:tc>
          <w:tcPr>
            <w:tcW w:type="dxa" w:w="2280"/>
            <w:shd w:val="clear" w:color="auto" w:fill="FFFFFF"/>
          </w:tcPr>
          <w:p>
            <w:pPr>
              <w:jc w:val="center"/>
            </w:pPr>
            <w:r>
              <w:rPr>
                <w:rFonts w:ascii="Calibri" w:hAnsi="Calibri"/>
                <w:sz w:val="20"/>
              </w:rPr>
              <w:t>Bachiller en Ingeniería, experiencia en ETL/Parquet</w:t>
            </w:r>
          </w:p>
        </w:tc>
        <w:tc>
          <w:tcPr>
            <w:tcW w:type="dxa" w:w="2280"/>
            <w:shd w:val="clear" w:color="auto" w:fill="FFFFFF"/>
          </w:tcPr>
          <w:p>
            <w:pPr>
              <w:jc w:val="center"/>
            </w:pPr>
            <w:r>
              <w:rPr>
                <w:rFonts w:ascii="Calibri" w:hAnsi="Calibri"/>
                <w:sz w:val="20"/>
              </w:rPr>
              <w:t>100% (Fase 1–3)</w:t>
            </w:r>
          </w:p>
        </w:tc>
        <w:tc>
          <w:tcPr>
            <w:tcW w:type="dxa" w:w="2280"/>
            <w:shd w:val="clear" w:color="auto" w:fill="FFFFFF"/>
          </w:tcPr>
          <w:p>
            <w:pPr>
              <w:jc w:val="center"/>
            </w:pPr>
            <w:r>
              <w:rPr>
                <w:rFonts w:ascii="Calibri" w:hAnsi="Calibri"/>
                <w:sz w:val="20"/>
              </w:rPr>
              <w:t>Pipeline de datos y actualización semestral</w:t>
            </w:r>
          </w:p>
        </w:tc>
      </w:tr>
      <w:tr>
        <w:tc>
          <w:tcPr>
            <w:tcW w:type="dxa" w:w="2280"/>
            <w:shd w:val="clear" w:color="auto" w:fill="EEF4FB"/>
          </w:tcPr>
          <w:p>
            <w:pPr>
              <w:jc w:val="center"/>
            </w:pPr>
            <w:r>
              <w:rPr>
                <w:rFonts w:ascii="Calibri" w:hAnsi="Calibri"/>
                <w:sz w:val="20"/>
              </w:rPr>
              <w:t>Analista de Planificación SIS</w:t>
            </w:r>
          </w:p>
        </w:tc>
        <w:tc>
          <w:tcPr>
            <w:tcW w:type="dxa" w:w="2280"/>
            <w:shd w:val="clear" w:color="auto" w:fill="EEF4FB"/>
          </w:tcPr>
          <w:p>
            <w:pPr>
              <w:jc w:val="center"/>
            </w:pPr>
            <w:r>
              <w:rPr>
                <w:rFonts w:ascii="Calibri" w:hAnsi="Calibri"/>
                <w:sz w:val="20"/>
              </w:rPr>
              <w:t>Economista o estadístico con conocimiento SIS</w:t>
            </w:r>
          </w:p>
        </w:tc>
        <w:tc>
          <w:tcPr>
            <w:tcW w:type="dxa" w:w="2280"/>
            <w:shd w:val="clear" w:color="auto" w:fill="EEF4FB"/>
          </w:tcPr>
          <w:p>
            <w:pPr>
              <w:jc w:val="center"/>
            </w:pPr>
            <w:r>
              <w:rPr>
                <w:rFonts w:ascii="Calibri" w:hAnsi="Calibri"/>
                <w:sz w:val="20"/>
              </w:rPr>
              <w:t>50% (Fase 2–4)</w:t>
            </w:r>
          </w:p>
        </w:tc>
        <w:tc>
          <w:tcPr>
            <w:tcW w:type="dxa" w:w="2280"/>
            <w:shd w:val="clear" w:color="auto" w:fill="EEF4FB"/>
          </w:tcPr>
          <w:p>
            <w:pPr>
              <w:jc w:val="center"/>
            </w:pPr>
            <w:r>
              <w:rPr>
                <w:rFonts w:ascii="Calibri" w:hAnsi="Calibri"/>
                <w:sz w:val="20"/>
              </w:rPr>
              <w:t>Validación de resultados, coordinación regional</w:t>
            </w:r>
          </w:p>
        </w:tc>
      </w:tr>
      <w:tr>
        <w:tc>
          <w:tcPr>
            <w:tcW w:type="dxa" w:w="2280"/>
            <w:shd w:val="clear" w:color="auto" w:fill="FFFFFF"/>
          </w:tcPr>
          <w:p>
            <w:pPr>
              <w:jc w:val="center"/>
            </w:pPr>
            <w:r>
              <w:rPr>
                <w:rFonts w:ascii="Calibri" w:hAnsi="Calibri"/>
                <w:sz w:val="20"/>
              </w:rPr>
              <w:t>Desarrollador Full-Stack</w:t>
            </w:r>
          </w:p>
        </w:tc>
        <w:tc>
          <w:tcPr>
            <w:tcW w:type="dxa" w:w="2280"/>
            <w:shd w:val="clear" w:color="auto" w:fill="FFFFFF"/>
          </w:tcPr>
          <w:p>
            <w:pPr>
              <w:jc w:val="center"/>
            </w:pPr>
            <w:r>
              <w:rPr>
                <w:rFonts w:ascii="Calibri" w:hAnsi="Calibri"/>
                <w:sz w:val="20"/>
              </w:rPr>
              <w:t>Experiencia en Streamlit/Python/Dashboard</w:t>
            </w:r>
          </w:p>
        </w:tc>
        <w:tc>
          <w:tcPr>
            <w:tcW w:type="dxa" w:w="2280"/>
            <w:shd w:val="clear" w:color="auto" w:fill="FFFFFF"/>
          </w:tcPr>
          <w:p>
            <w:pPr>
              <w:jc w:val="center"/>
            </w:pPr>
            <w:r>
              <w:rPr>
                <w:rFonts w:ascii="Calibri" w:hAnsi="Calibri"/>
                <w:sz w:val="20"/>
              </w:rPr>
              <w:t>50% (Fase 1)</w:t>
            </w:r>
          </w:p>
        </w:tc>
        <w:tc>
          <w:tcPr>
            <w:tcW w:type="dxa" w:w="2280"/>
            <w:shd w:val="clear" w:color="auto" w:fill="FFFFFF"/>
          </w:tcPr>
          <w:p>
            <w:pPr>
              <w:jc w:val="center"/>
            </w:pPr>
            <w:r>
              <w:rPr>
                <w:rFonts w:ascii="Calibri" w:hAnsi="Calibri"/>
                <w:sz w:val="20"/>
              </w:rPr>
              <w:t>Despliegue y mantenimiento del dashboard</w:t>
            </w:r>
          </w:p>
        </w:tc>
      </w:tr>
      <w:tr>
        <w:tc>
          <w:tcPr>
            <w:tcW w:type="dxa" w:w="2280"/>
            <w:shd w:val="clear" w:color="auto" w:fill="EEF4FB"/>
          </w:tcPr>
          <w:p>
            <w:pPr>
              <w:jc w:val="center"/>
            </w:pPr>
            <w:r>
              <w:rPr>
                <w:rFonts w:ascii="Calibri" w:hAnsi="Calibri"/>
                <w:sz w:val="20"/>
              </w:rPr>
              <w:t>Jefe de Proyecto</w:t>
            </w:r>
          </w:p>
        </w:tc>
        <w:tc>
          <w:tcPr>
            <w:tcW w:type="dxa" w:w="2280"/>
            <w:shd w:val="clear" w:color="auto" w:fill="EEF4FB"/>
          </w:tcPr>
          <w:p>
            <w:pPr>
              <w:jc w:val="center"/>
            </w:pPr>
            <w:r>
              <w:rPr>
                <w:rFonts w:ascii="Calibri" w:hAnsi="Calibri"/>
                <w:sz w:val="20"/>
              </w:rPr>
              <w:t>Project Manager con experiencia en salud pública</w:t>
            </w:r>
          </w:p>
        </w:tc>
        <w:tc>
          <w:tcPr>
            <w:tcW w:type="dxa" w:w="2280"/>
            <w:shd w:val="clear" w:color="auto" w:fill="EEF4FB"/>
          </w:tcPr>
          <w:p>
            <w:pPr>
              <w:jc w:val="center"/>
            </w:pPr>
            <w:r>
              <w:rPr>
                <w:rFonts w:ascii="Calibri" w:hAnsi="Calibri"/>
                <w:sz w:val="20"/>
              </w:rPr>
              <w:t>25% (todas)</w:t>
            </w:r>
          </w:p>
        </w:tc>
        <w:tc>
          <w:tcPr>
            <w:tcW w:type="dxa" w:w="2280"/>
            <w:shd w:val="clear" w:color="auto" w:fill="EEF4FB"/>
          </w:tcPr>
          <w:p>
            <w:pPr>
              <w:jc w:val="center"/>
            </w:pPr>
            <w:r>
              <w:rPr>
                <w:rFonts w:ascii="Calibri" w:hAnsi="Calibri"/>
                <w:sz w:val="20"/>
              </w:rPr>
              <w:t>Coordinación con MINSA y SIS central</w:t>
            </w:r>
          </w:p>
        </w:tc>
      </w:tr>
    </w:tbl>
    <w:p/>
    <w:p>
      <w:pPr>
        <w:spacing w:after="120"/>
      </w:pPr>
      <w:r>
        <w:rPr>
          <w:rFonts w:ascii="Calibri" w:hAnsi="Calibri"/>
          <w:sz w:val="22"/>
        </w:rPr>
        <w:t>Costo total estimado del equipo en Fase 1 (3 meses): S/. 85,000. ROI del proyecto: S/. 33.9 millones / S/. 85,000 = 399x en el primer año (escenario base). Incluso en el escenario conservador (S/. 11.3 M), el ROI supera 133x.</w:t>
      </w:r>
    </w:p>
    <w:p>
      <w:r>
        <w:br w:type="page"/>
      </w:r>
    </w:p>
    <w:p>
      <w:pPr>
        <w:pStyle w:val="Heading1"/>
      </w:pPr>
      <w:r>
        <w:rPr>
          <w:rFonts w:ascii="Calibri" w:hAnsi="Calibri"/>
          <w:color w:val="00467F"/>
        </w:rPr>
        <w:t>8. Conclusiones y Recomendaciones</w:t>
      </w:r>
    </w:p>
    <w:p>
      <w:pPr>
        <w:spacing w:before="160"/>
        <w:shd w:val="clear" w:color="auto" w:fill="00468F"/>
      </w:pPr>
      <w:r>
        <w:rPr>
          <w:rFonts w:ascii="Calibri" w:hAnsi="Calibri"/>
          <w:b/>
          <w:color w:val="FFFFFF"/>
          <w:sz w:val="22"/>
        </w:rPr>
        <w:t xml:space="preserve">  Paso 10: Monitorear, Comunicar y Ajustar  </w:t>
      </w:r>
    </w:p>
    <w:p>
      <w:pPr>
        <w:spacing w:after="120"/>
      </w:pPr>
      <w:r>
        <w:rPr>
          <w:rFonts w:ascii="Calibri" w:hAnsi="Calibri"/>
          <w:sz w:val="22"/>
        </w:rPr>
        <w:t>El modelo debe reentrenarse cada semestre con los nuevos datos disponibles. Indicadores de deriva: si el MAPE en producción supera en 5pp el MAPE de test, activar alerta de reentrenamiento. Comunicación: dashboard mensual para planificadores regionales SIS con las top 50 IPRESS de mayor riesgo de desajuste demanda-capacidad. Ajuste: incorporar datos INEI de población por distrito en la versión 2.0 para habilitar la tasa de cobertura.</w:t>
      </w:r>
    </w:p>
    <w:p>
      <w:pPr>
        <w:pStyle w:val="Heading2"/>
      </w:pPr>
      <w:r>
        <w:rPr>
          <w:rFonts w:ascii="Calibri" w:hAnsi="Calibri"/>
          <w:color w:val="1F497D"/>
        </w:rPr>
        <w:t>8.1 Conclusiones</w:t>
      </w:r>
    </w:p>
    <w:p>
      <w:pPr>
        <w:pStyle w:val="ListBullet"/>
      </w:pPr>
      <w:r>
        <w:rPr>
          <w:rFonts w:ascii="Calibri" w:hAnsi="Calibri"/>
          <w:sz w:val="22"/>
        </w:rPr>
        <w:t>SIS-DEMAND demuestra que es técnicamente viable construir un sistema predictivo de demanda médica a granularidad IPRESS para la red nacional SIS, utilizando exclusivamente datos abiertos del gobierno peruano.</w:t>
      </w:r>
    </w:p>
    <w:p>
      <w:pPr>
        <w:pStyle w:val="ListBullet"/>
      </w:pPr>
      <w:r>
        <w:rPr>
          <w:rFonts w:ascii="Calibri" w:hAnsi="Calibri"/>
          <w:sz w:val="22"/>
        </w:rPr>
        <w:t>El LightGBM es el mejor modelo con MAPE = 53.96% y R² = 0.309 en el conjunto de test temporal (P8 = 2024 S2). Los tres modelos (RF, XGBoost, LightGBM) obtienen resultados estadísticamente consistentes, confirmando la robustez del pipeline.</w:t>
      </w:r>
    </w:p>
    <w:p>
      <w:pPr>
        <w:pStyle w:val="ListBullet"/>
      </w:pPr>
      <w:r>
        <w:rPr>
          <w:rFonts w:ascii="Calibri" w:hAnsi="Calibri"/>
          <w:sz w:val="22"/>
        </w:rPr>
        <w:t>La autocorrelación temporal de la demanda (r = 0.747) es el fundamento estadístico del modelo. El feature ROLLING_MEAN_2SEM explica el 35.1% de la varianza según SHAP, confirmando que el historial reciente es el predictor más poderoso.</w:t>
      </w:r>
    </w:p>
    <w:p>
      <w:pPr>
        <w:pStyle w:val="ListBullet"/>
      </w:pPr>
      <w:r>
        <w:rPr>
          <w:rFonts w:ascii="Calibri" w:hAnsi="Calibri"/>
          <w:sz w:val="22"/>
        </w:rPr>
        <w:t>El MAPE de ~54% refleja la dificultad intrínseca del problema (50% de registros ≤ 3 atenciones) y no invalida el valor del sistema — el impacto está en la granularidad y la sistematización de predicciones, no solo en la reducción marginal del error.</w:t>
      </w:r>
    </w:p>
    <w:p>
      <w:pPr>
        <w:pStyle w:val="ListBullet"/>
      </w:pPr>
      <w:r>
        <w:rPr>
          <w:rFonts w:ascii="Calibri" w:hAnsi="Calibri"/>
          <w:sz w:val="22"/>
        </w:rPr>
        <w:t>El análisis de clustering identificó 4 perfiles diferenciados de IPRESS que permiten estrategias de planificación específicas por segmento.</w:t>
      </w:r>
    </w:p>
    <w:p>
      <w:pPr>
        <w:pStyle w:val="Heading2"/>
      </w:pPr>
      <w:r>
        <w:rPr>
          <w:rFonts w:ascii="Calibri" w:hAnsi="Calibri"/>
          <w:color w:val="1F497D"/>
        </w:rPr>
        <w:t>8.2 Recomendaciones</w:t>
      </w:r>
    </w:p>
    <w:p>
      <w:pPr>
        <w:pStyle w:val="ListBullet"/>
      </w:pPr>
      <w:r>
        <w:rPr>
          <w:rFonts w:ascii="Calibri" w:hAnsi="Calibri"/>
          <w:sz w:val="22"/>
        </w:rPr>
        <w:t>Incorporar datos INEI de población por distrito (join por UBIGEO) para calcular la tasa de cobertura (atenciones/población), transformando el conteo absoluto en indicador relativo de acceso al SIS.</w:t>
      </w:r>
    </w:p>
    <w:p>
      <w:pPr>
        <w:pStyle w:val="ListBullet"/>
      </w:pPr>
      <w:r>
        <w:rPr>
          <w:rFonts w:ascii="Calibri" w:hAnsi="Calibri"/>
          <w:sz w:val="22"/>
        </w:rPr>
        <w:t>Desarrollar modelos especializados por segmento de IPRESS (Cluster 0–3), dado que cada perfil tiene patrones de demanda estructuralmente distintos.</w:t>
      </w:r>
    </w:p>
    <w:p>
      <w:pPr>
        <w:pStyle w:val="ListBullet"/>
      </w:pPr>
      <w:r>
        <w:rPr>
          <w:rFonts w:ascii="Calibri" w:hAnsi="Calibri"/>
          <w:sz w:val="22"/>
        </w:rPr>
        <w:t>Implementar un sistema de alertas tempranas automáticas: notificar a los gerentes regionales SIS cuando alguna IPRESS tenga predicción &gt; media + 1.5σ de su historial reciente.</w:t>
      </w:r>
    </w:p>
    <w:p>
      <w:pPr>
        <w:pStyle w:val="ListBullet"/>
      </w:pPr>
      <w:r>
        <w:rPr>
          <w:rFonts w:ascii="Calibri" w:hAnsi="Calibri"/>
          <w:sz w:val="22"/>
        </w:rPr>
        <w:t>Evaluar el uso de Prophet (Facebook/Meta) para las series con mayor estacionalidad detectada, como los servicios CRED pediátrico y Planificación Familiar, que muestran patrones de campaña claros.</w:t>
      </w:r>
    </w:p>
    <w:p>
      <w:pPr>
        <w:pStyle w:val="ListBullet"/>
      </w:pPr>
      <w:r>
        <w:rPr>
          <w:rFonts w:ascii="Calibri" w:hAnsi="Calibri"/>
          <w:sz w:val="22"/>
        </w:rPr>
        <w:t>Fomentar una cultura data-driven en los equipos de planificación regional del SIS: capacitación en lectura de dashboards y toma de decisiones basadas en predicciones, no solo en datos históricos.</w:t>
      </w:r>
    </w:p>
    <w:p>
      <w:pPr>
        <w:pStyle w:val="ListBullet"/>
      </w:pPr>
      <w:r>
        <w:rPr>
          <w:rFonts w:ascii="Calibri" w:hAnsi="Calibri"/>
          <w:sz w:val="22"/>
        </w:rPr>
        <w:t>Reportar semestralmente los resultados del modelo al Comité de Transparencia del MINSA como parte del sistema de gestión por resultados.</w:t>
      </w:r>
    </w:p>
    <w:p>
      <w:pPr>
        <w:pStyle w:val="Heading2"/>
      </w:pPr>
      <w:r>
        <w:rPr>
          <w:rFonts w:ascii="Calibri" w:hAnsi="Calibri"/>
          <w:color w:val="1F497D"/>
        </w:rPr>
        <w:t>8.3 Riesgos y Mitigaciones</w:t>
      </w:r>
    </w:p>
    <w:p>
      <w:pPr>
        <w:spacing w:after="60"/>
      </w:pPr>
      <w:r>
        <w:rPr>
          <w:rFonts w:ascii="Calibri" w:hAnsi="Calibri"/>
          <w:b/>
          <w:color w:val="44546A"/>
          <w:sz w:val="20"/>
        </w:rPr>
        <w:t>Tabla 15. Matriz de riesgos del proyecto SIS-DEMAND</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shd w:val="clear" w:color="auto" w:fill="00468F"/>
          </w:tcPr>
          <w:p>
            <w:pPr>
              <w:jc w:val="center"/>
            </w:pPr>
            <w:r>
              <w:rPr>
                <w:rFonts w:ascii="Calibri" w:hAnsi="Calibri"/>
                <w:b/>
                <w:color w:val="FFFFFF"/>
                <w:sz w:val="20"/>
              </w:rPr>
              <w:t>Riesgo</w:t>
            </w:r>
          </w:p>
        </w:tc>
        <w:tc>
          <w:tcPr>
            <w:tcW w:type="dxa" w:w="2280"/>
            <w:vAlign w:val="center"/>
            <w:shd w:val="clear" w:color="auto" w:fill="00468F"/>
          </w:tcPr>
          <w:p>
            <w:pPr>
              <w:jc w:val="center"/>
            </w:pPr>
            <w:r>
              <w:rPr>
                <w:rFonts w:ascii="Calibri" w:hAnsi="Calibri"/>
                <w:b/>
                <w:color w:val="FFFFFF"/>
                <w:sz w:val="20"/>
              </w:rPr>
              <w:t>Probabilidad</w:t>
            </w:r>
          </w:p>
        </w:tc>
        <w:tc>
          <w:tcPr>
            <w:tcW w:type="dxa" w:w="2280"/>
            <w:vAlign w:val="center"/>
            <w:shd w:val="clear" w:color="auto" w:fill="00468F"/>
          </w:tcPr>
          <w:p>
            <w:pPr>
              <w:jc w:val="center"/>
            </w:pPr>
            <w:r>
              <w:rPr>
                <w:rFonts w:ascii="Calibri" w:hAnsi="Calibri"/>
                <w:b/>
                <w:color w:val="FFFFFF"/>
                <w:sz w:val="20"/>
              </w:rPr>
              <w:t>Impacto</w:t>
            </w:r>
          </w:p>
        </w:tc>
        <w:tc>
          <w:tcPr>
            <w:tcW w:type="dxa" w:w="2280"/>
            <w:vAlign w:val="center"/>
            <w:shd w:val="clear" w:color="auto" w:fill="00468F"/>
          </w:tcPr>
          <w:p>
            <w:pPr>
              <w:jc w:val="center"/>
            </w:pPr>
            <w:r>
              <w:rPr>
                <w:rFonts w:ascii="Calibri" w:hAnsi="Calibri"/>
                <w:b/>
                <w:color w:val="FFFFFF"/>
                <w:sz w:val="20"/>
              </w:rPr>
              <w:t>Mitigación</w:t>
            </w:r>
          </w:p>
        </w:tc>
      </w:tr>
      <w:tr>
        <w:tc>
          <w:tcPr>
            <w:tcW w:type="dxa" w:w="2280"/>
            <w:shd w:val="clear" w:color="auto" w:fill="EEF4FB"/>
          </w:tcPr>
          <w:p>
            <w:pPr>
              <w:jc w:val="center"/>
            </w:pPr>
            <w:r>
              <w:rPr>
                <w:rFonts w:ascii="Calibri" w:hAnsi="Calibri"/>
                <w:sz w:val="20"/>
              </w:rPr>
              <w:t>Cambio en estructura de datos SIS</w:t>
            </w:r>
          </w:p>
        </w:tc>
        <w:tc>
          <w:tcPr>
            <w:tcW w:type="dxa" w:w="2280"/>
            <w:shd w:val="clear" w:color="auto" w:fill="EEF4FB"/>
          </w:tcPr>
          <w:p>
            <w:pPr>
              <w:jc w:val="center"/>
            </w:pPr>
            <w:r>
              <w:rPr>
                <w:rFonts w:ascii="Calibri" w:hAnsi="Calibri"/>
                <w:sz w:val="20"/>
              </w:rPr>
              <w:t>Media</w:t>
            </w:r>
          </w:p>
        </w:tc>
        <w:tc>
          <w:tcPr>
            <w:tcW w:type="dxa" w:w="2280"/>
            <w:shd w:val="clear" w:color="auto" w:fill="EEF4FB"/>
          </w:tcPr>
          <w:p>
            <w:pPr>
              <w:jc w:val="center"/>
            </w:pPr>
            <w:r>
              <w:rPr>
                <w:rFonts w:ascii="Calibri" w:hAnsi="Calibri"/>
                <w:sz w:val="20"/>
              </w:rPr>
              <w:t>Alto</w:t>
            </w:r>
          </w:p>
        </w:tc>
        <w:tc>
          <w:tcPr>
            <w:tcW w:type="dxa" w:w="2280"/>
            <w:shd w:val="clear" w:color="auto" w:fill="EEF4FB"/>
          </w:tcPr>
          <w:p>
            <w:pPr>
              <w:jc w:val="center"/>
            </w:pPr>
            <w:r>
              <w:rPr>
                <w:rFonts w:ascii="Calibri" w:hAnsi="Calibri"/>
                <w:sz w:val="20"/>
              </w:rPr>
              <w:t>Validación automática de esquema en cada ingesta</w:t>
            </w:r>
          </w:p>
        </w:tc>
      </w:tr>
      <w:tr>
        <w:tc>
          <w:tcPr>
            <w:tcW w:type="dxa" w:w="2280"/>
            <w:shd w:val="clear" w:color="auto" w:fill="FFFFFF"/>
          </w:tcPr>
          <w:p>
            <w:pPr>
              <w:jc w:val="center"/>
            </w:pPr>
            <w:r>
              <w:rPr>
                <w:rFonts w:ascii="Calibri" w:hAnsi="Calibri"/>
                <w:sz w:val="20"/>
              </w:rPr>
              <w:t>Sesgo en datos (subregistro rural)</w:t>
            </w:r>
          </w:p>
        </w:tc>
        <w:tc>
          <w:tcPr>
            <w:tcW w:type="dxa" w:w="2280"/>
            <w:shd w:val="clear" w:color="auto" w:fill="FFFFFF"/>
          </w:tcPr>
          <w:p>
            <w:pPr>
              <w:jc w:val="center"/>
            </w:pPr>
            <w:r>
              <w:rPr>
                <w:rFonts w:ascii="Calibri" w:hAnsi="Calibri"/>
                <w:sz w:val="20"/>
              </w:rPr>
              <w:t>Alta</w:t>
            </w:r>
          </w:p>
        </w:tc>
        <w:tc>
          <w:tcPr>
            <w:tcW w:type="dxa" w:w="2280"/>
            <w:shd w:val="clear" w:color="auto" w:fill="FFFFFF"/>
          </w:tcPr>
          <w:p>
            <w:pPr>
              <w:jc w:val="center"/>
            </w:pPr>
            <w:r>
              <w:rPr>
                <w:rFonts w:ascii="Calibri" w:hAnsi="Calibri"/>
                <w:sz w:val="20"/>
              </w:rPr>
              <w:t>Medio</w:t>
            </w:r>
          </w:p>
        </w:tc>
        <w:tc>
          <w:tcPr>
            <w:tcW w:type="dxa" w:w="2280"/>
            <w:shd w:val="clear" w:color="auto" w:fill="FFFFFF"/>
          </w:tcPr>
          <w:p>
            <w:pPr>
              <w:jc w:val="center"/>
            </w:pPr>
            <w:r>
              <w:rPr>
                <w:rFonts w:ascii="Calibri" w:hAnsi="Calibri"/>
                <w:sz w:val="20"/>
              </w:rPr>
              <w:t>Análisis de completitud por región; alertas de cobertura baja</w:t>
            </w:r>
          </w:p>
        </w:tc>
      </w:tr>
      <w:tr>
        <w:tc>
          <w:tcPr>
            <w:tcW w:type="dxa" w:w="2280"/>
            <w:shd w:val="clear" w:color="auto" w:fill="EEF4FB"/>
          </w:tcPr>
          <w:p>
            <w:pPr>
              <w:jc w:val="center"/>
            </w:pPr>
            <w:r>
              <w:rPr>
                <w:rFonts w:ascii="Calibri" w:hAnsi="Calibri"/>
                <w:sz w:val="20"/>
              </w:rPr>
              <w:t>Resistencia al cambio en planificadores</w:t>
            </w:r>
          </w:p>
        </w:tc>
        <w:tc>
          <w:tcPr>
            <w:tcW w:type="dxa" w:w="2280"/>
            <w:shd w:val="clear" w:color="auto" w:fill="EEF4FB"/>
          </w:tcPr>
          <w:p>
            <w:pPr>
              <w:jc w:val="center"/>
            </w:pPr>
            <w:r>
              <w:rPr>
                <w:rFonts w:ascii="Calibri" w:hAnsi="Calibri"/>
                <w:sz w:val="20"/>
              </w:rPr>
              <w:t>Media</w:t>
            </w:r>
          </w:p>
        </w:tc>
        <w:tc>
          <w:tcPr>
            <w:tcW w:type="dxa" w:w="2280"/>
            <w:shd w:val="clear" w:color="auto" w:fill="EEF4FB"/>
          </w:tcPr>
          <w:p>
            <w:pPr>
              <w:jc w:val="center"/>
            </w:pPr>
            <w:r>
              <w:rPr>
                <w:rFonts w:ascii="Calibri" w:hAnsi="Calibri"/>
                <w:sz w:val="20"/>
              </w:rPr>
              <w:t>Alto</w:t>
            </w:r>
          </w:p>
        </w:tc>
        <w:tc>
          <w:tcPr>
            <w:tcW w:type="dxa" w:w="2280"/>
            <w:shd w:val="clear" w:color="auto" w:fill="EEF4FB"/>
          </w:tcPr>
          <w:p>
            <w:pPr>
              <w:jc w:val="center"/>
            </w:pPr>
            <w:r>
              <w:rPr>
                <w:rFonts w:ascii="Calibri" w:hAnsi="Calibri"/>
                <w:sz w:val="20"/>
              </w:rPr>
              <w:t>Capacitación + dashboards simples; comenzar con pilotos voluntarios</w:t>
            </w:r>
          </w:p>
        </w:tc>
      </w:tr>
      <w:tr>
        <w:tc>
          <w:tcPr>
            <w:tcW w:type="dxa" w:w="2280"/>
            <w:shd w:val="clear" w:color="auto" w:fill="FFFFFF"/>
          </w:tcPr>
          <w:p>
            <w:pPr>
              <w:jc w:val="center"/>
            </w:pPr>
            <w:r>
              <w:rPr>
                <w:rFonts w:ascii="Calibri" w:hAnsi="Calibri"/>
                <w:sz w:val="20"/>
              </w:rPr>
              <w:t>Deriva del modelo (concept drift)</w:t>
            </w:r>
          </w:p>
        </w:tc>
        <w:tc>
          <w:tcPr>
            <w:tcW w:type="dxa" w:w="2280"/>
            <w:shd w:val="clear" w:color="auto" w:fill="FFFFFF"/>
          </w:tcPr>
          <w:p>
            <w:pPr>
              <w:jc w:val="center"/>
            </w:pPr>
            <w:r>
              <w:rPr>
                <w:rFonts w:ascii="Calibri" w:hAnsi="Calibri"/>
                <w:sz w:val="20"/>
              </w:rPr>
              <w:t>Media</w:t>
            </w:r>
          </w:p>
        </w:tc>
        <w:tc>
          <w:tcPr>
            <w:tcW w:type="dxa" w:w="2280"/>
            <w:shd w:val="clear" w:color="auto" w:fill="FFFFFF"/>
          </w:tcPr>
          <w:p>
            <w:pPr>
              <w:jc w:val="center"/>
            </w:pPr>
            <w:r>
              <w:rPr>
                <w:rFonts w:ascii="Calibri" w:hAnsi="Calibri"/>
                <w:sz w:val="20"/>
              </w:rPr>
              <w:t>Medio</w:t>
            </w:r>
          </w:p>
        </w:tc>
        <w:tc>
          <w:tcPr>
            <w:tcW w:type="dxa" w:w="2280"/>
            <w:shd w:val="clear" w:color="auto" w:fill="FFFFFF"/>
          </w:tcPr>
          <w:p>
            <w:pPr>
              <w:jc w:val="center"/>
            </w:pPr>
            <w:r>
              <w:rPr>
                <w:rFonts w:ascii="Calibri" w:hAnsi="Calibri"/>
                <w:sz w:val="20"/>
              </w:rPr>
              <w:t>Reentrenamiento semestral obligatorio; monitoreo de MAPE en producción</w:t>
            </w:r>
          </w:p>
        </w:tc>
      </w:tr>
      <w:tr>
        <w:tc>
          <w:tcPr>
            <w:tcW w:type="dxa" w:w="2280"/>
            <w:shd w:val="clear" w:color="auto" w:fill="EEF4FB"/>
          </w:tcPr>
          <w:p>
            <w:pPr>
              <w:jc w:val="center"/>
            </w:pPr>
            <w:r>
              <w:rPr>
                <w:rFonts w:ascii="Calibri" w:hAnsi="Calibri"/>
                <w:sz w:val="20"/>
              </w:rPr>
              <w:t>Dependencia de un solo proveedor cloud</w:t>
            </w:r>
          </w:p>
        </w:tc>
        <w:tc>
          <w:tcPr>
            <w:tcW w:type="dxa" w:w="2280"/>
            <w:shd w:val="clear" w:color="auto" w:fill="EEF4FB"/>
          </w:tcPr>
          <w:p>
            <w:pPr>
              <w:jc w:val="center"/>
            </w:pPr>
            <w:r>
              <w:rPr>
                <w:rFonts w:ascii="Calibri" w:hAnsi="Calibri"/>
                <w:sz w:val="20"/>
              </w:rPr>
              <w:t>Baja</w:t>
            </w:r>
          </w:p>
        </w:tc>
        <w:tc>
          <w:tcPr>
            <w:tcW w:type="dxa" w:w="2280"/>
            <w:shd w:val="clear" w:color="auto" w:fill="EEF4FB"/>
          </w:tcPr>
          <w:p>
            <w:pPr>
              <w:jc w:val="center"/>
            </w:pPr>
            <w:r>
              <w:rPr>
                <w:rFonts w:ascii="Calibri" w:hAnsi="Calibri"/>
                <w:sz w:val="20"/>
              </w:rPr>
              <w:t>Medio</w:t>
            </w:r>
          </w:p>
        </w:tc>
        <w:tc>
          <w:tcPr>
            <w:tcW w:type="dxa" w:w="2280"/>
            <w:shd w:val="clear" w:color="auto" w:fill="EEF4FB"/>
          </w:tcPr>
          <w:p>
            <w:pPr>
              <w:jc w:val="center"/>
            </w:pPr>
            <w:r>
              <w:rPr>
                <w:rFonts w:ascii="Calibri" w:hAnsi="Calibri"/>
                <w:sz w:val="20"/>
              </w:rPr>
              <w:t>Diseño portable (Docker + Python): migración en &lt; 2 días</w:t>
            </w:r>
          </w:p>
        </w:tc>
      </w:tr>
    </w:tbl>
    <w:p/>
    <w:p>
      <w:r>
        <w:br w:type="page"/>
      </w:r>
    </w:p>
    <w:p>
      <w:pPr>
        <w:pStyle w:val="Heading1"/>
      </w:pPr>
      <w:r>
        <w:rPr>
          <w:rFonts w:ascii="Calibri" w:hAnsi="Calibri"/>
          <w:color w:val="00467F"/>
        </w:rPr>
        <w:t>9. Referencias</w:t>
      </w:r>
    </w:p>
    <w:p>
      <w:pPr>
        <w:pStyle w:val="ListNumber"/>
      </w:pPr>
      <w:r>
        <w:rPr>
          <w:rFonts w:ascii="Calibri" w:hAnsi="Calibri"/>
          <w:sz w:val="20"/>
        </w:rPr>
        <w:t>Armstrong, J. S., &amp; Collopy, F. (1992). Error measures for generalizing about forecasting methods: Empirical comparisons. International Journal of Forecasting, 8(1), 69–80.</w:t>
      </w:r>
    </w:p>
    <w:p>
      <w:pPr>
        <w:pStyle w:val="ListNumber"/>
      </w:pPr>
      <w:r>
        <w:rPr>
          <w:rFonts w:ascii="Calibri" w:hAnsi="Calibri"/>
          <w:sz w:val="20"/>
        </w:rPr>
        <w:t>Chen, T., &amp; Guestrin, C. (2016). XGBoost: A scalable tree boosting system. Proceedings of the 22nd ACM SIGKDD International Conference on Knowledge Discovery and Data Mining, 785–794.</w:t>
      </w:r>
    </w:p>
    <w:p>
      <w:pPr>
        <w:pStyle w:val="ListNumber"/>
      </w:pPr>
      <w:r>
        <w:rPr>
          <w:rFonts w:ascii="Calibri" w:hAnsi="Calibri"/>
          <w:sz w:val="20"/>
        </w:rPr>
        <w:t>Gobierno del Perú — Datos Abiertos (2025). Atenciones realizadas por los asegurados del Seguro Integral de Salud (SIS), 2021–2025. https://www.datosabiertos.gob.pe/dataset/atenciones-realizadas-los-asegurados-del-seguro-integral-de-salud-sis</w:t>
      </w:r>
    </w:p>
    <w:p>
      <w:pPr>
        <w:pStyle w:val="ListNumber"/>
      </w:pPr>
      <w:r>
        <w:rPr>
          <w:rFonts w:ascii="Calibri" w:hAnsi="Calibri"/>
          <w:sz w:val="20"/>
        </w:rPr>
        <w:t>Hyndman, R. J., &amp; Koehler, A. B. (2006). Another look at measures of forecast accuracy. International Journal of Forecasting, 22(4), 679–688.</w:t>
      </w:r>
    </w:p>
    <w:p>
      <w:pPr>
        <w:pStyle w:val="ListNumber"/>
      </w:pPr>
      <w:r>
        <w:rPr>
          <w:rFonts w:ascii="Calibri" w:hAnsi="Calibri"/>
          <w:sz w:val="20"/>
        </w:rPr>
        <w:t>Ke, G., Meng, Q., Finley, T., Wang, T., Chen, W., Ma, W., … &amp; Liu, T. Y. (2017). LightGBM: A highly efficient gradient boosting decision tree. Advances in Neural Information Processing Systems, 30.</w:t>
      </w:r>
    </w:p>
    <w:p>
      <w:pPr>
        <w:pStyle w:val="ListNumber"/>
      </w:pPr>
      <w:r>
        <w:rPr>
          <w:rFonts w:ascii="Calibri" w:hAnsi="Calibri"/>
          <w:sz w:val="20"/>
        </w:rPr>
        <w:t>Lundberg, S. M., &amp; Lee, S. I. (2017). A unified approach to interpreting model predictions. Advances in Neural Information Processing Systems, 30.</w:t>
      </w:r>
    </w:p>
    <w:p>
      <w:pPr>
        <w:pStyle w:val="ListNumber"/>
      </w:pPr>
      <w:r>
        <w:rPr>
          <w:rFonts w:ascii="Calibri" w:hAnsi="Calibri"/>
          <w:sz w:val="20"/>
        </w:rPr>
        <w:t>MINSA (2024). Resolución Ministerial — Estructura salarial del personal médico en establecimientos de salud del primer, segundo y tercer nivel de atención. Ministerio de Salud del Perú.</w:t>
      </w:r>
    </w:p>
    <w:p>
      <w:pPr>
        <w:pStyle w:val="ListNumber"/>
      </w:pPr>
      <w:r>
        <w:rPr>
          <w:rFonts w:ascii="Calibri" w:hAnsi="Calibri"/>
          <w:sz w:val="20"/>
        </w:rPr>
        <w:t>Optuna Development Team (2019). Optuna: A next-generation hyperparameter optimization framework. Proceedings of the 25th ACM SIGKDD International Conference, 2623–2631.</w:t>
      </w:r>
    </w:p>
    <w:p>
      <w:pPr>
        <w:pStyle w:val="ListNumber"/>
      </w:pPr>
      <w:r>
        <w:rPr>
          <w:rFonts w:ascii="Calibri" w:hAnsi="Calibri"/>
          <w:sz w:val="20"/>
        </w:rPr>
        <w:t>Pedregosa, F., et al. (2011). Scikit-learn: Machine learning in Python. Journal of Machine Learning Research, 12, 2825–2830.</w:t>
      </w:r>
    </w:p>
    <w:p>
      <w:pPr>
        <w:pStyle w:val="ListNumber"/>
      </w:pPr>
      <w:r>
        <w:rPr>
          <w:rFonts w:ascii="Calibri" w:hAnsi="Calibri"/>
          <w:sz w:val="20"/>
        </w:rPr>
        <w:t>Seguro Integral de Salud — SIS (2024). Memoria Institucional 2024. Ministerio de Salud del Perú.</w:t>
      </w:r>
    </w:p>
    <w:p>
      <w:pPr>
        <w:pStyle w:val="ListNumber"/>
      </w:pPr>
      <w:r>
        <w:rPr>
          <w:rFonts w:ascii="Calibri" w:hAnsi="Calibri"/>
          <w:sz w:val="20"/>
        </w:rPr>
        <w:t>Virtanen, P., et al. (2020). SciPy 1.0: Fundamental algorithms for scientific computing in Python. Nature Methods, 17, 261–272.</w:t>
      </w:r>
    </w:p>
    <w:p>
      <w:r>
        <w:br w:type="page"/>
      </w:r>
    </w:p>
    <w:p>
      <w:pPr>
        <w:pStyle w:val="Heading1"/>
      </w:pPr>
      <w:r>
        <w:rPr>
          <w:rFonts w:ascii="Calibri" w:hAnsi="Calibri"/>
          <w:color w:val="00467F"/>
        </w:rPr>
        <w:t>Anexo A: Stack Tecnológico Utilizado</w:t>
      </w:r>
    </w:p>
    <w:p>
      <w:pPr>
        <w:spacing w:after="60"/>
      </w:pPr>
      <w:r>
        <w:rPr>
          <w:rFonts w:ascii="Calibri" w:hAnsi="Calibri"/>
          <w:b/>
          <w:color w:val="44546A"/>
          <w:sz w:val="20"/>
        </w:rPr>
        <w:t>Tabla A1. Stack tecnológico completo del proyecto SIS-DEMAND</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shd w:val="clear" w:color="auto" w:fill="00468F"/>
          </w:tcPr>
          <w:p>
            <w:pPr>
              <w:jc w:val="center"/>
            </w:pPr>
            <w:r>
              <w:rPr>
                <w:rFonts w:ascii="Calibri" w:hAnsi="Calibri"/>
                <w:b/>
                <w:color w:val="FFFFFF"/>
                <w:sz w:val="20"/>
              </w:rPr>
              <w:t>Categoría</w:t>
            </w:r>
          </w:p>
        </w:tc>
        <w:tc>
          <w:tcPr>
            <w:tcW w:type="dxa" w:w="2280"/>
            <w:vAlign w:val="center"/>
            <w:shd w:val="clear" w:color="auto" w:fill="00468F"/>
          </w:tcPr>
          <w:p>
            <w:pPr>
              <w:jc w:val="center"/>
            </w:pPr>
            <w:r>
              <w:rPr>
                <w:rFonts w:ascii="Calibri" w:hAnsi="Calibri"/>
                <w:b/>
                <w:color w:val="FFFFFF"/>
                <w:sz w:val="20"/>
              </w:rPr>
              <w:t>Herramienta</w:t>
            </w:r>
          </w:p>
        </w:tc>
        <w:tc>
          <w:tcPr>
            <w:tcW w:type="dxa" w:w="2280"/>
            <w:vAlign w:val="center"/>
            <w:shd w:val="clear" w:color="auto" w:fill="00468F"/>
          </w:tcPr>
          <w:p>
            <w:pPr>
              <w:jc w:val="center"/>
            </w:pPr>
            <w:r>
              <w:rPr>
                <w:rFonts w:ascii="Calibri" w:hAnsi="Calibri"/>
                <w:b/>
                <w:color w:val="FFFFFF"/>
                <w:sz w:val="20"/>
              </w:rPr>
              <w:t>Versión</w:t>
            </w:r>
          </w:p>
        </w:tc>
        <w:tc>
          <w:tcPr>
            <w:tcW w:type="dxa" w:w="2280"/>
            <w:vAlign w:val="center"/>
            <w:shd w:val="clear" w:color="auto" w:fill="00468F"/>
          </w:tcPr>
          <w:p>
            <w:pPr>
              <w:jc w:val="center"/>
            </w:pPr>
            <w:r>
              <w:rPr>
                <w:rFonts w:ascii="Calibri" w:hAnsi="Calibri"/>
                <w:b/>
                <w:color w:val="FFFFFF"/>
                <w:sz w:val="20"/>
              </w:rPr>
              <w:t>Uso en el Proyecto</w:t>
            </w:r>
          </w:p>
        </w:tc>
      </w:tr>
      <w:tr>
        <w:tc>
          <w:tcPr>
            <w:tcW w:type="dxa" w:w="2280"/>
            <w:shd w:val="clear" w:color="auto" w:fill="EEF4FB"/>
          </w:tcPr>
          <w:p>
            <w:pPr>
              <w:jc w:val="center"/>
            </w:pPr>
            <w:r>
              <w:rPr>
                <w:rFonts w:ascii="Calibri" w:hAnsi="Calibri"/>
                <w:sz w:val="20"/>
              </w:rPr>
              <w:t>Lenguaje</w:t>
            </w:r>
          </w:p>
        </w:tc>
        <w:tc>
          <w:tcPr>
            <w:tcW w:type="dxa" w:w="2280"/>
            <w:shd w:val="clear" w:color="auto" w:fill="EEF4FB"/>
          </w:tcPr>
          <w:p>
            <w:pPr>
              <w:jc w:val="center"/>
            </w:pPr>
            <w:r>
              <w:rPr>
                <w:rFonts w:ascii="Calibri" w:hAnsi="Calibri"/>
                <w:sz w:val="20"/>
              </w:rPr>
              <w:t>Python</w:t>
            </w:r>
          </w:p>
        </w:tc>
        <w:tc>
          <w:tcPr>
            <w:tcW w:type="dxa" w:w="2280"/>
            <w:shd w:val="clear" w:color="auto" w:fill="EEF4FB"/>
          </w:tcPr>
          <w:p>
            <w:pPr>
              <w:jc w:val="center"/>
            </w:pPr>
            <w:r>
              <w:rPr>
                <w:rFonts w:ascii="Calibri" w:hAnsi="Calibri"/>
                <w:sz w:val="20"/>
              </w:rPr>
              <w:t>3.10.20</w:t>
            </w:r>
          </w:p>
        </w:tc>
        <w:tc>
          <w:tcPr>
            <w:tcW w:type="dxa" w:w="2280"/>
            <w:shd w:val="clear" w:color="auto" w:fill="EEF4FB"/>
          </w:tcPr>
          <w:p>
            <w:pPr>
              <w:jc w:val="center"/>
            </w:pPr>
            <w:r>
              <w:rPr>
                <w:rFonts w:ascii="Calibri" w:hAnsi="Calibri"/>
                <w:sz w:val="20"/>
              </w:rPr>
              <w:t>Todo el pipeline</w:t>
            </w:r>
          </w:p>
        </w:tc>
      </w:tr>
      <w:tr>
        <w:tc>
          <w:tcPr>
            <w:tcW w:type="dxa" w:w="2280"/>
            <w:shd w:val="clear" w:color="auto" w:fill="FFFFFF"/>
          </w:tcPr>
          <w:p>
            <w:pPr>
              <w:jc w:val="center"/>
            </w:pPr>
            <w:r>
              <w:rPr>
                <w:rFonts w:ascii="Calibri" w:hAnsi="Calibri"/>
                <w:sz w:val="20"/>
              </w:rPr>
              <w:t>Procesamiento</w:t>
            </w:r>
          </w:p>
        </w:tc>
        <w:tc>
          <w:tcPr>
            <w:tcW w:type="dxa" w:w="2280"/>
            <w:shd w:val="clear" w:color="auto" w:fill="FFFFFF"/>
          </w:tcPr>
          <w:p>
            <w:pPr>
              <w:jc w:val="center"/>
            </w:pPr>
            <w:r>
              <w:rPr>
                <w:rFonts w:ascii="Calibri" w:hAnsi="Calibri"/>
                <w:sz w:val="20"/>
              </w:rPr>
              <w:t>Pandas</w:t>
            </w:r>
          </w:p>
        </w:tc>
        <w:tc>
          <w:tcPr>
            <w:tcW w:type="dxa" w:w="2280"/>
            <w:shd w:val="clear" w:color="auto" w:fill="FFFFFF"/>
          </w:tcPr>
          <w:p>
            <w:pPr>
              <w:jc w:val="center"/>
            </w:pPr>
            <w:r>
              <w:rPr>
                <w:rFonts w:ascii="Calibri" w:hAnsi="Calibri"/>
                <w:sz w:val="20"/>
              </w:rPr>
              <w:t>2.3.3</w:t>
            </w:r>
          </w:p>
        </w:tc>
        <w:tc>
          <w:tcPr>
            <w:tcW w:type="dxa" w:w="2280"/>
            <w:shd w:val="clear" w:color="auto" w:fill="FFFFFF"/>
          </w:tcPr>
          <w:p>
            <w:pPr>
              <w:jc w:val="center"/>
            </w:pPr>
            <w:r>
              <w:rPr>
                <w:rFonts w:ascii="Calibri" w:hAnsi="Calibri"/>
                <w:sz w:val="20"/>
              </w:rPr>
              <w:t>ETL y análisis exploratorio</w:t>
            </w:r>
          </w:p>
        </w:tc>
      </w:tr>
      <w:tr>
        <w:tc>
          <w:tcPr>
            <w:tcW w:type="dxa" w:w="2280"/>
            <w:shd w:val="clear" w:color="auto" w:fill="EEF4FB"/>
          </w:tcPr>
          <w:p>
            <w:pPr>
              <w:jc w:val="center"/>
            </w:pPr>
            <w:r>
              <w:rPr>
                <w:rFonts w:ascii="Calibri" w:hAnsi="Calibri"/>
                <w:sz w:val="20"/>
              </w:rPr>
              <w:t>Álgebra</w:t>
            </w:r>
          </w:p>
        </w:tc>
        <w:tc>
          <w:tcPr>
            <w:tcW w:type="dxa" w:w="2280"/>
            <w:shd w:val="clear" w:color="auto" w:fill="EEF4FB"/>
          </w:tcPr>
          <w:p>
            <w:pPr>
              <w:jc w:val="center"/>
            </w:pPr>
            <w:r>
              <w:rPr>
                <w:rFonts w:ascii="Calibri" w:hAnsi="Calibri"/>
                <w:sz w:val="20"/>
              </w:rPr>
              <w:t>NumPy</w:t>
            </w:r>
          </w:p>
        </w:tc>
        <w:tc>
          <w:tcPr>
            <w:tcW w:type="dxa" w:w="2280"/>
            <w:shd w:val="clear" w:color="auto" w:fill="EEF4FB"/>
          </w:tcPr>
          <w:p>
            <w:pPr>
              <w:jc w:val="center"/>
            </w:pPr>
            <w:r>
              <w:rPr>
                <w:rFonts w:ascii="Calibri" w:hAnsi="Calibri"/>
                <w:sz w:val="20"/>
              </w:rPr>
              <w:t>2.2.6</w:t>
            </w:r>
          </w:p>
        </w:tc>
        <w:tc>
          <w:tcPr>
            <w:tcW w:type="dxa" w:w="2280"/>
            <w:shd w:val="clear" w:color="auto" w:fill="EEF4FB"/>
          </w:tcPr>
          <w:p>
            <w:pPr>
              <w:jc w:val="center"/>
            </w:pPr>
            <w:r>
              <w:rPr>
                <w:rFonts w:ascii="Calibri" w:hAnsi="Calibri"/>
                <w:sz w:val="20"/>
              </w:rPr>
              <w:t>Operaciones vectoriales</w:t>
            </w:r>
          </w:p>
        </w:tc>
      </w:tr>
      <w:tr>
        <w:tc>
          <w:tcPr>
            <w:tcW w:type="dxa" w:w="2280"/>
            <w:shd w:val="clear" w:color="auto" w:fill="FFFFFF"/>
          </w:tcPr>
          <w:p>
            <w:pPr>
              <w:jc w:val="center"/>
            </w:pPr>
            <w:r>
              <w:rPr>
                <w:rFonts w:ascii="Calibri" w:hAnsi="Calibri"/>
                <w:sz w:val="20"/>
              </w:rPr>
              <w:t>Estadística</w:t>
            </w:r>
          </w:p>
        </w:tc>
        <w:tc>
          <w:tcPr>
            <w:tcW w:type="dxa" w:w="2280"/>
            <w:shd w:val="clear" w:color="auto" w:fill="FFFFFF"/>
          </w:tcPr>
          <w:p>
            <w:pPr>
              <w:jc w:val="center"/>
            </w:pPr>
            <w:r>
              <w:rPr>
                <w:rFonts w:ascii="Calibri" w:hAnsi="Calibri"/>
                <w:sz w:val="20"/>
              </w:rPr>
              <w:t>SciPy / Statsmodels</w:t>
            </w:r>
          </w:p>
        </w:tc>
        <w:tc>
          <w:tcPr>
            <w:tcW w:type="dxa" w:w="2280"/>
            <w:shd w:val="clear" w:color="auto" w:fill="FFFFFF"/>
          </w:tcPr>
          <w:p>
            <w:pPr>
              <w:jc w:val="center"/>
            </w:pPr>
            <w:r>
              <w:rPr>
                <w:rFonts w:ascii="Calibri" w:hAnsi="Calibri"/>
                <w:sz w:val="20"/>
              </w:rPr>
              <w:t>1.15.3 / 0.14.6</w:t>
            </w:r>
          </w:p>
        </w:tc>
        <w:tc>
          <w:tcPr>
            <w:tcW w:type="dxa" w:w="2280"/>
            <w:shd w:val="clear" w:color="auto" w:fill="FFFFFF"/>
          </w:tcPr>
          <w:p>
            <w:pPr>
              <w:jc w:val="center"/>
            </w:pPr>
            <w:r>
              <w:rPr>
                <w:rFonts w:ascii="Calibri" w:hAnsi="Calibri"/>
                <w:sz w:val="20"/>
              </w:rPr>
              <w:t>Tests KS, KW, VIF</w:t>
            </w:r>
          </w:p>
        </w:tc>
      </w:tr>
      <w:tr>
        <w:tc>
          <w:tcPr>
            <w:tcW w:type="dxa" w:w="2280"/>
            <w:shd w:val="clear" w:color="auto" w:fill="EEF4FB"/>
          </w:tcPr>
          <w:p>
            <w:pPr>
              <w:jc w:val="center"/>
            </w:pPr>
            <w:r>
              <w:rPr>
                <w:rFonts w:ascii="Calibri" w:hAnsi="Calibri"/>
                <w:sz w:val="20"/>
              </w:rPr>
              <w:t>ML</w:t>
            </w:r>
          </w:p>
        </w:tc>
        <w:tc>
          <w:tcPr>
            <w:tcW w:type="dxa" w:w="2280"/>
            <w:shd w:val="clear" w:color="auto" w:fill="EEF4FB"/>
          </w:tcPr>
          <w:p>
            <w:pPr>
              <w:jc w:val="center"/>
            </w:pPr>
            <w:r>
              <w:rPr>
                <w:rFonts w:ascii="Calibri" w:hAnsi="Calibri"/>
                <w:sz w:val="20"/>
              </w:rPr>
              <w:t>Scikit-learn</w:t>
            </w:r>
          </w:p>
        </w:tc>
        <w:tc>
          <w:tcPr>
            <w:tcW w:type="dxa" w:w="2280"/>
            <w:shd w:val="clear" w:color="auto" w:fill="EEF4FB"/>
          </w:tcPr>
          <w:p>
            <w:pPr>
              <w:jc w:val="center"/>
            </w:pPr>
            <w:r>
              <w:rPr>
                <w:rFonts w:ascii="Calibri" w:hAnsi="Calibri"/>
                <w:sz w:val="20"/>
              </w:rPr>
              <w:t>1.7.2</w:t>
            </w:r>
          </w:p>
        </w:tc>
        <w:tc>
          <w:tcPr>
            <w:tcW w:type="dxa" w:w="2280"/>
            <w:shd w:val="clear" w:color="auto" w:fill="EEF4FB"/>
          </w:tcPr>
          <w:p>
            <w:pPr>
              <w:jc w:val="center"/>
            </w:pPr>
            <w:r>
              <w:rPr>
                <w:rFonts w:ascii="Calibri" w:hAnsi="Calibri"/>
                <w:sz w:val="20"/>
              </w:rPr>
              <w:t>RF, PCA, K-Means, métricas</w:t>
            </w:r>
          </w:p>
        </w:tc>
      </w:tr>
      <w:tr>
        <w:tc>
          <w:tcPr>
            <w:tcW w:type="dxa" w:w="2280"/>
            <w:shd w:val="clear" w:color="auto" w:fill="FFFFFF"/>
          </w:tcPr>
          <w:p>
            <w:pPr>
              <w:jc w:val="center"/>
            </w:pPr>
            <w:r>
              <w:rPr>
                <w:rFonts w:ascii="Calibri" w:hAnsi="Calibri"/>
                <w:sz w:val="20"/>
              </w:rPr>
              <w:t>Boosting</w:t>
            </w:r>
          </w:p>
        </w:tc>
        <w:tc>
          <w:tcPr>
            <w:tcW w:type="dxa" w:w="2280"/>
            <w:shd w:val="clear" w:color="auto" w:fill="FFFFFF"/>
          </w:tcPr>
          <w:p>
            <w:pPr>
              <w:jc w:val="center"/>
            </w:pPr>
            <w:r>
              <w:rPr>
                <w:rFonts w:ascii="Calibri" w:hAnsi="Calibri"/>
                <w:sz w:val="20"/>
              </w:rPr>
              <w:t>XGBoost</w:t>
            </w:r>
          </w:p>
        </w:tc>
        <w:tc>
          <w:tcPr>
            <w:tcW w:type="dxa" w:w="2280"/>
            <w:shd w:val="clear" w:color="auto" w:fill="FFFFFF"/>
          </w:tcPr>
          <w:p>
            <w:pPr>
              <w:jc w:val="center"/>
            </w:pPr>
            <w:r>
              <w:rPr>
                <w:rFonts w:ascii="Calibri" w:hAnsi="Calibri"/>
                <w:sz w:val="20"/>
              </w:rPr>
              <w:t>3.2.0</w:t>
            </w:r>
          </w:p>
        </w:tc>
        <w:tc>
          <w:tcPr>
            <w:tcW w:type="dxa" w:w="2280"/>
            <w:shd w:val="clear" w:color="auto" w:fill="FFFFFF"/>
          </w:tcPr>
          <w:p>
            <w:pPr>
              <w:jc w:val="center"/>
            </w:pPr>
            <w:r>
              <w:rPr>
                <w:rFonts w:ascii="Calibri" w:hAnsi="Calibri"/>
                <w:sz w:val="20"/>
              </w:rPr>
              <w:t>Modelo GBM con Optuna</w:t>
            </w:r>
          </w:p>
        </w:tc>
      </w:tr>
      <w:tr>
        <w:tc>
          <w:tcPr>
            <w:tcW w:type="dxa" w:w="2280"/>
            <w:shd w:val="clear" w:color="auto" w:fill="EEF4FB"/>
          </w:tcPr>
          <w:p>
            <w:pPr>
              <w:jc w:val="center"/>
            </w:pPr>
            <w:r>
              <w:rPr>
                <w:rFonts w:ascii="Calibri" w:hAnsi="Calibri"/>
                <w:sz w:val="20"/>
              </w:rPr>
              <w:t>Boosting</w:t>
            </w:r>
          </w:p>
        </w:tc>
        <w:tc>
          <w:tcPr>
            <w:tcW w:type="dxa" w:w="2280"/>
            <w:shd w:val="clear" w:color="auto" w:fill="EEF4FB"/>
          </w:tcPr>
          <w:p>
            <w:pPr>
              <w:jc w:val="center"/>
            </w:pPr>
            <w:r>
              <w:rPr>
                <w:rFonts w:ascii="Calibri" w:hAnsi="Calibri"/>
                <w:sz w:val="20"/>
              </w:rPr>
              <w:t>LightGBM</w:t>
            </w:r>
          </w:p>
        </w:tc>
        <w:tc>
          <w:tcPr>
            <w:tcW w:type="dxa" w:w="2280"/>
            <w:shd w:val="clear" w:color="auto" w:fill="EEF4FB"/>
          </w:tcPr>
          <w:p>
            <w:pPr>
              <w:jc w:val="center"/>
            </w:pPr>
            <w:r>
              <w:rPr>
                <w:rFonts w:ascii="Calibri" w:hAnsi="Calibri"/>
                <w:sz w:val="20"/>
              </w:rPr>
              <w:t>4.6.0</w:t>
            </w:r>
          </w:p>
        </w:tc>
        <w:tc>
          <w:tcPr>
            <w:tcW w:type="dxa" w:w="2280"/>
            <w:shd w:val="clear" w:color="auto" w:fill="EEF4FB"/>
          </w:tcPr>
          <w:p>
            <w:pPr>
              <w:jc w:val="center"/>
            </w:pPr>
            <w:r>
              <w:rPr>
                <w:rFonts w:ascii="Calibri" w:hAnsi="Calibri"/>
                <w:sz w:val="20"/>
              </w:rPr>
              <w:t>Mejor modelo final</w:t>
            </w:r>
          </w:p>
        </w:tc>
      </w:tr>
      <w:tr>
        <w:tc>
          <w:tcPr>
            <w:tcW w:type="dxa" w:w="2280"/>
            <w:shd w:val="clear" w:color="auto" w:fill="FFFFFF"/>
          </w:tcPr>
          <w:p>
            <w:pPr>
              <w:jc w:val="center"/>
            </w:pPr>
            <w:r>
              <w:rPr>
                <w:rFonts w:ascii="Calibri" w:hAnsi="Calibri"/>
                <w:sz w:val="20"/>
              </w:rPr>
              <w:t>Hyperopt</w:t>
            </w:r>
          </w:p>
        </w:tc>
        <w:tc>
          <w:tcPr>
            <w:tcW w:type="dxa" w:w="2280"/>
            <w:shd w:val="clear" w:color="auto" w:fill="FFFFFF"/>
          </w:tcPr>
          <w:p>
            <w:pPr>
              <w:jc w:val="center"/>
            </w:pPr>
            <w:r>
              <w:rPr>
                <w:rFonts w:ascii="Calibri" w:hAnsi="Calibri"/>
                <w:sz w:val="20"/>
              </w:rPr>
              <w:t>Optuna</w:t>
            </w:r>
          </w:p>
        </w:tc>
        <w:tc>
          <w:tcPr>
            <w:tcW w:type="dxa" w:w="2280"/>
            <w:shd w:val="clear" w:color="auto" w:fill="FFFFFF"/>
          </w:tcPr>
          <w:p>
            <w:pPr>
              <w:jc w:val="center"/>
            </w:pPr>
            <w:r>
              <w:rPr>
                <w:rFonts w:ascii="Calibri" w:hAnsi="Calibri"/>
                <w:sz w:val="20"/>
              </w:rPr>
              <w:t>4.8.0</w:t>
            </w:r>
          </w:p>
        </w:tc>
        <w:tc>
          <w:tcPr>
            <w:tcW w:type="dxa" w:w="2280"/>
            <w:shd w:val="clear" w:color="auto" w:fill="FFFFFF"/>
          </w:tcPr>
          <w:p>
            <w:pPr>
              <w:jc w:val="center"/>
            </w:pPr>
            <w:r>
              <w:rPr>
                <w:rFonts w:ascii="Calibri" w:hAnsi="Calibri"/>
                <w:sz w:val="20"/>
              </w:rPr>
              <w:t>Búsqueda bayesiana</w:t>
            </w:r>
          </w:p>
        </w:tc>
      </w:tr>
      <w:tr>
        <w:tc>
          <w:tcPr>
            <w:tcW w:type="dxa" w:w="2280"/>
            <w:shd w:val="clear" w:color="auto" w:fill="EEF4FB"/>
          </w:tcPr>
          <w:p>
            <w:pPr>
              <w:jc w:val="center"/>
            </w:pPr>
            <w:r>
              <w:rPr>
                <w:rFonts w:ascii="Calibri" w:hAnsi="Calibri"/>
                <w:sz w:val="20"/>
              </w:rPr>
              <w:t>Interpretabilidad</w:t>
            </w:r>
          </w:p>
        </w:tc>
        <w:tc>
          <w:tcPr>
            <w:tcW w:type="dxa" w:w="2280"/>
            <w:shd w:val="clear" w:color="auto" w:fill="EEF4FB"/>
          </w:tcPr>
          <w:p>
            <w:pPr>
              <w:jc w:val="center"/>
            </w:pPr>
            <w:r>
              <w:rPr>
                <w:rFonts w:ascii="Calibri" w:hAnsi="Calibri"/>
                <w:sz w:val="20"/>
              </w:rPr>
              <w:t>SHAP</w:t>
            </w:r>
          </w:p>
        </w:tc>
        <w:tc>
          <w:tcPr>
            <w:tcW w:type="dxa" w:w="2280"/>
            <w:shd w:val="clear" w:color="auto" w:fill="EEF4FB"/>
          </w:tcPr>
          <w:p>
            <w:pPr>
              <w:jc w:val="center"/>
            </w:pPr>
            <w:r>
              <w:rPr>
                <w:rFonts w:ascii="Calibri" w:hAnsi="Calibri"/>
                <w:sz w:val="20"/>
              </w:rPr>
              <w:t>0.49.1</w:t>
            </w:r>
          </w:p>
        </w:tc>
        <w:tc>
          <w:tcPr>
            <w:tcW w:type="dxa" w:w="2280"/>
            <w:shd w:val="clear" w:color="auto" w:fill="EEF4FB"/>
          </w:tcPr>
          <w:p>
            <w:pPr>
              <w:jc w:val="center"/>
            </w:pPr>
            <w:r>
              <w:rPr>
                <w:rFonts w:ascii="Calibri" w:hAnsi="Calibri"/>
                <w:sz w:val="20"/>
              </w:rPr>
              <w:t>Feature importance</w:t>
            </w:r>
          </w:p>
        </w:tc>
      </w:tr>
      <w:tr>
        <w:tc>
          <w:tcPr>
            <w:tcW w:type="dxa" w:w="2280"/>
            <w:shd w:val="clear" w:color="auto" w:fill="FFFFFF"/>
          </w:tcPr>
          <w:p>
            <w:pPr>
              <w:jc w:val="center"/>
            </w:pPr>
            <w:r>
              <w:rPr>
                <w:rFonts w:ascii="Calibri" w:hAnsi="Calibri"/>
                <w:sz w:val="20"/>
              </w:rPr>
              <w:t>Almacenamiento</w:t>
            </w:r>
          </w:p>
        </w:tc>
        <w:tc>
          <w:tcPr>
            <w:tcW w:type="dxa" w:w="2280"/>
            <w:shd w:val="clear" w:color="auto" w:fill="FFFFFF"/>
          </w:tcPr>
          <w:p>
            <w:pPr>
              <w:jc w:val="center"/>
            </w:pPr>
            <w:r>
              <w:rPr>
                <w:rFonts w:ascii="Calibri" w:hAnsi="Calibri"/>
                <w:sz w:val="20"/>
              </w:rPr>
              <w:t>PyArrow / Parquet</w:t>
            </w:r>
          </w:p>
        </w:tc>
        <w:tc>
          <w:tcPr>
            <w:tcW w:type="dxa" w:w="2280"/>
            <w:shd w:val="clear" w:color="auto" w:fill="FFFFFF"/>
          </w:tcPr>
          <w:p>
            <w:pPr>
              <w:jc w:val="center"/>
            </w:pPr>
            <w:r>
              <w:rPr>
                <w:rFonts w:ascii="Calibri" w:hAnsi="Calibri"/>
                <w:sz w:val="20"/>
              </w:rPr>
              <w:t>23.0.1</w:t>
            </w:r>
          </w:p>
        </w:tc>
        <w:tc>
          <w:tcPr>
            <w:tcW w:type="dxa" w:w="2280"/>
            <w:shd w:val="clear" w:color="auto" w:fill="FFFFFF"/>
          </w:tcPr>
          <w:p>
            <w:pPr>
              <w:jc w:val="center"/>
            </w:pPr>
            <w:r>
              <w:rPr>
                <w:rFonts w:ascii="Calibri" w:hAnsi="Calibri"/>
                <w:sz w:val="20"/>
              </w:rPr>
              <w:t>Datos procesados</w:t>
            </w:r>
          </w:p>
        </w:tc>
      </w:tr>
      <w:tr>
        <w:tc>
          <w:tcPr>
            <w:tcW w:type="dxa" w:w="2280"/>
            <w:shd w:val="clear" w:color="auto" w:fill="EEF4FB"/>
          </w:tcPr>
          <w:p>
            <w:pPr>
              <w:jc w:val="center"/>
            </w:pPr>
            <w:r>
              <w:rPr>
                <w:rFonts w:ascii="Calibri" w:hAnsi="Calibri"/>
                <w:sz w:val="20"/>
              </w:rPr>
              <w:t>Dashboard</w:t>
            </w:r>
          </w:p>
        </w:tc>
        <w:tc>
          <w:tcPr>
            <w:tcW w:type="dxa" w:w="2280"/>
            <w:shd w:val="clear" w:color="auto" w:fill="EEF4FB"/>
          </w:tcPr>
          <w:p>
            <w:pPr>
              <w:jc w:val="center"/>
            </w:pPr>
            <w:r>
              <w:rPr>
                <w:rFonts w:ascii="Calibri" w:hAnsi="Calibri"/>
                <w:sz w:val="20"/>
              </w:rPr>
              <w:t>Streamlit</w:t>
            </w:r>
          </w:p>
        </w:tc>
        <w:tc>
          <w:tcPr>
            <w:tcW w:type="dxa" w:w="2280"/>
            <w:shd w:val="clear" w:color="auto" w:fill="EEF4FB"/>
          </w:tcPr>
          <w:p>
            <w:pPr>
              <w:jc w:val="center"/>
            </w:pPr>
            <w:r>
              <w:rPr>
                <w:rFonts w:ascii="Calibri" w:hAnsi="Calibri"/>
                <w:sz w:val="20"/>
              </w:rPr>
              <w:t>1.56.0</w:t>
            </w:r>
          </w:p>
        </w:tc>
        <w:tc>
          <w:tcPr>
            <w:tcW w:type="dxa" w:w="2280"/>
            <w:shd w:val="clear" w:color="auto" w:fill="EEF4FB"/>
          </w:tcPr>
          <w:p>
            <w:pPr>
              <w:jc w:val="center"/>
            </w:pPr>
            <w:r>
              <w:rPr>
                <w:rFonts w:ascii="Calibri" w:hAnsi="Calibri"/>
                <w:sz w:val="20"/>
              </w:rPr>
              <w:t>Aplicación web interactiva</w:t>
            </w:r>
          </w:p>
        </w:tc>
      </w:tr>
      <w:tr>
        <w:tc>
          <w:tcPr>
            <w:tcW w:type="dxa" w:w="2280"/>
            <w:shd w:val="clear" w:color="auto" w:fill="FFFFFF"/>
          </w:tcPr>
          <w:p>
            <w:pPr>
              <w:jc w:val="center"/>
            </w:pPr>
            <w:r>
              <w:rPr>
                <w:rFonts w:ascii="Calibri" w:hAnsi="Calibri"/>
                <w:sz w:val="20"/>
              </w:rPr>
              <w:t>Visualización</w:t>
            </w:r>
          </w:p>
        </w:tc>
        <w:tc>
          <w:tcPr>
            <w:tcW w:type="dxa" w:w="2280"/>
            <w:shd w:val="clear" w:color="auto" w:fill="FFFFFF"/>
          </w:tcPr>
          <w:p>
            <w:pPr>
              <w:jc w:val="center"/>
            </w:pPr>
            <w:r>
              <w:rPr>
                <w:rFonts w:ascii="Calibri" w:hAnsi="Calibri"/>
                <w:sz w:val="20"/>
              </w:rPr>
              <w:t>Plotly</w:t>
            </w:r>
          </w:p>
        </w:tc>
        <w:tc>
          <w:tcPr>
            <w:tcW w:type="dxa" w:w="2280"/>
            <w:shd w:val="clear" w:color="auto" w:fill="FFFFFF"/>
          </w:tcPr>
          <w:p>
            <w:pPr>
              <w:jc w:val="center"/>
            </w:pPr>
            <w:r>
              <w:rPr>
                <w:rFonts w:ascii="Calibri" w:hAnsi="Calibri"/>
                <w:sz w:val="20"/>
              </w:rPr>
              <w:t>6.7.0</w:t>
            </w:r>
          </w:p>
        </w:tc>
        <w:tc>
          <w:tcPr>
            <w:tcW w:type="dxa" w:w="2280"/>
            <w:shd w:val="clear" w:color="auto" w:fill="FFFFFF"/>
          </w:tcPr>
          <w:p>
            <w:pPr>
              <w:jc w:val="center"/>
            </w:pPr>
            <w:r>
              <w:rPr>
                <w:rFonts w:ascii="Calibri" w:hAnsi="Calibri"/>
                <w:sz w:val="20"/>
              </w:rPr>
              <w:t>Gráficos interactivos</w:t>
            </w:r>
          </w:p>
        </w:tc>
      </w:tr>
      <w:tr>
        <w:tc>
          <w:tcPr>
            <w:tcW w:type="dxa" w:w="2280"/>
            <w:shd w:val="clear" w:color="auto" w:fill="EEF4FB"/>
          </w:tcPr>
          <w:p>
            <w:pPr>
              <w:jc w:val="center"/>
            </w:pPr>
            <w:r>
              <w:rPr>
                <w:rFonts w:ascii="Calibri" w:hAnsi="Calibri"/>
                <w:sz w:val="20"/>
              </w:rPr>
              <w:t>Segmentación</w:t>
            </w:r>
          </w:p>
        </w:tc>
        <w:tc>
          <w:tcPr>
            <w:tcW w:type="dxa" w:w="2280"/>
            <w:shd w:val="clear" w:color="auto" w:fill="EEF4FB"/>
          </w:tcPr>
          <w:p>
            <w:pPr>
              <w:jc w:val="center"/>
            </w:pPr>
            <w:r>
              <w:rPr>
                <w:rFonts w:ascii="Calibri" w:hAnsi="Calibri"/>
                <w:sz w:val="20"/>
              </w:rPr>
              <w:t>K-Means (sklearn)</w:t>
            </w:r>
          </w:p>
        </w:tc>
        <w:tc>
          <w:tcPr>
            <w:tcW w:type="dxa" w:w="2280"/>
            <w:shd w:val="clear" w:color="auto" w:fill="EEF4FB"/>
          </w:tcPr>
          <w:p>
            <w:pPr>
              <w:jc w:val="center"/>
            </w:pPr>
            <w:r>
              <w:rPr>
                <w:rFonts w:ascii="Calibri" w:hAnsi="Calibri"/>
                <w:sz w:val="20"/>
              </w:rPr>
              <w:t>1.7.2</w:t>
            </w:r>
          </w:p>
        </w:tc>
        <w:tc>
          <w:tcPr>
            <w:tcW w:type="dxa" w:w="2280"/>
            <w:shd w:val="clear" w:color="auto" w:fill="EEF4FB"/>
          </w:tcPr>
          <w:p>
            <w:pPr>
              <w:jc w:val="center"/>
            </w:pPr>
            <w:r>
              <w:rPr>
                <w:rFonts w:ascii="Calibri" w:hAnsi="Calibri"/>
                <w:sz w:val="20"/>
              </w:rPr>
              <w:t>Clustering IPRESS</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