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254D7" w14:textId="77777777" w:rsidR="00CE416C" w:rsidRDefault="00000000">
      <w:pPr>
        <w:jc w:val="center"/>
      </w:pPr>
      <w:r>
        <w:rPr>
          <w:b/>
          <w:sz w:val="40"/>
        </w:rPr>
        <w:t>Meridian Health Analytics</w:t>
      </w:r>
      <w:r>
        <w:rPr>
          <w:b/>
          <w:sz w:val="40"/>
        </w:rPr>
        <w:br/>
        <w:t>Project Overview, Findings &amp; Documentation</w:t>
      </w:r>
    </w:p>
    <w:p w14:paraId="7A0D6E87" w14:textId="77777777" w:rsidR="00CE416C" w:rsidRDefault="00000000">
      <w:pPr>
        <w:jc w:val="center"/>
      </w:pPr>
      <w:r>
        <w:rPr>
          <w:i/>
        </w:rPr>
        <w:t>Excel + Power Query | Healthcare Operations, Revenue Cycle &amp; Patient Experience</w:t>
      </w:r>
    </w:p>
    <w:p w14:paraId="70563A9C" w14:textId="77777777" w:rsidR="00CE416C" w:rsidRDefault="00000000">
      <w:pPr>
        <w:pStyle w:val="Heading1"/>
      </w:pPr>
      <w:r>
        <w:t>1. What This Project Is</w:t>
      </w:r>
    </w:p>
    <w:p w14:paraId="37135F65" w14:textId="77777777" w:rsidR="00CE416C" w:rsidRDefault="00000000">
      <w:r>
        <w:t>Meridian Health Analytics is a fictional healthcare analytics project built in Microsoft Excel and Power Query using hospital encounter data covering January 2024 to December 2025. The purpose is to demonstrate the complete analytics workflow: understanding the business questions, cleaning imperfect data, validating the results, building analysis, creating dashboards and turning the analysis into practical recommendations.</w:t>
      </w:r>
    </w:p>
    <w:p w14:paraId="7D3F6EBE" w14:textId="77777777" w:rsidR="00CE416C" w:rsidRDefault="00000000">
      <w:r>
        <w:t>The project is deliberately structured as more than a dashboard. The dashboard is the final presentation layer; the supporting data-cleaning, quality checks, mapping tables, calculations and PivotTables make the analysis traceable.</w:t>
      </w:r>
    </w:p>
    <w:p w14:paraId="0588730D" w14:textId="77777777" w:rsidR="00CE416C" w:rsidRDefault="00000000">
      <w:pPr>
        <w:pStyle w:val="Heading1"/>
      </w:pPr>
      <w:r>
        <w:t>2. The Business Questions</w:t>
      </w:r>
    </w:p>
    <w:p w14:paraId="5EB26F4B" w14:textId="77777777" w:rsidR="00CE416C" w:rsidRDefault="00000000">
      <w:pPr>
        <w:pStyle w:val="ListBullet"/>
      </w:pPr>
      <w:r>
        <w:t>How much billed revenue is actually collected?</w:t>
      </w:r>
    </w:p>
    <w:p w14:paraId="7E648B93" w14:textId="77777777" w:rsidR="00CE416C" w:rsidRDefault="00000000">
      <w:pPr>
        <w:pStyle w:val="ListBullet"/>
      </w:pPr>
      <w:r>
        <w:t>How much appointment capacity is lost through no-shows and cancellations?</w:t>
      </w:r>
    </w:p>
    <w:p w14:paraId="724B85DA" w14:textId="77777777" w:rsidR="00CE416C" w:rsidRDefault="00000000">
      <w:pPr>
        <w:pStyle w:val="ListBullet"/>
      </w:pPr>
      <w:r>
        <w:t>Which payer is contributing most to denied claims?</w:t>
      </w:r>
    </w:p>
    <w:p w14:paraId="565AFB59" w14:textId="77777777" w:rsidR="00CE416C" w:rsidRDefault="00000000">
      <w:pPr>
        <w:pStyle w:val="ListBullet"/>
      </w:pPr>
      <w:r>
        <w:t>Does waiting time affect patient satisfaction?</w:t>
      </w:r>
    </w:p>
    <w:p w14:paraId="7B69689C" w14:textId="77777777" w:rsidR="00CE416C" w:rsidRDefault="00000000">
      <w:pPr>
        <w:pStyle w:val="ListBullet"/>
      </w:pPr>
      <w:r>
        <w:t>Which inpatient groups have higher 30-day readmission rates?</w:t>
      </w:r>
    </w:p>
    <w:p w14:paraId="15DF1C5D" w14:textId="77777777" w:rsidR="00CE416C" w:rsidRDefault="00000000">
      <w:pPr>
        <w:pStyle w:val="Heading1"/>
      </w:pPr>
      <w:r>
        <w:t>3. Executive Summary</w:t>
      </w:r>
    </w:p>
    <w:p w14:paraId="2B4FE0A5" w14:textId="77777777" w:rsidR="00CE416C" w:rsidRDefault="00000000">
      <w:r>
        <w:t>The project found that Meridian's main opportunities are in revenue collection, payer denial management, appointment attendance, patient waiting time and readmission risk.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E416C" w14:paraId="7E0A4EF2" w14:textId="77777777">
        <w:trPr>
          <w:jc w:val="center"/>
        </w:trPr>
        <w:tc>
          <w:tcPr>
            <w:tcW w:w="5040" w:type="dxa"/>
          </w:tcPr>
          <w:p w14:paraId="3269F102" w14:textId="77777777" w:rsidR="00CE416C" w:rsidRDefault="00000000">
            <w:r>
              <w:t>Metric</w:t>
            </w:r>
          </w:p>
        </w:tc>
        <w:tc>
          <w:tcPr>
            <w:tcW w:w="5040" w:type="dxa"/>
          </w:tcPr>
          <w:p w14:paraId="254FB61D" w14:textId="77777777" w:rsidR="00CE416C" w:rsidRDefault="00000000">
            <w:r>
              <w:t>Result</w:t>
            </w:r>
          </w:p>
        </w:tc>
      </w:tr>
      <w:tr w:rsidR="00CE416C" w14:paraId="5BA4B991" w14:textId="77777777">
        <w:trPr>
          <w:jc w:val="center"/>
        </w:trPr>
        <w:tc>
          <w:tcPr>
            <w:tcW w:w="5040" w:type="dxa"/>
          </w:tcPr>
          <w:p w14:paraId="6C83A700" w14:textId="77777777" w:rsidR="00CE416C" w:rsidRDefault="00000000">
            <w:r>
              <w:t>Final analytical encounters</w:t>
            </w:r>
          </w:p>
        </w:tc>
        <w:tc>
          <w:tcPr>
            <w:tcW w:w="5040" w:type="dxa"/>
          </w:tcPr>
          <w:p w14:paraId="11AAAC68" w14:textId="77777777" w:rsidR="00CE416C" w:rsidRDefault="00000000">
            <w:r>
              <w:t>9,844</w:t>
            </w:r>
          </w:p>
        </w:tc>
      </w:tr>
      <w:tr w:rsidR="00CE416C" w14:paraId="0565C643" w14:textId="77777777">
        <w:trPr>
          <w:jc w:val="center"/>
        </w:trPr>
        <w:tc>
          <w:tcPr>
            <w:tcW w:w="5040" w:type="dxa"/>
          </w:tcPr>
          <w:p w14:paraId="596FDAD2" w14:textId="77777777" w:rsidR="00CE416C" w:rsidRDefault="00000000">
            <w:r>
              <w:t>Total billed revenue</w:t>
            </w:r>
          </w:p>
        </w:tc>
        <w:tc>
          <w:tcPr>
            <w:tcW w:w="5040" w:type="dxa"/>
          </w:tcPr>
          <w:p w14:paraId="332AA0C0" w14:textId="77777777" w:rsidR="00CE416C" w:rsidRDefault="00000000">
            <w:r>
              <w:t>₦1.03bn</w:t>
            </w:r>
          </w:p>
        </w:tc>
      </w:tr>
      <w:tr w:rsidR="00CE416C" w14:paraId="11D4D399" w14:textId="77777777">
        <w:trPr>
          <w:jc w:val="center"/>
        </w:trPr>
        <w:tc>
          <w:tcPr>
            <w:tcW w:w="5040" w:type="dxa"/>
          </w:tcPr>
          <w:p w14:paraId="2C73AA05" w14:textId="77777777" w:rsidR="00CE416C" w:rsidRDefault="00000000">
            <w:r>
              <w:t>Total collected</w:t>
            </w:r>
          </w:p>
        </w:tc>
        <w:tc>
          <w:tcPr>
            <w:tcW w:w="5040" w:type="dxa"/>
          </w:tcPr>
          <w:p w14:paraId="6C4E45B3" w14:textId="77777777" w:rsidR="00CE416C" w:rsidRDefault="00000000">
            <w:r>
              <w:t>₦756.3m</w:t>
            </w:r>
          </w:p>
        </w:tc>
      </w:tr>
      <w:tr w:rsidR="00CE416C" w14:paraId="745DA5A0" w14:textId="77777777">
        <w:trPr>
          <w:jc w:val="center"/>
        </w:trPr>
        <w:tc>
          <w:tcPr>
            <w:tcW w:w="5040" w:type="dxa"/>
          </w:tcPr>
          <w:p w14:paraId="2CC659E4" w14:textId="77777777" w:rsidR="00CE416C" w:rsidRDefault="00000000">
            <w:r>
              <w:t>Outstanding balance</w:t>
            </w:r>
          </w:p>
        </w:tc>
        <w:tc>
          <w:tcPr>
            <w:tcW w:w="5040" w:type="dxa"/>
          </w:tcPr>
          <w:p w14:paraId="50735A57" w14:textId="77777777" w:rsidR="00CE416C" w:rsidRDefault="00000000">
            <w:r>
              <w:t>₦275.2m</w:t>
            </w:r>
          </w:p>
        </w:tc>
      </w:tr>
      <w:tr w:rsidR="00CE416C" w14:paraId="0621A25F" w14:textId="77777777">
        <w:trPr>
          <w:jc w:val="center"/>
        </w:trPr>
        <w:tc>
          <w:tcPr>
            <w:tcW w:w="5040" w:type="dxa"/>
          </w:tcPr>
          <w:p w14:paraId="47A7EC27" w14:textId="77777777" w:rsidR="00CE416C" w:rsidRDefault="00000000">
            <w:r>
              <w:t>Collection rate</w:t>
            </w:r>
          </w:p>
        </w:tc>
        <w:tc>
          <w:tcPr>
            <w:tcW w:w="5040" w:type="dxa"/>
          </w:tcPr>
          <w:p w14:paraId="101B65EB" w14:textId="77777777" w:rsidR="00CE416C" w:rsidRDefault="00000000">
            <w:r>
              <w:t>73.3%</w:t>
            </w:r>
          </w:p>
        </w:tc>
      </w:tr>
      <w:tr w:rsidR="00CE416C" w14:paraId="7561107A" w14:textId="77777777">
        <w:trPr>
          <w:jc w:val="center"/>
        </w:trPr>
        <w:tc>
          <w:tcPr>
            <w:tcW w:w="5040" w:type="dxa"/>
          </w:tcPr>
          <w:p w14:paraId="535EBA40" w14:textId="77777777" w:rsidR="00CE416C" w:rsidRDefault="00000000">
            <w:r>
              <w:t>No-show rate</w:t>
            </w:r>
          </w:p>
        </w:tc>
        <w:tc>
          <w:tcPr>
            <w:tcW w:w="5040" w:type="dxa"/>
          </w:tcPr>
          <w:p w14:paraId="741C1BBD" w14:textId="77777777" w:rsidR="00CE416C" w:rsidRDefault="00000000">
            <w:r>
              <w:t>16.3%</w:t>
            </w:r>
          </w:p>
        </w:tc>
      </w:tr>
      <w:tr w:rsidR="00CE416C" w14:paraId="39CF27A3" w14:textId="77777777">
        <w:trPr>
          <w:jc w:val="center"/>
        </w:trPr>
        <w:tc>
          <w:tcPr>
            <w:tcW w:w="5040" w:type="dxa"/>
          </w:tcPr>
          <w:p w14:paraId="27C20B0A" w14:textId="77777777" w:rsidR="00CE416C" w:rsidRDefault="00000000">
            <w:r>
              <w:t>Claim denial rate</w:t>
            </w:r>
          </w:p>
        </w:tc>
        <w:tc>
          <w:tcPr>
            <w:tcW w:w="5040" w:type="dxa"/>
          </w:tcPr>
          <w:p w14:paraId="5A2E35B4" w14:textId="77777777" w:rsidR="00CE416C" w:rsidRDefault="00000000">
            <w:r>
              <w:t>11.2%</w:t>
            </w:r>
          </w:p>
        </w:tc>
      </w:tr>
      <w:tr w:rsidR="00CE416C" w14:paraId="05DCDD46" w14:textId="77777777">
        <w:trPr>
          <w:jc w:val="center"/>
        </w:trPr>
        <w:tc>
          <w:tcPr>
            <w:tcW w:w="5040" w:type="dxa"/>
          </w:tcPr>
          <w:p w14:paraId="5B306B9C" w14:textId="77777777" w:rsidR="00CE416C" w:rsidRDefault="00000000">
            <w:r>
              <w:t>Denied claim value</w:t>
            </w:r>
          </w:p>
        </w:tc>
        <w:tc>
          <w:tcPr>
            <w:tcW w:w="5040" w:type="dxa"/>
          </w:tcPr>
          <w:p w14:paraId="6B9D1FE1" w14:textId="77777777" w:rsidR="00CE416C" w:rsidRDefault="00000000">
            <w:r>
              <w:t>₦104.5m</w:t>
            </w:r>
          </w:p>
        </w:tc>
      </w:tr>
      <w:tr w:rsidR="00CE416C" w14:paraId="0C67C3E8" w14:textId="77777777">
        <w:trPr>
          <w:jc w:val="center"/>
        </w:trPr>
        <w:tc>
          <w:tcPr>
            <w:tcW w:w="5040" w:type="dxa"/>
          </w:tcPr>
          <w:p w14:paraId="05217484" w14:textId="77777777" w:rsidR="00CE416C" w:rsidRDefault="00000000">
            <w:r>
              <w:t>Average wait time</w:t>
            </w:r>
          </w:p>
        </w:tc>
        <w:tc>
          <w:tcPr>
            <w:tcW w:w="5040" w:type="dxa"/>
          </w:tcPr>
          <w:p w14:paraId="6F7F9443" w14:textId="77777777" w:rsidR="00CE416C" w:rsidRDefault="00000000">
            <w:r>
              <w:t>45.9 minutes</w:t>
            </w:r>
          </w:p>
        </w:tc>
      </w:tr>
      <w:tr w:rsidR="00CE416C" w14:paraId="0813C96B" w14:textId="77777777">
        <w:trPr>
          <w:jc w:val="center"/>
        </w:trPr>
        <w:tc>
          <w:tcPr>
            <w:tcW w:w="5040" w:type="dxa"/>
          </w:tcPr>
          <w:p w14:paraId="03D34E9C" w14:textId="77777777" w:rsidR="00CE416C" w:rsidRDefault="00000000">
            <w:r>
              <w:t>Average satisfaction</w:t>
            </w:r>
          </w:p>
        </w:tc>
        <w:tc>
          <w:tcPr>
            <w:tcW w:w="5040" w:type="dxa"/>
          </w:tcPr>
          <w:p w14:paraId="5C7B7A68" w14:textId="77777777" w:rsidR="00CE416C" w:rsidRDefault="00000000">
            <w:r>
              <w:t>4.1 / 5</w:t>
            </w:r>
          </w:p>
        </w:tc>
      </w:tr>
      <w:tr w:rsidR="00CE416C" w14:paraId="4EE1D0DE" w14:textId="77777777">
        <w:trPr>
          <w:jc w:val="center"/>
        </w:trPr>
        <w:tc>
          <w:tcPr>
            <w:tcW w:w="5040" w:type="dxa"/>
          </w:tcPr>
          <w:p w14:paraId="7A22B4FB" w14:textId="77777777" w:rsidR="00CE416C" w:rsidRDefault="00000000">
            <w:r>
              <w:t>30-day inpatient readmission</w:t>
            </w:r>
          </w:p>
        </w:tc>
        <w:tc>
          <w:tcPr>
            <w:tcW w:w="5040" w:type="dxa"/>
          </w:tcPr>
          <w:p w14:paraId="2085FA58" w14:textId="77777777" w:rsidR="00CE416C" w:rsidRDefault="00000000">
            <w:r>
              <w:t>10.5%</w:t>
            </w:r>
          </w:p>
        </w:tc>
      </w:tr>
    </w:tbl>
    <w:p w14:paraId="4816B8C1" w14:textId="77777777" w:rsidR="00CE416C" w:rsidRDefault="00000000">
      <w:pPr>
        <w:pStyle w:val="Heading1"/>
      </w:pPr>
      <w:r>
        <w:lastRenderedPageBreak/>
        <w:t>4. Key Findings &amp; What They Mean</w:t>
      </w:r>
    </w:p>
    <w:p w14:paraId="2ABA915E" w14:textId="77777777" w:rsidR="00CE416C" w:rsidRDefault="00000000">
      <w:pPr>
        <w:pStyle w:val="Heading2"/>
      </w:pPr>
      <w:r>
        <w:t>Revenue collection</w:t>
      </w:r>
    </w:p>
    <w:p w14:paraId="5267810A" w14:textId="77777777" w:rsidR="00CE416C" w:rsidRDefault="00000000">
      <w:r>
        <w:t>Billed revenue increased from approximately ₦477.8m in 2024 to ₦553.7m in 2025, while the collection rate stayed around 73.3%. Approximately ₦275.2m remained outstanding. The implication is that billing growth did not produce a comparable improvement in cash collection.</w:t>
      </w:r>
    </w:p>
    <w:p w14:paraId="67CE37D2" w14:textId="77777777" w:rsidR="00CE416C" w:rsidRDefault="00000000">
      <w:pPr>
        <w:pStyle w:val="Heading2"/>
      </w:pPr>
      <w:r>
        <w:t>PrimeCare denial risk</w:t>
      </w:r>
    </w:p>
    <w:p w14:paraId="6D404F4C" w14:textId="77777777" w:rsidR="00CE416C" w:rsidRDefault="00000000">
      <w:r>
        <w:t>PrimeCare HMO has a 28.0% denial rate, with approximately ₦43.8m in denied billed value and ₦61.9m outstanding. The business response should be payer-specific: investigate authorization, documentation, eligibility, submission and reconciliation issues rather than treating every payer identically.</w:t>
      </w:r>
    </w:p>
    <w:p w14:paraId="572F18E9" w14:textId="77777777" w:rsidR="00CE416C" w:rsidRDefault="00000000">
      <w:pPr>
        <w:pStyle w:val="Heading2"/>
      </w:pPr>
      <w:r>
        <w:t>No-shows</w:t>
      </w:r>
    </w:p>
    <w:p w14:paraId="44DB77B0" w14:textId="77777777" w:rsidR="00CE416C" w:rsidRDefault="00000000">
      <w:r>
        <w:t>The overall no-show rate is 16.3%. The workbook breaks this down by time band, payer type, department and day to identify where targeted appointment confirmation and reminder interventions may be most useful.</w:t>
      </w:r>
    </w:p>
    <w:p w14:paraId="328B7AFF" w14:textId="77777777" w:rsidR="00CE416C" w:rsidRDefault="00000000">
      <w:pPr>
        <w:pStyle w:val="Heading2"/>
      </w:pPr>
      <w:r>
        <w:t>Waiting and satisfaction</w:t>
      </w:r>
    </w:p>
    <w:p w14:paraId="2BFA5D3B" w14:textId="77777777" w:rsidR="00CE416C" w:rsidRDefault="00000000">
      <w:r>
        <w:t>Average wait time is 45.9 minutes. Satisfaction is 4.21 for 0–15 minutes, 4.51 for 16–30, 4.24 for 31–45, 3.98 for 46–60, 3.55 for 61–90 and 2.84 for 90+ minutes. Ikeja is the branch wait-time outlier at approximately 55.8 minutes versus roughly 41–42 minutes at the other branches.</w:t>
      </w:r>
    </w:p>
    <w:p w14:paraId="3ED77D0C" w14:textId="77777777" w:rsidR="00CE416C" w:rsidRDefault="00000000">
      <w:pPr>
        <w:pStyle w:val="Heading2"/>
      </w:pPr>
      <w:r>
        <w:t>Readmission</w:t>
      </w:r>
    </w:p>
    <w:p w14:paraId="6BE4FC50" w14:textId="77777777" w:rsidR="00CE416C" w:rsidRDefault="00000000">
      <w:r>
        <w:t>Overall inpatient 30-day readmission is 10.5%. The analysis shows approximately 16.6% for stays under two days versus 8.4% for stays of two days or more. Cardiology is approximately 20.5% across 239 inpatient visits, and the 65+ group is approximately 22.0%.</w:t>
      </w:r>
    </w:p>
    <w:p w14:paraId="4AB089CA" w14:textId="77777777" w:rsidR="00CE416C" w:rsidRDefault="00000000">
      <w:pPr>
        <w:pStyle w:val="Heading1"/>
      </w:pPr>
      <w:r>
        <w:t>5. Recommendations</w:t>
      </w:r>
    </w:p>
    <w:p w14:paraId="71A2E69E" w14:textId="77777777" w:rsidR="00CE416C" w:rsidRDefault="00000000">
      <w:pPr>
        <w:pStyle w:val="ListBullet"/>
      </w:pPr>
      <w:r>
        <w:t>Prioritize a payer-specific denial review for PrimeCare HMO.</w:t>
      </w:r>
    </w:p>
    <w:p w14:paraId="11762C3E" w14:textId="77777777" w:rsidR="00CE416C" w:rsidRDefault="00000000">
      <w:pPr>
        <w:pStyle w:val="ListBullet"/>
      </w:pPr>
      <w:r>
        <w:t>Use department, payer and time-band patterns to target no-show confirmation and reminder workflows.</w:t>
      </w:r>
    </w:p>
    <w:p w14:paraId="7D8C0F46" w14:textId="77777777" w:rsidR="00CE416C" w:rsidRDefault="00000000">
      <w:pPr>
        <w:pStyle w:val="ListBullet"/>
      </w:pPr>
      <w:r>
        <w:t>Investigate staffing, scheduling and process bottlenecks contributing to the Ikeja wait-time outlier.</w:t>
      </w:r>
    </w:p>
    <w:p w14:paraId="0132FEF3" w14:textId="77777777" w:rsidR="00CE416C" w:rsidRDefault="00000000">
      <w:pPr>
        <w:pStyle w:val="ListBullet"/>
      </w:pPr>
      <w:r>
        <w:t>Review discharge and post-discharge follow-up pathways for short-stay patients and other higher-risk groups.</w:t>
      </w:r>
    </w:p>
    <w:p w14:paraId="1C6B4FF9" w14:textId="77777777" w:rsidR="00CE416C" w:rsidRDefault="00000000">
      <w:pPr>
        <w:pStyle w:val="ListBullet"/>
      </w:pPr>
      <w:r>
        <w:t>Monitor monthly collection rate against the 82% target.</w:t>
      </w:r>
    </w:p>
    <w:p w14:paraId="5BE7D6ED" w14:textId="77777777" w:rsidR="00CE416C" w:rsidRDefault="00000000">
      <w:pPr>
        <w:pStyle w:val="Heading1"/>
      </w:pPr>
      <w:r>
        <w:t>6. Data Journey</w:t>
      </w:r>
    </w:p>
    <w:p w14:paraId="682D34C6" w14:textId="77777777" w:rsidR="00CE416C" w:rsidRDefault="00000000">
      <w:r>
        <w:t>Raw Export → Data Quality → Power Query Cleaning → Mapping/Standardization → Final Analytical Dataset → KPIs/PivotTables → Dashboards → Recommendations</w:t>
      </w:r>
    </w:p>
    <w:p w14:paraId="294E7D07" w14:textId="77777777" w:rsidR="00CE416C" w:rsidRDefault="00000000">
      <w:pPr>
        <w:pStyle w:val="Heading1"/>
      </w:pPr>
      <w:r>
        <w:t>7. Data Cleaning &amp; Quality Work</w:t>
      </w:r>
    </w:p>
    <w:p w14:paraId="431F3B00" w14:textId="77777777" w:rsidR="00CE416C" w:rsidRDefault="00000000">
      <w:pPr>
        <w:pStyle w:val="ListBullet"/>
      </w:pPr>
      <w:r>
        <w:t>10,624 raw rows were imported.</w:t>
      </w:r>
    </w:p>
    <w:p w14:paraId="20275774" w14:textId="77777777" w:rsidR="00CE416C" w:rsidRDefault="00000000">
      <w:pPr>
        <w:pStyle w:val="ListBullet"/>
      </w:pPr>
      <w:r>
        <w:t>14 fully blank rows were removed, leaving 10,610.</w:t>
      </w:r>
    </w:p>
    <w:p w14:paraId="2052B890" w14:textId="77777777" w:rsidR="00CE416C" w:rsidRDefault="00000000">
      <w:pPr>
        <w:pStyle w:val="ListBullet"/>
      </w:pPr>
      <w:r>
        <w:t>Encounter identifiers were normalized and duplicate encounters removed, leaving 10,000.</w:t>
      </w:r>
    </w:p>
    <w:p w14:paraId="207F215D" w14:textId="77777777" w:rsidR="00CE416C" w:rsidRDefault="00000000">
      <w:pPr>
        <w:pStyle w:val="ListBullet"/>
      </w:pPr>
      <w:r>
        <w:t>156 records with missing Visit Date were excluded according to the project decision rule, leaving 9,844 analytical encounters.</w:t>
      </w:r>
    </w:p>
    <w:p w14:paraId="482FB757" w14:textId="77777777" w:rsidR="00CE416C" w:rsidRDefault="00000000">
      <w:pPr>
        <w:pStyle w:val="ListBullet"/>
      </w:pPr>
      <w:r>
        <w:lastRenderedPageBreak/>
        <w:t>Invalid ages, wait-time sentinel values, negative bills and payments greater than billed amounts were handled according to the cleaning rules.</w:t>
      </w:r>
    </w:p>
    <w:p w14:paraId="6999542D" w14:textId="77777777" w:rsidR="00CE416C" w:rsidRDefault="00000000">
      <w:pPr>
        <w:pStyle w:val="ListBullet"/>
      </w:pPr>
      <w:r>
        <w:t>Satisfaction values recorded on a 10-point scale were standardized to a 5-point analytical scale.</w:t>
      </w:r>
    </w:p>
    <w:p w14:paraId="3A3F3ECE" w14:textId="77777777" w:rsidR="00CE416C" w:rsidRDefault="00000000">
      <w:pPr>
        <w:pStyle w:val="ListBullet"/>
      </w:pPr>
      <w:r>
        <w:t>Mapping tables were used to standardize categories.</w:t>
      </w:r>
    </w:p>
    <w:p w14:paraId="2759335D" w14:textId="77777777" w:rsidR="00CE416C" w:rsidRDefault="00000000">
      <w:pPr>
        <w:pStyle w:val="ListBullet"/>
      </w:pPr>
      <w:r>
        <w:t>Match-count checks were used before expanding merged mapping results so that mapping joins did not multiply the encounter rows.</w:t>
      </w:r>
    </w:p>
    <w:p w14:paraId="2414380D" w14:textId="77777777" w:rsidR="00CE416C" w:rsidRDefault="00000000">
      <w:pPr>
        <w:pStyle w:val="ListBullet"/>
      </w:pPr>
      <w:r>
        <w:t>Final data types were explicitly set and the cleaned query was loaded as the analytical dataset.</w:t>
      </w:r>
    </w:p>
    <w:p w14:paraId="36B70637" w14:textId="77777777" w:rsidR="00CE416C" w:rsidRDefault="00000000">
      <w:pPr>
        <w:pStyle w:val="Heading1"/>
      </w:pPr>
      <w:r>
        <w:t>8. Power Query / M Logic Used</w:t>
      </w:r>
    </w:p>
    <w:p w14:paraId="26764E5D" w14:textId="77777777" w:rsidR="00CE416C" w:rsidRDefault="00000000">
      <w:r>
        <w:t>The following are representative snippets from the transformation approach. They are included so I can explain the technical work during interviews without pretending that the entire project was built from one formula.</w:t>
      </w:r>
    </w:p>
    <w:p w14:paraId="23A90C38" w14:textId="77777777" w:rsidR="00CE416C" w:rsidRDefault="00000000">
      <w:pPr>
        <w:pStyle w:val="Heading2"/>
      </w:pPr>
      <w:r>
        <w:t>Identifier normalization</w:t>
      </w:r>
    </w:p>
    <w:p w14:paraId="2746904B" w14:textId="77777777" w:rsidR="00CE416C" w:rsidRDefault="00000000">
      <w:r>
        <w:t>Purpose: create a consistent matching key before deduplication or mapping.</w:t>
      </w:r>
    </w:p>
    <w:p w14:paraId="591A5FD1" w14:textId="77777777" w:rsidR="00CE416C" w:rsidRDefault="00000000">
      <w:r>
        <w:t>if [Raw] = null then "" else Text.Lower(Text.Trim(Text.Replace(Text.From([Raw]), Character.FromNumber(160), " ")))</w:t>
      </w:r>
    </w:p>
    <w:p w14:paraId="63DAB535" w14:textId="77777777" w:rsidR="00CE416C" w:rsidRDefault="00000000">
      <w:pPr>
        <w:pStyle w:val="Heading2"/>
      </w:pPr>
      <w:r>
        <w:t>Attendance flag</w:t>
      </w:r>
    </w:p>
    <w:p w14:paraId="58669BC0" w14:textId="77777777" w:rsidR="00CE416C" w:rsidRDefault="00000000">
      <w:r>
        <w:t>if [Attendance Status] = "Attended" then 1 else 0</w:t>
      </w:r>
    </w:p>
    <w:p w14:paraId="73720B5C" w14:textId="77777777" w:rsidR="00CE416C" w:rsidRDefault="00000000">
      <w:pPr>
        <w:pStyle w:val="Heading2"/>
      </w:pPr>
      <w:r>
        <w:t>Time band</w:t>
      </w:r>
    </w:p>
    <w:p w14:paraId="792AB6DD" w14:textId="77777777" w:rsidR="00CE416C" w:rsidRDefault="00000000">
      <w:r>
        <w:t>if [Appointment Hour] &lt; 12 then "Before 12pm" else if [Appointment Hour] &lt;= 15 then "12pm–3pm" else "After 3pm"</w:t>
      </w:r>
    </w:p>
    <w:p w14:paraId="76B63298" w14:textId="77777777" w:rsidR="00CE416C" w:rsidRDefault="00000000">
      <w:pPr>
        <w:pStyle w:val="Heading2"/>
      </w:pPr>
      <w:r>
        <w:t>Length of stay</w:t>
      </w:r>
    </w:p>
    <w:p w14:paraId="46BFEA3A" w14:textId="77777777" w:rsidR="00CE416C" w:rsidRDefault="00000000">
      <w:r>
        <w:t>if [Admission Date] &lt;&gt; null and [Discharge Date] &lt;&gt; null then Duration.Days([Discharge Date] - [Admission Date]) else null</w:t>
      </w:r>
    </w:p>
    <w:p w14:paraId="4B899A65" w14:textId="77777777" w:rsidR="00CE416C" w:rsidRDefault="00000000">
      <w:r>
        <w:t>The workbook also uses merge-and-expand logic with mapping tables. The important control was to verify that each normalized mapping key matched exactly one mapping row before expanding the result.</w:t>
      </w:r>
    </w:p>
    <w:p w14:paraId="78F50109" w14:textId="77777777" w:rsidR="00CE416C" w:rsidRDefault="00000000">
      <w:pPr>
        <w:pStyle w:val="Heading1"/>
      </w:pPr>
      <w:r>
        <w:t>9. Excel Analysis &amp; KPI Logic</w:t>
      </w:r>
    </w:p>
    <w:p w14:paraId="6A35A922" w14:textId="77777777" w:rsidR="00CE416C" w:rsidRDefault="00000000">
      <w:pPr>
        <w:pStyle w:val="ListBullet"/>
      </w:pPr>
      <w:r>
        <w:t>Total billed and collected values were calculated using attended encounters.</w:t>
      </w:r>
    </w:p>
    <w:p w14:paraId="27A668BA" w14:textId="77777777" w:rsidR="00CE416C" w:rsidRDefault="00000000">
      <w:pPr>
        <w:pStyle w:val="ListBullet"/>
      </w:pPr>
      <w:r>
        <w:t>Outstanding balance = billed amount − paid amount.</w:t>
      </w:r>
    </w:p>
    <w:p w14:paraId="360C6636" w14:textId="77777777" w:rsidR="00CE416C" w:rsidRDefault="00000000">
      <w:pPr>
        <w:pStyle w:val="ListBullet"/>
      </w:pPr>
      <w:r>
        <w:t>Collection rate = collected ÷ billed.</w:t>
      </w:r>
    </w:p>
    <w:p w14:paraId="14B9F9C4" w14:textId="77777777" w:rsidR="00CE416C" w:rsidRDefault="00000000">
      <w:pPr>
        <w:pStyle w:val="ListBullet"/>
      </w:pPr>
      <w:r>
        <w:t>No-show rate = no-show encounters ÷ encounters.</w:t>
      </w:r>
    </w:p>
    <w:p w14:paraId="3DAF8701" w14:textId="77777777" w:rsidR="00CE416C" w:rsidRDefault="00000000">
      <w:pPr>
        <w:pStyle w:val="ListBullet"/>
      </w:pPr>
      <w:r>
        <w:t>Denial rate = denied claims ÷ (approved + denied + pending claims).</w:t>
      </w:r>
    </w:p>
    <w:p w14:paraId="11DB110D" w14:textId="77777777" w:rsidR="00CE416C" w:rsidRDefault="00000000">
      <w:pPr>
        <w:pStyle w:val="ListBullet"/>
      </w:pPr>
      <w:r>
        <w:t>Average wait was calculated for attended records with valid positive wait values.</w:t>
      </w:r>
    </w:p>
    <w:p w14:paraId="1C29D17A" w14:textId="77777777" w:rsidR="00CE416C" w:rsidRDefault="00000000">
      <w:pPr>
        <w:pStyle w:val="ListBullet"/>
      </w:pPr>
      <w:r>
        <w:t>Average satisfaction was calculated from valid satisfaction scores.</w:t>
      </w:r>
    </w:p>
    <w:p w14:paraId="0B56002D" w14:textId="77777777" w:rsidR="00CE416C" w:rsidRDefault="00000000">
      <w:pPr>
        <w:pStyle w:val="ListBullet"/>
      </w:pPr>
      <w:r>
        <w:t>Readmission rate was calculated for inpatient encounters using the 30-day readmission field.</w:t>
      </w:r>
    </w:p>
    <w:p w14:paraId="7D51836E" w14:textId="77777777" w:rsidR="00CE416C" w:rsidRDefault="00000000">
      <w:pPr>
        <w:pStyle w:val="ListBullet"/>
      </w:pPr>
      <w:r>
        <w:t>Monthly collection rate was compared with an 82% target.</w:t>
      </w:r>
    </w:p>
    <w:p w14:paraId="3B2BFEEF" w14:textId="77777777" w:rsidR="00CE416C" w:rsidRDefault="00000000">
      <w:pPr>
        <w:pStyle w:val="Heading1"/>
      </w:pPr>
      <w:r>
        <w:lastRenderedPageBreak/>
        <w:t>10. Dashboard Guide</w:t>
      </w:r>
    </w:p>
    <w:p w14:paraId="21DFE6ED" w14:textId="77777777" w:rsidR="00CE416C" w:rsidRDefault="00000000">
      <w:pPr>
        <w:pStyle w:val="Heading2"/>
      </w:pPr>
      <w:r>
        <w:t>DASH_EXEC</w:t>
      </w:r>
    </w:p>
    <w:p w14:paraId="25AACC3E" w14:textId="77777777" w:rsidR="00CE416C" w:rsidRDefault="00000000">
      <w:r>
        <w:t>Executive view: headline KPIs, monthly revenue/collection performance, departmental revenue and branch scorecard.</w:t>
      </w:r>
    </w:p>
    <w:p w14:paraId="246A3E91" w14:textId="77777777" w:rsidR="00CE416C" w:rsidRDefault="00000000">
      <w:pPr>
        <w:pStyle w:val="Heading2"/>
      </w:pPr>
      <w:r>
        <w:t>DASH_REVENUE</w:t>
      </w:r>
    </w:p>
    <w:p w14:paraId="1AEF0490" w14:textId="77777777" w:rsidR="00CE416C" w:rsidRDefault="00000000">
      <w:r>
        <w:t>Revenue-cycle view: payer denial rates, denied value, revenue-cycle movement, outstanding balances, monthly collection rate and the 82% target.</w:t>
      </w:r>
    </w:p>
    <w:p w14:paraId="5E8ED184" w14:textId="77777777" w:rsidR="00CE416C" w:rsidRDefault="00000000">
      <w:pPr>
        <w:pStyle w:val="Heading2"/>
      </w:pPr>
      <w:r>
        <w:t>DASH_FLOW</w:t>
      </w:r>
    </w:p>
    <w:p w14:paraId="2808A08D" w14:textId="77777777" w:rsidR="00CE416C" w:rsidRDefault="00000000">
      <w:r>
        <w:t>Patient-flow view: no-show patterns, department and payer/time analysis, wait-time versus satisfaction and branch wait comparison.</w:t>
      </w:r>
    </w:p>
    <w:p w14:paraId="6E0414C4" w14:textId="77777777" w:rsidR="00CE416C" w:rsidRDefault="00000000">
      <w:pPr>
        <w:pStyle w:val="Heading2"/>
      </w:pPr>
      <w:r>
        <w:t>DASH_CLINICAL</w:t>
      </w:r>
    </w:p>
    <w:p w14:paraId="2D9D9159" w14:textId="77777777" w:rsidR="00CE416C" w:rsidRDefault="00000000">
      <w:r>
        <w:t>Clinical view: readmission by LOS/department/age, satisfaction by department, doctor workload/experience and LOS distribution.</w:t>
      </w:r>
    </w:p>
    <w:p w14:paraId="10DDDDC6" w14:textId="77777777" w:rsidR="00CE416C" w:rsidRDefault="00000000">
      <w:pPr>
        <w:pStyle w:val="Heading1"/>
      </w:pPr>
      <w:r>
        <w:t>11. Tools &amp; Skills</w:t>
      </w:r>
    </w:p>
    <w:p w14:paraId="2A91B1A0" w14:textId="77777777" w:rsidR="00CE416C" w:rsidRDefault="00000000">
      <w:pPr>
        <w:pStyle w:val="ListBullet"/>
      </w:pPr>
      <w:r>
        <w:t>Microsoft Excel</w:t>
      </w:r>
    </w:p>
    <w:p w14:paraId="3257FF8C" w14:textId="77777777" w:rsidR="00CE416C" w:rsidRDefault="00000000">
      <w:pPr>
        <w:pStyle w:val="ListBullet"/>
      </w:pPr>
      <w:r>
        <w:t>Power Query / M</w:t>
      </w:r>
    </w:p>
    <w:p w14:paraId="74F36F14" w14:textId="77777777" w:rsidR="00CE416C" w:rsidRDefault="00000000">
      <w:pPr>
        <w:pStyle w:val="ListBullet"/>
      </w:pPr>
      <w:r>
        <w:t>PivotTables</w:t>
      </w:r>
    </w:p>
    <w:p w14:paraId="39F94E93" w14:textId="77777777" w:rsidR="00CE416C" w:rsidRDefault="00000000">
      <w:pPr>
        <w:pStyle w:val="ListBullet"/>
      </w:pPr>
      <w:r>
        <w:t>Excel formulas and structured references</w:t>
      </w:r>
    </w:p>
    <w:p w14:paraId="2C481E11" w14:textId="77777777" w:rsidR="00CE416C" w:rsidRDefault="00000000">
      <w:pPr>
        <w:pStyle w:val="ListBullet"/>
      </w:pPr>
      <w:r>
        <w:t>Power Pivot / Data Model exploration</w:t>
      </w:r>
    </w:p>
    <w:p w14:paraId="65B642A6" w14:textId="77777777" w:rsidR="00CE416C" w:rsidRDefault="00000000">
      <w:pPr>
        <w:pStyle w:val="ListBullet"/>
      </w:pPr>
      <w:r>
        <w:t>Data cleaning and transformation</w:t>
      </w:r>
    </w:p>
    <w:p w14:paraId="1C27B74B" w14:textId="77777777" w:rsidR="00CE416C" w:rsidRDefault="00000000">
      <w:pPr>
        <w:pStyle w:val="ListBullet"/>
      </w:pPr>
      <w:r>
        <w:t>Data-quality validation</w:t>
      </w:r>
    </w:p>
    <w:p w14:paraId="3AAF7BAF" w14:textId="77777777" w:rsidR="00CE416C" w:rsidRDefault="00000000">
      <w:pPr>
        <w:pStyle w:val="ListBullet"/>
      </w:pPr>
      <w:r>
        <w:t>Mapping and lookup logic</w:t>
      </w:r>
    </w:p>
    <w:p w14:paraId="7928AE54" w14:textId="77777777" w:rsidR="00CE416C" w:rsidRDefault="00000000">
      <w:pPr>
        <w:pStyle w:val="ListBullet"/>
      </w:pPr>
      <w:r>
        <w:t>KPI development</w:t>
      </w:r>
    </w:p>
    <w:p w14:paraId="28B4D0D7" w14:textId="77777777" w:rsidR="00CE416C" w:rsidRDefault="00000000">
      <w:pPr>
        <w:pStyle w:val="ListBullet"/>
      </w:pPr>
      <w:r>
        <w:t>Healthcare operations and revenue-cycle analysis</w:t>
      </w:r>
    </w:p>
    <w:p w14:paraId="3BBC998E" w14:textId="77777777" w:rsidR="00CE416C" w:rsidRDefault="00000000">
      <w:pPr>
        <w:pStyle w:val="ListBullet"/>
      </w:pPr>
      <w:r>
        <w:t>Patient-experience analysis</w:t>
      </w:r>
    </w:p>
    <w:p w14:paraId="4D5BA112" w14:textId="77777777" w:rsidR="00CE416C" w:rsidRDefault="00000000">
      <w:pPr>
        <w:pStyle w:val="ListBullet"/>
      </w:pPr>
      <w:r>
        <w:t>Clinical outcome analysis</w:t>
      </w:r>
    </w:p>
    <w:p w14:paraId="2E260FC9" w14:textId="795F6FE6" w:rsidR="00CE416C" w:rsidRDefault="00000000" w:rsidP="00B81F83">
      <w:pPr>
        <w:pStyle w:val="ListBullet"/>
      </w:pPr>
      <w:r>
        <w:t>Dashboard design and business storytelling</w:t>
      </w:r>
    </w:p>
    <w:sectPr w:rsidR="00CE416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150440">
    <w:abstractNumId w:val="8"/>
  </w:num>
  <w:num w:numId="2" w16cid:durableId="561020636">
    <w:abstractNumId w:val="6"/>
  </w:num>
  <w:num w:numId="3" w16cid:durableId="317224034">
    <w:abstractNumId w:val="5"/>
  </w:num>
  <w:num w:numId="4" w16cid:durableId="1977759235">
    <w:abstractNumId w:val="4"/>
  </w:num>
  <w:num w:numId="5" w16cid:durableId="2081974108">
    <w:abstractNumId w:val="7"/>
  </w:num>
  <w:num w:numId="6" w16cid:durableId="734013673">
    <w:abstractNumId w:val="3"/>
  </w:num>
  <w:num w:numId="7" w16cid:durableId="1499731420">
    <w:abstractNumId w:val="2"/>
  </w:num>
  <w:num w:numId="8" w16cid:durableId="919486975">
    <w:abstractNumId w:val="1"/>
  </w:num>
  <w:num w:numId="9" w16cid:durableId="23351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7B63"/>
    <w:rsid w:val="00AA1D8D"/>
    <w:rsid w:val="00B47730"/>
    <w:rsid w:val="00B81F83"/>
    <w:rsid w:val="00CB0664"/>
    <w:rsid w:val="00CE4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F4249"/>
  <w14:defaultImageDpi w14:val="300"/>
  <w15:docId w15:val="{C122487E-C59A-4D40-BF1E-D53FFAD4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idemudia favour</cp:lastModifiedBy>
  <cp:revision>2</cp:revision>
  <dcterms:created xsi:type="dcterms:W3CDTF">2013-12-23T23:15:00Z</dcterms:created>
  <dcterms:modified xsi:type="dcterms:W3CDTF">2026-10-07T14:26:00Z</dcterms:modified>
  <cp:category/>
</cp:coreProperties>
</file>