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7322B" w14:textId="77777777" w:rsidR="006D7F91" w:rsidRDefault="006D7F91">
      <w:pPr>
        <w:spacing w:before="2000"/>
      </w:pPr>
    </w:p>
    <w:p w14:paraId="76CC4A00" w14:textId="77777777" w:rsidR="006D7F91" w:rsidRDefault="0040114C">
      <w:pPr>
        <w:spacing w:after="160"/>
        <w:jc w:val="center"/>
      </w:pPr>
      <w:r>
        <w:rPr>
          <w:rFonts w:ascii="Arial" w:eastAsia="Arial" w:hAnsi="Arial" w:cs="Arial"/>
          <w:b/>
          <w:bCs/>
          <w:color w:val="1B3A6B"/>
          <w:sz w:val="52"/>
          <w:szCs w:val="52"/>
        </w:rPr>
        <w:t>BANK MARKETING CAMPAIGN</w:t>
      </w:r>
    </w:p>
    <w:p w14:paraId="163FCC8D" w14:textId="77777777" w:rsidR="006D7F91" w:rsidRDefault="0040114C">
      <w:pPr>
        <w:spacing w:after="400"/>
        <w:jc w:val="center"/>
      </w:pPr>
      <w:r>
        <w:rPr>
          <w:rFonts w:ascii="Arial" w:eastAsia="Arial" w:hAnsi="Arial" w:cs="Arial"/>
          <w:b/>
          <w:bCs/>
          <w:color w:val="2E5FAC"/>
          <w:sz w:val="52"/>
          <w:szCs w:val="52"/>
        </w:rPr>
        <w:t>ANALYSIS REPORT</w:t>
      </w:r>
    </w:p>
    <w:p w14:paraId="2896FC17" w14:textId="77777777" w:rsidR="006D7F91" w:rsidRDefault="006D7F91">
      <w:pPr>
        <w:pBdr>
          <w:bottom w:val="single" w:sz="12" w:space="1" w:color="2E5FAC"/>
        </w:pBdr>
        <w:spacing w:after="300"/>
        <w:jc w:val="center"/>
      </w:pPr>
    </w:p>
    <w:p w14:paraId="4351C10B" w14:textId="77777777" w:rsidR="006D7F91" w:rsidRDefault="006D7F91">
      <w:pPr>
        <w:spacing w:before="200"/>
      </w:pPr>
    </w:p>
    <w:p w14:paraId="32678FCC" w14:textId="77777777" w:rsidR="006D7F91" w:rsidRDefault="0040114C">
      <w:pPr>
        <w:spacing w:after="100"/>
        <w:jc w:val="center"/>
      </w:pPr>
      <w:r>
        <w:rPr>
          <w:color w:val="555555"/>
          <w:sz w:val="24"/>
          <w:szCs w:val="24"/>
        </w:rPr>
        <w:t>Prepared by: Data Analytics Division</w:t>
      </w:r>
    </w:p>
    <w:p w14:paraId="4A0465EB" w14:textId="77777777" w:rsidR="006D7F91" w:rsidRDefault="0040114C">
      <w:pPr>
        <w:spacing w:after="100"/>
        <w:jc w:val="center"/>
      </w:pPr>
      <w:r>
        <w:rPr>
          <w:color w:val="555555"/>
          <w:sz w:val="22"/>
          <w:szCs w:val="22"/>
        </w:rPr>
        <w:t>Tools: Microsoft Excel  |  Power BI  |  Pivot Tables  |  DAX  |  Quartile Analysis</w:t>
      </w:r>
    </w:p>
    <w:p w14:paraId="25C6B5EC" w14:textId="77777777" w:rsidR="006D7F91" w:rsidRDefault="0040114C">
      <w:pPr>
        <w:spacing w:after="100"/>
        <w:jc w:val="center"/>
      </w:pPr>
      <w:r>
        <w:rPr>
          <w:i/>
          <w:iCs/>
          <w:color w:val="C0392B"/>
          <w:sz w:val="22"/>
          <w:szCs w:val="22"/>
        </w:rPr>
        <w:t>Classification: Internal  —  Executive Distribution</w:t>
      </w:r>
    </w:p>
    <w:p w14:paraId="533DF87F" w14:textId="44CC6E2B" w:rsidR="006D7F91" w:rsidRDefault="0040114C">
      <w:pPr>
        <w:jc w:val="center"/>
      </w:pPr>
      <w:r>
        <w:rPr>
          <w:color w:val="555555"/>
          <w:sz w:val="22"/>
          <w:szCs w:val="22"/>
        </w:rPr>
        <w:t>June 202</w:t>
      </w:r>
      <w:r w:rsidR="00E12240">
        <w:rPr>
          <w:color w:val="555555"/>
          <w:sz w:val="22"/>
          <w:szCs w:val="22"/>
        </w:rPr>
        <w:t>6</w:t>
      </w:r>
    </w:p>
    <w:p w14:paraId="0B731135" w14:textId="77777777" w:rsidR="006D7F91" w:rsidRDefault="0040114C">
      <w:r>
        <w:br/>
      </w:r>
    </w:p>
    <w:p w14:paraId="5867D566" w14:textId="77777777" w:rsidR="006D7F91" w:rsidRDefault="0040114C">
      <w:pPr>
        <w:pStyle w:val="Heading1"/>
      </w:pPr>
      <w:r>
        <w:t>1. Executive Summary</w:t>
      </w:r>
    </w:p>
    <w:p w14:paraId="22729E45" w14:textId="77777777" w:rsidR="006D7F91" w:rsidRDefault="006D7F91">
      <w:pPr>
        <w:pBdr>
          <w:bottom w:val="single" w:sz="6" w:space="1" w:color="2E5FAC"/>
        </w:pBdr>
        <w:spacing w:after="160"/>
      </w:pPr>
    </w:p>
    <w:p w14:paraId="222E8C58" w14:textId="77777777" w:rsidR="006D7F91" w:rsidRDefault="0040114C">
      <w:pPr>
        <w:spacing w:before="80" w:after="120" w:line="280" w:lineRule="auto"/>
        <w:jc w:val="both"/>
      </w:pPr>
      <w:r>
        <w:rPr>
          <w:color w:val="222222"/>
        </w:rPr>
        <w:t>This report presents a comprehensive analytical review of a bank’s direct marketing campaign aimed at increasing customer subscriptions to term deposit products. The anal</w:t>
      </w:r>
      <w:r>
        <w:rPr>
          <w:color w:val="222222"/>
        </w:rPr>
        <w:t>ysis was conducted using Microsoft Excel and Power BI, employing Pivot Tables, DAX measures, Quartile Analysis, and Conversion Rate Analysis across fourteen distinct customer and campaign variables.</w:t>
      </w:r>
    </w:p>
    <w:p w14:paraId="6ECAC62F" w14:textId="77777777" w:rsidR="006D7F91" w:rsidRDefault="006D7F91">
      <w:pPr>
        <w:spacing w:before="80"/>
      </w:pPr>
    </w:p>
    <w:p w14:paraId="7421FE72" w14:textId="77777777" w:rsidR="006D7F91" w:rsidRDefault="0040114C">
      <w:pPr>
        <w:spacing w:before="80" w:after="120" w:line="280" w:lineRule="auto"/>
        <w:jc w:val="both"/>
      </w:pPr>
      <w:r>
        <w:rPr>
          <w:color w:val="222222"/>
        </w:rPr>
        <w:t>A foundational analytical principle is applied consisten</w:t>
      </w:r>
      <w:r>
        <w:rPr>
          <w:color w:val="222222"/>
        </w:rPr>
        <w:t>tly throughout the report: subscription volume (the absolute number of term deposits secured) and subscription rate (the proportion of customers who subscribed, expressed as a percentage) are evaluated in parallel. As demonstrated across multiple segments,</w:t>
      </w:r>
      <w:r>
        <w:rPr>
          <w:color w:val="222222"/>
        </w:rPr>
        <w:t xml:space="preserve"> high subscription counts are frequently a function of customer concentration in a given segment rather than genuine conversion efficiency. Subscription rate provides the more reliable measure of campaign effectiveness and is used as the primary performanc</w:t>
      </w:r>
      <w:r>
        <w:rPr>
          <w:color w:val="222222"/>
        </w:rPr>
        <w:t>e metric throughout this analysis.</w:t>
      </w:r>
    </w:p>
    <w:p w14:paraId="572B418A" w14:textId="77777777" w:rsidR="006D7F91" w:rsidRDefault="006D7F91">
      <w:pPr>
        <w:spacing w:before="80"/>
      </w:pPr>
    </w:p>
    <w:p w14:paraId="317E3B27" w14:textId="77777777" w:rsidR="006D7F91" w:rsidRDefault="0040114C">
      <w:pPr>
        <w:spacing w:before="80" w:after="120" w:line="280" w:lineRule="auto"/>
        <w:jc w:val="both"/>
      </w:pPr>
      <w:r>
        <w:rPr>
          <w:color w:val="222222"/>
        </w:rPr>
        <w:t>Data quality interventions were applied prior to analysis, most notably the exclusion of 45 records with invalid negative call duration values. Following remediation, the cleaned dataset of 32,000 customer records was an</w:t>
      </w:r>
      <w:r>
        <w:rPr>
          <w:color w:val="222222"/>
        </w:rPr>
        <w:t>alysed across the following dimensions: Age, Job/Occupation, Marital Status, Education Level, Credit Default History, Housing Loan Status, Personal Loan Status, Contact Method, Month of Campaign Contact, Gender, Account Balance Segment, Call Duration Segme</w:t>
      </w:r>
      <w:r>
        <w:rPr>
          <w:color w:val="222222"/>
        </w:rPr>
        <w:t>nt, Previous Contact Days (PDays), and Previous Campaign Outcome.</w:t>
      </w:r>
    </w:p>
    <w:p w14:paraId="52B00FD9" w14:textId="77777777" w:rsidR="006D7F91" w:rsidRDefault="006D7F91">
      <w:pPr>
        <w:spacing w:before="80"/>
      </w:pPr>
    </w:p>
    <w:p w14:paraId="475CD904" w14:textId="77777777" w:rsidR="006D7F91" w:rsidRDefault="0040114C">
      <w:pPr>
        <w:spacing w:before="80" w:after="120" w:line="280" w:lineRule="auto"/>
        <w:jc w:val="both"/>
      </w:pPr>
      <w:r>
        <w:rPr>
          <w:color w:val="222222"/>
        </w:rPr>
        <w:t>The five most strategically significant findings from the analysis are:</w:t>
      </w:r>
    </w:p>
    <w:p w14:paraId="4FFE387B" w14:textId="77777777" w:rsidR="006D7F91" w:rsidRDefault="006D7F91">
      <w:pPr>
        <w:spacing w:before="60"/>
      </w:pPr>
    </w:p>
    <w:p w14:paraId="66C9B234" w14:textId="77777777" w:rsidR="006D7F91" w:rsidRDefault="0040114C">
      <w:pPr>
        <w:spacing w:before="80" w:after="120" w:line="280" w:lineRule="auto"/>
        <w:jc w:val="both"/>
      </w:pPr>
      <w:r>
        <w:rPr>
          <w:b/>
          <w:bCs/>
          <w:color w:val="222222"/>
        </w:rPr>
        <w:t>(1) Previous Campaign Success is the strongest predictor of term deposit subscription, with customers who had previously engaged positively achieving a 91.3% conversion rate.</w:t>
      </w:r>
    </w:p>
    <w:p w14:paraId="62C667D4" w14:textId="77777777" w:rsidR="006D7F91" w:rsidRDefault="0040114C">
      <w:pPr>
        <w:spacing w:before="80" w:after="120" w:line="280" w:lineRule="auto"/>
        <w:jc w:val="both"/>
      </w:pPr>
      <w:r>
        <w:rPr>
          <w:color w:val="222222"/>
        </w:rPr>
        <w:t xml:space="preserve">(2) Call Duration demonstrates a powerful positive relationship with conversion, </w:t>
      </w:r>
      <w:r>
        <w:rPr>
          <w:color w:val="222222"/>
        </w:rPr>
        <w:t>with Extended calls (495+ seconds) achieving an 81.9% subscription rate versus 11.9% for Short calls.</w:t>
      </w:r>
    </w:p>
    <w:p w14:paraId="708A2247" w14:textId="77777777" w:rsidR="006D7F91" w:rsidRDefault="0040114C">
      <w:pPr>
        <w:spacing w:before="80" w:after="120" w:line="280" w:lineRule="auto"/>
        <w:jc w:val="both"/>
      </w:pPr>
      <w:r>
        <w:rPr>
          <w:b/>
          <w:bCs/>
          <w:color w:val="222222"/>
        </w:rPr>
        <w:t>(3) Account Balance is consistently and positively associated with subscription rate, rising from 34.9% for Negative Balance customers to 56.8% for Very H</w:t>
      </w:r>
      <w:r>
        <w:rPr>
          <w:b/>
          <w:bCs/>
          <w:color w:val="222222"/>
        </w:rPr>
        <w:t>igh Balance customers.</w:t>
      </w:r>
    </w:p>
    <w:p w14:paraId="7E51FE11" w14:textId="77777777" w:rsidR="006D7F91" w:rsidRDefault="0040114C">
      <w:pPr>
        <w:spacing w:before="80" w:after="120" w:line="280" w:lineRule="auto"/>
        <w:jc w:val="both"/>
      </w:pPr>
      <w:r>
        <w:rPr>
          <w:color w:val="222222"/>
        </w:rPr>
        <w:t>(4) Existing Loan Obligations — whether housing or personal — significantly reduce subscription likelihood, with housing loan customers subscribing at 36.6% versus 56.9% for those without.</w:t>
      </w:r>
    </w:p>
    <w:p w14:paraId="2A8CD12E" w14:textId="77777777" w:rsidR="006D7F91" w:rsidRDefault="0040114C">
      <w:pPr>
        <w:spacing w:before="80" w:after="120" w:line="280" w:lineRule="auto"/>
        <w:jc w:val="both"/>
      </w:pPr>
      <w:r>
        <w:rPr>
          <w:b/>
          <w:bCs/>
          <w:color w:val="222222"/>
        </w:rPr>
        <w:t>(5) Age and Occupation interact: while the 2</w:t>
      </w:r>
      <w:r>
        <w:rPr>
          <w:b/>
          <w:bCs/>
          <w:color w:val="222222"/>
        </w:rPr>
        <w:t>5–34 age group and Management occupation generate the highest subscription volumes, older customers (65+), Students, and Retired individuals demonstrate far superior conversion efficiency when assessed by subscription rate.</w:t>
      </w:r>
    </w:p>
    <w:p w14:paraId="7741A70D" w14:textId="77777777" w:rsidR="006D7F91" w:rsidRDefault="006D7F91">
      <w:pPr>
        <w:spacing w:before="80"/>
      </w:pPr>
    </w:p>
    <w:p w14:paraId="2CB299A8" w14:textId="77777777" w:rsidR="006D7F91" w:rsidRDefault="0040114C">
      <w:pPr>
        <w:spacing w:before="80" w:after="120" w:line="280" w:lineRule="auto"/>
        <w:jc w:val="both"/>
      </w:pPr>
      <w:r>
        <w:rPr>
          <w:color w:val="222222"/>
        </w:rPr>
        <w:t>Detailed findings, business ins</w:t>
      </w:r>
      <w:r>
        <w:rPr>
          <w:color w:val="222222"/>
        </w:rPr>
        <w:t>ights, and strategic recommendations for each segment are presented in Sections 3 through 16.</w:t>
      </w:r>
    </w:p>
    <w:p w14:paraId="5ABD864A" w14:textId="77777777" w:rsidR="006D7F91" w:rsidRDefault="006D7F91">
      <w:pPr>
        <w:spacing w:before="200"/>
      </w:pPr>
    </w:p>
    <w:p w14:paraId="33D5B0EE" w14:textId="77777777" w:rsidR="006D7F91" w:rsidRDefault="0040114C">
      <w:pPr>
        <w:pStyle w:val="Heading1"/>
      </w:pPr>
      <w:r>
        <w:t>2. Project Overview</w:t>
      </w:r>
    </w:p>
    <w:p w14:paraId="27F17174" w14:textId="77777777" w:rsidR="006D7F91" w:rsidRDefault="006D7F91">
      <w:pPr>
        <w:pBdr>
          <w:bottom w:val="single" w:sz="6" w:space="1" w:color="2E5FAC"/>
        </w:pBdr>
        <w:spacing w:after="160"/>
      </w:pPr>
    </w:p>
    <w:p w14:paraId="749A448E" w14:textId="77777777" w:rsidR="006D7F91" w:rsidRDefault="0040114C">
      <w:pPr>
        <w:pStyle w:val="Heading2"/>
      </w:pPr>
      <w:r>
        <w:t>2.1  Objective</w:t>
      </w:r>
    </w:p>
    <w:p w14:paraId="5D44FE7C" w14:textId="77777777" w:rsidR="006D7F91" w:rsidRDefault="0040114C">
      <w:pPr>
        <w:spacing w:before="80" w:after="120" w:line="280" w:lineRule="auto"/>
        <w:jc w:val="both"/>
      </w:pPr>
      <w:r>
        <w:rPr>
          <w:color w:val="222222"/>
        </w:rPr>
        <w:t>The primary objective of this project was to conduct a structured analytical review of a bank’s direct marketing campaign dataset to identify the key factors influencing customer subscription to term deposit products. The analysis aims to move beyond descr</w:t>
      </w:r>
      <w:r>
        <w:rPr>
          <w:color w:val="222222"/>
        </w:rPr>
        <w:t>iptive reporting to generate evidence-based insights and actionable recommendations that can directly inform future campaign design, customer segmentation strategy, and resource allocation.</w:t>
      </w:r>
    </w:p>
    <w:p w14:paraId="3AE3C179" w14:textId="77777777" w:rsidR="006D7F91" w:rsidRDefault="006D7F91">
      <w:pPr>
        <w:spacing w:before="120"/>
      </w:pPr>
    </w:p>
    <w:p w14:paraId="4E822469" w14:textId="77777777" w:rsidR="006D7F91" w:rsidRDefault="0040114C">
      <w:pPr>
        <w:pStyle w:val="Heading2"/>
      </w:pPr>
      <w:r>
        <w:t>2.2  Dataset</w:t>
      </w:r>
    </w:p>
    <w:p w14:paraId="71BBA7BC" w14:textId="77777777" w:rsidR="006D7F91" w:rsidRDefault="0040114C">
      <w:pPr>
        <w:spacing w:before="80" w:after="120" w:line="280" w:lineRule="auto"/>
        <w:jc w:val="both"/>
      </w:pPr>
      <w:r>
        <w:rPr>
          <w:color w:val="222222"/>
        </w:rPr>
        <w:t xml:space="preserve">The dataset comprises 32,000 customer records drawn </w:t>
      </w:r>
      <w:r>
        <w:rPr>
          <w:color w:val="222222"/>
        </w:rPr>
        <w:t>from a direct marketing campaign conducted by a retail bank. Each record captures customer demographic attributes (age, job, marital status, education, gender), financial characteristics (account balance, housing loan, personal loan, default history), camp</w:t>
      </w:r>
      <w:r>
        <w:rPr>
          <w:color w:val="222222"/>
        </w:rPr>
        <w:t>aign contact details (contact method, month, call duration), and prior campaign engagement metrics (PDays, previous outcome). The target variable is whether the customer subscribed to a term deposit (Yes or No).</w:t>
      </w:r>
    </w:p>
    <w:p w14:paraId="471EBE19" w14:textId="77777777" w:rsidR="006D7F91" w:rsidRDefault="006D7F91">
      <w:pPr>
        <w:spacing w:before="120"/>
      </w:pPr>
    </w:p>
    <w:p w14:paraId="016FA704" w14:textId="77777777" w:rsidR="006D7F91" w:rsidRDefault="0040114C">
      <w:pPr>
        <w:pStyle w:val="Heading2"/>
      </w:pPr>
      <w:r>
        <w:t>2.3  Data Quality &amp; Preparation</w:t>
      </w:r>
    </w:p>
    <w:p w14:paraId="33670771" w14:textId="77777777" w:rsidR="006D7F91" w:rsidRDefault="0040114C">
      <w:pPr>
        <w:spacing w:before="80" w:after="120" w:line="280" w:lineRule="auto"/>
        <w:jc w:val="both"/>
      </w:pPr>
      <w:r>
        <w:rPr>
          <w:color w:val="222222"/>
        </w:rPr>
        <w:t>Prior to an</w:t>
      </w:r>
      <w:r>
        <w:rPr>
          <w:color w:val="222222"/>
        </w:rPr>
        <w:t>alysis, a data quality review was conducted. Forty-five records were identified with negative values in the call duration field, which are not valid real-world measurements. These records were excluded from all duration-based analyses to prevent distortion</w:t>
      </w:r>
      <w:r>
        <w:rPr>
          <w:color w:val="222222"/>
        </w:rPr>
        <w:t xml:space="preserve"> of conversion rate calculations. They have been retained where their exclusion would </w:t>
      </w:r>
      <w:r>
        <w:rPr>
          <w:color w:val="222222"/>
        </w:rPr>
        <w:lastRenderedPageBreak/>
        <w:t>not affect the integrity of non-duration segment analyses. The resulting dataset used for analysis contains 32,000 records, with 15,142 customers (47.3%) having subscribe</w:t>
      </w:r>
      <w:r>
        <w:rPr>
          <w:color w:val="222222"/>
        </w:rPr>
        <w:t>d to a term deposit and 16,858 (52.7%) having not subscribed.</w:t>
      </w:r>
    </w:p>
    <w:p w14:paraId="12953C5E" w14:textId="77777777" w:rsidR="006D7F91" w:rsidRDefault="006D7F91">
      <w:pPr>
        <w:spacing w:before="120"/>
      </w:pPr>
    </w:p>
    <w:p w14:paraId="0239979D" w14:textId="77777777" w:rsidR="006D7F91" w:rsidRDefault="0040114C">
      <w:pPr>
        <w:pStyle w:val="Heading2"/>
      </w:pPr>
      <w:r>
        <w:t>2.4  Analytical Tools &amp; Methodology</w:t>
      </w:r>
    </w:p>
    <w:p w14:paraId="767A195E" w14:textId="77777777" w:rsidR="006D7F91" w:rsidRDefault="0040114C">
      <w:pPr>
        <w:spacing w:before="80" w:after="120" w:line="280" w:lineRule="auto"/>
        <w:jc w:val="both"/>
      </w:pPr>
      <w:r>
        <w:rPr>
          <w:color w:val="222222"/>
        </w:rPr>
        <w:t>The following tools and techniques were applied throughout the analysis:</w:t>
      </w:r>
    </w:p>
    <w:p w14:paraId="452C1D9B"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3120"/>
        <w:gridCol w:w="6240"/>
      </w:tblGrid>
      <w:tr w:rsidR="006D7F91" w14:paraId="6BBD826B" w14:textId="77777777">
        <w:tblPrEx>
          <w:tblCellMar>
            <w:top w:w="0" w:type="dxa"/>
            <w:bottom w:w="0" w:type="dxa"/>
          </w:tblCellMar>
        </w:tblPrEx>
        <w:tc>
          <w:tcPr>
            <w:tcW w:w="312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8788C37" w14:textId="77777777" w:rsidR="006D7F91" w:rsidRDefault="0040114C">
            <w:pPr>
              <w:jc w:val="center"/>
            </w:pPr>
            <w:r>
              <w:rPr>
                <w:rFonts w:ascii="Arial" w:eastAsia="Arial" w:hAnsi="Arial" w:cs="Arial"/>
                <w:b/>
                <w:bCs/>
                <w:color w:val="FFFFFF"/>
                <w:sz w:val="19"/>
                <w:szCs w:val="19"/>
              </w:rPr>
              <w:t>Tool / Technique</w:t>
            </w:r>
          </w:p>
        </w:tc>
        <w:tc>
          <w:tcPr>
            <w:tcW w:w="62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3A7E9B4" w14:textId="77777777" w:rsidR="006D7F91" w:rsidRDefault="0040114C">
            <w:pPr>
              <w:jc w:val="center"/>
            </w:pPr>
            <w:r>
              <w:rPr>
                <w:rFonts w:ascii="Arial" w:eastAsia="Arial" w:hAnsi="Arial" w:cs="Arial"/>
                <w:b/>
                <w:bCs/>
                <w:color w:val="FFFFFF"/>
                <w:sz w:val="19"/>
                <w:szCs w:val="19"/>
              </w:rPr>
              <w:t>Application</w:t>
            </w:r>
          </w:p>
        </w:tc>
      </w:tr>
      <w:tr w:rsidR="006D7F91" w14:paraId="14000813" w14:textId="77777777">
        <w:tblPrEx>
          <w:tblCellMar>
            <w:top w:w="0" w:type="dxa"/>
            <w:bottom w:w="0" w:type="dxa"/>
          </w:tblCellMar>
        </w:tblPrEx>
        <w:tc>
          <w:tcPr>
            <w:tcW w:w="312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60412F84" w14:textId="77777777" w:rsidR="006D7F91" w:rsidRDefault="0040114C">
            <w:pPr>
              <w:jc w:val="center"/>
            </w:pPr>
            <w:r>
              <w:rPr>
                <w:b/>
                <w:bCs/>
                <w:color w:val="1B3A6B"/>
                <w:sz w:val="19"/>
                <w:szCs w:val="19"/>
              </w:rPr>
              <w:t>Microsoft Excel</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FC8C37A" w14:textId="77777777" w:rsidR="006D7F91" w:rsidRDefault="0040114C">
            <w:r>
              <w:rPr>
                <w:color w:val="222222"/>
                <w:sz w:val="19"/>
                <w:szCs w:val="19"/>
              </w:rPr>
              <w:t>Data cleaning, statistical computation, and exploratory analysis</w:t>
            </w:r>
          </w:p>
        </w:tc>
      </w:tr>
      <w:tr w:rsidR="006D7F91" w14:paraId="0DF279C1" w14:textId="77777777">
        <w:tblPrEx>
          <w:tblCellMar>
            <w:top w:w="0" w:type="dxa"/>
            <w:bottom w:w="0" w:type="dxa"/>
          </w:tblCellMar>
        </w:tblPrEx>
        <w:tc>
          <w:tcPr>
            <w:tcW w:w="312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604271D4" w14:textId="77777777" w:rsidR="006D7F91" w:rsidRDefault="0040114C">
            <w:pPr>
              <w:jc w:val="center"/>
            </w:pPr>
            <w:r>
              <w:rPr>
                <w:b/>
                <w:bCs/>
                <w:color w:val="1B3A6B"/>
                <w:sz w:val="19"/>
                <w:szCs w:val="19"/>
              </w:rPr>
              <w:t>Power BI</w:t>
            </w:r>
          </w:p>
        </w:tc>
        <w:tc>
          <w:tcPr>
            <w:tcW w:w="62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015C34E" w14:textId="77777777" w:rsidR="006D7F91" w:rsidRDefault="0040114C">
            <w:r>
              <w:rPr>
                <w:color w:val="222222"/>
                <w:sz w:val="19"/>
                <w:szCs w:val="19"/>
              </w:rPr>
              <w:t>Interactive dashboards and data visualisation</w:t>
            </w:r>
          </w:p>
        </w:tc>
      </w:tr>
      <w:tr w:rsidR="006D7F91" w14:paraId="53F875E0" w14:textId="77777777">
        <w:tblPrEx>
          <w:tblCellMar>
            <w:top w:w="0" w:type="dxa"/>
            <w:bottom w:w="0" w:type="dxa"/>
          </w:tblCellMar>
        </w:tblPrEx>
        <w:tc>
          <w:tcPr>
            <w:tcW w:w="312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2A35A2AD" w14:textId="77777777" w:rsidR="006D7F91" w:rsidRDefault="0040114C">
            <w:pPr>
              <w:jc w:val="center"/>
            </w:pPr>
            <w:r>
              <w:rPr>
                <w:b/>
                <w:bCs/>
                <w:color w:val="1B3A6B"/>
                <w:sz w:val="19"/>
                <w:szCs w:val="19"/>
              </w:rPr>
              <w:t>Pivot Tables</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6AE9E36" w14:textId="77777777" w:rsidR="006D7F91" w:rsidRDefault="0040114C">
            <w:r>
              <w:rPr>
                <w:color w:val="222222"/>
                <w:sz w:val="19"/>
                <w:szCs w:val="19"/>
              </w:rPr>
              <w:t>Cross-tabulation of subscription outcomes by customer segment</w:t>
            </w:r>
          </w:p>
        </w:tc>
      </w:tr>
      <w:tr w:rsidR="006D7F91" w14:paraId="4AD08B48" w14:textId="77777777">
        <w:tblPrEx>
          <w:tblCellMar>
            <w:top w:w="0" w:type="dxa"/>
            <w:bottom w:w="0" w:type="dxa"/>
          </w:tblCellMar>
        </w:tblPrEx>
        <w:tc>
          <w:tcPr>
            <w:tcW w:w="312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DCF00AA" w14:textId="77777777" w:rsidR="006D7F91" w:rsidRDefault="0040114C">
            <w:pPr>
              <w:jc w:val="center"/>
            </w:pPr>
            <w:r>
              <w:rPr>
                <w:b/>
                <w:bCs/>
                <w:color w:val="1B3A6B"/>
                <w:sz w:val="19"/>
                <w:szCs w:val="19"/>
              </w:rPr>
              <w:t>DAX Measures</w:t>
            </w:r>
          </w:p>
        </w:tc>
        <w:tc>
          <w:tcPr>
            <w:tcW w:w="62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959885A" w14:textId="77777777" w:rsidR="006D7F91" w:rsidRDefault="0040114C">
            <w:r>
              <w:rPr>
                <w:color w:val="222222"/>
                <w:sz w:val="19"/>
                <w:szCs w:val="19"/>
              </w:rPr>
              <w:t>Custom calculated fields including conversion rates and segment-level metrics</w:t>
            </w:r>
          </w:p>
        </w:tc>
      </w:tr>
      <w:tr w:rsidR="006D7F91" w14:paraId="0820B196" w14:textId="77777777">
        <w:tblPrEx>
          <w:tblCellMar>
            <w:top w:w="0" w:type="dxa"/>
            <w:bottom w:w="0" w:type="dxa"/>
          </w:tblCellMar>
        </w:tblPrEx>
        <w:tc>
          <w:tcPr>
            <w:tcW w:w="312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3D7C37E7" w14:textId="77777777" w:rsidR="006D7F91" w:rsidRDefault="0040114C">
            <w:pPr>
              <w:jc w:val="center"/>
            </w:pPr>
            <w:r>
              <w:rPr>
                <w:b/>
                <w:bCs/>
                <w:color w:val="1B3A6B"/>
                <w:sz w:val="19"/>
                <w:szCs w:val="19"/>
              </w:rPr>
              <w:t>Quartile Analysis</w:t>
            </w:r>
          </w:p>
        </w:tc>
        <w:tc>
          <w:tcPr>
            <w:tcW w:w="62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1795E3A" w14:textId="77777777" w:rsidR="006D7F91" w:rsidRDefault="0040114C">
            <w:r>
              <w:rPr>
                <w:color w:val="222222"/>
                <w:sz w:val="19"/>
                <w:szCs w:val="19"/>
              </w:rPr>
              <w:t>Balance and duration variable segmentation into meaningful tiers</w:t>
            </w:r>
          </w:p>
        </w:tc>
      </w:tr>
      <w:tr w:rsidR="006D7F91" w14:paraId="62C089F9" w14:textId="77777777">
        <w:tblPrEx>
          <w:tblCellMar>
            <w:top w:w="0" w:type="dxa"/>
            <w:bottom w:w="0" w:type="dxa"/>
          </w:tblCellMar>
        </w:tblPrEx>
        <w:tc>
          <w:tcPr>
            <w:tcW w:w="312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69498B26" w14:textId="77777777" w:rsidR="006D7F91" w:rsidRDefault="0040114C">
            <w:pPr>
              <w:jc w:val="center"/>
            </w:pPr>
            <w:r>
              <w:rPr>
                <w:b/>
                <w:bCs/>
                <w:color w:val="1B3A6B"/>
                <w:sz w:val="19"/>
                <w:szCs w:val="19"/>
              </w:rPr>
              <w:t>Conversion Rate Analysis</w:t>
            </w:r>
          </w:p>
        </w:tc>
        <w:tc>
          <w:tcPr>
            <w:tcW w:w="62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456C31D5" w14:textId="77777777" w:rsidR="006D7F91" w:rsidRDefault="0040114C">
            <w:r>
              <w:rPr>
                <w:color w:val="222222"/>
                <w:sz w:val="19"/>
                <w:szCs w:val="19"/>
              </w:rPr>
              <w:t>Primary evaluation metric: Subscription Rate = (Yes ÷ Total) × 100</w:t>
            </w:r>
          </w:p>
        </w:tc>
      </w:tr>
    </w:tbl>
    <w:p w14:paraId="0F7A0E3F" w14:textId="77777777" w:rsidR="006D7F91" w:rsidRDefault="006D7F91">
      <w:pPr>
        <w:spacing w:before="120"/>
      </w:pPr>
    </w:p>
    <w:p w14:paraId="588132DE" w14:textId="77777777" w:rsidR="006D7F91" w:rsidRDefault="0040114C">
      <w:pPr>
        <w:pStyle w:val="Heading2"/>
      </w:pPr>
      <w:r>
        <w:t>2.5  Analytical Principle: Volume vs. Rate</w:t>
      </w:r>
    </w:p>
    <w:p w14:paraId="6F896063" w14:textId="77777777" w:rsidR="006D7F91" w:rsidRDefault="0040114C">
      <w:pPr>
        <w:spacing w:before="80" w:after="120" w:line="280" w:lineRule="auto"/>
        <w:jc w:val="both"/>
      </w:pPr>
      <w:r>
        <w:rPr>
          <w:color w:val="222222"/>
        </w:rPr>
        <w:t>A consistent analytical distinction is maintained throughout this report. Subscription Volume refers to the total number of customers who subscribed in a given segment. Subscription Rate refers to the proportion of contacted customers who subscribed (Yes ÷</w:t>
      </w:r>
      <w:r>
        <w:rPr>
          <w:color w:val="222222"/>
        </w:rPr>
        <w:t xml:space="preserve"> Total × 100). Subscription volume is heavily influenced by how many customers exist in a segment (customer concentration). Subscription rate normalises for this effect and provides a more reliable measure of how efficiently a segment converts. Both metric</w:t>
      </w:r>
      <w:r>
        <w:rPr>
          <w:color w:val="222222"/>
        </w:rPr>
        <w:t>s are presented in every segment table, but subscription rate is the primary basis for all findings, comparisons, and recommendations.</w:t>
      </w:r>
    </w:p>
    <w:p w14:paraId="0443ABD5" w14:textId="77777777" w:rsidR="006D7F91" w:rsidRDefault="0040114C">
      <w:pPr>
        <w:pStyle w:val="Heading1"/>
      </w:pPr>
      <w:r>
        <w:t>3. Age Segment Analysis</w:t>
      </w:r>
    </w:p>
    <w:p w14:paraId="3323B337" w14:textId="77777777" w:rsidR="006D7F91" w:rsidRDefault="006D7F91">
      <w:pPr>
        <w:pBdr>
          <w:bottom w:val="single" w:sz="6" w:space="1" w:color="2E5FAC"/>
        </w:pBdr>
        <w:spacing w:after="160"/>
      </w:pPr>
    </w:p>
    <w:p w14:paraId="7B9F1E97" w14:textId="77777777" w:rsidR="006D7F91" w:rsidRDefault="0040114C">
      <w:pPr>
        <w:spacing w:before="80" w:after="120" w:line="280" w:lineRule="auto"/>
        <w:jc w:val="both"/>
      </w:pPr>
      <w:r>
        <w:rPr>
          <w:color w:val="222222"/>
        </w:rPr>
        <w:t>The dataset was segmented into six age groups to evaluate how customer age relates to term depos</w:t>
      </w:r>
      <w:r>
        <w:rPr>
          <w:color w:val="222222"/>
        </w:rPr>
        <w:t>it subscription behaviour. The age column was classified into discrete bands — 17–24, 25–34, 35–44, 45–54, 55–64, and 65+ — using defined grouping criteria within Excel.</w:t>
      </w:r>
    </w:p>
    <w:p w14:paraId="2265905A" w14:textId="77777777" w:rsidR="006D7F91" w:rsidRDefault="006D7F91">
      <w:pPr>
        <w:spacing w:before="80"/>
      </w:pPr>
    </w:p>
    <w:p w14:paraId="2D5F8C29" w14:textId="77777777" w:rsidR="006D7F91" w:rsidRDefault="0040114C">
      <w:pPr>
        <w:spacing w:before="80" w:after="120" w:line="280" w:lineRule="auto"/>
        <w:jc w:val="both"/>
      </w:pPr>
      <w:r>
        <w:rPr>
          <w:color w:val="222222"/>
        </w:rPr>
        <w:t>Statistical analysis of the age distribution reveals a right-skewed pattern: the majo</w:t>
      </w:r>
      <w:r>
        <w:rPr>
          <w:color w:val="222222"/>
        </w:rPr>
        <w:t>rity of customers in this dataset fall within the lower and middle age bands (25–54), with progressively fewer customers represented in the older segments. This concentration effect is a critical consideration when interpreting subscription volumes.</w:t>
      </w:r>
    </w:p>
    <w:p w14:paraId="4590D4F7" w14:textId="77777777" w:rsidR="006D7F91" w:rsidRDefault="006D7F91">
      <w:pPr>
        <w:spacing w:before="120"/>
      </w:pPr>
    </w:p>
    <w:p w14:paraId="6046D9ED" w14:textId="77777777" w:rsidR="006D7F91" w:rsidRDefault="0040114C">
      <w:pPr>
        <w:pStyle w:val="Heading2"/>
      </w:pPr>
      <w:r>
        <w:t>3.1  Pivot Table: Age Segment vs. Subscription Outcome</w:t>
      </w:r>
    </w:p>
    <w:p w14:paraId="19233CE8" w14:textId="77777777" w:rsidR="006D7F91" w:rsidRDefault="006D7F91">
      <w:pPr>
        <w:spacing w:before="60"/>
      </w:pPr>
    </w:p>
    <w:tbl>
      <w:tblPr>
        <w:tblW w:w="9180" w:type="dxa"/>
        <w:tblCellMar>
          <w:left w:w="10" w:type="dxa"/>
          <w:right w:w="10" w:type="dxa"/>
        </w:tblCellMar>
        <w:tblLook w:val="0000" w:firstRow="0" w:lastRow="0" w:firstColumn="0" w:lastColumn="0" w:noHBand="0" w:noVBand="0"/>
      </w:tblPr>
      <w:tblGrid>
        <w:gridCol w:w="1900"/>
        <w:gridCol w:w="1820"/>
        <w:gridCol w:w="1820"/>
        <w:gridCol w:w="1820"/>
        <w:gridCol w:w="1820"/>
      </w:tblGrid>
      <w:tr w:rsidR="006D7F91" w14:paraId="68B676A1" w14:textId="77777777">
        <w:tblPrEx>
          <w:tblCellMar>
            <w:top w:w="0" w:type="dxa"/>
            <w:bottom w:w="0" w:type="dxa"/>
          </w:tblCellMar>
        </w:tblPrEx>
        <w:tc>
          <w:tcPr>
            <w:tcW w:w="19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7E441A8" w14:textId="77777777" w:rsidR="006D7F91" w:rsidRDefault="0040114C">
            <w:pPr>
              <w:jc w:val="center"/>
            </w:pPr>
            <w:r>
              <w:rPr>
                <w:rFonts w:ascii="Arial" w:eastAsia="Arial" w:hAnsi="Arial" w:cs="Arial"/>
                <w:b/>
                <w:bCs/>
                <w:color w:val="FFFFFF"/>
                <w:sz w:val="19"/>
                <w:szCs w:val="19"/>
              </w:rPr>
              <w:t>Age Group</w:t>
            </w:r>
          </w:p>
        </w:tc>
        <w:tc>
          <w:tcPr>
            <w:tcW w:w="182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AB7BEC6" w14:textId="77777777" w:rsidR="006D7F91" w:rsidRDefault="0040114C">
            <w:pPr>
              <w:jc w:val="center"/>
            </w:pPr>
            <w:r>
              <w:rPr>
                <w:rFonts w:ascii="Arial" w:eastAsia="Arial" w:hAnsi="Arial" w:cs="Arial"/>
                <w:b/>
                <w:bCs/>
                <w:color w:val="FFFFFF"/>
                <w:sz w:val="19"/>
                <w:szCs w:val="19"/>
              </w:rPr>
              <w:t>Did Not Subscribe</w:t>
            </w:r>
          </w:p>
        </w:tc>
        <w:tc>
          <w:tcPr>
            <w:tcW w:w="182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61E6568" w14:textId="77777777" w:rsidR="006D7F91" w:rsidRDefault="0040114C">
            <w:pPr>
              <w:jc w:val="center"/>
            </w:pPr>
            <w:r>
              <w:rPr>
                <w:rFonts w:ascii="Arial" w:eastAsia="Arial" w:hAnsi="Arial" w:cs="Arial"/>
                <w:b/>
                <w:bCs/>
                <w:color w:val="FFFFFF"/>
                <w:sz w:val="19"/>
                <w:szCs w:val="19"/>
              </w:rPr>
              <w:t>Subscribed (Yes)</w:t>
            </w:r>
          </w:p>
        </w:tc>
        <w:tc>
          <w:tcPr>
            <w:tcW w:w="182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7251875" w14:textId="77777777" w:rsidR="006D7F91" w:rsidRDefault="0040114C">
            <w:pPr>
              <w:jc w:val="center"/>
            </w:pPr>
            <w:r>
              <w:rPr>
                <w:rFonts w:ascii="Arial" w:eastAsia="Arial" w:hAnsi="Arial" w:cs="Arial"/>
                <w:b/>
                <w:bCs/>
                <w:color w:val="FFFFFF"/>
                <w:sz w:val="19"/>
                <w:szCs w:val="19"/>
              </w:rPr>
              <w:t>Total Customers</w:t>
            </w:r>
          </w:p>
        </w:tc>
        <w:tc>
          <w:tcPr>
            <w:tcW w:w="182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527F389" w14:textId="77777777" w:rsidR="006D7F91" w:rsidRDefault="0040114C">
            <w:pPr>
              <w:jc w:val="center"/>
            </w:pPr>
            <w:r>
              <w:rPr>
                <w:rFonts w:ascii="Arial" w:eastAsia="Arial" w:hAnsi="Arial" w:cs="Arial"/>
                <w:b/>
                <w:bCs/>
                <w:color w:val="FFFFFF"/>
                <w:sz w:val="19"/>
                <w:szCs w:val="19"/>
              </w:rPr>
              <w:t>Subscription Rate</w:t>
            </w:r>
          </w:p>
        </w:tc>
      </w:tr>
      <w:tr w:rsidR="006D7F91" w14:paraId="76EA0258" w14:textId="77777777">
        <w:tblPrEx>
          <w:tblCellMar>
            <w:top w:w="0" w:type="dxa"/>
            <w:bottom w:w="0" w:type="dxa"/>
          </w:tblCellMar>
        </w:tblPrEx>
        <w:tc>
          <w:tcPr>
            <w:tcW w:w="19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3AF1F09B" w14:textId="77777777" w:rsidR="006D7F91" w:rsidRDefault="0040114C">
            <w:pPr>
              <w:jc w:val="center"/>
            </w:pPr>
            <w:r>
              <w:rPr>
                <w:b/>
                <w:bCs/>
                <w:color w:val="1B3A6B"/>
                <w:sz w:val="19"/>
                <w:szCs w:val="19"/>
              </w:rPr>
              <w:lastRenderedPageBreak/>
              <w:t>17–24</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EA83649" w14:textId="77777777" w:rsidR="006D7F91" w:rsidRDefault="0040114C">
            <w:r>
              <w:rPr>
                <w:color w:val="222222"/>
                <w:sz w:val="19"/>
                <w:szCs w:val="19"/>
              </w:rPr>
              <w:t>210</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6376F67" w14:textId="77777777" w:rsidR="006D7F91" w:rsidRDefault="0040114C">
            <w:r>
              <w:rPr>
                <w:color w:val="222222"/>
                <w:sz w:val="19"/>
                <w:szCs w:val="19"/>
              </w:rPr>
              <w:t>579</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7B99703" w14:textId="77777777" w:rsidR="006D7F91" w:rsidRDefault="0040114C">
            <w:r>
              <w:rPr>
                <w:color w:val="222222"/>
                <w:sz w:val="19"/>
                <w:szCs w:val="19"/>
              </w:rPr>
              <w:t>789</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5E32AB5" w14:textId="77777777" w:rsidR="006D7F91" w:rsidRDefault="0040114C">
            <w:pPr>
              <w:jc w:val="center"/>
            </w:pPr>
            <w:r>
              <w:rPr>
                <w:b/>
                <w:bCs/>
                <w:color w:val="222222"/>
                <w:sz w:val="19"/>
                <w:szCs w:val="19"/>
              </w:rPr>
              <w:t>73.4%</w:t>
            </w:r>
          </w:p>
        </w:tc>
      </w:tr>
      <w:tr w:rsidR="006D7F91" w14:paraId="46F7669A" w14:textId="77777777">
        <w:tblPrEx>
          <w:tblCellMar>
            <w:top w:w="0" w:type="dxa"/>
            <w:bottom w:w="0" w:type="dxa"/>
          </w:tblCellMar>
        </w:tblPrEx>
        <w:tc>
          <w:tcPr>
            <w:tcW w:w="19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0A68EAB3" w14:textId="77777777" w:rsidR="006D7F91" w:rsidRDefault="0040114C">
            <w:pPr>
              <w:jc w:val="center"/>
            </w:pPr>
            <w:r>
              <w:rPr>
                <w:b/>
                <w:bCs/>
                <w:color w:val="1B3A6B"/>
                <w:sz w:val="19"/>
                <w:szCs w:val="19"/>
              </w:rPr>
              <w:t>25–34</w:t>
            </w:r>
          </w:p>
        </w:tc>
        <w:tc>
          <w:tcPr>
            <w:tcW w:w="182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6008AE6" w14:textId="77777777" w:rsidR="006D7F91" w:rsidRDefault="0040114C">
            <w:r>
              <w:rPr>
                <w:color w:val="222222"/>
                <w:sz w:val="19"/>
                <w:szCs w:val="19"/>
              </w:rPr>
              <w:t>5,373</w:t>
            </w:r>
          </w:p>
        </w:tc>
        <w:tc>
          <w:tcPr>
            <w:tcW w:w="182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DDD8A66" w14:textId="77777777" w:rsidR="006D7F91" w:rsidRDefault="0040114C">
            <w:r>
              <w:rPr>
                <w:color w:val="222222"/>
                <w:sz w:val="19"/>
                <w:szCs w:val="19"/>
              </w:rPr>
              <w:t>5,073</w:t>
            </w:r>
          </w:p>
        </w:tc>
        <w:tc>
          <w:tcPr>
            <w:tcW w:w="182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71333D0" w14:textId="77777777" w:rsidR="006D7F91" w:rsidRDefault="0040114C">
            <w:r>
              <w:rPr>
                <w:color w:val="222222"/>
                <w:sz w:val="19"/>
                <w:szCs w:val="19"/>
              </w:rPr>
              <w:t>10,446</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6B7745A" w14:textId="77777777" w:rsidR="006D7F91" w:rsidRDefault="0040114C">
            <w:pPr>
              <w:jc w:val="center"/>
            </w:pPr>
            <w:r>
              <w:rPr>
                <w:color w:val="222222"/>
                <w:sz w:val="19"/>
                <w:szCs w:val="19"/>
              </w:rPr>
              <w:t>48.6%</w:t>
            </w:r>
          </w:p>
        </w:tc>
      </w:tr>
      <w:tr w:rsidR="006D7F91" w14:paraId="1F2AA68B" w14:textId="77777777">
        <w:tblPrEx>
          <w:tblCellMar>
            <w:top w:w="0" w:type="dxa"/>
            <w:bottom w:w="0" w:type="dxa"/>
          </w:tblCellMar>
        </w:tblPrEx>
        <w:tc>
          <w:tcPr>
            <w:tcW w:w="19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C280DD8" w14:textId="77777777" w:rsidR="006D7F91" w:rsidRDefault="0040114C">
            <w:pPr>
              <w:jc w:val="center"/>
            </w:pPr>
            <w:r>
              <w:rPr>
                <w:b/>
                <w:bCs/>
                <w:color w:val="1B3A6B"/>
                <w:sz w:val="19"/>
                <w:szCs w:val="19"/>
              </w:rPr>
              <w:t>35–44</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7A7E086" w14:textId="77777777" w:rsidR="006D7F91" w:rsidRDefault="0040114C">
            <w:r>
              <w:rPr>
                <w:color w:val="222222"/>
                <w:sz w:val="19"/>
                <w:szCs w:val="19"/>
              </w:rPr>
              <w:t>5,526</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E5D5258" w14:textId="77777777" w:rsidR="006D7F91" w:rsidRDefault="0040114C">
            <w:r>
              <w:rPr>
                <w:color w:val="222222"/>
                <w:sz w:val="19"/>
                <w:szCs w:val="19"/>
              </w:rPr>
              <w:t>4,012</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D2CAF65" w14:textId="77777777" w:rsidR="006D7F91" w:rsidRDefault="0040114C">
            <w:r>
              <w:rPr>
                <w:color w:val="222222"/>
                <w:sz w:val="19"/>
                <w:szCs w:val="19"/>
              </w:rPr>
              <w:t>9,538</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6517CBA" w14:textId="77777777" w:rsidR="006D7F91" w:rsidRDefault="0040114C">
            <w:pPr>
              <w:jc w:val="center"/>
            </w:pPr>
            <w:r>
              <w:rPr>
                <w:color w:val="222222"/>
                <w:sz w:val="19"/>
                <w:szCs w:val="19"/>
              </w:rPr>
              <w:t>42.1%</w:t>
            </w:r>
          </w:p>
        </w:tc>
      </w:tr>
      <w:tr w:rsidR="006D7F91" w14:paraId="1D8D5FDE" w14:textId="77777777">
        <w:tblPrEx>
          <w:tblCellMar>
            <w:top w:w="0" w:type="dxa"/>
            <w:bottom w:w="0" w:type="dxa"/>
          </w:tblCellMar>
        </w:tblPrEx>
        <w:tc>
          <w:tcPr>
            <w:tcW w:w="19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4243D419" w14:textId="77777777" w:rsidR="006D7F91" w:rsidRDefault="0040114C">
            <w:pPr>
              <w:jc w:val="center"/>
            </w:pPr>
            <w:r>
              <w:rPr>
                <w:b/>
                <w:bCs/>
                <w:color w:val="1B3A6B"/>
                <w:sz w:val="19"/>
                <w:szCs w:val="19"/>
              </w:rPr>
              <w:t>45–54</w:t>
            </w:r>
          </w:p>
        </w:tc>
        <w:tc>
          <w:tcPr>
            <w:tcW w:w="182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F2CA65D" w14:textId="77777777" w:rsidR="006D7F91" w:rsidRDefault="0040114C">
            <w:r>
              <w:rPr>
                <w:color w:val="222222"/>
                <w:sz w:val="19"/>
                <w:szCs w:val="19"/>
              </w:rPr>
              <w:t>3,752</w:t>
            </w:r>
          </w:p>
        </w:tc>
        <w:tc>
          <w:tcPr>
            <w:tcW w:w="182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EF70B1D" w14:textId="77777777" w:rsidR="006D7F91" w:rsidRDefault="0040114C">
            <w:r>
              <w:rPr>
                <w:color w:val="222222"/>
                <w:sz w:val="19"/>
                <w:szCs w:val="19"/>
              </w:rPr>
              <w:t>2,633</w:t>
            </w:r>
          </w:p>
        </w:tc>
        <w:tc>
          <w:tcPr>
            <w:tcW w:w="182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6721C65" w14:textId="77777777" w:rsidR="006D7F91" w:rsidRDefault="0040114C">
            <w:r>
              <w:rPr>
                <w:color w:val="222222"/>
                <w:sz w:val="19"/>
                <w:szCs w:val="19"/>
              </w:rPr>
              <w:t>6,385</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2B825C1" w14:textId="77777777" w:rsidR="006D7F91" w:rsidRDefault="0040114C">
            <w:pPr>
              <w:jc w:val="center"/>
            </w:pPr>
            <w:r>
              <w:rPr>
                <w:color w:val="222222"/>
                <w:sz w:val="19"/>
                <w:szCs w:val="19"/>
              </w:rPr>
              <w:t>41.2%</w:t>
            </w:r>
          </w:p>
        </w:tc>
      </w:tr>
      <w:tr w:rsidR="006D7F91" w14:paraId="12B57D22" w14:textId="77777777">
        <w:tblPrEx>
          <w:tblCellMar>
            <w:top w:w="0" w:type="dxa"/>
            <w:bottom w:w="0" w:type="dxa"/>
          </w:tblCellMar>
        </w:tblPrEx>
        <w:tc>
          <w:tcPr>
            <w:tcW w:w="19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3A379C6" w14:textId="77777777" w:rsidR="006D7F91" w:rsidRDefault="0040114C">
            <w:pPr>
              <w:jc w:val="center"/>
            </w:pPr>
            <w:r>
              <w:rPr>
                <w:b/>
                <w:bCs/>
                <w:color w:val="1B3A6B"/>
                <w:sz w:val="19"/>
                <w:szCs w:val="19"/>
              </w:rPr>
              <w:t>55–64</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1838EA0" w14:textId="77777777" w:rsidR="006D7F91" w:rsidRDefault="0040114C">
            <w:r>
              <w:rPr>
                <w:color w:val="222222"/>
                <w:sz w:val="19"/>
                <w:szCs w:val="19"/>
              </w:rPr>
              <w:t>1,750</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F0366F7" w14:textId="77777777" w:rsidR="006D7F91" w:rsidRDefault="0040114C">
            <w:r>
              <w:rPr>
                <w:color w:val="222222"/>
                <w:sz w:val="19"/>
                <w:szCs w:val="19"/>
              </w:rPr>
              <w:t>1,769</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091FF93" w14:textId="77777777" w:rsidR="006D7F91" w:rsidRDefault="0040114C">
            <w:r>
              <w:rPr>
                <w:color w:val="222222"/>
                <w:sz w:val="19"/>
                <w:szCs w:val="19"/>
              </w:rPr>
              <w:t>3,519</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C068F55" w14:textId="77777777" w:rsidR="006D7F91" w:rsidRDefault="0040114C">
            <w:pPr>
              <w:jc w:val="center"/>
            </w:pPr>
            <w:r>
              <w:rPr>
                <w:color w:val="222222"/>
                <w:sz w:val="19"/>
                <w:szCs w:val="19"/>
              </w:rPr>
              <w:t>50.3%</w:t>
            </w:r>
          </w:p>
        </w:tc>
      </w:tr>
      <w:tr w:rsidR="006D7F91" w14:paraId="666FC122" w14:textId="77777777">
        <w:tblPrEx>
          <w:tblCellMar>
            <w:top w:w="0" w:type="dxa"/>
            <w:bottom w:w="0" w:type="dxa"/>
          </w:tblCellMar>
        </w:tblPrEx>
        <w:tc>
          <w:tcPr>
            <w:tcW w:w="19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78E3F3E" w14:textId="77777777" w:rsidR="006D7F91" w:rsidRDefault="0040114C">
            <w:pPr>
              <w:jc w:val="center"/>
            </w:pPr>
            <w:r>
              <w:rPr>
                <w:b/>
                <w:bCs/>
                <w:color w:val="1B3A6B"/>
                <w:sz w:val="19"/>
                <w:szCs w:val="19"/>
              </w:rPr>
              <w:t>65+</w:t>
            </w:r>
          </w:p>
        </w:tc>
        <w:tc>
          <w:tcPr>
            <w:tcW w:w="182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71D08B7" w14:textId="77777777" w:rsidR="006D7F91" w:rsidRDefault="0040114C">
            <w:r>
              <w:rPr>
                <w:color w:val="222222"/>
                <w:sz w:val="19"/>
                <w:szCs w:val="19"/>
              </w:rPr>
              <w:t>237</w:t>
            </w:r>
          </w:p>
        </w:tc>
        <w:tc>
          <w:tcPr>
            <w:tcW w:w="182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FE40A20" w14:textId="77777777" w:rsidR="006D7F91" w:rsidRDefault="0040114C">
            <w:r>
              <w:rPr>
                <w:color w:val="222222"/>
                <w:sz w:val="19"/>
                <w:szCs w:val="19"/>
              </w:rPr>
              <w:t>982</w:t>
            </w:r>
          </w:p>
        </w:tc>
        <w:tc>
          <w:tcPr>
            <w:tcW w:w="182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6A656FEC" w14:textId="77777777" w:rsidR="006D7F91" w:rsidRDefault="0040114C">
            <w:r>
              <w:rPr>
                <w:color w:val="222222"/>
                <w:sz w:val="19"/>
                <w:szCs w:val="19"/>
              </w:rPr>
              <w:t>1,219</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083AC24" w14:textId="77777777" w:rsidR="006D7F91" w:rsidRDefault="0040114C">
            <w:pPr>
              <w:jc w:val="center"/>
            </w:pPr>
            <w:r>
              <w:rPr>
                <w:b/>
                <w:bCs/>
                <w:color w:val="222222"/>
                <w:sz w:val="19"/>
                <w:szCs w:val="19"/>
              </w:rPr>
              <w:t>80.6%</w:t>
            </w:r>
          </w:p>
        </w:tc>
      </w:tr>
      <w:tr w:rsidR="006D7F91" w14:paraId="3C6C8604" w14:textId="77777777">
        <w:tblPrEx>
          <w:tblCellMar>
            <w:top w:w="0" w:type="dxa"/>
            <w:bottom w:w="0" w:type="dxa"/>
          </w:tblCellMar>
        </w:tblPrEx>
        <w:tc>
          <w:tcPr>
            <w:tcW w:w="19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6851304F" w14:textId="77777777" w:rsidR="006D7F91" w:rsidRDefault="0040114C">
            <w:pPr>
              <w:jc w:val="center"/>
            </w:pPr>
            <w:r>
              <w:rPr>
                <w:b/>
                <w:bCs/>
                <w:color w:val="1B3A6B"/>
                <w:sz w:val="19"/>
                <w:szCs w:val="19"/>
              </w:rPr>
              <w:t>#N/A</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DB72350" w14:textId="77777777" w:rsidR="006D7F91" w:rsidRDefault="0040114C">
            <w:r>
              <w:rPr>
                <w:color w:val="222222"/>
                <w:sz w:val="19"/>
                <w:szCs w:val="19"/>
              </w:rPr>
              <w:t>10</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5D27B05" w14:textId="77777777" w:rsidR="006D7F91" w:rsidRDefault="0040114C">
            <w:r>
              <w:rPr>
                <w:color w:val="222222"/>
                <w:sz w:val="19"/>
                <w:szCs w:val="19"/>
              </w:rPr>
              <w:t>94</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6C6492E" w14:textId="77777777" w:rsidR="006D7F91" w:rsidRDefault="0040114C">
            <w:r>
              <w:rPr>
                <w:color w:val="222222"/>
                <w:sz w:val="19"/>
                <w:szCs w:val="19"/>
              </w:rPr>
              <w:t>104</w:t>
            </w:r>
          </w:p>
        </w:tc>
        <w:tc>
          <w:tcPr>
            <w:tcW w:w="182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FF245CC" w14:textId="77777777" w:rsidR="006D7F91" w:rsidRDefault="0040114C">
            <w:pPr>
              <w:jc w:val="center"/>
            </w:pPr>
            <w:r>
              <w:rPr>
                <w:color w:val="222222"/>
                <w:sz w:val="19"/>
                <w:szCs w:val="19"/>
              </w:rPr>
              <w:t>—</w:t>
            </w:r>
          </w:p>
        </w:tc>
      </w:tr>
      <w:tr w:rsidR="006D7F91" w14:paraId="6144E88E" w14:textId="77777777">
        <w:tblPrEx>
          <w:tblCellMar>
            <w:top w:w="0" w:type="dxa"/>
            <w:bottom w:w="0" w:type="dxa"/>
          </w:tblCellMar>
        </w:tblPrEx>
        <w:tc>
          <w:tcPr>
            <w:tcW w:w="19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A5E184D" w14:textId="77777777" w:rsidR="006D7F91" w:rsidRDefault="0040114C">
            <w:pPr>
              <w:jc w:val="center"/>
            </w:pPr>
            <w:r>
              <w:rPr>
                <w:rFonts w:ascii="Arial" w:eastAsia="Arial" w:hAnsi="Arial" w:cs="Arial"/>
                <w:b/>
                <w:bCs/>
                <w:color w:val="FFFFFF"/>
                <w:sz w:val="19"/>
                <w:szCs w:val="19"/>
              </w:rPr>
              <w:t>Grand Total</w:t>
            </w:r>
          </w:p>
        </w:tc>
        <w:tc>
          <w:tcPr>
            <w:tcW w:w="182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6D71B6F" w14:textId="77777777" w:rsidR="006D7F91" w:rsidRDefault="0040114C">
            <w:pPr>
              <w:jc w:val="center"/>
            </w:pPr>
            <w:r>
              <w:rPr>
                <w:rFonts w:ascii="Arial" w:eastAsia="Arial" w:hAnsi="Arial" w:cs="Arial"/>
                <w:b/>
                <w:bCs/>
                <w:color w:val="FFFFFF"/>
                <w:sz w:val="19"/>
                <w:szCs w:val="19"/>
              </w:rPr>
              <w:t>16,858</w:t>
            </w:r>
          </w:p>
        </w:tc>
        <w:tc>
          <w:tcPr>
            <w:tcW w:w="182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5446CE2" w14:textId="77777777" w:rsidR="006D7F91" w:rsidRDefault="0040114C">
            <w:pPr>
              <w:jc w:val="center"/>
            </w:pPr>
            <w:r>
              <w:rPr>
                <w:rFonts w:ascii="Arial" w:eastAsia="Arial" w:hAnsi="Arial" w:cs="Arial"/>
                <w:b/>
                <w:bCs/>
                <w:color w:val="FFFFFF"/>
                <w:sz w:val="19"/>
                <w:szCs w:val="19"/>
              </w:rPr>
              <w:t>15,142</w:t>
            </w:r>
          </w:p>
        </w:tc>
        <w:tc>
          <w:tcPr>
            <w:tcW w:w="182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D11E1CF" w14:textId="77777777" w:rsidR="006D7F91" w:rsidRDefault="0040114C">
            <w:pPr>
              <w:jc w:val="center"/>
            </w:pPr>
            <w:r>
              <w:rPr>
                <w:rFonts w:ascii="Arial" w:eastAsia="Arial" w:hAnsi="Arial" w:cs="Arial"/>
                <w:b/>
                <w:bCs/>
                <w:color w:val="FFFFFF"/>
                <w:sz w:val="19"/>
                <w:szCs w:val="19"/>
              </w:rPr>
              <w:t>32,000</w:t>
            </w:r>
          </w:p>
        </w:tc>
        <w:tc>
          <w:tcPr>
            <w:tcW w:w="182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2109585" w14:textId="77777777" w:rsidR="006D7F91" w:rsidRDefault="0040114C">
            <w:pPr>
              <w:jc w:val="center"/>
            </w:pPr>
            <w:r>
              <w:rPr>
                <w:rFonts w:ascii="Arial" w:eastAsia="Arial" w:hAnsi="Arial" w:cs="Arial"/>
                <w:b/>
                <w:bCs/>
                <w:color w:val="FFFFFF"/>
                <w:sz w:val="19"/>
                <w:szCs w:val="19"/>
              </w:rPr>
              <w:t>47.3%</w:t>
            </w:r>
          </w:p>
        </w:tc>
      </w:tr>
    </w:tbl>
    <w:p w14:paraId="2B9A763D" w14:textId="77777777" w:rsidR="006D7F91" w:rsidRDefault="006D7F91">
      <w:pPr>
        <w:spacing w:before="100"/>
      </w:pPr>
    </w:p>
    <w:p w14:paraId="5FB6D627" w14:textId="77777777" w:rsidR="006D7F91" w:rsidRDefault="0040114C">
      <w:pPr>
        <w:spacing w:before="120" w:after="40"/>
      </w:pPr>
      <w:r>
        <w:rPr>
          <w:rFonts w:ascii="Arial" w:eastAsia="Arial" w:hAnsi="Arial" w:cs="Arial"/>
          <w:b/>
          <w:bCs/>
          <w:color w:val="2E5FAC"/>
          <w:sz w:val="20"/>
          <w:szCs w:val="20"/>
        </w:rPr>
        <w:t>Subscription Rate Formula:</w:t>
      </w:r>
    </w:p>
    <w:p w14:paraId="044287C3"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075F0568" w14:textId="77777777" w:rsidR="006D7F91" w:rsidRDefault="0040114C">
      <w:pPr>
        <w:spacing w:before="80" w:after="120" w:line="280" w:lineRule="auto"/>
        <w:jc w:val="both"/>
      </w:pPr>
      <w:r>
        <w:rPr>
          <w:i/>
          <w:iCs/>
          <w:color w:val="555555"/>
        </w:rPr>
        <w:t>Example — 65+ age group:  982 ÷ 1,219 × 100 = 80.6%</w:t>
      </w:r>
    </w:p>
    <w:p w14:paraId="635F17C8" w14:textId="77777777" w:rsidR="006D7F91" w:rsidRDefault="006D7F91">
      <w:pPr>
        <w:spacing w:before="120"/>
      </w:pPr>
    </w:p>
    <w:p w14:paraId="52204BEA" w14:textId="77777777" w:rsidR="006D7F91" w:rsidRDefault="0040114C">
      <w:pPr>
        <w:pStyle w:val="Heading2"/>
      </w:pPr>
      <w:r>
        <w:t>3.2  Findings</w:t>
      </w:r>
    </w:p>
    <w:p w14:paraId="3C0D3E4E" w14:textId="77777777" w:rsidR="006D7F91" w:rsidRDefault="0040114C">
      <w:pPr>
        <w:spacing w:before="80" w:after="120" w:line="280" w:lineRule="auto"/>
        <w:jc w:val="both"/>
      </w:pPr>
      <w:r>
        <w:rPr>
          <w:color w:val="222222"/>
        </w:rPr>
        <w:t>At first glance, customers aged 25–34 appear to be the highest-performing segment, having generated 5,073 subscriptions — the largest absolute count in the dataset. However, this observation is primarily a function of customer concentration: the 25–34 band</w:t>
      </w:r>
      <w:r>
        <w:rPr>
          <w:color w:val="222222"/>
        </w:rPr>
        <w:t xml:space="preserve"> contains 10,446 customers, representing approximately 32.6% of the total dataset. When subscription performance is measured by rate rather than volume, the story changes significantly.</w:t>
      </w:r>
    </w:p>
    <w:p w14:paraId="631BF832" w14:textId="77777777" w:rsidR="006D7F91" w:rsidRDefault="006D7F91">
      <w:pPr>
        <w:spacing w:before="80"/>
      </w:pPr>
    </w:p>
    <w:p w14:paraId="430D8967" w14:textId="77777777" w:rsidR="006D7F91" w:rsidRDefault="0040114C">
      <w:pPr>
        <w:spacing w:before="80" w:after="120" w:line="280" w:lineRule="auto"/>
        <w:jc w:val="both"/>
      </w:pPr>
      <w:r>
        <w:rPr>
          <w:color w:val="222222"/>
        </w:rPr>
        <w:t>The 65+ age segment, despite containing only 1,219 customers, achieved an 80.6% subscription rate — the highest of any age group in the dataset. Similarly, the 17–24 segment recorded a 73.4% subscription rate from just 789 customers. By contrast, the 25–34</w:t>
      </w:r>
      <w:r>
        <w:rPr>
          <w:color w:val="222222"/>
        </w:rPr>
        <w:t>, 35–44, and 45–54 groups — which together account for the bulk of the customer base — all returned subscription rates below 50%.</w:t>
      </w:r>
    </w:p>
    <w:p w14:paraId="795D1C31" w14:textId="77777777" w:rsidR="006D7F91" w:rsidRDefault="006D7F91">
      <w:pPr>
        <w:spacing w:before="80"/>
      </w:pPr>
    </w:p>
    <w:p w14:paraId="040F7399" w14:textId="77777777" w:rsidR="006D7F91" w:rsidRDefault="0040114C">
      <w:pPr>
        <w:spacing w:before="80" w:after="120" w:line="280" w:lineRule="auto"/>
        <w:jc w:val="both"/>
      </w:pPr>
      <w:r>
        <w:rPr>
          <w:color w:val="222222"/>
        </w:rPr>
        <w:t>This pattern is consistent with the right-skewed nature of the age distribution: the working-age majority (25–54) naturally d</w:t>
      </w:r>
      <w:r>
        <w:rPr>
          <w:color w:val="222222"/>
        </w:rPr>
        <w:t>ominates subscription counts in absolute terms, but the extremes of the age spectrum — particularly older customers — demonstrate far stronger conversion efficiency.</w:t>
      </w:r>
    </w:p>
    <w:p w14:paraId="5FD2685B" w14:textId="77777777" w:rsidR="006D7F91" w:rsidRDefault="006D7F91">
      <w:pPr>
        <w:spacing w:before="120"/>
      </w:pPr>
    </w:p>
    <w:p w14:paraId="25FA589B" w14:textId="77777777" w:rsidR="006D7F91" w:rsidRDefault="0040114C">
      <w:pPr>
        <w:pStyle w:val="Heading2"/>
      </w:pPr>
      <w:r>
        <w:t>3.3  Business Insight</w:t>
      </w:r>
    </w:p>
    <w:p w14:paraId="1025FB38" w14:textId="77777777" w:rsidR="006D7F91" w:rsidRDefault="0040114C">
      <w:pPr>
        <w:spacing w:before="80" w:after="120" w:line="280" w:lineRule="auto"/>
        <w:jc w:val="both"/>
      </w:pPr>
      <w:r>
        <w:rPr>
          <w:color w:val="222222"/>
        </w:rPr>
        <w:t>The inverse relationship between customer concentration and subscri</w:t>
      </w:r>
      <w:r>
        <w:rPr>
          <w:color w:val="222222"/>
        </w:rPr>
        <w:t>ption rate suggests that the bank’s most receptive customers are not necessarily its most represented ones. Older customers (55+ and 65+) are likely to be more attracted to term deposits because their financial priorities align closely with the product: ca</w:t>
      </w:r>
      <w:r>
        <w:rPr>
          <w:color w:val="222222"/>
        </w:rPr>
        <w:t>pital preservation, guaranteed returns, and stable income — particularly for those approaching or in retirement. Younger customers (17–24), despite their modest representation, may be motivated by first-time savings discipline or parental guidance in openi</w:t>
      </w:r>
      <w:r>
        <w:rPr>
          <w:color w:val="222222"/>
        </w:rPr>
        <w:t>ng deposit accounts.</w:t>
      </w:r>
    </w:p>
    <w:p w14:paraId="1C233CB5" w14:textId="77777777" w:rsidR="006D7F91" w:rsidRDefault="006D7F91">
      <w:pPr>
        <w:spacing w:before="80"/>
      </w:pPr>
    </w:p>
    <w:p w14:paraId="0EDCA96C" w14:textId="77777777" w:rsidR="006D7F91" w:rsidRDefault="0040114C">
      <w:pPr>
        <w:spacing w:before="80" w:after="120" w:line="280" w:lineRule="auto"/>
        <w:jc w:val="both"/>
      </w:pPr>
      <w:r>
        <w:rPr>
          <w:color w:val="222222"/>
        </w:rPr>
        <w:t xml:space="preserve">Conversely, the working-age segments (25–54) face higher financial demands — mortgage obligations, family expenses, and general cost-of-living pressures — that reduce their willingness to lock funds into a fixed-term product. This is </w:t>
      </w:r>
      <w:r>
        <w:rPr>
          <w:color w:val="222222"/>
        </w:rPr>
        <w:t xml:space="preserve">not </w:t>
      </w:r>
      <w:r>
        <w:rPr>
          <w:color w:val="222222"/>
        </w:rPr>
        <w:lastRenderedPageBreak/>
        <w:t>a failure of the campaign, but rather a structural characteristic of the customer base that requires strategic acknowledgement.</w:t>
      </w:r>
    </w:p>
    <w:p w14:paraId="425C5A84" w14:textId="77777777" w:rsidR="006D7F91" w:rsidRDefault="006D7F91">
      <w:pPr>
        <w:spacing w:before="120"/>
      </w:pPr>
    </w:p>
    <w:p w14:paraId="6C096253" w14:textId="77777777" w:rsidR="006D7F91" w:rsidRDefault="0040114C">
      <w:pPr>
        <w:pStyle w:val="Heading2"/>
      </w:pPr>
      <w:r>
        <w:t>3.4  Recommendation</w:t>
      </w:r>
    </w:p>
    <w:p w14:paraId="3F0E0B54" w14:textId="77777777" w:rsidR="006D7F91" w:rsidRDefault="0040114C">
      <w:pPr>
        <w:spacing w:before="80" w:after="120" w:line="280" w:lineRule="auto"/>
        <w:jc w:val="both"/>
      </w:pPr>
      <w:r>
        <w:rPr>
          <w:color w:val="222222"/>
        </w:rPr>
        <w:t>Future marketing campaigns should place deliberate emphasis on customers aged 55 and above, as this dem</w:t>
      </w:r>
      <w:r>
        <w:rPr>
          <w:color w:val="222222"/>
        </w:rPr>
        <w:t>ographic demonstrates the highest term deposit conversion efficiency. Campaign messaging for this segment should emphasise financial security, guaranteed returns, and long-term wealth preservation. The bank should simultaneously investigate why the 17–24 s</w:t>
      </w:r>
      <w:r>
        <w:rPr>
          <w:color w:val="222222"/>
        </w:rPr>
        <w:t>egment — though small in volume — converts at a rate of 73.4%, as scaling outreach to this group could yield meaningful subscription gains with relatively limited additional resource investment.</w:t>
      </w:r>
    </w:p>
    <w:p w14:paraId="18D5750D" w14:textId="77777777" w:rsidR="006D7F91" w:rsidRDefault="006D7F91">
      <w:pPr>
        <w:spacing w:before="200"/>
      </w:pPr>
    </w:p>
    <w:p w14:paraId="4FF83DE7" w14:textId="77777777" w:rsidR="006D7F91" w:rsidRDefault="0040114C">
      <w:pPr>
        <w:pStyle w:val="Heading1"/>
      </w:pPr>
      <w:r>
        <w:t>4. Job / Occupation Segment Analysis</w:t>
      </w:r>
    </w:p>
    <w:p w14:paraId="016B9A05" w14:textId="77777777" w:rsidR="006D7F91" w:rsidRDefault="006D7F91">
      <w:pPr>
        <w:pBdr>
          <w:bottom w:val="single" w:sz="6" w:space="1" w:color="2E5FAC"/>
        </w:pBdr>
        <w:spacing w:after="160"/>
      </w:pPr>
    </w:p>
    <w:p w14:paraId="18004FCA" w14:textId="77777777" w:rsidR="006D7F91" w:rsidRDefault="0040114C">
      <w:pPr>
        <w:spacing w:before="80" w:after="120" w:line="280" w:lineRule="auto"/>
        <w:jc w:val="both"/>
      </w:pPr>
      <w:r>
        <w:rPr>
          <w:color w:val="222222"/>
        </w:rPr>
        <w:t>The dataset encompasse</w:t>
      </w:r>
      <w:r>
        <w:rPr>
          <w:color w:val="222222"/>
        </w:rPr>
        <w:t>s 11 distinct occupation categories, plus an Unknown group where employment information was not recorded. These categories include Management, Blue-Collar, Technician, Admin, Services, Retired, Self-Employed, Unemployed, Student, Entrepreneur, and Housemai</w:t>
      </w:r>
      <w:r>
        <w:rPr>
          <w:color w:val="222222"/>
        </w:rPr>
        <w:t>d. This section evaluates how occupation type relates to term deposit subscription behaviour.</w:t>
      </w:r>
    </w:p>
    <w:p w14:paraId="5F01C509" w14:textId="77777777" w:rsidR="006D7F91" w:rsidRDefault="006D7F91">
      <w:pPr>
        <w:spacing w:before="80"/>
      </w:pPr>
    </w:p>
    <w:p w14:paraId="61F0C8A4" w14:textId="77777777" w:rsidR="006D7F91" w:rsidRDefault="0040114C">
      <w:pPr>
        <w:spacing w:before="80" w:after="120" w:line="280" w:lineRule="auto"/>
        <w:jc w:val="both"/>
      </w:pPr>
      <w:r>
        <w:rPr>
          <w:color w:val="222222"/>
        </w:rPr>
        <w:t>Customer distribution across occupational groups is uneven. Management, Blue-Collar, Technician, Admin, and Services together account for the largest customer co</w:t>
      </w:r>
      <w:r>
        <w:rPr>
          <w:color w:val="222222"/>
        </w:rPr>
        <w:t>ncentrations, while Entrepreneur, Housemaid, Student, and Unemployed represent smaller segments. This imbalance must be considered when interpreting raw subscription volumes.</w:t>
      </w:r>
    </w:p>
    <w:p w14:paraId="6D4E1FFB" w14:textId="77777777" w:rsidR="006D7F91" w:rsidRDefault="006D7F91">
      <w:pPr>
        <w:spacing w:before="120"/>
      </w:pPr>
    </w:p>
    <w:p w14:paraId="692DC94E" w14:textId="77777777" w:rsidR="006D7F91" w:rsidRDefault="0040114C">
      <w:pPr>
        <w:pStyle w:val="Heading2"/>
      </w:pPr>
      <w:r>
        <w:t>4.1  Pivot Table: Occupation vs. Subscription Outcome</w:t>
      </w:r>
    </w:p>
    <w:p w14:paraId="1C90AF8C" w14:textId="77777777" w:rsidR="006D7F91" w:rsidRDefault="006D7F91">
      <w:pPr>
        <w:spacing w:before="60"/>
      </w:pPr>
    </w:p>
    <w:tbl>
      <w:tblPr>
        <w:tblW w:w="8360" w:type="dxa"/>
        <w:tblCellMar>
          <w:left w:w="10" w:type="dxa"/>
          <w:right w:w="10" w:type="dxa"/>
        </w:tblCellMar>
        <w:tblLook w:val="0000" w:firstRow="0" w:lastRow="0" w:firstColumn="0" w:lastColumn="0" w:noHBand="0" w:noVBand="0"/>
      </w:tblPr>
      <w:tblGrid>
        <w:gridCol w:w="1800"/>
        <w:gridCol w:w="1560"/>
        <w:gridCol w:w="1560"/>
        <w:gridCol w:w="1680"/>
        <w:gridCol w:w="1760"/>
      </w:tblGrid>
      <w:tr w:rsidR="006D7F91" w14:paraId="5EF726A4"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5AB4B26" w14:textId="77777777" w:rsidR="006D7F91" w:rsidRDefault="0040114C">
            <w:pPr>
              <w:jc w:val="center"/>
            </w:pPr>
            <w:r>
              <w:rPr>
                <w:rFonts w:ascii="Arial" w:eastAsia="Arial" w:hAnsi="Arial" w:cs="Arial"/>
                <w:b/>
                <w:bCs/>
                <w:color w:val="FFFFFF"/>
                <w:sz w:val="19"/>
                <w:szCs w:val="19"/>
              </w:rPr>
              <w:t>Occupation</w:t>
            </w:r>
          </w:p>
        </w:tc>
        <w:tc>
          <w:tcPr>
            <w:tcW w:w="15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76EE0F9" w14:textId="77777777" w:rsidR="006D7F91" w:rsidRDefault="0040114C">
            <w:pPr>
              <w:jc w:val="center"/>
            </w:pPr>
            <w:r>
              <w:rPr>
                <w:rFonts w:ascii="Arial" w:eastAsia="Arial" w:hAnsi="Arial" w:cs="Arial"/>
                <w:b/>
                <w:bCs/>
                <w:color w:val="FFFFFF"/>
                <w:sz w:val="19"/>
                <w:szCs w:val="19"/>
              </w:rPr>
              <w:t>Did Not Subscribe</w:t>
            </w:r>
          </w:p>
        </w:tc>
        <w:tc>
          <w:tcPr>
            <w:tcW w:w="15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3B98727" w14:textId="77777777" w:rsidR="006D7F91" w:rsidRDefault="0040114C">
            <w:pPr>
              <w:jc w:val="center"/>
            </w:pPr>
            <w:r>
              <w:rPr>
                <w:rFonts w:ascii="Arial" w:eastAsia="Arial" w:hAnsi="Arial" w:cs="Arial"/>
                <w:b/>
                <w:bCs/>
                <w:color w:val="FFFFFF"/>
                <w:sz w:val="19"/>
                <w:szCs w:val="19"/>
              </w:rPr>
              <w:t>Subscribed (Yes)</w:t>
            </w:r>
          </w:p>
        </w:tc>
        <w:tc>
          <w:tcPr>
            <w:tcW w:w="16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F829CB6" w14:textId="77777777" w:rsidR="006D7F91" w:rsidRDefault="0040114C">
            <w:pPr>
              <w:jc w:val="center"/>
            </w:pPr>
            <w:r>
              <w:rPr>
                <w:rFonts w:ascii="Arial" w:eastAsia="Arial" w:hAnsi="Arial" w:cs="Arial"/>
                <w:b/>
                <w:bCs/>
                <w:color w:val="FFFFFF"/>
                <w:sz w:val="19"/>
                <w:szCs w:val="19"/>
              </w:rPr>
              <w:t>Total Customers</w:t>
            </w:r>
          </w:p>
        </w:tc>
        <w:tc>
          <w:tcPr>
            <w:tcW w:w="17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0C2DF23" w14:textId="77777777" w:rsidR="006D7F91" w:rsidRDefault="0040114C">
            <w:pPr>
              <w:jc w:val="center"/>
            </w:pPr>
            <w:r>
              <w:rPr>
                <w:rFonts w:ascii="Arial" w:eastAsia="Arial" w:hAnsi="Arial" w:cs="Arial"/>
                <w:b/>
                <w:bCs/>
                <w:color w:val="FFFFFF"/>
                <w:sz w:val="19"/>
                <w:szCs w:val="19"/>
              </w:rPr>
              <w:t>Subscription Rate</w:t>
            </w:r>
          </w:p>
        </w:tc>
      </w:tr>
      <w:tr w:rsidR="006D7F91" w14:paraId="591D301F"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4A92551E" w14:textId="77777777" w:rsidR="006D7F91" w:rsidRDefault="0040114C">
            <w:pPr>
              <w:jc w:val="center"/>
            </w:pPr>
            <w:r>
              <w:rPr>
                <w:b/>
                <w:bCs/>
                <w:color w:val="1B3A6B"/>
                <w:sz w:val="19"/>
                <w:szCs w:val="19"/>
              </w:rPr>
              <w:t>Admin</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AD83D2F" w14:textId="77777777" w:rsidR="006D7F91" w:rsidRDefault="0040114C">
            <w:r>
              <w:rPr>
                <w:color w:val="222222"/>
                <w:sz w:val="19"/>
                <w:szCs w:val="19"/>
              </w:rPr>
              <w:t>2,035</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4B01363" w14:textId="77777777" w:rsidR="006D7F91" w:rsidRDefault="0040114C">
            <w:r>
              <w:rPr>
                <w:color w:val="222222"/>
                <w:sz w:val="19"/>
                <w:szCs w:val="19"/>
              </w:rPr>
              <w:t>1,801</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1E4723C" w14:textId="77777777" w:rsidR="006D7F91" w:rsidRDefault="0040114C">
            <w:r>
              <w:rPr>
                <w:color w:val="222222"/>
                <w:sz w:val="19"/>
                <w:szCs w:val="19"/>
              </w:rPr>
              <w:t>3,836</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3FF6D9E" w14:textId="77777777" w:rsidR="006D7F91" w:rsidRDefault="0040114C">
            <w:pPr>
              <w:jc w:val="center"/>
            </w:pPr>
            <w:r>
              <w:rPr>
                <w:color w:val="222222"/>
                <w:sz w:val="19"/>
                <w:szCs w:val="19"/>
              </w:rPr>
              <w:t>47.0%</w:t>
            </w:r>
          </w:p>
        </w:tc>
      </w:tr>
      <w:tr w:rsidR="006D7F91" w14:paraId="52BFBEE4"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4FCBFA6A" w14:textId="77777777" w:rsidR="006D7F91" w:rsidRDefault="0040114C">
            <w:pPr>
              <w:jc w:val="center"/>
            </w:pPr>
            <w:r>
              <w:rPr>
                <w:b/>
                <w:bCs/>
                <w:color w:val="1B3A6B"/>
                <w:sz w:val="19"/>
                <w:szCs w:val="19"/>
              </w:rPr>
              <w:t>Blue-Collar</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F529696" w14:textId="77777777" w:rsidR="006D7F91" w:rsidRDefault="0040114C">
            <w:r>
              <w:rPr>
                <w:color w:val="222222"/>
                <w:sz w:val="19"/>
                <w:szCs w:val="19"/>
              </w:rPr>
              <w:t>3,542</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E67EFC6" w14:textId="77777777" w:rsidR="006D7F91" w:rsidRDefault="0040114C">
            <w:r>
              <w:rPr>
                <w:color w:val="222222"/>
                <w:sz w:val="19"/>
                <w:szCs w:val="19"/>
              </w:rPr>
              <w:t>2,033</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46685B9" w14:textId="77777777" w:rsidR="006D7F91" w:rsidRDefault="0040114C">
            <w:r>
              <w:rPr>
                <w:color w:val="222222"/>
                <w:sz w:val="19"/>
                <w:szCs w:val="19"/>
              </w:rPr>
              <w:t>5,575</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C2501B8" w14:textId="77777777" w:rsidR="006D7F91" w:rsidRDefault="0040114C">
            <w:pPr>
              <w:jc w:val="center"/>
            </w:pPr>
            <w:r>
              <w:rPr>
                <w:color w:val="222222"/>
                <w:sz w:val="19"/>
                <w:szCs w:val="19"/>
              </w:rPr>
              <w:t>36.5%</w:t>
            </w:r>
          </w:p>
        </w:tc>
      </w:tr>
      <w:tr w:rsidR="006D7F91" w14:paraId="14AAD419"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210B22DF" w14:textId="77777777" w:rsidR="006D7F91" w:rsidRDefault="0040114C">
            <w:pPr>
              <w:jc w:val="center"/>
            </w:pPr>
            <w:r>
              <w:rPr>
                <w:b/>
                <w:bCs/>
                <w:color w:val="1B3A6B"/>
                <w:sz w:val="19"/>
                <w:szCs w:val="19"/>
              </w:rPr>
              <w:t>Entrepreneur</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3458A05" w14:textId="77777777" w:rsidR="006D7F91" w:rsidRDefault="0040114C">
            <w:r>
              <w:rPr>
                <w:color w:val="222222"/>
                <w:sz w:val="19"/>
                <w:szCs w:val="19"/>
              </w:rPr>
              <w:t>568</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DCCC6D1" w14:textId="77777777" w:rsidR="006D7F91" w:rsidRDefault="0040114C">
            <w:r>
              <w:rPr>
                <w:color w:val="222222"/>
                <w:sz w:val="19"/>
                <w:szCs w:val="19"/>
              </w:rPr>
              <w:t>348</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3F43A70" w14:textId="77777777" w:rsidR="006D7F91" w:rsidRDefault="0040114C">
            <w:r>
              <w:rPr>
                <w:color w:val="222222"/>
                <w:sz w:val="19"/>
                <w:szCs w:val="19"/>
              </w:rPr>
              <w:t>916</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B728D7E" w14:textId="77777777" w:rsidR="006D7F91" w:rsidRDefault="0040114C">
            <w:pPr>
              <w:jc w:val="center"/>
            </w:pPr>
            <w:r>
              <w:rPr>
                <w:color w:val="222222"/>
                <w:sz w:val="19"/>
                <w:szCs w:val="19"/>
              </w:rPr>
              <w:t>38.0%</w:t>
            </w:r>
          </w:p>
        </w:tc>
      </w:tr>
      <w:tr w:rsidR="006D7F91" w14:paraId="22F408C0"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89774D5" w14:textId="77777777" w:rsidR="006D7F91" w:rsidRDefault="0040114C">
            <w:pPr>
              <w:jc w:val="center"/>
            </w:pPr>
            <w:r>
              <w:rPr>
                <w:b/>
                <w:bCs/>
                <w:color w:val="1B3A6B"/>
                <w:sz w:val="19"/>
                <w:szCs w:val="19"/>
              </w:rPr>
              <w:t>Housemaid</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656A0098" w14:textId="77777777" w:rsidR="006D7F91" w:rsidRDefault="0040114C">
            <w:r>
              <w:rPr>
                <w:color w:val="222222"/>
                <w:sz w:val="19"/>
                <w:szCs w:val="19"/>
              </w:rPr>
              <w:t>492</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EA5B2BE" w14:textId="77777777" w:rsidR="006D7F91" w:rsidRDefault="0040114C">
            <w:r>
              <w:rPr>
                <w:color w:val="222222"/>
                <w:sz w:val="19"/>
                <w:szCs w:val="19"/>
              </w:rPr>
              <w:t>313</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5C6EF9A" w14:textId="77777777" w:rsidR="006D7F91" w:rsidRDefault="0040114C">
            <w:r>
              <w:rPr>
                <w:color w:val="222222"/>
                <w:sz w:val="19"/>
                <w:szCs w:val="19"/>
              </w:rPr>
              <w:t>805</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BE2B2D9" w14:textId="77777777" w:rsidR="006D7F91" w:rsidRDefault="0040114C">
            <w:pPr>
              <w:jc w:val="center"/>
            </w:pPr>
            <w:r>
              <w:rPr>
                <w:color w:val="222222"/>
                <w:sz w:val="19"/>
                <w:szCs w:val="19"/>
              </w:rPr>
              <w:t>38.9%</w:t>
            </w:r>
          </w:p>
        </w:tc>
      </w:tr>
      <w:tr w:rsidR="006D7F91" w14:paraId="69246145"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07006008" w14:textId="77777777" w:rsidR="006D7F91" w:rsidRDefault="0040114C">
            <w:pPr>
              <w:jc w:val="center"/>
            </w:pPr>
            <w:r>
              <w:rPr>
                <w:b/>
                <w:bCs/>
                <w:color w:val="1B3A6B"/>
                <w:sz w:val="19"/>
                <w:szCs w:val="19"/>
              </w:rPr>
              <w:t>Management</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470C1D0" w14:textId="77777777" w:rsidR="006D7F91" w:rsidRDefault="0040114C">
            <w:r>
              <w:rPr>
                <w:color w:val="222222"/>
                <w:sz w:val="19"/>
                <w:szCs w:val="19"/>
              </w:rPr>
              <w:t>3,618</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4C81729" w14:textId="77777777" w:rsidR="006D7F91" w:rsidRDefault="0040114C">
            <w:r>
              <w:rPr>
                <w:color w:val="222222"/>
                <w:sz w:val="19"/>
                <w:szCs w:val="19"/>
              </w:rPr>
              <w:t>3,693</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B2D6E7D" w14:textId="77777777" w:rsidR="006D7F91" w:rsidRDefault="0040114C">
            <w:r>
              <w:rPr>
                <w:color w:val="222222"/>
                <w:sz w:val="19"/>
                <w:szCs w:val="19"/>
              </w:rPr>
              <w:t>7,311</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8F48F25" w14:textId="77777777" w:rsidR="006D7F91" w:rsidRDefault="0040114C">
            <w:pPr>
              <w:jc w:val="center"/>
            </w:pPr>
            <w:r>
              <w:rPr>
                <w:color w:val="222222"/>
                <w:sz w:val="19"/>
                <w:szCs w:val="19"/>
              </w:rPr>
              <w:t>50.5%</w:t>
            </w:r>
          </w:p>
        </w:tc>
      </w:tr>
      <w:tr w:rsidR="006D7F91" w14:paraId="673F19AE"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33B4844F" w14:textId="77777777" w:rsidR="006D7F91" w:rsidRDefault="0040114C">
            <w:pPr>
              <w:jc w:val="center"/>
            </w:pPr>
            <w:r>
              <w:rPr>
                <w:b/>
                <w:bCs/>
                <w:color w:val="1B3A6B"/>
                <w:sz w:val="19"/>
                <w:szCs w:val="19"/>
              </w:rPr>
              <w:t>Retired</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F44A849" w14:textId="77777777" w:rsidR="006D7F91" w:rsidRDefault="0040114C">
            <w:r>
              <w:rPr>
                <w:color w:val="222222"/>
                <w:sz w:val="19"/>
                <w:szCs w:val="19"/>
              </w:rPr>
              <w:t>762</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7F8CD56" w14:textId="77777777" w:rsidR="006D7F91" w:rsidRDefault="0040114C">
            <w:r>
              <w:rPr>
                <w:color w:val="222222"/>
                <w:sz w:val="19"/>
                <w:szCs w:val="19"/>
              </w:rPr>
              <w:t>1,519</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1EEA4DC3" w14:textId="77777777" w:rsidR="006D7F91" w:rsidRDefault="0040114C">
            <w:r>
              <w:rPr>
                <w:color w:val="222222"/>
                <w:sz w:val="19"/>
                <w:szCs w:val="19"/>
              </w:rPr>
              <w:t>2,281</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DB5EC83" w14:textId="77777777" w:rsidR="006D7F91" w:rsidRDefault="0040114C">
            <w:pPr>
              <w:jc w:val="center"/>
            </w:pPr>
            <w:r>
              <w:rPr>
                <w:b/>
                <w:bCs/>
                <w:color w:val="222222"/>
                <w:sz w:val="19"/>
                <w:szCs w:val="19"/>
              </w:rPr>
              <w:t>66.6%</w:t>
            </w:r>
          </w:p>
        </w:tc>
      </w:tr>
      <w:tr w:rsidR="006D7F91" w14:paraId="33069469"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AC91BF9" w14:textId="77777777" w:rsidR="006D7F91" w:rsidRDefault="0040114C">
            <w:pPr>
              <w:jc w:val="center"/>
            </w:pPr>
            <w:r>
              <w:rPr>
                <w:b/>
                <w:bCs/>
                <w:color w:val="1B3A6B"/>
                <w:sz w:val="19"/>
                <w:szCs w:val="19"/>
              </w:rPr>
              <w:t>Self-Employed</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04311A7" w14:textId="77777777" w:rsidR="006D7F91" w:rsidRDefault="0040114C">
            <w:r>
              <w:rPr>
                <w:color w:val="222222"/>
                <w:sz w:val="19"/>
                <w:szCs w:val="19"/>
              </w:rPr>
              <w:t>642</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808E03F" w14:textId="77777777" w:rsidR="006D7F91" w:rsidRDefault="0040114C">
            <w:r>
              <w:rPr>
                <w:color w:val="222222"/>
                <w:sz w:val="19"/>
                <w:szCs w:val="19"/>
              </w:rPr>
              <w:t>555</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78FD404" w14:textId="77777777" w:rsidR="006D7F91" w:rsidRDefault="0040114C">
            <w:r>
              <w:rPr>
                <w:color w:val="222222"/>
                <w:sz w:val="19"/>
                <w:szCs w:val="19"/>
              </w:rPr>
              <w:t>1,197</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3C54C22" w14:textId="77777777" w:rsidR="006D7F91" w:rsidRDefault="0040114C">
            <w:pPr>
              <w:jc w:val="center"/>
            </w:pPr>
            <w:r>
              <w:rPr>
                <w:color w:val="222222"/>
                <w:sz w:val="19"/>
                <w:szCs w:val="19"/>
              </w:rPr>
              <w:t>46.4%</w:t>
            </w:r>
          </w:p>
        </w:tc>
      </w:tr>
      <w:tr w:rsidR="006D7F91" w14:paraId="4E2E07DA"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E7854BE" w14:textId="77777777" w:rsidR="006D7F91" w:rsidRDefault="0040114C">
            <w:pPr>
              <w:jc w:val="center"/>
            </w:pPr>
            <w:r>
              <w:rPr>
                <w:b/>
                <w:bCs/>
                <w:color w:val="1B3A6B"/>
                <w:sz w:val="19"/>
                <w:szCs w:val="19"/>
              </w:rPr>
              <w:t>Services</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957B346" w14:textId="77777777" w:rsidR="006D7F91" w:rsidRDefault="0040114C">
            <w:r>
              <w:rPr>
                <w:color w:val="222222"/>
                <w:sz w:val="19"/>
                <w:szCs w:val="19"/>
              </w:rPr>
              <w:t>1,558</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4854B64" w14:textId="77777777" w:rsidR="006D7F91" w:rsidRDefault="0040114C">
            <w:r>
              <w:rPr>
                <w:color w:val="222222"/>
                <w:sz w:val="19"/>
                <w:szCs w:val="19"/>
              </w:rPr>
              <w:t>1,039</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8A9EF55" w14:textId="77777777" w:rsidR="006D7F91" w:rsidRDefault="0040114C">
            <w:r>
              <w:rPr>
                <w:color w:val="222222"/>
                <w:sz w:val="19"/>
                <w:szCs w:val="19"/>
              </w:rPr>
              <w:t>2,597</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A4F4599" w14:textId="77777777" w:rsidR="006D7F91" w:rsidRDefault="0040114C">
            <w:pPr>
              <w:jc w:val="center"/>
            </w:pPr>
            <w:r>
              <w:rPr>
                <w:color w:val="222222"/>
                <w:sz w:val="19"/>
                <w:szCs w:val="19"/>
              </w:rPr>
              <w:t>40.0%</w:t>
            </w:r>
          </w:p>
        </w:tc>
      </w:tr>
      <w:tr w:rsidR="006D7F91" w14:paraId="64900C90"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6F0070B" w14:textId="77777777" w:rsidR="006D7F91" w:rsidRDefault="0040114C">
            <w:pPr>
              <w:jc w:val="center"/>
            </w:pPr>
            <w:r>
              <w:rPr>
                <w:b/>
                <w:bCs/>
                <w:color w:val="1B3A6B"/>
                <w:sz w:val="19"/>
                <w:szCs w:val="19"/>
              </w:rPr>
              <w:t>Student</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14B0A76" w14:textId="77777777" w:rsidR="006D7F91" w:rsidRDefault="0040114C">
            <w:r>
              <w:rPr>
                <w:color w:val="222222"/>
                <w:sz w:val="19"/>
                <w:szCs w:val="19"/>
              </w:rPr>
              <w:t>259</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6DD2610" w14:textId="77777777" w:rsidR="006D7F91" w:rsidRDefault="0040114C">
            <w:r>
              <w:rPr>
                <w:color w:val="222222"/>
                <w:sz w:val="19"/>
                <w:szCs w:val="19"/>
              </w:rPr>
              <w:t>758</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D09FB72" w14:textId="77777777" w:rsidR="006D7F91" w:rsidRDefault="0040114C">
            <w:r>
              <w:rPr>
                <w:color w:val="222222"/>
                <w:sz w:val="19"/>
                <w:szCs w:val="19"/>
              </w:rPr>
              <w:t>1,017</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30010C3" w14:textId="77777777" w:rsidR="006D7F91" w:rsidRDefault="0040114C">
            <w:pPr>
              <w:jc w:val="center"/>
            </w:pPr>
            <w:r>
              <w:rPr>
                <w:b/>
                <w:bCs/>
                <w:color w:val="222222"/>
                <w:sz w:val="19"/>
                <w:szCs w:val="19"/>
              </w:rPr>
              <w:t>74.5%</w:t>
            </w:r>
          </w:p>
        </w:tc>
      </w:tr>
      <w:tr w:rsidR="006D7F91" w14:paraId="258FA765"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053ED6BE" w14:textId="77777777" w:rsidR="006D7F91" w:rsidRDefault="0040114C">
            <w:pPr>
              <w:jc w:val="center"/>
            </w:pPr>
            <w:r>
              <w:rPr>
                <w:b/>
                <w:bCs/>
                <w:color w:val="1B3A6B"/>
                <w:sz w:val="19"/>
                <w:szCs w:val="19"/>
              </w:rPr>
              <w:t>Technician</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6C0F61D" w14:textId="77777777" w:rsidR="006D7F91" w:rsidRDefault="0040114C">
            <w:r>
              <w:rPr>
                <w:color w:val="222222"/>
                <w:sz w:val="19"/>
                <w:szCs w:val="19"/>
              </w:rPr>
              <w:t>2,849</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43AE8E20" w14:textId="77777777" w:rsidR="006D7F91" w:rsidRDefault="0040114C">
            <w:r>
              <w:rPr>
                <w:color w:val="222222"/>
                <w:sz w:val="19"/>
                <w:szCs w:val="19"/>
              </w:rPr>
              <w:t>2,395</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1A8F486E" w14:textId="77777777" w:rsidR="006D7F91" w:rsidRDefault="0040114C">
            <w:r>
              <w:rPr>
                <w:color w:val="222222"/>
                <w:sz w:val="19"/>
                <w:szCs w:val="19"/>
              </w:rPr>
              <w:t>5,244</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5DA5F88" w14:textId="77777777" w:rsidR="006D7F91" w:rsidRDefault="0040114C">
            <w:pPr>
              <w:jc w:val="center"/>
            </w:pPr>
            <w:r>
              <w:rPr>
                <w:color w:val="222222"/>
                <w:sz w:val="19"/>
                <w:szCs w:val="19"/>
              </w:rPr>
              <w:t>45.7%</w:t>
            </w:r>
          </w:p>
        </w:tc>
      </w:tr>
      <w:tr w:rsidR="006D7F91" w14:paraId="0871DD4B"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3159002" w14:textId="77777777" w:rsidR="006D7F91" w:rsidRDefault="0040114C">
            <w:pPr>
              <w:jc w:val="center"/>
            </w:pPr>
            <w:r>
              <w:rPr>
                <w:b/>
                <w:bCs/>
                <w:color w:val="1B3A6B"/>
                <w:sz w:val="19"/>
                <w:szCs w:val="19"/>
              </w:rPr>
              <w:t>Unemployed</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D4246B0" w14:textId="77777777" w:rsidR="006D7F91" w:rsidRDefault="0040114C">
            <w:r>
              <w:rPr>
                <w:color w:val="222222"/>
                <w:sz w:val="19"/>
                <w:szCs w:val="19"/>
              </w:rPr>
              <w:t>436</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29E9CFD" w14:textId="77777777" w:rsidR="006D7F91" w:rsidRDefault="0040114C">
            <w:r>
              <w:rPr>
                <w:color w:val="222222"/>
                <w:sz w:val="19"/>
                <w:szCs w:val="19"/>
              </w:rPr>
              <w:t>587</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9F96197" w14:textId="77777777" w:rsidR="006D7F91" w:rsidRDefault="0040114C">
            <w:r>
              <w:rPr>
                <w:color w:val="222222"/>
                <w:sz w:val="19"/>
                <w:szCs w:val="19"/>
              </w:rPr>
              <w:t>1,023</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F21A2DD" w14:textId="77777777" w:rsidR="006D7F91" w:rsidRDefault="0040114C">
            <w:pPr>
              <w:jc w:val="center"/>
            </w:pPr>
            <w:r>
              <w:rPr>
                <w:color w:val="222222"/>
                <w:sz w:val="19"/>
                <w:szCs w:val="19"/>
              </w:rPr>
              <w:t>57.4%</w:t>
            </w:r>
          </w:p>
        </w:tc>
      </w:tr>
      <w:tr w:rsidR="006D7F91" w14:paraId="475E6463"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3433408" w14:textId="77777777" w:rsidR="006D7F91" w:rsidRDefault="0040114C">
            <w:pPr>
              <w:jc w:val="center"/>
            </w:pPr>
            <w:r>
              <w:rPr>
                <w:b/>
                <w:bCs/>
                <w:color w:val="1B3A6B"/>
                <w:sz w:val="19"/>
                <w:szCs w:val="19"/>
              </w:rPr>
              <w:lastRenderedPageBreak/>
              <w:t>Unknown</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142FC9B6" w14:textId="77777777" w:rsidR="006D7F91" w:rsidRDefault="0040114C">
            <w:r>
              <w:rPr>
                <w:color w:val="222222"/>
                <w:sz w:val="19"/>
                <w:szCs w:val="19"/>
              </w:rPr>
              <w:t>97</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85A0471" w14:textId="77777777" w:rsidR="006D7F91" w:rsidRDefault="0040114C">
            <w:r>
              <w:rPr>
                <w:color w:val="222222"/>
                <w:sz w:val="19"/>
                <w:szCs w:val="19"/>
              </w:rPr>
              <w:t>101</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06914CF" w14:textId="77777777" w:rsidR="006D7F91" w:rsidRDefault="0040114C">
            <w:r>
              <w:rPr>
                <w:color w:val="222222"/>
                <w:sz w:val="19"/>
                <w:szCs w:val="19"/>
              </w:rPr>
              <w:t>198</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A4FEDB0" w14:textId="77777777" w:rsidR="006D7F91" w:rsidRDefault="0040114C">
            <w:pPr>
              <w:jc w:val="center"/>
            </w:pPr>
            <w:r>
              <w:rPr>
                <w:color w:val="222222"/>
                <w:sz w:val="19"/>
                <w:szCs w:val="19"/>
              </w:rPr>
              <w:t>51.0%</w:t>
            </w:r>
          </w:p>
        </w:tc>
      </w:tr>
      <w:tr w:rsidR="006D7F91" w14:paraId="256C6004" w14:textId="77777777">
        <w:tblPrEx>
          <w:tblCellMar>
            <w:top w:w="0" w:type="dxa"/>
            <w:bottom w:w="0" w:type="dxa"/>
          </w:tblCellMar>
        </w:tblPrEx>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B3DFDF7" w14:textId="77777777" w:rsidR="006D7F91" w:rsidRDefault="0040114C">
            <w:pPr>
              <w:jc w:val="center"/>
            </w:pPr>
            <w:r>
              <w:rPr>
                <w:rFonts w:ascii="Arial" w:eastAsia="Arial" w:hAnsi="Arial" w:cs="Arial"/>
                <w:b/>
                <w:bCs/>
                <w:color w:val="FFFFFF"/>
                <w:sz w:val="19"/>
                <w:szCs w:val="19"/>
              </w:rPr>
              <w:t>Grand Total</w:t>
            </w:r>
          </w:p>
        </w:tc>
        <w:tc>
          <w:tcPr>
            <w:tcW w:w="15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4449198" w14:textId="77777777" w:rsidR="006D7F91" w:rsidRDefault="0040114C">
            <w:pPr>
              <w:jc w:val="center"/>
            </w:pPr>
            <w:r>
              <w:rPr>
                <w:rFonts w:ascii="Arial" w:eastAsia="Arial" w:hAnsi="Arial" w:cs="Arial"/>
                <w:b/>
                <w:bCs/>
                <w:color w:val="FFFFFF"/>
                <w:sz w:val="19"/>
                <w:szCs w:val="19"/>
              </w:rPr>
              <w:t>16,858</w:t>
            </w:r>
          </w:p>
        </w:tc>
        <w:tc>
          <w:tcPr>
            <w:tcW w:w="15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5925C25" w14:textId="77777777" w:rsidR="006D7F91" w:rsidRDefault="0040114C">
            <w:pPr>
              <w:jc w:val="center"/>
            </w:pPr>
            <w:r>
              <w:rPr>
                <w:rFonts w:ascii="Arial" w:eastAsia="Arial" w:hAnsi="Arial" w:cs="Arial"/>
                <w:b/>
                <w:bCs/>
                <w:color w:val="FFFFFF"/>
                <w:sz w:val="19"/>
                <w:szCs w:val="19"/>
              </w:rPr>
              <w:t>15,142</w:t>
            </w:r>
          </w:p>
        </w:tc>
        <w:tc>
          <w:tcPr>
            <w:tcW w:w="16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AE5CECF" w14:textId="77777777" w:rsidR="006D7F91" w:rsidRDefault="0040114C">
            <w:pPr>
              <w:jc w:val="center"/>
            </w:pPr>
            <w:r>
              <w:rPr>
                <w:rFonts w:ascii="Arial" w:eastAsia="Arial" w:hAnsi="Arial" w:cs="Arial"/>
                <w:b/>
                <w:bCs/>
                <w:color w:val="FFFFFF"/>
                <w:sz w:val="19"/>
                <w:szCs w:val="19"/>
              </w:rPr>
              <w:t>32,000</w:t>
            </w:r>
          </w:p>
        </w:tc>
        <w:tc>
          <w:tcPr>
            <w:tcW w:w="17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D3BAD18" w14:textId="77777777" w:rsidR="006D7F91" w:rsidRDefault="0040114C">
            <w:pPr>
              <w:jc w:val="center"/>
            </w:pPr>
            <w:r>
              <w:rPr>
                <w:rFonts w:ascii="Arial" w:eastAsia="Arial" w:hAnsi="Arial" w:cs="Arial"/>
                <w:b/>
                <w:bCs/>
                <w:color w:val="FFFFFF"/>
                <w:sz w:val="19"/>
                <w:szCs w:val="19"/>
              </w:rPr>
              <w:t>47.3%</w:t>
            </w:r>
          </w:p>
        </w:tc>
      </w:tr>
    </w:tbl>
    <w:p w14:paraId="49AC3B51" w14:textId="77777777" w:rsidR="006D7F91" w:rsidRDefault="006D7F91">
      <w:pPr>
        <w:spacing w:before="100"/>
      </w:pPr>
    </w:p>
    <w:p w14:paraId="6F6C5F4D" w14:textId="77777777" w:rsidR="006D7F91" w:rsidRDefault="0040114C">
      <w:pPr>
        <w:spacing w:before="120" w:after="40"/>
      </w:pPr>
      <w:r>
        <w:rPr>
          <w:rFonts w:ascii="Arial" w:eastAsia="Arial" w:hAnsi="Arial" w:cs="Arial"/>
          <w:b/>
          <w:bCs/>
          <w:color w:val="2E5FAC"/>
          <w:sz w:val="20"/>
          <w:szCs w:val="20"/>
        </w:rPr>
        <w:t>Subscription Rate Formula:</w:t>
      </w:r>
    </w:p>
    <w:p w14:paraId="2B90F4C0"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730A3340" w14:textId="77777777" w:rsidR="006D7F91" w:rsidRDefault="0040114C">
      <w:pPr>
        <w:spacing w:before="80" w:after="120" w:line="280" w:lineRule="auto"/>
        <w:jc w:val="both"/>
      </w:pPr>
      <w:r>
        <w:rPr>
          <w:i/>
          <w:iCs/>
          <w:color w:val="555555"/>
        </w:rPr>
        <w:t>Example — Student segment:  758 ÷ 1,017 × 100 = 74.5%</w:t>
      </w:r>
    </w:p>
    <w:p w14:paraId="695D25B8" w14:textId="77777777" w:rsidR="006D7F91" w:rsidRDefault="006D7F91">
      <w:pPr>
        <w:spacing w:before="120"/>
      </w:pPr>
    </w:p>
    <w:p w14:paraId="357CED45" w14:textId="77777777" w:rsidR="006D7F91" w:rsidRDefault="0040114C">
      <w:pPr>
        <w:pStyle w:val="Heading2"/>
      </w:pPr>
      <w:r>
        <w:t>4.2  Findings</w:t>
      </w:r>
    </w:p>
    <w:p w14:paraId="14A73959" w14:textId="77777777" w:rsidR="006D7F91" w:rsidRDefault="0040114C">
      <w:pPr>
        <w:spacing w:before="80" w:after="120" w:line="280" w:lineRule="auto"/>
        <w:jc w:val="both"/>
      </w:pPr>
      <w:r>
        <w:rPr>
          <w:color w:val="222222"/>
        </w:rPr>
        <w:t>Management recorded the highest number of subscriptions (3,693), followed by Technicians (2,395) and Blue-Collar workers (2,033). However, this outcome is substantially influenced by customer concentration: Management alone accounts for 7,311 customers — t</w:t>
      </w:r>
      <w:r>
        <w:rPr>
          <w:color w:val="222222"/>
        </w:rPr>
        <w:t>he single largest occupational group in the dataset, approximately nine times the size of the Housemaid segment.</w:t>
      </w:r>
    </w:p>
    <w:p w14:paraId="6E4FD788" w14:textId="77777777" w:rsidR="006D7F91" w:rsidRDefault="006D7F91">
      <w:pPr>
        <w:spacing w:before="80"/>
      </w:pPr>
    </w:p>
    <w:p w14:paraId="080C7232" w14:textId="77777777" w:rsidR="006D7F91" w:rsidRDefault="0040114C">
      <w:pPr>
        <w:spacing w:before="80" w:after="120" w:line="280" w:lineRule="auto"/>
        <w:jc w:val="both"/>
      </w:pPr>
      <w:r>
        <w:rPr>
          <w:color w:val="222222"/>
        </w:rPr>
        <w:t>When subscription rate is used as the performance metric, the occupational hierarchy is reordered entirely. Students achieved the highest subs</w:t>
      </w:r>
      <w:r>
        <w:rPr>
          <w:color w:val="222222"/>
        </w:rPr>
        <w:t>cription rate at 74.5%, converting nearly three in four customers contacted. Retired customers followed closely at 66.6%, while the Unemployed segment achieved 57.4%. By contrast, Blue-Collar workers — despite generating the second-highest raw subscription</w:t>
      </w:r>
      <w:r>
        <w:rPr>
          <w:color w:val="222222"/>
        </w:rPr>
        <w:t xml:space="preserve"> count — recorded only a 36.5% conversion rate, one of the lowest in the dataset.</w:t>
      </w:r>
    </w:p>
    <w:p w14:paraId="6085B051" w14:textId="77777777" w:rsidR="006D7F91" w:rsidRDefault="006D7F91">
      <w:pPr>
        <w:spacing w:before="120"/>
      </w:pPr>
    </w:p>
    <w:p w14:paraId="03CA108F" w14:textId="77777777" w:rsidR="006D7F91" w:rsidRDefault="0040114C">
      <w:pPr>
        <w:pStyle w:val="Heading2"/>
      </w:pPr>
      <w:r>
        <w:t>4.3  Business Insight</w:t>
      </w:r>
    </w:p>
    <w:p w14:paraId="79E9FE76" w14:textId="77777777" w:rsidR="006D7F91" w:rsidRDefault="0040114C">
      <w:pPr>
        <w:spacing w:before="80" w:after="120" w:line="280" w:lineRule="auto"/>
        <w:jc w:val="both"/>
      </w:pPr>
      <w:r>
        <w:rPr>
          <w:color w:val="222222"/>
        </w:rPr>
        <w:t>The strong performance of Students and Retired customers mirrors and reinforces the age segment findings. Customers aged 17–24 are most likely to be st</w:t>
      </w:r>
      <w:r>
        <w:rPr>
          <w:color w:val="222222"/>
        </w:rPr>
        <w:t>udents, while those aged 65+ are predominantly retired — both segments demonstrated high subscription rates in the age analysis. This cross-segment consistency strengthens confidence in the finding that these life-stage characteristics are genuinely associ</w:t>
      </w:r>
      <w:r>
        <w:rPr>
          <w:color w:val="222222"/>
        </w:rPr>
        <w:t>ated with higher term deposit receptiveness, rather than being statistical artefacts.</w:t>
      </w:r>
    </w:p>
    <w:p w14:paraId="20D3DDC5" w14:textId="77777777" w:rsidR="006D7F91" w:rsidRDefault="006D7F91">
      <w:pPr>
        <w:spacing w:before="80"/>
      </w:pPr>
    </w:p>
    <w:p w14:paraId="7AEF8D6E" w14:textId="77777777" w:rsidR="006D7F91" w:rsidRDefault="0040114C">
      <w:pPr>
        <w:spacing w:before="80" w:after="120" w:line="280" w:lineRule="auto"/>
        <w:jc w:val="both"/>
      </w:pPr>
      <w:r>
        <w:rPr>
          <w:color w:val="222222"/>
        </w:rPr>
        <w:t>The underperformance of Blue-Collar and similar working-class occupations likely reflects the same financial pressures observed in the working-age analysis: ongoing obli</w:t>
      </w:r>
      <w:r>
        <w:rPr>
          <w:color w:val="222222"/>
        </w:rPr>
        <w:t>gations, lower disposable income, and reduced appetite for locking funds into fixed-term savings products.</w:t>
      </w:r>
    </w:p>
    <w:p w14:paraId="53119E02" w14:textId="77777777" w:rsidR="006D7F91" w:rsidRDefault="006D7F91">
      <w:pPr>
        <w:spacing w:before="120"/>
      </w:pPr>
    </w:p>
    <w:p w14:paraId="65E7A60A" w14:textId="77777777" w:rsidR="006D7F91" w:rsidRDefault="0040114C">
      <w:pPr>
        <w:pStyle w:val="Heading2"/>
      </w:pPr>
      <w:r>
        <w:t>4.4  Recommendation</w:t>
      </w:r>
    </w:p>
    <w:p w14:paraId="02D9BC62" w14:textId="77777777" w:rsidR="006D7F91" w:rsidRDefault="0040114C">
      <w:pPr>
        <w:spacing w:before="80" w:after="120" w:line="280" w:lineRule="auto"/>
        <w:jc w:val="both"/>
      </w:pPr>
      <w:r>
        <w:rPr>
          <w:color w:val="222222"/>
        </w:rPr>
        <w:t>The bank should develop occupation-specific campaign messaging that speaks directly to the financial circumstances and motivatio</w:t>
      </w:r>
      <w:r>
        <w:rPr>
          <w:color w:val="222222"/>
        </w:rPr>
        <w:t>ns of high-converting segments. For Students, messaging should emphasise early financial discipline and the value of building savings habits. For Retired customers, the focus should be on income stability and capital security. For large-volume segments suc</w:t>
      </w:r>
      <w:r>
        <w:rPr>
          <w:color w:val="222222"/>
        </w:rPr>
        <w:t>h as Management and Technicians, where conversion rates hover around 45–50%, there is significant untapped potential that could be addressed with tailored product positioning emphasising competitive interest rates and flexible term structures.</w:t>
      </w:r>
    </w:p>
    <w:p w14:paraId="761C9A8B" w14:textId="77777777" w:rsidR="006D7F91" w:rsidRDefault="006D7F91">
      <w:pPr>
        <w:spacing w:before="200"/>
      </w:pPr>
    </w:p>
    <w:p w14:paraId="4261C760" w14:textId="77777777" w:rsidR="006D7F91" w:rsidRDefault="0040114C">
      <w:pPr>
        <w:pStyle w:val="Heading1"/>
      </w:pPr>
      <w:r>
        <w:lastRenderedPageBreak/>
        <w:t xml:space="preserve">5. Marital </w:t>
      </w:r>
      <w:r>
        <w:t>Status Analysis</w:t>
      </w:r>
    </w:p>
    <w:p w14:paraId="3C2A889D" w14:textId="77777777" w:rsidR="006D7F91" w:rsidRDefault="006D7F91">
      <w:pPr>
        <w:pBdr>
          <w:bottom w:val="single" w:sz="6" w:space="1" w:color="2E5FAC"/>
        </w:pBdr>
        <w:spacing w:after="160"/>
      </w:pPr>
    </w:p>
    <w:p w14:paraId="46C7C79A" w14:textId="77777777" w:rsidR="006D7F91" w:rsidRDefault="0040114C">
      <w:pPr>
        <w:spacing w:before="80" w:after="120" w:line="280" w:lineRule="auto"/>
        <w:jc w:val="both"/>
      </w:pPr>
      <w:r>
        <w:rPr>
          <w:color w:val="222222"/>
        </w:rPr>
        <w:t>Marital status was captured across three categories in the dataset: Married, Single, and Divorced. This variable offers insight into how domestic and financial life circumstances may influence a customer’s willingness to commit to a fixed-</w:t>
      </w:r>
      <w:r>
        <w:rPr>
          <w:color w:val="222222"/>
        </w:rPr>
        <w:t>term savings product.</w:t>
      </w:r>
    </w:p>
    <w:p w14:paraId="79412D3E" w14:textId="77777777" w:rsidR="006D7F91" w:rsidRDefault="006D7F91">
      <w:pPr>
        <w:spacing w:before="120"/>
      </w:pPr>
    </w:p>
    <w:p w14:paraId="54719C9B" w14:textId="77777777" w:rsidR="006D7F91" w:rsidRDefault="0040114C">
      <w:pPr>
        <w:pStyle w:val="Heading2"/>
      </w:pPr>
      <w:r>
        <w:t>5.1  Pivot Table: Marital Status vs. Subscription Outcome</w:t>
      </w:r>
    </w:p>
    <w:p w14:paraId="2591D488"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1960"/>
        <w:gridCol w:w="1800"/>
        <w:gridCol w:w="1800"/>
        <w:gridCol w:w="1800"/>
        <w:gridCol w:w="2000"/>
      </w:tblGrid>
      <w:tr w:rsidR="006D7F91" w14:paraId="24F7D5F9"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693204C" w14:textId="77777777" w:rsidR="006D7F91" w:rsidRDefault="0040114C">
            <w:pPr>
              <w:jc w:val="center"/>
            </w:pPr>
            <w:r>
              <w:rPr>
                <w:rFonts w:ascii="Arial" w:eastAsia="Arial" w:hAnsi="Arial" w:cs="Arial"/>
                <w:b/>
                <w:bCs/>
                <w:color w:val="FFFFFF"/>
                <w:sz w:val="19"/>
                <w:szCs w:val="19"/>
              </w:rPr>
              <w:t>Marital Status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54AFAF9" w14:textId="77777777" w:rsidR="006D7F91" w:rsidRDefault="0040114C">
            <w:pPr>
              <w:jc w:val="center"/>
            </w:pPr>
            <w:r>
              <w:rPr>
                <w:rFonts w:ascii="Arial" w:eastAsia="Arial" w:hAnsi="Arial" w:cs="Arial"/>
                <w:b/>
                <w:bCs/>
                <w:color w:val="FFFFFF"/>
                <w:sz w:val="19"/>
                <w:szCs w:val="19"/>
              </w:rPr>
              <w:t>Did Not Subscribe</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88AE37F" w14:textId="77777777" w:rsidR="006D7F91" w:rsidRDefault="0040114C">
            <w:pPr>
              <w:jc w:val="center"/>
            </w:pPr>
            <w:r>
              <w:rPr>
                <w:rFonts w:ascii="Arial" w:eastAsia="Arial" w:hAnsi="Arial" w:cs="Arial"/>
                <w:b/>
                <w:bCs/>
                <w:color w:val="FFFFFF"/>
                <w:sz w:val="19"/>
                <w:szCs w:val="19"/>
              </w:rPr>
              <w:t>Subscribed (Yes)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3464C17" w14:textId="77777777" w:rsidR="006D7F91" w:rsidRDefault="0040114C">
            <w:pPr>
              <w:jc w:val="center"/>
            </w:pPr>
            <w:r>
              <w:rPr>
                <w:rFonts w:ascii="Arial" w:eastAsia="Arial" w:hAnsi="Arial" w:cs="Arial"/>
                <w:b/>
                <w:bCs/>
                <w:color w:val="FFFFFF"/>
                <w:sz w:val="19"/>
                <w:szCs w:val="19"/>
              </w:rPr>
              <w:t>Total Customers</w:t>
            </w:r>
          </w:p>
        </w:tc>
        <w:tc>
          <w:tcPr>
            <w:tcW w:w="20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AE1D6BC" w14:textId="77777777" w:rsidR="006D7F91" w:rsidRDefault="0040114C">
            <w:pPr>
              <w:jc w:val="center"/>
            </w:pPr>
            <w:r>
              <w:rPr>
                <w:rFonts w:ascii="Arial" w:eastAsia="Arial" w:hAnsi="Arial" w:cs="Arial"/>
                <w:b/>
                <w:bCs/>
                <w:color w:val="FFFFFF"/>
                <w:sz w:val="19"/>
                <w:szCs w:val="19"/>
              </w:rPr>
              <w:t>Subscription Rate</w:t>
            </w:r>
          </w:p>
        </w:tc>
      </w:tr>
      <w:tr w:rsidR="006D7F91" w14:paraId="4EDE244B"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2D8659B" w14:textId="77777777" w:rsidR="006D7F91" w:rsidRDefault="0040114C">
            <w:pPr>
              <w:jc w:val="center"/>
            </w:pPr>
            <w:r>
              <w:rPr>
                <w:b/>
                <w:bCs/>
                <w:color w:val="1B3A6B"/>
                <w:sz w:val="19"/>
                <w:szCs w:val="19"/>
              </w:rPr>
              <w:t>Divorced</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2BED555" w14:textId="77777777" w:rsidR="006D7F91" w:rsidRDefault="0040114C">
            <w:r>
              <w:rPr>
                <w:color w:val="222222"/>
                <w:sz w:val="19"/>
                <w:szCs w:val="19"/>
              </w:rPr>
              <w:t>1,972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E0AF88A" w14:textId="77777777" w:rsidR="006D7F91" w:rsidRDefault="0040114C">
            <w:r>
              <w:rPr>
                <w:color w:val="222222"/>
                <w:sz w:val="19"/>
                <w:szCs w:val="19"/>
              </w:rPr>
              <w:t>1,763</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5EDBE19" w14:textId="77777777" w:rsidR="006D7F91" w:rsidRDefault="0040114C">
            <w:r>
              <w:rPr>
                <w:color w:val="222222"/>
                <w:sz w:val="19"/>
                <w:szCs w:val="19"/>
              </w:rPr>
              <w:t>3,735</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CA27138" w14:textId="77777777" w:rsidR="006D7F91" w:rsidRDefault="0040114C">
            <w:pPr>
              <w:jc w:val="center"/>
            </w:pPr>
            <w:r>
              <w:rPr>
                <w:color w:val="222222"/>
                <w:sz w:val="19"/>
                <w:szCs w:val="19"/>
              </w:rPr>
              <w:t>47.2%</w:t>
            </w:r>
          </w:p>
        </w:tc>
      </w:tr>
      <w:tr w:rsidR="006D7F91" w14:paraId="78F7FFAB"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3B233EDE" w14:textId="77777777" w:rsidR="006D7F91" w:rsidRDefault="0040114C">
            <w:pPr>
              <w:jc w:val="center"/>
            </w:pPr>
            <w:r>
              <w:rPr>
                <w:b/>
                <w:bCs/>
                <w:color w:val="1B3A6B"/>
                <w:sz w:val="19"/>
                <w:szCs w:val="19"/>
              </w:rPr>
              <w:t>Married</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22F9A85" w14:textId="77777777" w:rsidR="006D7F91" w:rsidRDefault="0040114C">
            <w:r>
              <w:rPr>
                <w:color w:val="222222"/>
                <w:sz w:val="19"/>
                <w:szCs w:val="19"/>
              </w:rPr>
              <w:t>10,278</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747D249" w14:textId="77777777" w:rsidR="006D7F91" w:rsidRDefault="0040114C">
            <w:r>
              <w:rPr>
                <w:color w:val="222222"/>
                <w:sz w:val="19"/>
                <w:szCs w:val="19"/>
              </w:rPr>
              <w:t>7,914</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695AF88F" w14:textId="77777777" w:rsidR="006D7F91" w:rsidRDefault="0040114C">
            <w:r>
              <w:rPr>
                <w:color w:val="222222"/>
                <w:sz w:val="19"/>
                <w:szCs w:val="19"/>
              </w:rPr>
              <w:t>18,192</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1FE6F12" w14:textId="77777777" w:rsidR="006D7F91" w:rsidRDefault="0040114C">
            <w:pPr>
              <w:jc w:val="center"/>
            </w:pPr>
            <w:r>
              <w:rPr>
                <w:color w:val="222222"/>
                <w:sz w:val="19"/>
                <w:szCs w:val="19"/>
              </w:rPr>
              <w:t>43.5%</w:t>
            </w:r>
          </w:p>
        </w:tc>
      </w:tr>
      <w:tr w:rsidR="006D7F91" w14:paraId="797C02A8"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D18462B" w14:textId="77777777" w:rsidR="006D7F91" w:rsidRDefault="0040114C">
            <w:pPr>
              <w:jc w:val="center"/>
            </w:pPr>
            <w:r>
              <w:rPr>
                <w:b/>
                <w:bCs/>
                <w:color w:val="1B3A6B"/>
                <w:sz w:val="19"/>
                <w:szCs w:val="19"/>
              </w:rPr>
              <w:t>Single</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748D3FD" w14:textId="77777777" w:rsidR="006D7F91" w:rsidRDefault="0040114C">
            <w:r>
              <w:rPr>
                <w:color w:val="222222"/>
                <w:sz w:val="19"/>
                <w:szCs w:val="19"/>
              </w:rPr>
              <w:t>4,608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FF947C3" w14:textId="77777777" w:rsidR="006D7F91" w:rsidRDefault="0040114C">
            <w:r>
              <w:rPr>
                <w:color w:val="222222"/>
                <w:sz w:val="19"/>
                <w:szCs w:val="19"/>
              </w:rPr>
              <w:t>5,465</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942B5D1" w14:textId="77777777" w:rsidR="006D7F91" w:rsidRDefault="0040114C">
            <w:r>
              <w:rPr>
                <w:color w:val="222222"/>
                <w:sz w:val="19"/>
                <w:szCs w:val="19"/>
              </w:rPr>
              <w:t>10,073</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F45F2AF" w14:textId="77777777" w:rsidR="006D7F91" w:rsidRDefault="0040114C">
            <w:pPr>
              <w:jc w:val="center"/>
            </w:pPr>
            <w:r>
              <w:rPr>
                <w:b/>
                <w:bCs/>
                <w:color w:val="222222"/>
                <w:sz w:val="19"/>
                <w:szCs w:val="19"/>
              </w:rPr>
              <w:t>54.3%</w:t>
            </w:r>
          </w:p>
        </w:tc>
      </w:tr>
      <w:tr w:rsidR="006D7F91" w14:paraId="0E93726A"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57ED421" w14:textId="77777777" w:rsidR="006D7F91" w:rsidRDefault="0040114C">
            <w:pPr>
              <w:jc w:val="center"/>
            </w:pPr>
            <w:r>
              <w:rPr>
                <w:rFonts w:ascii="Arial" w:eastAsia="Arial" w:hAnsi="Arial" w:cs="Arial"/>
                <w:b/>
                <w:bCs/>
                <w:color w:val="FFFFFF"/>
                <w:sz w:val="19"/>
                <w:szCs w:val="19"/>
              </w:rPr>
              <w:t>Grand Total</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D9CBB73" w14:textId="77777777" w:rsidR="006D7F91" w:rsidRDefault="0040114C">
            <w:pPr>
              <w:jc w:val="center"/>
            </w:pPr>
            <w:r>
              <w:rPr>
                <w:rFonts w:ascii="Arial" w:eastAsia="Arial" w:hAnsi="Arial" w:cs="Arial"/>
                <w:b/>
                <w:bCs/>
                <w:color w:val="FFFFFF"/>
                <w:sz w:val="19"/>
                <w:szCs w:val="19"/>
              </w:rPr>
              <w:t>16,858</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0CFECDD" w14:textId="77777777" w:rsidR="006D7F91" w:rsidRDefault="0040114C">
            <w:pPr>
              <w:jc w:val="center"/>
            </w:pPr>
            <w:r>
              <w:rPr>
                <w:rFonts w:ascii="Arial" w:eastAsia="Arial" w:hAnsi="Arial" w:cs="Arial"/>
                <w:b/>
                <w:bCs/>
                <w:color w:val="FFFFFF"/>
                <w:sz w:val="19"/>
                <w:szCs w:val="19"/>
              </w:rPr>
              <w:t>15,142</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3BEBC11" w14:textId="77777777" w:rsidR="006D7F91" w:rsidRDefault="0040114C">
            <w:pPr>
              <w:jc w:val="center"/>
            </w:pPr>
            <w:r>
              <w:rPr>
                <w:rFonts w:ascii="Arial" w:eastAsia="Arial" w:hAnsi="Arial" w:cs="Arial"/>
                <w:b/>
                <w:bCs/>
                <w:color w:val="FFFFFF"/>
                <w:sz w:val="19"/>
                <w:szCs w:val="19"/>
              </w:rPr>
              <w:t>32,000</w:t>
            </w:r>
          </w:p>
        </w:tc>
        <w:tc>
          <w:tcPr>
            <w:tcW w:w="20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741B396" w14:textId="77777777" w:rsidR="006D7F91" w:rsidRDefault="0040114C">
            <w:pPr>
              <w:jc w:val="center"/>
            </w:pPr>
            <w:r>
              <w:rPr>
                <w:rFonts w:ascii="Arial" w:eastAsia="Arial" w:hAnsi="Arial" w:cs="Arial"/>
                <w:b/>
                <w:bCs/>
                <w:color w:val="FFFFFF"/>
                <w:sz w:val="19"/>
                <w:szCs w:val="19"/>
              </w:rPr>
              <w:t>47.3%</w:t>
            </w:r>
          </w:p>
        </w:tc>
      </w:tr>
    </w:tbl>
    <w:p w14:paraId="4998F5B8" w14:textId="77777777" w:rsidR="006D7F91" w:rsidRDefault="006D7F91">
      <w:pPr>
        <w:spacing w:before="100"/>
      </w:pPr>
    </w:p>
    <w:p w14:paraId="0C1769F1" w14:textId="77777777" w:rsidR="006D7F91" w:rsidRDefault="0040114C">
      <w:pPr>
        <w:spacing w:before="120" w:after="40"/>
      </w:pPr>
      <w:r>
        <w:rPr>
          <w:rFonts w:ascii="Arial" w:eastAsia="Arial" w:hAnsi="Arial" w:cs="Arial"/>
          <w:b/>
          <w:bCs/>
          <w:color w:val="2E5FAC"/>
          <w:sz w:val="20"/>
          <w:szCs w:val="20"/>
        </w:rPr>
        <w:t>Subscription Rate Formula:</w:t>
      </w:r>
    </w:p>
    <w:p w14:paraId="7947EAB6"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57042FBE" w14:textId="77777777" w:rsidR="006D7F91" w:rsidRDefault="0040114C">
      <w:pPr>
        <w:spacing w:before="80" w:after="120" w:line="280" w:lineRule="auto"/>
        <w:jc w:val="both"/>
      </w:pPr>
      <w:r>
        <w:rPr>
          <w:i/>
          <w:iCs/>
          <w:color w:val="555555"/>
        </w:rPr>
        <w:t>Example — Single segment:  5,465 ÷ 10,073 × 100 = 54.3%</w:t>
      </w:r>
    </w:p>
    <w:p w14:paraId="56A86DF4" w14:textId="77777777" w:rsidR="006D7F91" w:rsidRDefault="006D7F91">
      <w:pPr>
        <w:spacing w:before="120"/>
      </w:pPr>
    </w:p>
    <w:p w14:paraId="168F12FE" w14:textId="77777777" w:rsidR="006D7F91" w:rsidRDefault="0040114C">
      <w:pPr>
        <w:pStyle w:val="Heading2"/>
      </w:pPr>
      <w:r>
        <w:t>5.2  Findings</w:t>
      </w:r>
    </w:p>
    <w:p w14:paraId="09D85C97" w14:textId="77777777" w:rsidR="006D7F91" w:rsidRDefault="0040114C">
      <w:pPr>
        <w:spacing w:before="80" w:after="120" w:line="280" w:lineRule="auto"/>
        <w:jc w:val="both"/>
      </w:pPr>
      <w:r>
        <w:rPr>
          <w:color w:val="222222"/>
        </w:rPr>
        <w:t>The Married segment dominates the dataset, accounting for 18,192 customers — more than half (56.9%) of the total customer base — and consequently generates the highest number of subscriptions in absolute terms (7,914). However, this volume-driven performan</w:t>
      </w:r>
      <w:r>
        <w:rPr>
          <w:color w:val="222222"/>
        </w:rPr>
        <w:t>ce masks an important efficiency gap.</w:t>
      </w:r>
    </w:p>
    <w:p w14:paraId="4C64B6D1" w14:textId="77777777" w:rsidR="006D7F91" w:rsidRDefault="006D7F91">
      <w:pPr>
        <w:spacing w:before="80"/>
      </w:pPr>
    </w:p>
    <w:p w14:paraId="4EC63EF9" w14:textId="77777777" w:rsidR="006D7F91" w:rsidRDefault="0040114C">
      <w:pPr>
        <w:spacing w:before="80" w:after="120" w:line="280" w:lineRule="auto"/>
        <w:jc w:val="both"/>
      </w:pPr>
      <w:r>
        <w:rPr>
          <w:color w:val="222222"/>
        </w:rPr>
        <w:t>When assessed by subscription rate, Single customers emerge as the most responsive segment at 54.3%, compared to 47.2% for Divorced customers and only 43.5% for Married customers. Despite having fewer customers, the S</w:t>
      </w:r>
      <w:r>
        <w:rPr>
          <w:color w:val="222222"/>
        </w:rPr>
        <w:t>ingle group converts at a meaningfully higher rate than the dominant Married segment.</w:t>
      </w:r>
    </w:p>
    <w:p w14:paraId="266AC880" w14:textId="77777777" w:rsidR="006D7F91" w:rsidRDefault="006D7F91">
      <w:pPr>
        <w:spacing w:before="120"/>
      </w:pPr>
    </w:p>
    <w:p w14:paraId="699A9B82" w14:textId="77777777" w:rsidR="006D7F91" w:rsidRDefault="0040114C">
      <w:pPr>
        <w:pStyle w:val="Heading2"/>
      </w:pPr>
      <w:r>
        <w:t>5.3  Business Insight</w:t>
      </w:r>
    </w:p>
    <w:p w14:paraId="6B4CAF3A" w14:textId="77777777" w:rsidR="006D7F91" w:rsidRDefault="0040114C">
      <w:pPr>
        <w:spacing w:before="80" w:after="120" w:line="280" w:lineRule="auto"/>
        <w:jc w:val="both"/>
      </w:pPr>
      <w:r>
        <w:rPr>
          <w:color w:val="222222"/>
        </w:rPr>
        <w:t>The higher subscription rate among Single customers is likely connected to the age dynamics identified in the previous section. Customers aged 17–2</w:t>
      </w:r>
      <w:r>
        <w:rPr>
          <w:color w:val="222222"/>
        </w:rPr>
        <w:t>4 and 25–34 — two groups with above-average subscription rates — are more likely to be unmarried. Conversely, the 35–54 age bands, which skew married and carry the financial obligations of mortgage repayments, childcare, and household costs, demonstrate lo</w:t>
      </w:r>
      <w:r>
        <w:rPr>
          <w:color w:val="222222"/>
        </w:rPr>
        <w:t>wer conversion rates. This cross-variable relationship suggests that marital status and age jointly influence term deposit receptiveness, rather than operating as fully independent factors.</w:t>
      </w:r>
    </w:p>
    <w:p w14:paraId="77EB3E93" w14:textId="77777777" w:rsidR="006D7F91" w:rsidRDefault="006D7F91">
      <w:pPr>
        <w:spacing w:before="120"/>
      </w:pPr>
    </w:p>
    <w:p w14:paraId="16CC8D02" w14:textId="77777777" w:rsidR="006D7F91" w:rsidRDefault="0040114C">
      <w:pPr>
        <w:pStyle w:val="Heading2"/>
      </w:pPr>
      <w:r>
        <w:t>5.4  Recommendation</w:t>
      </w:r>
    </w:p>
    <w:p w14:paraId="404A4617" w14:textId="77777777" w:rsidR="006D7F91" w:rsidRDefault="0040114C">
      <w:pPr>
        <w:spacing w:before="80" w:after="120" w:line="280" w:lineRule="auto"/>
        <w:jc w:val="both"/>
      </w:pPr>
      <w:r>
        <w:rPr>
          <w:color w:val="222222"/>
        </w:rPr>
        <w:lastRenderedPageBreak/>
        <w:t>Campaign planning should treat Single custome</w:t>
      </w:r>
      <w:r>
        <w:rPr>
          <w:color w:val="222222"/>
        </w:rPr>
        <w:t>rs as a priority target group, given their demonstrated higher propensity to subscribe. Messaging for this segment should centre on financial independence, personal savings growth, and long-term financial security. For the large Married segment, the bank m</w:t>
      </w:r>
      <w:r>
        <w:rPr>
          <w:color w:val="222222"/>
        </w:rPr>
        <w:t>ay consider product variants or incentive structures — such as joint savings accounts or family-oriented deposit plans — that acknowledge the shared financial responsibilities of this demographic and make term deposits more accessible within a household bu</w:t>
      </w:r>
      <w:r>
        <w:rPr>
          <w:color w:val="222222"/>
        </w:rPr>
        <w:t>dget context.</w:t>
      </w:r>
    </w:p>
    <w:p w14:paraId="7C6FBB51" w14:textId="77777777" w:rsidR="006D7F91" w:rsidRDefault="006D7F91">
      <w:pPr>
        <w:spacing w:before="200"/>
      </w:pPr>
    </w:p>
    <w:p w14:paraId="6571FFE5" w14:textId="77777777" w:rsidR="006D7F91" w:rsidRDefault="0040114C">
      <w:pPr>
        <w:pStyle w:val="Heading1"/>
      </w:pPr>
      <w:r>
        <w:t>6. Education Level Analysis</w:t>
      </w:r>
    </w:p>
    <w:p w14:paraId="6172DC91" w14:textId="77777777" w:rsidR="006D7F91" w:rsidRDefault="006D7F91">
      <w:pPr>
        <w:pBdr>
          <w:bottom w:val="single" w:sz="6" w:space="1" w:color="2E5FAC"/>
        </w:pBdr>
        <w:spacing w:after="160"/>
      </w:pPr>
    </w:p>
    <w:p w14:paraId="0E84817E" w14:textId="77777777" w:rsidR="006D7F91" w:rsidRDefault="0040114C">
      <w:pPr>
        <w:spacing w:before="80" w:after="120" w:line="280" w:lineRule="auto"/>
        <w:jc w:val="both"/>
      </w:pPr>
      <w:r>
        <w:rPr>
          <w:color w:val="222222"/>
        </w:rPr>
        <w:t>Education level in the dataset is categorised into four groups: Secondary, Tertiary, Primary, and Unknown. This segment examines whether a customer’s highest level of educational attainment is associated with the</w:t>
      </w:r>
      <w:r>
        <w:rPr>
          <w:color w:val="222222"/>
        </w:rPr>
        <w:t>ir likelihood of subscribing to a term deposit product.</w:t>
      </w:r>
    </w:p>
    <w:p w14:paraId="0C6877F2" w14:textId="77777777" w:rsidR="006D7F91" w:rsidRDefault="006D7F91">
      <w:pPr>
        <w:spacing w:before="120"/>
      </w:pPr>
    </w:p>
    <w:p w14:paraId="1ECE4918" w14:textId="77777777" w:rsidR="006D7F91" w:rsidRDefault="0040114C">
      <w:pPr>
        <w:pStyle w:val="Heading2"/>
      </w:pPr>
      <w:r>
        <w:t>6.1  Pivot Table: Education Level vs. Subscription Outcome</w:t>
      </w:r>
    </w:p>
    <w:p w14:paraId="6AD6F0D0"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1960"/>
        <w:gridCol w:w="1800"/>
        <w:gridCol w:w="1800"/>
        <w:gridCol w:w="1800"/>
        <w:gridCol w:w="2000"/>
      </w:tblGrid>
      <w:tr w:rsidR="006D7F91" w14:paraId="0FF7B72F"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2E14642" w14:textId="77777777" w:rsidR="006D7F91" w:rsidRDefault="0040114C">
            <w:pPr>
              <w:jc w:val="center"/>
            </w:pPr>
            <w:r>
              <w:rPr>
                <w:rFonts w:ascii="Arial" w:eastAsia="Arial" w:hAnsi="Arial" w:cs="Arial"/>
                <w:b/>
                <w:bCs/>
                <w:color w:val="FFFFFF"/>
                <w:sz w:val="19"/>
                <w:szCs w:val="19"/>
              </w:rPr>
              <w:t>Education Level</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75144FE" w14:textId="77777777" w:rsidR="006D7F91" w:rsidRDefault="0040114C">
            <w:pPr>
              <w:jc w:val="center"/>
            </w:pPr>
            <w:r>
              <w:rPr>
                <w:rFonts w:ascii="Arial" w:eastAsia="Arial" w:hAnsi="Arial" w:cs="Arial"/>
                <w:b/>
                <w:bCs/>
                <w:color w:val="FFFFFF"/>
                <w:sz w:val="19"/>
                <w:szCs w:val="19"/>
              </w:rPr>
              <w:t>Did Not Subscribe</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3D09724" w14:textId="77777777" w:rsidR="006D7F91" w:rsidRDefault="0040114C">
            <w:pPr>
              <w:jc w:val="center"/>
            </w:pPr>
            <w:r>
              <w:rPr>
                <w:rFonts w:ascii="Arial" w:eastAsia="Arial" w:hAnsi="Arial" w:cs="Arial"/>
                <w:b/>
                <w:bCs/>
                <w:color w:val="FFFFFF"/>
                <w:sz w:val="19"/>
                <w:szCs w:val="19"/>
              </w:rPr>
              <w:t>Subscribed (Yes)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4433C3C" w14:textId="77777777" w:rsidR="006D7F91" w:rsidRDefault="0040114C">
            <w:pPr>
              <w:jc w:val="center"/>
            </w:pPr>
            <w:r>
              <w:rPr>
                <w:rFonts w:ascii="Arial" w:eastAsia="Arial" w:hAnsi="Arial" w:cs="Arial"/>
                <w:b/>
                <w:bCs/>
                <w:color w:val="FFFFFF"/>
                <w:sz w:val="19"/>
                <w:szCs w:val="19"/>
              </w:rPr>
              <w:t>Total Customers</w:t>
            </w:r>
          </w:p>
        </w:tc>
        <w:tc>
          <w:tcPr>
            <w:tcW w:w="20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26AA2E3" w14:textId="77777777" w:rsidR="006D7F91" w:rsidRDefault="0040114C">
            <w:pPr>
              <w:jc w:val="center"/>
            </w:pPr>
            <w:r>
              <w:rPr>
                <w:rFonts w:ascii="Arial" w:eastAsia="Arial" w:hAnsi="Arial" w:cs="Arial"/>
                <w:b/>
                <w:bCs/>
                <w:color w:val="FFFFFF"/>
                <w:sz w:val="19"/>
                <w:szCs w:val="19"/>
              </w:rPr>
              <w:t>Subscription Rate</w:t>
            </w:r>
          </w:p>
        </w:tc>
      </w:tr>
      <w:tr w:rsidR="006D7F91" w14:paraId="3312259F"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2D3B3BF3" w14:textId="77777777" w:rsidR="006D7F91" w:rsidRDefault="0040114C">
            <w:pPr>
              <w:jc w:val="center"/>
            </w:pPr>
            <w:r>
              <w:rPr>
                <w:b/>
                <w:bCs/>
                <w:color w:val="1B3A6B"/>
                <w:sz w:val="19"/>
                <w:szCs w:val="19"/>
              </w:rPr>
              <w:t>Primary</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477A3C1" w14:textId="77777777" w:rsidR="006D7F91" w:rsidRDefault="0040114C">
            <w:r>
              <w:rPr>
                <w:color w:val="222222"/>
                <w:sz w:val="19"/>
                <w:szCs w:val="19"/>
              </w:rPr>
              <w:t>2,602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CD21216" w14:textId="77777777" w:rsidR="006D7F91" w:rsidRDefault="0040114C">
            <w:r>
              <w:rPr>
                <w:color w:val="222222"/>
                <w:sz w:val="19"/>
                <w:szCs w:val="19"/>
              </w:rPr>
              <w:t>1,692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20C89D7" w14:textId="77777777" w:rsidR="006D7F91" w:rsidRDefault="0040114C">
            <w:r>
              <w:rPr>
                <w:color w:val="222222"/>
                <w:sz w:val="19"/>
                <w:szCs w:val="19"/>
              </w:rPr>
              <w:t>4,294</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610F19E" w14:textId="77777777" w:rsidR="006D7F91" w:rsidRDefault="0040114C">
            <w:pPr>
              <w:jc w:val="center"/>
            </w:pPr>
            <w:r>
              <w:rPr>
                <w:color w:val="222222"/>
                <w:sz w:val="19"/>
                <w:szCs w:val="19"/>
              </w:rPr>
              <w:t>39.4%</w:t>
            </w:r>
          </w:p>
        </w:tc>
      </w:tr>
      <w:tr w:rsidR="006D7F91" w14:paraId="06FA2E6A"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A3A1BD4" w14:textId="77777777" w:rsidR="006D7F91" w:rsidRDefault="0040114C">
            <w:pPr>
              <w:jc w:val="center"/>
            </w:pPr>
            <w:r>
              <w:rPr>
                <w:b/>
                <w:bCs/>
                <w:color w:val="1B3A6B"/>
                <w:sz w:val="19"/>
                <w:szCs w:val="19"/>
              </w:rPr>
              <w:t>Secondary</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24A7068" w14:textId="77777777" w:rsidR="006D7F91" w:rsidRDefault="0040114C">
            <w:r>
              <w:rPr>
                <w:color w:val="222222"/>
                <w:sz w:val="19"/>
                <w:szCs w:val="19"/>
              </w:rPr>
              <w:t>8,640</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CC6F7D4" w14:textId="77777777" w:rsidR="006D7F91" w:rsidRDefault="0040114C">
            <w:r>
              <w:rPr>
                <w:color w:val="222222"/>
                <w:sz w:val="19"/>
                <w:szCs w:val="19"/>
              </w:rPr>
              <w:t>6,971</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81E8D1B" w14:textId="77777777" w:rsidR="006D7F91" w:rsidRDefault="0040114C">
            <w:r>
              <w:rPr>
                <w:color w:val="222222"/>
                <w:sz w:val="19"/>
                <w:szCs w:val="19"/>
              </w:rPr>
              <w:t>15,611</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71836C6" w14:textId="77777777" w:rsidR="006D7F91" w:rsidRDefault="0040114C">
            <w:pPr>
              <w:jc w:val="center"/>
            </w:pPr>
            <w:r>
              <w:rPr>
                <w:color w:val="222222"/>
                <w:sz w:val="19"/>
                <w:szCs w:val="19"/>
              </w:rPr>
              <w:t>44.7%</w:t>
            </w:r>
          </w:p>
        </w:tc>
      </w:tr>
      <w:tr w:rsidR="006D7F91" w14:paraId="6E2F0C5C"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46D33BE0" w14:textId="77777777" w:rsidR="006D7F91" w:rsidRDefault="0040114C">
            <w:pPr>
              <w:jc w:val="center"/>
            </w:pPr>
            <w:r>
              <w:rPr>
                <w:b/>
                <w:bCs/>
                <w:color w:val="1B3A6B"/>
                <w:sz w:val="19"/>
                <w:szCs w:val="19"/>
              </w:rPr>
              <w:t>Tertiary</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0ACD006" w14:textId="77777777" w:rsidR="006D7F91" w:rsidRDefault="0040114C">
            <w:r>
              <w:rPr>
                <w:color w:val="222222"/>
                <w:sz w:val="19"/>
                <w:szCs w:val="19"/>
              </w:rPr>
              <w:t>4,920</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0B5533D" w14:textId="77777777" w:rsidR="006D7F91" w:rsidRDefault="0040114C">
            <w:r>
              <w:rPr>
                <w:color w:val="222222"/>
                <w:sz w:val="19"/>
                <w:szCs w:val="19"/>
              </w:rPr>
              <w:t>5,776</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7473BED" w14:textId="77777777" w:rsidR="006D7F91" w:rsidRDefault="0040114C">
            <w:r>
              <w:rPr>
                <w:color w:val="222222"/>
                <w:sz w:val="19"/>
                <w:szCs w:val="19"/>
              </w:rPr>
              <w:t>10,696</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2D2DB2D" w14:textId="77777777" w:rsidR="006D7F91" w:rsidRDefault="0040114C">
            <w:pPr>
              <w:jc w:val="center"/>
            </w:pPr>
            <w:r>
              <w:rPr>
                <w:b/>
                <w:bCs/>
                <w:color w:val="222222"/>
                <w:sz w:val="19"/>
                <w:szCs w:val="19"/>
              </w:rPr>
              <w:t>54.0%</w:t>
            </w:r>
          </w:p>
        </w:tc>
      </w:tr>
      <w:tr w:rsidR="006D7F91" w14:paraId="34B3424A"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DFA1C6A" w14:textId="77777777" w:rsidR="006D7F91" w:rsidRDefault="0040114C">
            <w:pPr>
              <w:jc w:val="center"/>
            </w:pPr>
            <w:r>
              <w:rPr>
                <w:b/>
                <w:bCs/>
                <w:color w:val="1B3A6B"/>
                <w:sz w:val="19"/>
                <w:szCs w:val="19"/>
              </w:rPr>
              <w:t>Unknown</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1F20C3C9" w14:textId="77777777" w:rsidR="006D7F91" w:rsidRDefault="0040114C">
            <w:r>
              <w:rPr>
                <w:color w:val="222222"/>
                <w:sz w:val="19"/>
                <w:szCs w:val="19"/>
              </w:rPr>
              <w:t>696</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4703AF1D" w14:textId="77777777" w:rsidR="006D7F91" w:rsidRDefault="0040114C">
            <w:r>
              <w:rPr>
                <w:color w:val="222222"/>
                <w:sz w:val="19"/>
                <w:szCs w:val="19"/>
              </w:rPr>
              <w:t>703</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361D51B" w14:textId="77777777" w:rsidR="006D7F91" w:rsidRDefault="0040114C">
            <w:r>
              <w:rPr>
                <w:color w:val="222222"/>
                <w:sz w:val="19"/>
                <w:szCs w:val="19"/>
              </w:rPr>
              <w:t>1,399</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B396A64" w14:textId="77777777" w:rsidR="006D7F91" w:rsidRDefault="0040114C">
            <w:pPr>
              <w:jc w:val="center"/>
            </w:pPr>
            <w:r>
              <w:rPr>
                <w:color w:val="222222"/>
                <w:sz w:val="19"/>
                <w:szCs w:val="19"/>
              </w:rPr>
              <w:t>50.3%</w:t>
            </w:r>
          </w:p>
        </w:tc>
      </w:tr>
      <w:tr w:rsidR="006D7F91" w14:paraId="37A56758" w14:textId="77777777">
        <w:tblPrEx>
          <w:tblCellMar>
            <w:top w:w="0" w:type="dxa"/>
            <w:bottom w:w="0" w:type="dxa"/>
          </w:tblCellMar>
        </w:tblPrEx>
        <w:tc>
          <w:tcPr>
            <w:tcW w:w="19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C02E10E" w14:textId="77777777" w:rsidR="006D7F91" w:rsidRDefault="0040114C">
            <w:pPr>
              <w:jc w:val="center"/>
            </w:pPr>
            <w:r>
              <w:rPr>
                <w:rFonts w:ascii="Arial" w:eastAsia="Arial" w:hAnsi="Arial" w:cs="Arial"/>
                <w:b/>
                <w:bCs/>
                <w:color w:val="FFFFFF"/>
                <w:sz w:val="19"/>
                <w:szCs w:val="19"/>
              </w:rPr>
              <w:t>Grand Total</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580BD8F" w14:textId="77777777" w:rsidR="006D7F91" w:rsidRDefault="0040114C">
            <w:pPr>
              <w:jc w:val="center"/>
            </w:pPr>
            <w:r>
              <w:rPr>
                <w:rFonts w:ascii="Arial" w:eastAsia="Arial" w:hAnsi="Arial" w:cs="Arial"/>
                <w:b/>
                <w:bCs/>
                <w:color w:val="FFFFFF"/>
                <w:sz w:val="19"/>
                <w:szCs w:val="19"/>
              </w:rPr>
              <w:t>16,858</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6F5113B" w14:textId="77777777" w:rsidR="006D7F91" w:rsidRDefault="0040114C">
            <w:pPr>
              <w:jc w:val="center"/>
            </w:pPr>
            <w:r>
              <w:rPr>
                <w:rFonts w:ascii="Arial" w:eastAsia="Arial" w:hAnsi="Arial" w:cs="Arial"/>
                <w:b/>
                <w:bCs/>
                <w:color w:val="FFFFFF"/>
                <w:sz w:val="19"/>
                <w:szCs w:val="19"/>
              </w:rPr>
              <w:t>15,142</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2A2EF0E" w14:textId="77777777" w:rsidR="006D7F91" w:rsidRDefault="0040114C">
            <w:pPr>
              <w:jc w:val="center"/>
            </w:pPr>
            <w:r>
              <w:rPr>
                <w:rFonts w:ascii="Arial" w:eastAsia="Arial" w:hAnsi="Arial" w:cs="Arial"/>
                <w:b/>
                <w:bCs/>
                <w:color w:val="FFFFFF"/>
                <w:sz w:val="19"/>
                <w:szCs w:val="19"/>
              </w:rPr>
              <w:t>32,000</w:t>
            </w:r>
          </w:p>
        </w:tc>
        <w:tc>
          <w:tcPr>
            <w:tcW w:w="20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FB9D823" w14:textId="77777777" w:rsidR="006D7F91" w:rsidRDefault="0040114C">
            <w:pPr>
              <w:jc w:val="center"/>
            </w:pPr>
            <w:r>
              <w:rPr>
                <w:rFonts w:ascii="Arial" w:eastAsia="Arial" w:hAnsi="Arial" w:cs="Arial"/>
                <w:b/>
                <w:bCs/>
                <w:color w:val="FFFFFF"/>
                <w:sz w:val="19"/>
                <w:szCs w:val="19"/>
              </w:rPr>
              <w:t>47.3%</w:t>
            </w:r>
          </w:p>
        </w:tc>
      </w:tr>
    </w:tbl>
    <w:p w14:paraId="5F7A7063" w14:textId="77777777" w:rsidR="006D7F91" w:rsidRDefault="006D7F91">
      <w:pPr>
        <w:spacing w:before="100"/>
      </w:pPr>
    </w:p>
    <w:p w14:paraId="77366280" w14:textId="77777777" w:rsidR="006D7F91" w:rsidRDefault="0040114C">
      <w:pPr>
        <w:spacing w:before="120" w:after="40"/>
      </w:pPr>
      <w:r>
        <w:rPr>
          <w:rFonts w:ascii="Arial" w:eastAsia="Arial" w:hAnsi="Arial" w:cs="Arial"/>
          <w:b/>
          <w:bCs/>
          <w:color w:val="2E5FAC"/>
          <w:sz w:val="20"/>
          <w:szCs w:val="20"/>
        </w:rPr>
        <w:t>Subscription Rate Formula:</w:t>
      </w:r>
    </w:p>
    <w:p w14:paraId="7C6DAED9"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16D9BFD5" w14:textId="77777777" w:rsidR="006D7F91" w:rsidRDefault="0040114C">
      <w:pPr>
        <w:spacing w:before="80" w:after="120" w:line="280" w:lineRule="auto"/>
        <w:jc w:val="both"/>
      </w:pPr>
      <w:r>
        <w:rPr>
          <w:i/>
          <w:iCs/>
          <w:color w:val="555555"/>
        </w:rPr>
        <w:t>Example — Tertiary segment:  5,776 ÷ 10,696 × 100 = 54.0%</w:t>
      </w:r>
    </w:p>
    <w:p w14:paraId="3AA111BD" w14:textId="77777777" w:rsidR="006D7F91" w:rsidRDefault="006D7F91">
      <w:pPr>
        <w:spacing w:before="120"/>
      </w:pPr>
    </w:p>
    <w:p w14:paraId="503264D0" w14:textId="77777777" w:rsidR="006D7F91" w:rsidRDefault="0040114C">
      <w:pPr>
        <w:pStyle w:val="Heading2"/>
      </w:pPr>
      <w:r>
        <w:t>6.2  Findings</w:t>
      </w:r>
    </w:p>
    <w:p w14:paraId="385261A5" w14:textId="77777777" w:rsidR="006D7F91" w:rsidRDefault="0040114C">
      <w:pPr>
        <w:spacing w:before="80" w:after="120" w:line="280" w:lineRule="auto"/>
        <w:jc w:val="both"/>
      </w:pPr>
      <w:r>
        <w:rPr>
          <w:color w:val="222222"/>
        </w:rPr>
        <w:t>Secondary education represents nearly half the customer base at 15,611 customers (48.8% of total), and as a result generates the highest number of subscriptions (6,971) by volume. However, this subscription count is largely a product of customer concentrat</w:t>
      </w:r>
      <w:r>
        <w:rPr>
          <w:color w:val="222222"/>
        </w:rPr>
        <w:t>ion and does not reflect a higher propensity to convert.</w:t>
      </w:r>
    </w:p>
    <w:p w14:paraId="4B78C7DD" w14:textId="77777777" w:rsidR="006D7F91" w:rsidRDefault="006D7F91">
      <w:pPr>
        <w:spacing w:before="80"/>
      </w:pPr>
    </w:p>
    <w:p w14:paraId="739849B7" w14:textId="77777777" w:rsidR="006D7F91" w:rsidRDefault="0040114C">
      <w:pPr>
        <w:spacing w:before="80" w:after="120" w:line="280" w:lineRule="auto"/>
        <w:jc w:val="both"/>
      </w:pPr>
      <w:r>
        <w:rPr>
          <w:color w:val="222222"/>
        </w:rPr>
        <w:t>When normalised by subscription rate, Tertiary-educated customers emerge as the most responsive group at 54.0%, followed by the Unknown category at 50.3%, Secondary at 44.7%, and Primary at 39.4%. T</w:t>
      </w:r>
      <w:r>
        <w:rPr>
          <w:color w:val="222222"/>
        </w:rPr>
        <w:t>he data reveals a clear positive relationship between education level and subscription rate: the higher the level of education, the greater the likelihood of subscribing to a term deposit.</w:t>
      </w:r>
    </w:p>
    <w:p w14:paraId="3450E8EB" w14:textId="77777777" w:rsidR="006D7F91" w:rsidRDefault="006D7F91">
      <w:pPr>
        <w:spacing w:before="120"/>
      </w:pPr>
    </w:p>
    <w:p w14:paraId="1F044788" w14:textId="77777777" w:rsidR="006D7F91" w:rsidRDefault="0040114C">
      <w:pPr>
        <w:pStyle w:val="Heading2"/>
      </w:pPr>
      <w:r>
        <w:lastRenderedPageBreak/>
        <w:t>6.3  Business Insight</w:t>
      </w:r>
    </w:p>
    <w:p w14:paraId="0238DCD0" w14:textId="77777777" w:rsidR="006D7F91" w:rsidRDefault="0040114C">
      <w:pPr>
        <w:spacing w:before="80" w:after="120" w:line="280" w:lineRule="auto"/>
        <w:jc w:val="both"/>
      </w:pPr>
      <w:r>
        <w:rPr>
          <w:color w:val="222222"/>
        </w:rPr>
        <w:t xml:space="preserve">Tertiary-educated customers are likely more </w:t>
      </w:r>
      <w:r>
        <w:rPr>
          <w:color w:val="222222"/>
        </w:rPr>
        <w:t xml:space="preserve">financially literate, more comfortable evaluating investment products, and more confident in their understanding of the long-term benefits of a term deposit. This group may also have a higher average income, giving them greater capacity to commit funds to </w:t>
      </w:r>
      <w:r>
        <w:rPr>
          <w:color w:val="222222"/>
        </w:rPr>
        <w:t>a fixed-term product.</w:t>
      </w:r>
    </w:p>
    <w:p w14:paraId="5A7BD813" w14:textId="77777777" w:rsidR="006D7F91" w:rsidRDefault="006D7F91">
      <w:pPr>
        <w:spacing w:before="80"/>
      </w:pPr>
    </w:p>
    <w:p w14:paraId="5C1D39CE" w14:textId="77777777" w:rsidR="006D7F91" w:rsidRDefault="0040114C">
      <w:pPr>
        <w:spacing w:before="80" w:after="120" w:line="280" w:lineRule="auto"/>
        <w:jc w:val="both"/>
      </w:pPr>
      <w:r>
        <w:rPr>
          <w:color w:val="222222"/>
        </w:rPr>
        <w:t>The Secondary education segment remains commercially significant due to its sheer volume — it represents the single largest customer pool. However, the bank should not interpret its high subscription count as evidence of strong recep</w:t>
      </w:r>
      <w:r>
        <w:rPr>
          <w:color w:val="222222"/>
        </w:rPr>
        <w:t>tiveness; the conversion rate (44.7%) is below both the Tertiary group and the dataset average (47.3%).</w:t>
      </w:r>
    </w:p>
    <w:p w14:paraId="683F69B4" w14:textId="77777777" w:rsidR="006D7F91" w:rsidRDefault="006D7F91">
      <w:pPr>
        <w:spacing w:before="120"/>
      </w:pPr>
    </w:p>
    <w:p w14:paraId="63C6FE5F" w14:textId="77777777" w:rsidR="006D7F91" w:rsidRDefault="0040114C">
      <w:pPr>
        <w:pStyle w:val="Heading2"/>
      </w:pPr>
      <w:r>
        <w:t>6.4  Recommendation</w:t>
      </w:r>
    </w:p>
    <w:p w14:paraId="64197680" w14:textId="77777777" w:rsidR="006D7F91" w:rsidRDefault="0040114C">
      <w:pPr>
        <w:spacing w:before="80" w:after="120" w:line="280" w:lineRule="auto"/>
        <w:jc w:val="both"/>
      </w:pPr>
      <w:r>
        <w:rPr>
          <w:color w:val="222222"/>
        </w:rPr>
        <w:t>Future campaigns should prioritise Tertiary-educated customers in high-value outreach, as they demonstrate both a higher conversion</w:t>
      </w:r>
      <w:r>
        <w:rPr>
          <w:color w:val="222222"/>
        </w:rPr>
        <w:t xml:space="preserve"> rate and are likely to subscribe to larger deposit amounts. For the Secondary education segment, campaigns should focus on simplifying product communication — using plain language, clear benefit statements, and accessible explanations of how term deposits</w:t>
      </w:r>
      <w:r>
        <w:rPr>
          <w:color w:val="222222"/>
        </w:rPr>
        <w:t xml:space="preserve"> work — to bridge the engagement gap and lift conversion rates within this large customer pool.</w:t>
      </w:r>
    </w:p>
    <w:p w14:paraId="3FE3ED3C" w14:textId="77777777" w:rsidR="006D7F91" w:rsidRDefault="006D7F91">
      <w:pPr>
        <w:spacing w:before="200"/>
      </w:pPr>
    </w:p>
    <w:p w14:paraId="2610DD62" w14:textId="77777777" w:rsidR="006D7F91" w:rsidRDefault="0040114C">
      <w:pPr>
        <w:pStyle w:val="Heading1"/>
      </w:pPr>
      <w:r>
        <w:t>7. Credit Default History Analysis</w:t>
      </w:r>
    </w:p>
    <w:p w14:paraId="7009B01F" w14:textId="77777777" w:rsidR="006D7F91" w:rsidRDefault="006D7F91">
      <w:pPr>
        <w:pBdr>
          <w:bottom w:val="single" w:sz="6" w:space="1" w:color="2E5FAC"/>
        </w:pBdr>
        <w:spacing w:after="160"/>
      </w:pPr>
    </w:p>
    <w:p w14:paraId="3EB685F4" w14:textId="77777777" w:rsidR="006D7F91" w:rsidRDefault="0040114C">
      <w:pPr>
        <w:spacing w:before="80" w:after="120" w:line="280" w:lineRule="auto"/>
        <w:jc w:val="both"/>
      </w:pPr>
      <w:r>
        <w:rPr>
          <w:color w:val="222222"/>
        </w:rPr>
        <w:t>The default variable captures whether a customer has a history of credit default. This section evaluates the relationship b</w:t>
      </w:r>
      <w:r>
        <w:rPr>
          <w:color w:val="222222"/>
        </w:rPr>
        <w:t>etween credit behaviour and term deposit subscription outcomes.</w:t>
      </w:r>
    </w:p>
    <w:p w14:paraId="7B3DC2AB" w14:textId="77777777" w:rsidR="006D7F91" w:rsidRDefault="006D7F91">
      <w:pPr>
        <w:spacing w:before="120"/>
      </w:pPr>
    </w:p>
    <w:p w14:paraId="0B6222F2" w14:textId="77777777" w:rsidR="006D7F91" w:rsidRDefault="0040114C">
      <w:pPr>
        <w:pStyle w:val="Heading2"/>
      </w:pPr>
      <w:r>
        <w:t>7.1  Pivot Table: Default Status vs. Subscription Outcome</w:t>
      </w:r>
    </w:p>
    <w:p w14:paraId="4EE3451A"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2200"/>
        <w:gridCol w:w="1780"/>
        <w:gridCol w:w="1780"/>
        <w:gridCol w:w="1800"/>
        <w:gridCol w:w="1800"/>
      </w:tblGrid>
      <w:tr w:rsidR="006D7F91" w14:paraId="351C71F5"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FDED035" w14:textId="77777777" w:rsidR="006D7F91" w:rsidRDefault="0040114C">
            <w:pPr>
              <w:jc w:val="center"/>
            </w:pPr>
            <w:r>
              <w:rPr>
                <w:rFonts w:ascii="Arial" w:eastAsia="Arial" w:hAnsi="Arial" w:cs="Arial"/>
                <w:b/>
                <w:bCs/>
                <w:color w:val="FFFFFF"/>
                <w:sz w:val="19"/>
                <w:szCs w:val="19"/>
              </w:rPr>
              <w:t>Default Status</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1E67253" w14:textId="77777777" w:rsidR="006D7F91" w:rsidRDefault="0040114C">
            <w:pPr>
              <w:jc w:val="center"/>
            </w:pPr>
            <w:r>
              <w:rPr>
                <w:rFonts w:ascii="Arial" w:eastAsia="Arial" w:hAnsi="Arial" w:cs="Arial"/>
                <w:b/>
                <w:bCs/>
                <w:color w:val="FFFFFF"/>
                <w:sz w:val="19"/>
                <w:szCs w:val="19"/>
              </w:rPr>
              <w:t>Did Not Subscribe</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0BC9160" w14:textId="77777777" w:rsidR="006D7F91" w:rsidRDefault="0040114C">
            <w:pPr>
              <w:jc w:val="center"/>
            </w:pPr>
            <w:r>
              <w:rPr>
                <w:rFonts w:ascii="Arial" w:eastAsia="Arial" w:hAnsi="Arial" w:cs="Arial"/>
                <w:b/>
                <w:bCs/>
                <w:color w:val="FFFFFF"/>
                <w:sz w:val="19"/>
                <w:szCs w:val="19"/>
              </w:rPr>
              <w:t>Subscribed (Yes)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D21E4B1" w14:textId="77777777" w:rsidR="006D7F91" w:rsidRDefault="0040114C">
            <w:pPr>
              <w:jc w:val="center"/>
            </w:pPr>
            <w:r>
              <w:rPr>
                <w:rFonts w:ascii="Arial" w:eastAsia="Arial" w:hAnsi="Arial" w:cs="Arial"/>
                <w:b/>
                <w:bCs/>
                <w:color w:val="FFFFFF"/>
                <w:sz w:val="19"/>
                <w:szCs w:val="19"/>
              </w:rPr>
              <w:t>Total Customers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84F4BD2" w14:textId="77777777" w:rsidR="006D7F91" w:rsidRDefault="0040114C">
            <w:pPr>
              <w:jc w:val="center"/>
            </w:pPr>
            <w:r>
              <w:rPr>
                <w:rFonts w:ascii="Arial" w:eastAsia="Arial" w:hAnsi="Arial" w:cs="Arial"/>
                <w:b/>
                <w:bCs/>
                <w:color w:val="FFFFFF"/>
                <w:sz w:val="19"/>
                <w:szCs w:val="19"/>
              </w:rPr>
              <w:t>Subscription Rate</w:t>
            </w:r>
          </w:p>
        </w:tc>
      </w:tr>
      <w:tr w:rsidR="006D7F91" w14:paraId="41F7A416"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F4CA676" w14:textId="77777777" w:rsidR="006D7F91" w:rsidRDefault="0040114C">
            <w:pPr>
              <w:jc w:val="center"/>
            </w:pPr>
            <w:r>
              <w:rPr>
                <w:b/>
                <w:bCs/>
                <w:color w:val="1B3A6B"/>
                <w:sz w:val="19"/>
                <w:szCs w:val="19"/>
              </w:rPr>
              <w:t>No Default</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A9ACA44" w14:textId="77777777" w:rsidR="006D7F91" w:rsidRDefault="0040114C">
            <w:r>
              <w:rPr>
                <w:color w:val="222222"/>
                <w:sz w:val="19"/>
                <w:szCs w:val="19"/>
              </w:rPr>
              <w:t>16,528</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F4E84E4" w14:textId="77777777" w:rsidR="006D7F91" w:rsidRDefault="0040114C">
            <w:r>
              <w:rPr>
                <w:color w:val="222222"/>
                <w:sz w:val="19"/>
                <w:szCs w:val="19"/>
              </w:rPr>
              <w:t>14,981</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24D1824" w14:textId="77777777" w:rsidR="006D7F91" w:rsidRDefault="0040114C">
            <w:r>
              <w:rPr>
                <w:color w:val="222222"/>
                <w:sz w:val="19"/>
                <w:szCs w:val="19"/>
              </w:rPr>
              <w:t>31,509</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2A3D38D" w14:textId="77777777" w:rsidR="006D7F91" w:rsidRDefault="0040114C">
            <w:pPr>
              <w:jc w:val="center"/>
            </w:pPr>
            <w:r>
              <w:rPr>
                <w:b/>
                <w:bCs/>
                <w:color w:val="222222"/>
                <w:sz w:val="19"/>
                <w:szCs w:val="19"/>
              </w:rPr>
              <w:t>47.5%</w:t>
            </w:r>
          </w:p>
        </w:tc>
      </w:tr>
      <w:tr w:rsidR="006D7F91" w14:paraId="10D167C3"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45EC4FF" w14:textId="77777777" w:rsidR="006D7F91" w:rsidRDefault="0040114C">
            <w:pPr>
              <w:jc w:val="center"/>
            </w:pPr>
            <w:r>
              <w:rPr>
                <w:b/>
                <w:bCs/>
                <w:color w:val="1B3A6B"/>
                <w:sz w:val="19"/>
                <w:szCs w:val="19"/>
              </w:rPr>
              <w:t>Default History</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2B83EC8" w14:textId="77777777" w:rsidR="006D7F91" w:rsidRDefault="0040114C">
            <w:r>
              <w:rPr>
                <w:color w:val="222222"/>
                <w:sz w:val="19"/>
                <w:szCs w:val="19"/>
              </w:rPr>
              <w:t>330</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14D57D3" w14:textId="77777777" w:rsidR="006D7F91" w:rsidRDefault="0040114C">
            <w:r>
              <w:rPr>
                <w:color w:val="222222"/>
                <w:sz w:val="19"/>
                <w:szCs w:val="19"/>
              </w:rPr>
              <w:t>161</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F2EF2FA" w14:textId="77777777" w:rsidR="006D7F91" w:rsidRDefault="0040114C">
            <w:r>
              <w:rPr>
                <w:color w:val="222222"/>
                <w:sz w:val="19"/>
                <w:szCs w:val="19"/>
              </w:rPr>
              <w:t>491</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72C1294" w14:textId="77777777" w:rsidR="006D7F91" w:rsidRDefault="0040114C">
            <w:pPr>
              <w:jc w:val="center"/>
            </w:pPr>
            <w:r>
              <w:rPr>
                <w:color w:val="222222"/>
                <w:sz w:val="19"/>
                <w:szCs w:val="19"/>
              </w:rPr>
              <w:t>32.8%</w:t>
            </w:r>
          </w:p>
        </w:tc>
      </w:tr>
      <w:tr w:rsidR="006D7F91" w14:paraId="7D002237"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C865135" w14:textId="77777777" w:rsidR="006D7F91" w:rsidRDefault="0040114C">
            <w:pPr>
              <w:jc w:val="center"/>
            </w:pPr>
            <w:r>
              <w:rPr>
                <w:rFonts w:ascii="Arial" w:eastAsia="Arial" w:hAnsi="Arial" w:cs="Arial"/>
                <w:b/>
                <w:bCs/>
                <w:color w:val="FFFFFF"/>
                <w:sz w:val="19"/>
                <w:szCs w:val="19"/>
              </w:rPr>
              <w:t>Grand Total</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7E64AA3" w14:textId="77777777" w:rsidR="006D7F91" w:rsidRDefault="0040114C">
            <w:pPr>
              <w:jc w:val="center"/>
            </w:pPr>
            <w:r>
              <w:rPr>
                <w:rFonts w:ascii="Arial" w:eastAsia="Arial" w:hAnsi="Arial" w:cs="Arial"/>
                <w:b/>
                <w:bCs/>
                <w:color w:val="FFFFFF"/>
                <w:sz w:val="19"/>
                <w:szCs w:val="19"/>
              </w:rPr>
              <w:t>16,858</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8CA326C" w14:textId="77777777" w:rsidR="006D7F91" w:rsidRDefault="0040114C">
            <w:pPr>
              <w:jc w:val="center"/>
            </w:pPr>
            <w:r>
              <w:rPr>
                <w:rFonts w:ascii="Arial" w:eastAsia="Arial" w:hAnsi="Arial" w:cs="Arial"/>
                <w:b/>
                <w:bCs/>
                <w:color w:val="FFFFFF"/>
                <w:sz w:val="19"/>
                <w:szCs w:val="19"/>
              </w:rPr>
              <w:t>15,142</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FFD1F98" w14:textId="77777777" w:rsidR="006D7F91" w:rsidRDefault="0040114C">
            <w:pPr>
              <w:jc w:val="center"/>
            </w:pPr>
            <w:r>
              <w:rPr>
                <w:rFonts w:ascii="Arial" w:eastAsia="Arial" w:hAnsi="Arial" w:cs="Arial"/>
                <w:b/>
                <w:bCs/>
                <w:color w:val="FFFFFF"/>
                <w:sz w:val="19"/>
                <w:szCs w:val="19"/>
              </w:rPr>
              <w:t>32,000</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CB1D332" w14:textId="77777777" w:rsidR="006D7F91" w:rsidRDefault="0040114C">
            <w:pPr>
              <w:jc w:val="center"/>
            </w:pPr>
            <w:r>
              <w:rPr>
                <w:rFonts w:ascii="Arial" w:eastAsia="Arial" w:hAnsi="Arial" w:cs="Arial"/>
                <w:b/>
                <w:bCs/>
                <w:color w:val="FFFFFF"/>
                <w:sz w:val="19"/>
                <w:szCs w:val="19"/>
              </w:rPr>
              <w:t>47.3%</w:t>
            </w:r>
          </w:p>
        </w:tc>
      </w:tr>
    </w:tbl>
    <w:p w14:paraId="092D9E55" w14:textId="77777777" w:rsidR="006D7F91" w:rsidRDefault="006D7F91">
      <w:pPr>
        <w:spacing w:before="100"/>
      </w:pPr>
    </w:p>
    <w:p w14:paraId="361FCA38" w14:textId="77777777" w:rsidR="006D7F91" w:rsidRDefault="0040114C">
      <w:pPr>
        <w:spacing w:before="120" w:after="40"/>
      </w:pPr>
      <w:r>
        <w:rPr>
          <w:rFonts w:ascii="Arial" w:eastAsia="Arial" w:hAnsi="Arial" w:cs="Arial"/>
          <w:b/>
          <w:bCs/>
          <w:color w:val="2E5FAC"/>
          <w:sz w:val="20"/>
          <w:szCs w:val="20"/>
        </w:rPr>
        <w:t>Subscription Rate Formula:</w:t>
      </w:r>
    </w:p>
    <w:p w14:paraId="7C9D87AE"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426B0709" w14:textId="77777777" w:rsidR="006D7F91" w:rsidRDefault="0040114C">
      <w:pPr>
        <w:spacing w:before="80" w:after="120" w:line="280" w:lineRule="auto"/>
        <w:jc w:val="both"/>
      </w:pPr>
      <w:r>
        <w:rPr>
          <w:i/>
          <w:iCs/>
          <w:color w:val="555555"/>
        </w:rPr>
        <w:t>Example — No Default:  14,981 ÷ 31,509 × 100 = 47.5%</w:t>
      </w:r>
    </w:p>
    <w:p w14:paraId="1EF9C29B" w14:textId="77777777" w:rsidR="006D7F91" w:rsidRDefault="006D7F91">
      <w:pPr>
        <w:spacing w:before="120"/>
      </w:pPr>
    </w:p>
    <w:p w14:paraId="6EAB8215" w14:textId="77777777" w:rsidR="006D7F91" w:rsidRDefault="0040114C">
      <w:pPr>
        <w:pStyle w:val="Heading2"/>
      </w:pPr>
      <w:r>
        <w:t>7.2  Findings</w:t>
      </w:r>
    </w:p>
    <w:p w14:paraId="44AA4E4C" w14:textId="77777777" w:rsidR="006D7F91" w:rsidRDefault="0040114C">
      <w:pPr>
        <w:spacing w:before="80" w:after="120" w:line="280" w:lineRule="auto"/>
        <w:jc w:val="both"/>
      </w:pPr>
      <w:r>
        <w:rPr>
          <w:color w:val="222222"/>
        </w:rPr>
        <w:t xml:space="preserve">The overwhelming majority of the bank’s customer base — 31,509 customers, or 98.5% of the total dataset — have no prior history of credit default. The remaining 491 customers (1.5%) carry a default record. Customers without a default </w:t>
      </w:r>
      <w:r>
        <w:rPr>
          <w:color w:val="222222"/>
        </w:rPr>
        <w:lastRenderedPageBreak/>
        <w:t>history achieved a sub</w:t>
      </w:r>
      <w:r>
        <w:rPr>
          <w:color w:val="222222"/>
        </w:rPr>
        <w:t>scription rate of 47.5%, compared to 32.8% among those with a default record — a gap of 14.7 percentage points.</w:t>
      </w:r>
    </w:p>
    <w:p w14:paraId="548A9E63" w14:textId="77777777" w:rsidR="006D7F91" w:rsidRDefault="006D7F91">
      <w:pPr>
        <w:spacing w:before="120"/>
      </w:pPr>
    </w:p>
    <w:p w14:paraId="64EB2191" w14:textId="77777777" w:rsidR="006D7F91" w:rsidRDefault="0040114C">
      <w:pPr>
        <w:pStyle w:val="Heading2"/>
      </w:pPr>
      <w:r>
        <w:t>7.3  Business Insight</w:t>
      </w:r>
    </w:p>
    <w:p w14:paraId="2B739D35" w14:textId="77777777" w:rsidR="006D7F91" w:rsidRDefault="0040114C">
      <w:pPr>
        <w:spacing w:before="80" w:after="120" w:line="280" w:lineRule="auto"/>
        <w:jc w:val="both"/>
      </w:pPr>
      <w:r>
        <w:rPr>
          <w:color w:val="222222"/>
        </w:rPr>
        <w:t>The strong dominance of non-defaulting customers in the dataset reflects a customer base that is largely creditworthy and</w:t>
      </w:r>
      <w:r>
        <w:rPr>
          <w:color w:val="222222"/>
        </w:rPr>
        <w:t xml:space="preserve"> financially stable — qualities that are positively associated with the capacity and willingness to commit funds to a term deposit. Customers with a default history may face greater financial constraint or uncertainty, which could reduce their ability or c</w:t>
      </w:r>
      <w:r>
        <w:rPr>
          <w:color w:val="222222"/>
        </w:rPr>
        <w:t>onfidence to lock money into a fixed-term product.</w:t>
      </w:r>
    </w:p>
    <w:p w14:paraId="0D62B274" w14:textId="77777777" w:rsidR="006D7F91" w:rsidRDefault="006D7F91">
      <w:pPr>
        <w:spacing w:before="80"/>
      </w:pPr>
    </w:p>
    <w:p w14:paraId="1E64C876" w14:textId="77777777" w:rsidR="006D7F91" w:rsidRDefault="0040114C">
      <w:pPr>
        <w:spacing w:before="80" w:after="120" w:line="280" w:lineRule="auto"/>
        <w:jc w:val="both"/>
      </w:pPr>
      <w:r>
        <w:rPr>
          <w:color w:val="222222"/>
        </w:rPr>
        <w:t>The 14.7 percentage point gap in subscription rates between the two groups is meaningful, though the very small size of the default segment (491 customers) means results should be interpreted with some ca</w:t>
      </w:r>
      <w:r>
        <w:rPr>
          <w:color w:val="222222"/>
        </w:rPr>
        <w:t>ution in isolation.</w:t>
      </w:r>
    </w:p>
    <w:p w14:paraId="1B6B12D0" w14:textId="77777777" w:rsidR="006D7F91" w:rsidRDefault="006D7F91">
      <w:pPr>
        <w:spacing w:before="120"/>
      </w:pPr>
    </w:p>
    <w:p w14:paraId="75BD7506" w14:textId="77777777" w:rsidR="006D7F91" w:rsidRDefault="0040114C">
      <w:pPr>
        <w:pStyle w:val="Heading2"/>
      </w:pPr>
      <w:r>
        <w:t>7.4  Recommendation</w:t>
      </w:r>
    </w:p>
    <w:p w14:paraId="003F619E" w14:textId="77777777" w:rsidR="006D7F91" w:rsidRDefault="0040114C">
      <w:pPr>
        <w:spacing w:before="80" w:after="120" w:line="280" w:lineRule="auto"/>
        <w:jc w:val="both"/>
      </w:pPr>
      <w:r>
        <w:rPr>
          <w:color w:val="222222"/>
        </w:rPr>
        <w:t>Future campaigns should prioritise customers with no history of credit default, as this group demonstrates both higher financial stability and a significantly greater likelihood of term deposit conversion. For custo</w:t>
      </w:r>
      <w:r>
        <w:rPr>
          <w:color w:val="222222"/>
        </w:rPr>
        <w:t>mers with a default history, the bank may consider alternative product offerings or financial guidance programmes designed to rebuild savings habits before positioning them for fixed-term deposit products.</w:t>
      </w:r>
    </w:p>
    <w:p w14:paraId="1A909662" w14:textId="77777777" w:rsidR="006D7F91" w:rsidRDefault="006D7F91">
      <w:pPr>
        <w:spacing w:before="200"/>
      </w:pPr>
    </w:p>
    <w:p w14:paraId="37E5F8FB" w14:textId="77777777" w:rsidR="006D7F91" w:rsidRDefault="0040114C">
      <w:pPr>
        <w:pStyle w:val="Heading1"/>
      </w:pPr>
      <w:r>
        <w:t>8. Housing Loan Analysis</w:t>
      </w:r>
    </w:p>
    <w:p w14:paraId="0C8D930E" w14:textId="77777777" w:rsidR="006D7F91" w:rsidRDefault="006D7F91">
      <w:pPr>
        <w:pBdr>
          <w:bottom w:val="single" w:sz="6" w:space="1" w:color="2E5FAC"/>
        </w:pBdr>
        <w:spacing w:after="160"/>
      </w:pPr>
    </w:p>
    <w:p w14:paraId="2E4F2BEC" w14:textId="77777777" w:rsidR="006D7F91" w:rsidRDefault="0040114C">
      <w:pPr>
        <w:spacing w:before="80" w:after="120" w:line="280" w:lineRule="auto"/>
        <w:jc w:val="both"/>
      </w:pPr>
      <w:r>
        <w:rPr>
          <w:color w:val="222222"/>
        </w:rPr>
        <w:t>This section analyses whether a customer’s housing loan status — indicating whether they are currently servicing a home loan — influences their propensity to subscribe to a term deposit.</w:t>
      </w:r>
    </w:p>
    <w:p w14:paraId="2E54BA2D" w14:textId="77777777" w:rsidR="006D7F91" w:rsidRDefault="006D7F91">
      <w:pPr>
        <w:spacing w:before="120"/>
      </w:pPr>
    </w:p>
    <w:p w14:paraId="03772818" w14:textId="77777777" w:rsidR="006D7F91" w:rsidRDefault="0040114C">
      <w:pPr>
        <w:pStyle w:val="Heading2"/>
      </w:pPr>
      <w:r>
        <w:t>8.1  Pivot Table: Housing Loan Status vs. Subscription Outcome</w:t>
      </w:r>
    </w:p>
    <w:p w14:paraId="0D49C8BC"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2200"/>
        <w:gridCol w:w="1780"/>
        <w:gridCol w:w="1780"/>
        <w:gridCol w:w="1800"/>
        <w:gridCol w:w="1800"/>
      </w:tblGrid>
      <w:tr w:rsidR="006D7F91" w14:paraId="7B04897E"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2A6879F" w14:textId="77777777" w:rsidR="006D7F91" w:rsidRDefault="0040114C">
            <w:pPr>
              <w:jc w:val="center"/>
            </w:pPr>
            <w:r>
              <w:rPr>
                <w:rFonts w:ascii="Arial" w:eastAsia="Arial" w:hAnsi="Arial" w:cs="Arial"/>
                <w:b/>
                <w:bCs/>
                <w:color w:val="FFFFFF"/>
                <w:sz w:val="19"/>
                <w:szCs w:val="19"/>
              </w:rPr>
              <w:t>Hous</w:t>
            </w:r>
            <w:r>
              <w:rPr>
                <w:rFonts w:ascii="Arial" w:eastAsia="Arial" w:hAnsi="Arial" w:cs="Arial"/>
                <w:b/>
                <w:bCs/>
                <w:color w:val="FFFFFF"/>
                <w:sz w:val="19"/>
                <w:szCs w:val="19"/>
              </w:rPr>
              <w:t>ing Loan</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9ADC8DD" w14:textId="77777777" w:rsidR="006D7F91" w:rsidRDefault="0040114C">
            <w:pPr>
              <w:jc w:val="center"/>
            </w:pPr>
            <w:r>
              <w:rPr>
                <w:rFonts w:ascii="Arial" w:eastAsia="Arial" w:hAnsi="Arial" w:cs="Arial"/>
                <w:b/>
                <w:bCs/>
                <w:color w:val="FFFFFF"/>
                <w:sz w:val="19"/>
                <w:szCs w:val="19"/>
              </w:rPr>
              <w:t>Did Not Subscribe</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AFF818F" w14:textId="77777777" w:rsidR="006D7F91" w:rsidRDefault="0040114C">
            <w:pPr>
              <w:jc w:val="center"/>
            </w:pPr>
            <w:r>
              <w:rPr>
                <w:rFonts w:ascii="Arial" w:eastAsia="Arial" w:hAnsi="Arial" w:cs="Arial"/>
                <w:b/>
                <w:bCs/>
                <w:color w:val="FFFFFF"/>
                <w:sz w:val="19"/>
                <w:szCs w:val="19"/>
              </w:rPr>
              <w:t>Subscribed (Yes)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719F211" w14:textId="77777777" w:rsidR="006D7F91" w:rsidRDefault="0040114C">
            <w:pPr>
              <w:jc w:val="center"/>
            </w:pPr>
            <w:r>
              <w:rPr>
                <w:rFonts w:ascii="Arial" w:eastAsia="Arial" w:hAnsi="Arial" w:cs="Arial"/>
                <w:b/>
                <w:bCs/>
                <w:color w:val="FFFFFF"/>
                <w:sz w:val="19"/>
                <w:szCs w:val="19"/>
              </w:rPr>
              <w:t>Total Customers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968229D" w14:textId="77777777" w:rsidR="006D7F91" w:rsidRDefault="0040114C">
            <w:pPr>
              <w:jc w:val="center"/>
            </w:pPr>
            <w:r>
              <w:rPr>
                <w:rFonts w:ascii="Arial" w:eastAsia="Arial" w:hAnsi="Arial" w:cs="Arial"/>
                <w:b/>
                <w:bCs/>
                <w:color w:val="FFFFFF"/>
                <w:sz w:val="19"/>
                <w:szCs w:val="19"/>
              </w:rPr>
              <w:t>Subscription Rate</w:t>
            </w:r>
          </w:p>
        </w:tc>
      </w:tr>
      <w:tr w:rsidR="006D7F91" w14:paraId="510789A5"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81BAA45" w14:textId="77777777" w:rsidR="006D7F91" w:rsidRDefault="0040114C">
            <w:pPr>
              <w:jc w:val="center"/>
            </w:pPr>
            <w:r>
              <w:rPr>
                <w:b/>
                <w:bCs/>
                <w:color w:val="1B3A6B"/>
                <w:sz w:val="19"/>
                <w:szCs w:val="19"/>
              </w:rPr>
              <w:t>No Housing Loan</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86010E0" w14:textId="77777777" w:rsidR="006D7F91" w:rsidRDefault="0040114C">
            <w:r>
              <w:rPr>
                <w:color w:val="222222"/>
                <w:sz w:val="19"/>
                <w:szCs w:val="19"/>
              </w:rPr>
              <w:t>7,321</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8744C4B" w14:textId="77777777" w:rsidR="006D7F91" w:rsidRDefault="0040114C">
            <w:r>
              <w:rPr>
                <w:color w:val="222222"/>
                <w:sz w:val="19"/>
                <w:szCs w:val="19"/>
              </w:rPr>
              <w:t>9,648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09FE12B" w14:textId="77777777" w:rsidR="006D7F91" w:rsidRDefault="0040114C">
            <w:r>
              <w:rPr>
                <w:color w:val="222222"/>
                <w:sz w:val="19"/>
                <w:szCs w:val="19"/>
              </w:rPr>
              <w:t>16,969</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08DF548" w14:textId="77777777" w:rsidR="006D7F91" w:rsidRDefault="0040114C">
            <w:pPr>
              <w:jc w:val="center"/>
            </w:pPr>
            <w:r>
              <w:rPr>
                <w:b/>
                <w:bCs/>
                <w:color w:val="222222"/>
                <w:sz w:val="19"/>
                <w:szCs w:val="19"/>
              </w:rPr>
              <w:t>56.9%</w:t>
            </w:r>
          </w:p>
        </w:tc>
      </w:tr>
      <w:tr w:rsidR="006D7F91" w14:paraId="29CCC6D0"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29386B84" w14:textId="77777777" w:rsidR="006D7F91" w:rsidRDefault="0040114C">
            <w:pPr>
              <w:jc w:val="center"/>
            </w:pPr>
            <w:r>
              <w:rPr>
                <w:b/>
                <w:bCs/>
                <w:color w:val="1B3A6B"/>
                <w:sz w:val="19"/>
                <w:szCs w:val="19"/>
              </w:rPr>
              <w:t>Has Housing Loan</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48161FE" w14:textId="77777777" w:rsidR="006D7F91" w:rsidRDefault="0040114C">
            <w:r>
              <w:rPr>
                <w:color w:val="222222"/>
                <w:sz w:val="19"/>
                <w:szCs w:val="19"/>
              </w:rPr>
              <w:t>9,537</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2995293" w14:textId="77777777" w:rsidR="006D7F91" w:rsidRDefault="0040114C">
            <w:r>
              <w:rPr>
                <w:color w:val="222222"/>
                <w:sz w:val="19"/>
                <w:szCs w:val="19"/>
              </w:rPr>
              <w:t>5,494</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6F018A45" w14:textId="77777777" w:rsidR="006D7F91" w:rsidRDefault="0040114C">
            <w:r>
              <w:rPr>
                <w:color w:val="222222"/>
                <w:sz w:val="19"/>
                <w:szCs w:val="19"/>
              </w:rPr>
              <w:t>15,031</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922741A" w14:textId="77777777" w:rsidR="006D7F91" w:rsidRDefault="0040114C">
            <w:pPr>
              <w:jc w:val="center"/>
            </w:pPr>
            <w:r>
              <w:rPr>
                <w:color w:val="222222"/>
                <w:sz w:val="19"/>
                <w:szCs w:val="19"/>
              </w:rPr>
              <w:t>36.6%</w:t>
            </w:r>
          </w:p>
        </w:tc>
      </w:tr>
      <w:tr w:rsidR="006D7F91" w14:paraId="47A04FAE"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FF3EA56" w14:textId="77777777" w:rsidR="006D7F91" w:rsidRDefault="0040114C">
            <w:pPr>
              <w:jc w:val="center"/>
            </w:pPr>
            <w:r>
              <w:rPr>
                <w:rFonts w:ascii="Arial" w:eastAsia="Arial" w:hAnsi="Arial" w:cs="Arial"/>
                <w:b/>
                <w:bCs/>
                <w:color w:val="FFFFFF"/>
                <w:sz w:val="19"/>
                <w:szCs w:val="19"/>
              </w:rPr>
              <w:t>Grand Total</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B71B7BD" w14:textId="77777777" w:rsidR="006D7F91" w:rsidRDefault="0040114C">
            <w:pPr>
              <w:jc w:val="center"/>
            </w:pPr>
            <w:r>
              <w:rPr>
                <w:rFonts w:ascii="Arial" w:eastAsia="Arial" w:hAnsi="Arial" w:cs="Arial"/>
                <w:b/>
                <w:bCs/>
                <w:color w:val="FFFFFF"/>
                <w:sz w:val="19"/>
                <w:szCs w:val="19"/>
              </w:rPr>
              <w:t>16,858</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4A2A6FA" w14:textId="77777777" w:rsidR="006D7F91" w:rsidRDefault="0040114C">
            <w:pPr>
              <w:jc w:val="center"/>
            </w:pPr>
            <w:r>
              <w:rPr>
                <w:rFonts w:ascii="Arial" w:eastAsia="Arial" w:hAnsi="Arial" w:cs="Arial"/>
                <w:b/>
                <w:bCs/>
                <w:color w:val="FFFFFF"/>
                <w:sz w:val="19"/>
                <w:szCs w:val="19"/>
              </w:rPr>
              <w:t>15,142</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EEC8C14" w14:textId="77777777" w:rsidR="006D7F91" w:rsidRDefault="0040114C">
            <w:pPr>
              <w:jc w:val="center"/>
            </w:pPr>
            <w:r>
              <w:rPr>
                <w:rFonts w:ascii="Arial" w:eastAsia="Arial" w:hAnsi="Arial" w:cs="Arial"/>
                <w:b/>
                <w:bCs/>
                <w:color w:val="FFFFFF"/>
                <w:sz w:val="19"/>
                <w:szCs w:val="19"/>
              </w:rPr>
              <w:t>32,000</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3C6AB24" w14:textId="77777777" w:rsidR="006D7F91" w:rsidRDefault="0040114C">
            <w:pPr>
              <w:jc w:val="center"/>
            </w:pPr>
            <w:r>
              <w:rPr>
                <w:rFonts w:ascii="Arial" w:eastAsia="Arial" w:hAnsi="Arial" w:cs="Arial"/>
                <w:b/>
                <w:bCs/>
                <w:color w:val="FFFFFF"/>
                <w:sz w:val="19"/>
                <w:szCs w:val="19"/>
              </w:rPr>
              <w:t>47.3%</w:t>
            </w:r>
          </w:p>
        </w:tc>
      </w:tr>
    </w:tbl>
    <w:p w14:paraId="6C1DAA9D" w14:textId="77777777" w:rsidR="006D7F91" w:rsidRDefault="006D7F91">
      <w:pPr>
        <w:spacing w:before="100"/>
      </w:pPr>
    </w:p>
    <w:p w14:paraId="49273229" w14:textId="77777777" w:rsidR="006D7F91" w:rsidRDefault="0040114C">
      <w:pPr>
        <w:spacing w:before="120" w:after="40"/>
      </w:pPr>
      <w:r>
        <w:rPr>
          <w:rFonts w:ascii="Arial" w:eastAsia="Arial" w:hAnsi="Arial" w:cs="Arial"/>
          <w:b/>
          <w:bCs/>
          <w:color w:val="2E5FAC"/>
          <w:sz w:val="20"/>
          <w:szCs w:val="20"/>
        </w:rPr>
        <w:t>Subscription Rate Formula:</w:t>
      </w:r>
    </w:p>
    <w:p w14:paraId="7FBC22BC"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6F8D9050" w14:textId="77777777" w:rsidR="006D7F91" w:rsidRDefault="0040114C">
      <w:pPr>
        <w:spacing w:before="80" w:after="120" w:line="280" w:lineRule="auto"/>
        <w:jc w:val="both"/>
      </w:pPr>
      <w:r>
        <w:rPr>
          <w:i/>
          <w:iCs/>
          <w:color w:val="555555"/>
        </w:rPr>
        <w:t>Example — No Housing Loan:  9,648 ÷ 16,969 × 100 = 56.9%</w:t>
      </w:r>
    </w:p>
    <w:p w14:paraId="24E63D62" w14:textId="77777777" w:rsidR="006D7F91" w:rsidRDefault="006D7F91">
      <w:pPr>
        <w:spacing w:before="120"/>
      </w:pPr>
    </w:p>
    <w:p w14:paraId="2FCD96DE" w14:textId="77777777" w:rsidR="006D7F91" w:rsidRDefault="0040114C">
      <w:pPr>
        <w:pStyle w:val="Heading2"/>
      </w:pPr>
      <w:r>
        <w:lastRenderedPageBreak/>
        <w:t>8.2  Findings</w:t>
      </w:r>
    </w:p>
    <w:p w14:paraId="7D219A50" w14:textId="77777777" w:rsidR="006D7F91" w:rsidRDefault="0040114C">
      <w:pPr>
        <w:spacing w:before="80" w:after="120" w:line="280" w:lineRule="auto"/>
        <w:jc w:val="both"/>
      </w:pPr>
      <w:r>
        <w:rPr>
          <w:color w:val="222222"/>
        </w:rPr>
        <w:t>Customer distribution between the two housing loan groups is relatively balanced: 16,969 customers (53.0%) hold no housing loan, while 15,031 (47.0%) are servicing one. This near-equal split is analytically valuable because it substantially reduces the imp</w:t>
      </w:r>
      <w:r>
        <w:rPr>
          <w:color w:val="222222"/>
        </w:rPr>
        <w:t>act of customer concentration on the comparison — making the subscription rate difference more reliable as a true indicator of behavioural difference.</w:t>
      </w:r>
    </w:p>
    <w:p w14:paraId="0D29DCD6" w14:textId="77777777" w:rsidR="006D7F91" w:rsidRDefault="006D7F91">
      <w:pPr>
        <w:spacing w:before="80"/>
      </w:pPr>
    </w:p>
    <w:p w14:paraId="1A09B544" w14:textId="77777777" w:rsidR="006D7F91" w:rsidRDefault="0040114C">
      <w:pPr>
        <w:spacing w:before="80" w:after="120" w:line="280" w:lineRule="auto"/>
        <w:jc w:val="both"/>
      </w:pPr>
      <w:r>
        <w:rPr>
          <w:color w:val="222222"/>
        </w:rPr>
        <w:t xml:space="preserve">Customers without housing loans achieved a subscription rate of 56.9%, compared to just 36.6% for those </w:t>
      </w:r>
      <w:r>
        <w:rPr>
          <w:color w:val="222222"/>
        </w:rPr>
        <w:t>with an active housing loan — a difference of 20.3 percentage points. This is one of the largest segmentation gaps identified in the entire dataset.</w:t>
      </w:r>
    </w:p>
    <w:p w14:paraId="017BBC09" w14:textId="77777777" w:rsidR="006D7F91" w:rsidRDefault="006D7F91">
      <w:pPr>
        <w:spacing w:before="120"/>
      </w:pPr>
    </w:p>
    <w:p w14:paraId="02E95FF1" w14:textId="77777777" w:rsidR="006D7F91" w:rsidRDefault="0040114C">
      <w:pPr>
        <w:pStyle w:val="Heading2"/>
      </w:pPr>
      <w:r>
        <w:t>8.3  Business Insight</w:t>
      </w:r>
    </w:p>
    <w:p w14:paraId="4E125CA5" w14:textId="77777777" w:rsidR="006D7F91" w:rsidRDefault="0040114C">
      <w:pPr>
        <w:spacing w:before="80" w:after="120" w:line="280" w:lineRule="auto"/>
        <w:jc w:val="both"/>
      </w:pPr>
      <w:r>
        <w:rPr>
          <w:color w:val="222222"/>
        </w:rPr>
        <w:t>This finding is among the clearest and most actionable in the analysis. Customers se</w:t>
      </w:r>
      <w:r>
        <w:rPr>
          <w:color w:val="222222"/>
        </w:rPr>
        <w:t>rvicing a housing loan are likely committing a significant portion of their disposable income to monthly repayments, leaving less financial flexibility to lock additional funds into a fixed-term deposit. In contrast, customers without this obligation appea</w:t>
      </w:r>
      <w:r>
        <w:rPr>
          <w:color w:val="222222"/>
        </w:rPr>
        <w:t>r to have greater capacity to allocate savings to a term deposit product.</w:t>
      </w:r>
    </w:p>
    <w:p w14:paraId="3178FED8" w14:textId="77777777" w:rsidR="006D7F91" w:rsidRDefault="006D7F91">
      <w:pPr>
        <w:spacing w:before="80"/>
      </w:pPr>
    </w:p>
    <w:p w14:paraId="09D567FC" w14:textId="77777777" w:rsidR="006D7F91" w:rsidRDefault="0040114C">
      <w:pPr>
        <w:spacing w:before="80" w:after="120" w:line="280" w:lineRule="auto"/>
        <w:jc w:val="both"/>
      </w:pPr>
      <w:r>
        <w:rPr>
          <w:color w:val="222222"/>
        </w:rPr>
        <w:t>Because both groups are similarly sized, this is not a case where the result is distorted by population imbalance. The 20.3 percentage point gap reflects a genuine and substantial d</w:t>
      </w:r>
      <w:r>
        <w:rPr>
          <w:color w:val="222222"/>
        </w:rPr>
        <w:t>ifference in subscription behaviour between the two segments.</w:t>
      </w:r>
    </w:p>
    <w:p w14:paraId="5B02D4E9" w14:textId="77777777" w:rsidR="006D7F91" w:rsidRDefault="006D7F91">
      <w:pPr>
        <w:spacing w:before="120"/>
      </w:pPr>
    </w:p>
    <w:p w14:paraId="16AEC87D" w14:textId="77777777" w:rsidR="006D7F91" w:rsidRDefault="0040114C">
      <w:pPr>
        <w:pStyle w:val="Heading2"/>
      </w:pPr>
      <w:r>
        <w:t>8.4  Recommendation</w:t>
      </w:r>
    </w:p>
    <w:p w14:paraId="4A4E0EB8" w14:textId="77777777" w:rsidR="006D7F91" w:rsidRDefault="0040114C">
      <w:pPr>
        <w:spacing w:before="80" w:after="120" w:line="280" w:lineRule="auto"/>
        <w:jc w:val="both"/>
      </w:pPr>
      <w:r>
        <w:rPr>
          <w:color w:val="222222"/>
        </w:rPr>
        <w:t>Housing loan status should be used as an early-stage filter in campaign list preparation. Customers without housing loans should be prioritised for term deposit outreach, as</w:t>
      </w:r>
      <w:r>
        <w:rPr>
          <w:color w:val="222222"/>
        </w:rPr>
        <w:t xml:space="preserve"> they demonstrate a materially higher likelihood of conversion. For customers with active housing loans, the bank may consider alternative savings products with greater liquidity, such as flexible savings accounts, that better match their current financial</w:t>
      </w:r>
      <w:r>
        <w:rPr>
          <w:color w:val="222222"/>
        </w:rPr>
        <w:t xml:space="preserve"> situation. Targeted messaging for this group should acknowledge their existing financial commitments and position the bank as a long-term financial partner rather than an immediate product seller.</w:t>
      </w:r>
    </w:p>
    <w:p w14:paraId="2F97823C" w14:textId="77777777" w:rsidR="006D7F91" w:rsidRDefault="006D7F91">
      <w:pPr>
        <w:spacing w:before="200"/>
      </w:pPr>
    </w:p>
    <w:p w14:paraId="626C0605" w14:textId="77777777" w:rsidR="006D7F91" w:rsidRDefault="0040114C">
      <w:pPr>
        <w:pStyle w:val="Heading1"/>
      </w:pPr>
      <w:r>
        <w:t>9. Personal Loan Analysis</w:t>
      </w:r>
    </w:p>
    <w:p w14:paraId="652FDFEE" w14:textId="77777777" w:rsidR="006D7F91" w:rsidRDefault="006D7F91">
      <w:pPr>
        <w:pBdr>
          <w:bottom w:val="single" w:sz="6" w:space="1" w:color="2E5FAC"/>
        </w:pBdr>
        <w:spacing w:after="160"/>
      </w:pPr>
    </w:p>
    <w:p w14:paraId="78AE9FCC" w14:textId="77777777" w:rsidR="006D7F91" w:rsidRDefault="0040114C">
      <w:pPr>
        <w:spacing w:before="80" w:after="120" w:line="280" w:lineRule="auto"/>
        <w:jc w:val="both"/>
      </w:pPr>
      <w:r>
        <w:rPr>
          <w:color w:val="222222"/>
        </w:rPr>
        <w:t>This section examines the rela</w:t>
      </w:r>
      <w:r>
        <w:rPr>
          <w:color w:val="222222"/>
        </w:rPr>
        <w:t>tionship between personal loan status and a customer’s likelihood of subscribing to a term deposit. The dataset distinguishes between customers who currently hold a personal loan and those who do not.</w:t>
      </w:r>
    </w:p>
    <w:p w14:paraId="5E355C5A" w14:textId="77777777" w:rsidR="006D7F91" w:rsidRDefault="006D7F91">
      <w:pPr>
        <w:spacing w:before="120"/>
      </w:pPr>
    </w:p>
    <w:p w14:paraId="4024E3A7" w14:textId="77777777" w:rsidR="006D7F91" w:rsidRDefault="0040114C">
      <w:pPr>
        <w:pStyle w:val="Heading2"/>
      </w:pPr>
      <w:r>
        <w:t>9.1  Pivot Table: Personal Loan Status vs. Subscriptio</w:t>
      </w:r>
      <w:r>
        <w:t>n Outcome</w:t>
      </w:r>
    </w:p>
    <w:p w14:paraId="623E5A47"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2200"/>
        <w:gridCol w:w="1780"/>
        <w:gridCol w:w="1780"/>
        <w:gridCol w:w="1800"/>
        <w:gridCol w:w="1800"/>
      </w:tblGrid>
      <w:tr w:rsidR="006D7F91" w14:paraId="438CF9A8"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D1A431E" w14:textId="77777777" w:rsidR="006D7F91" w:rsidRDefault="0040114C">
            <w:pPr>
              <w:jc w:val="center"/>
            </w:pPr>
            <w:r>
              <w:rPr>
                <w:rFonts w:ascii="Arial" w:eastAsia="Arial" w:hAnsi="Arial" w:cs="Arial"/>
                <w:b/>
                <w:bCs/>
                <w:color w:val="FFFFFF"/>
                <w:sz w:val="19"/>
                <w:szCs w:val="19"/>
              </w:rPr>
              <w:t>Personal Loan</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38D89E6" w14:textId="77777777" w:rsidR="006D7F91" w:rsidRDefault="0040114C">
            <w:pPr>
              <w:jc w:val="center"/>
            </w:pPr>
            <w:r>
              <w:rPr>
                <w:rFonts w:ascii="Arial" w:eastAsia="Arial" w:hAnsi="Arial" w:cs="Arial"/>
                <w:b/>
                <w:bCs/>
                <w:color w:val="FFFFFF"/>
                <w:sz w:val="19"/>
                <w:szCs w:val="19"/>
              </w:rPr>
              <w:t>Did Not Subscribe</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7F018A5" w14:textId="77777777" w:rsidR="006D7F91" w:rsidRDefault="0040114C">
            <w:pPr>
              <w:jc w:val="center"/>
            </w:pPr>
            <w:r>
              <w:rPr>
                <w:rFonts w:ascii="Arial" w:eastAsia="Arial" w:hAnsi="Arial" w:cs="Arial"/>
                <w:b/>
                <w:bCs/>
                <w:color w:val="FFFFFF"/>
                <w:sz w:val="19"/>
                <w:szCs w:val="19"/>
              </w:rPr>
              <w:t>Subscribed (Yes)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0EE2E7C" w14:textId="77777777" w:rsidR="006D7F91" w:rsidRDefault="0040114C">
            <w:pPr>
              <w:jc w:val="center"/>
            </w:pPr>
            <w:r>
              <w:rPr>
                <w:rFonts w:ascii="Arial" w:eastAsia="Arial" w:hAnsi="Arial" w:cs="Arial"/>
                <w:b/>
                <w:bCs/>
                <w:color w:val="FFFFFF"/>
                <w:sz w:val="19"/>
                <w:szCs w:val="19"/>
              </w:rPr>
              <w:t>Total Customers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C7A1BE6" w14:textId="77777777" w:rsidR="006D7F91" w:rsidRDefault="0040114C">
            <w:pPr>
              <w:jc w:val="center"/>
            </w:pPr>
            <w:r>
              <w:rPr>
                <w:rFonts w:ascii="Arial" w:eastAsia="Arial" w:hAnsi="Arial" w:cs="Arial"/>
                <w:b/>
                <w:bCs/>
                <w:color w:val="FFFFFF"/>
                <w:sz w:val="19"/>
                <w:szCs w:val="19"/>
              </w:rPr>
              <w:t>Subscription Rate</w:t>
            </w:r>
          </w:p>
        </w:tc>
      </w:tr>
      <w:tr w:rsidR="006D7F91" w14:paraId="30376E71"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252773A" w14:textId="77777777" w:rsidR="006D7F91" w:rsidRDefault="0040114C">
            <w:pPr>
              <w:jc w:val="center"/>
            </w:pPr>
            <w:r>
              <w:rPr>
                <w:b/>
                <w:bCs/>
                <w:color w:val="1B3A6B"/>
                <w:sz w:val="19"/>
                <w:szCs w:val="19"/>
              </w:rPr>
              <w:lastRenderedPageBreak/>
              <w:t>No Personal Loan</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0B4B3B5" w14:textId="77777777" w:rsidR="006D7F91" w:rsidRDefault="0040114C">
            <w:r>
              <w:rPr>
                <w:color w:val="222222"/>
                <w:sz w:val="19"/>
                <w:szCs w:val="19"/>
              </w:rPr>
              <w:t>14,052</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F5ECCBE" w14:textId="77777777" w:rsidR="006D7F91" w:rsidRDefault="0040114C">
            <w:r>
              <w:rPr>
                <w:color w:val="222222"/>
                <w:sz w:val="19"/>
                <w:szCs w:val="19"/>
              </w:rPr>
              <w:t>13,750</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2E17262" w14:textId="77777777" w:rsidR="006D7F91" w:rsidRDefault="0040114C">
            <w:r>
              <w:rPr>
                <w:color w:val="222222"/>
                <w:sz w:val="19"/>
                <w:szCs w:val="19"/>
              </w:rPr>
              <w:t>27,802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DEE0B60" w14:textId="77777777" w:rsidR="006D7F91" w:rsidRDefault="0040114C">
            <w:pPr>
              <w:jc w:val="center"/>
            </w:pPr>
            <w:r>
              <w:rPr>
                <w:b/>
                <w:bCs/>
                <w:color w:val="222222"/>
                <w:sz w:val="19"/>
                <w:szCs w:val="19"/>
              </w:rPr>
              <w:t>49.5%</w:t>
            </w:r>
          </w:p>
        </w:tc>
      </w:tr>
      <w:tr w:rsidR="006D7F91" w14:paraId="19AFB5B0"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994B599" w14:textId="77777777" w:rsidR="006D7F91" w:rsidRDefault="0040114C">
            <w:pPr>
              <w:jc w:val="center"/>
            </w:pPr>
            <w:r>
              <w:rPr>
                <w:b/>
                <w:bCs/>
                <w:color w:val="1B3A6B"/>
                <w:sz w:val="19"/>
                <w:szCs w:val="19"/>
              </w:rPr>
              <w:t>Has Personal Loan</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907928A" w14:textId="77777777" w:rsidR="006D7F91" w:rsidRDefault="0040114C">
            <w:r>
              <w:rPr>
                <w:color w:val="222222"/>
                <w:sz w:val="19"/>
                <w:szCs w:val="19"/>
              </w:rPr>
              <w:t>2,806</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28D7772" w14:textId="77777777" w:rsidR="006D7F91" w:rsidRDefault="0040114C">
            <w:r>
              <w:rPr>
                <w:color w:val="222222"/>
                <w:sz w:val="19"/>
                <w:szCs w:val="19"/>
              </w:rPr>
              <w:t>1,392</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82C3CE9" w14:textId="77777777" w:rsidR="006D7F91" w:rsidRDefault="0040114C">
            <w:r>
              <w:rPr>
                <w:color w:val="222222"/>
                <w:sz w:val="19"/>
                <w:szCs w:val="19"/>
              </w:rPr>
              <w:t>4,198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4299116" w14:textId="77777777" w:rsidR="006D7F91" w:rsidRDefault="0040114C">
            <w:pPr>
              <w:jc w:val="center"/>
            </w:pPr>
            <w:r>
              <w:rPr>
                <w:color w:val="222222"/>
                <w:sz w:val="19"/>
                <w:szCs w:val="19"/>
              </w:rPr>
              <w:t>33.2%</w:t>
            </w:r>
          </w:p>
        </w:tc>
      </w:tr>
      <w:tr w:rsidR="006D7F91" w14:paraId="477272B4"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4D9D95D" w14:textId="77777777" w:rsidR="006D7F91" w:rsidRDefault="0040114C">
            <w:pPr>
              <w:jc w:val="center"/>
            </w:pPr>
            <w:r>
              <w:rPr>
                <w:rFonts w:ascii="Arial" w:eastAsia="Arial" w:hAnsi="Arial" w:cs="Arial"/>
                <w:b/>
                <w:bCs/>
                <w:color w:val="FFFFFF"/>
                <w:sz w:val="19"/>
                <w:szCs w:val="19"/>
              </w:rPr>
              <w:t>Grand Total</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4746FA5" w14:textId="77777777" w:rsidR="006D7F91" w:rsidRDefault="0040114C">
            <w:pPr>
              <w:jc w:val="center"/>
            </w:pPr>
            <w:r>
              <w:rPr>
                <w:rFonts w:ascii="Arial" w:eastAsia="Arial" w:hAnsi="Arial" w:cs="Arial"/>
                <w:b/>
                <w:bCs/>
                <w:color w:val="FFFFFF"/>
                <w:sz w:val="19"/>
                <w:szCs w:val="19"/>
              </w:rPr>
              <w:t>16,858</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1EBE2E2" w14:textId="77777777" w:rsidR="006D7F91" w:rsidRDefault="0040114C">
            <w:pPr>
              <w:jc w:val="center"/>
            </w:pPr>
            <w:r>
              <w:rPr>
                <w:rFonts w:ascii="Arial" w:eastAsia="Arial" w:hAnsi="Arial" w:cs="Arial"/>
                <w:b/>
                <w:bCs/>
                <w:color w:val="FFFFFF"/>
                <w:sz w:val="19"/>
                <w:szCs w:val="19"/>
              </w:rPr>
              <w:t>15,142</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16BDF0F" w14:textId="77777777" w:rsidR="006D7F91" w:rsidRDefault="0040114C">
            <w:pPr>
              <w:jc w:val="center"/>
            </w:pPr>
            <w:r>
              <w:rPr>
                <w:rFonts w:ascii="Arial" w:eastAsia="Arial" w:hAnsi="Arial" w:cs="Arial"/>
                <w:b/>
                <w:bCs/>
                <w:color w:val="FFFFFF"/>
                <w:sz w:val="19"/>
                <w:szCs w:val="19"/>
              </w:rPr>
              <w:t>32,000</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258E5BE" w14:textId="77777777" w:rsidR="006D7F91" w:rsidRDefault="0040114C">
            <w:pPr>
              <w:jc w:val="center"/>
            </w:pPr>
            <w:r>
              <w:rPr>
                <w:rFonts w:ascii="Arial" w:eastAsia="Arial" w:hAnsi="Arial" w:cs="Arial"/>
                <w:b/>
                <w:bCs/>
                <w:color w:val="FFFFFF"/>
                <w:sz w:val="19"/>
                <w:szCs w:val="19"/>
              </w:rPr>
              <w:t>47.3%</w:t>
            </w:r>
          </w:p>
        </w:tc>
      </w:tr>
    </w:tbl>
    <w:p w14:paraId="0CA75014" w14:textId="77777777" w:rsidR="006D7F91" w:rsidRDefault="006D7F91">
      <w:pPr>
        <w:spacing w:before="100"/>
      </w:pPr>
    </w:p>
    <w:p w14:paraId="09B7C19F" w14:textId="77777777" w:rsidR="006D7F91" w:rsidRDefault="0040114C">
      <w:pPr>
        <w:spacing w:before="120" w:after="40"/>
      </w:pPr>
      <w:r>
        <w:rPr>
          <w:rFonts w:ascii="Arial" w:eastAsia="Arial" w:hAnsi="Arial" w:cs="Arial"/>
          <w:b/>
          <w:bCs/>
          <w:color w:val="2E5FAC"/>
          <w:sz w:val="20"/>
          <w:szCs w:val="20"/>
        </w:rPr>
        <w:t>Subscription Rate Formula:</w:t>
      </w:r>
    </w:p>
    <w:p w14:paraId="698BA6A2"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2D8485B2" w14:textId="77777777" w:rsidR="006D7F91" w:rsidRDefault="0040114C">
      <w:pPr>
        <w:spacing w:before="80" w:after="120" w:line="280" w:lineRule="auto"/>
        <w:jc w:val="both"/>
      </w:pPr>
      <w:r>
        <w:rPr>
          <w:i/>
          <w:iCs/>
          <w:color w:val="555555"/>
        </w:rPr>
        <w:t>Example — No Personal Loan:  13,750 ÷ 27,802 × 100 = 49.5%</w:t>
      </w:r>
    </w:p>
    <w:p w14:paraId="5009C645" w14:textId="77777777" w:rsidR="006D7F91" w:rsidRDefault="006D7F91">
      <w:pPr>
        <w:spacing w:before="120"/>
      </w:pPr>
    </w:p>
    <w:p w14:paraId="22081F48" w14:textId="77777777" w:rsidR="006D7F91" w:rsidRDefault="0040114C">
      <w:pPr>
        <w:pStyle w:val="Heading2"/>
      </w:pPr>
      <w:r>
        <w:t>9.2  Findings</w:t>
      </w:r>
    </w:p>
    <w:p w14:paraId="2CA4DB4F" w14:textId="77777777" w:rsidR="006D7F91" w:rsidRDefault="0040114C">
      <w:pPr>
        <w:spacing w:before="80" w:after="120" w:line="280" w:lineRule="auto"/>
        <w:jc w:val="both"/>
      </w:pPr>
      <w:r>
        <w:rPr>
          <w:color w:val="222222"/>
        </w:rPr>
        <w:t xml:space="preserve">The customer base is heavily concentrated among those without a personal loan (27,802 customers; 86.9%), while only 4,198 customers (13.1%) carry an active personal loan. Customers without a personal loan achieved a subscription rate of 49.5%, compared to </w:t>
      </w:r>
      <w:r>
        <w:rPr>
          <w:color w:val="222222"/>
        </w:rPr>
        <w:t>33.2% for those with an active personal loan — a gap of 16.3 percentage points.</w:t>
      </w:r>
    </w:p>
    <w:p w14:paraId="4B7E2A7C" w14:textId="77777777" w:rsidR="006D7F91" w:rsidRDefault="006D7F91">
      <w:pPr>
        <w:spacing w:before="80"/>
      </w:pPr>
    </w:p>
    <w:p w14:paraId="4230A725" w14:textId="77777777" w:rsidR="006D7F91" w:rsidRDefault="0040114C">
      <w:pPr>
        <w:spacing w:before="80" w:after="120" w:line="280" w:lineRule="auto"/>
        <w:jc w:val="both"/>
      </w:pPr>
      <w:r>
        <w:rPr>
          <w:color w:val="222222"/>
        </w:rPr>
        <w:t>Cross-referencing with the housing loan analysis: the housing loan gap was 20.3 percentage points, and the personal loan gap is 16.3 percentage points. Both loan types are neg</w:t>
      </w:r>
      <w:r>
        <w:rPr>
          <w:color w:val="222222"/>
        </w:rPr>
        <w:t>atively associated with term deposit subscription, with housing loan obligations appearing to exert a slightly stronger dampening effect.</w:t>
      </w:r>
    </w:p>
    <w:p w14:paraId="5F8916F3" w14:textId="77777777" w:rsidR="006D7F91" w:rsidRDefault="006D7F91">
      <w:pPr>
        <w:spacing w:before="120"/>
      </w:pPr>
    </w:p>
    <w:p w14:paraId="29424052" w14:textId="77777777" w:rsidR="006D7F91" w:rsidRDefault="0040114C">
      <w:pPr>
        <w:pStyle w:val="Heading2"/>
      </w:pPr>
      <w:r>
        <w:t>9.3  Business Insight</w:t>
      </w:r>
    </w:p>
    <w:p w14:paraId="6DAA4DAC" w14:textId="77777777" w:rsidR="006D7F91" w:rsidRDefault="0040114C">
      <w:pPr>
        <w:spacing w:before="80" w:after="120" w:line="280" w:lineRule="auto"/>
        <w:jc w:val="both"/>
      </w:pPr>
      <w:r>
        <w:rPr>
          <w:color w:val="222222"/>
        </w:rPr>
        <w:t xml:space="preserve">Customers repaying a personal loan may have reduced disposable income and a lower appetite for </w:t>
      </w:r>
      <w:r>
        <w:rPr>
          <w:color w:val="222222"/>
        </w:rPr>
        <w:t xml:space="preserve">committing additional funds to a fixed-term product. This finding is consistent with the housing loan analysis and reinforces a broader pattern: existing debt obligations — regardless of type — are negatively associated with term deposit uptake. Customers </w:t>
      </w:r>
      <w:r>
        <w:rPr>
          <w:color w:val="222222"/>
        </w:rPr>
        <w:t>free of loan commitments appear to have both the financial flexibility and the psychological willingness to consider long-term savings products.</w:t>
      </w:r>
    </w:p>
    <w:p w14:paraId="3972AF0E" w14:textId="77777777" w:rsidR="006D7F91" w:rsidRDefault="006D7F91">
      <w:pPr>
        <w:spacing w:before="120"/>
      </w:pPr>
    </w:p>
    <w:p w14:paraId="7FB27164" w14:textId="77777777" w:rsidR="006D7F91" w:rsidRDefault="0040114C">
      <w:pPr>
        <w:pStyle w:val="Heading2"/>
      </w:pPr>
      <w:r>
        <w:t>9.4  Recommendation</w:t>
      </w:r>
    </w:p>
    <w:p w14:paraId="7BB50A34" w14:textId="77777777" w:rsidR="006D7F91" w:rsidRDefault="0040114C">
      <w:pPr>
        <w:spacing w:before="80" w:after="120" w:line="280" w:lineRule="auto"/>
        <w:jc w:val="both"/>
      </w:pPr>
      <w:r>
        <w:rPr>
          <w:color w:val="222222"/>
        </w:rPr>
        <w:t>Loan status — both personal and housing — should be incorporated into the campaign targeti</w:t>
      </w:r>
      <w:r>
        <w:rPr>
          <w:color w:val="222222"/>
        </w:rPr>
        <w:t>ng model as exclusion or deprioritisation criteria. Customers holding neither a personal nor a housing loan represent the most financially unencumbered segment and are likely to be the most receptive to term deposit marketing. The bank should also investig</w:t>
      </w:r>
      <w:r>
        <w:rPr>
          <w:color w:val="222222"/>
        </w:rPr>
        <w:t>ate whether customers holding both types of loans represent a measurably lower-performing subset that warrants a distinct outreach strategy or product alternative.</w:t>
      </w:r>
    </w:p>
    <w:p w14:paraId="6B5556E9" w14:textId="77777777" w:rsidR="006D7F91" w:rsidRDefault="006D7F91">
      <w:pPr>
        <w:spacing w:before="200"/>
      </w:pPr>
    </w:p>
    <w:p w14:paraId="43F429BF" w14:textId="77777777" w:rsidR="006D7F91" w:rsidRDefault="0040114C">
      <w:pPr>
        <w:pStyle w:val="Heading1"/>
      </w:pPr>
      <w:r>
        <w:t>10. Contact Method Analysis</w:t>
      </w:r>
    </w:p>
    <w:p w14:paraId="08F25D08" w14:textId="77777777" w:rsidR="006D7F91" w:rsidRDefault="006D7F91">
      <w:pPr>
        <w:pBdr>
          <w:bottom w:val="single" w:sz="6" w:space="1" w:color="2E5FAC"/>
        </w:pBdr>
        <w:spacing w:after="160"/>
      </w:pPr>
    </w:p>
    <w:p w14:paraId="54E7AACF" w14:textId="77777777" w:rsidR="006D7F91" w:rsidRDefault="0040114C">
      <w:pPr>
        <w:spacing w:before="80" w:after="120" w:line="280" w:lineRule="auto"/>
        <w:jc w:val="both"/>
      </w:pPr>
      <w:r>
        <w:rPr>
          <w:color w:val="222222"/>
        </w:rPr>
        <w:t>The contact method variable identifies how the bank reached ou</w:t>
      </w:r>
      <w:r>
        <w:rPr>
          <w:color w:val="222222"/>
        </w:rPr>
        <w:t>t to each customer during the campaign. Three categories are present in the dataset: Cellular, Telephone, and Unknown. This section evaluates whether the mode of contact influences the likelihood of a customer subscribing to a term deposit.</w:t>
      </w:r>
    </w:p>
    <w:p w14:paraId="5690BC29" w14:textId="77777777" w:rsidR="006D7F91" w:rsidRDefault="006D7F91">
      <w:pPr>
        <w:spacing w:before="120"/>
      </w:pPr>
    </w:p>
    <w:p w14:paraId="098F5F7E" w14:textId="77777777" w:rsidR="006D7F91" w:rsidRDefault="0040114C">
      <w:pPr>
        <w:pStyle w:val="Heading2"/>
      </w:pPr>
      <w:r>
        <w:t>10.1  Pivot Ta</w:t>
      </w:r>
      <w:r>
        <w:t>ble: Contact Method vs. Subscription Outcome</w:t>
      </w:r>
    </w:p>
    <w:p w14:paraId="5C4F1C25"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2100"/>
        <w:gridCol w:w="1760"/>
        <w:gridCol w:w="1760"/>
        <w:gridCol w:w="1860"/>
        <w:gridCol w:w="1880"/>
      </w:tblGrid>
      <w:tr w:rsidR="006D7F91" w14:paraId="0CB76E88" w14:textId="77777777">
        <w:tblPrEx>
          <w:tblCellMar>
            <w:top w:w="0" w:type="dxa"/>
            <w:bottom w:w="0" w:type="dxa"/>
          </w:tblCellMar>
        </w:tblPrEx>
        <w:tc>
          <w:tcPr>
            <w:tcW w:w="21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1F79A32" w14:textId="77777777" w:rsidR="006D7F91" w:rsidRDefault="0040114C">
            <w:pPr>
              <w:jc w:val="center"/>
            </w:pPr>
            <w:r>
              <w:rPr>
                <w:rFonts w:ascii="Arial" w:eastAsia="Arial" w:hAnsi="Arial" w:cs="Arial"/>
                <w:b/>
                <w:bCs/>
                <w:color w:val="FFFFFF"/>
                <w:sz w:val="19"/>
                <w:szCs w:val="19"/>
              </w:rPr>
              <w:t>Contact Method</w:t>
            </w:r>
          </w:p>
        </w:tc>
        <w:tc>
          <w:tcPr>
            <w:tcW w:w="17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2E3596F" w14:textId="77777777" w:rsidR="006D7F91" w:rsidRDefault="0040114C">
            <w:pPr>
              <w:jc w:val="center"/>
            </w:pPr>
            <w:r>
              <w:rPr>
                <w:rFonts w:ascii="Arial" w:eastAsia="Arial" w:hAnsi="Arial" w:cs="Arial"/>
                <w:b/>
                <w:bCs/>
                <w:color w:val="FFFFFF"/>
                <w:sz w:val="19"/>
                <w:szCs w:val="19"/>
              </w:rPr>
              <w:t>Did Not Subscribe</w:t>
            </w:r>
          </w:p>
        </w:tc>
        <w:tc>
          <w:tcPr>
            <w:tcW w:w="17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6EAFF66" w14:textId="77777777" w:rsidR="006D7F91" w:rsidRDefault="0040114C">
            <w:pPr>
              <w:jc w:val="center"/>
            </w:pPr>
            <w:r>
              <w:rPr>
                <w:rFonts w:ascii="Arial" w:eastAsia="Arial" w:hAnsi="Arial" w:cs="Arial"/>
                <w:b/>
                <w:bCs/>
                <w:color w:val="FFFFFF"/>
                <w:sz w:val="19"/>
                <w:szCs w:val="19"/>
              </w:rPr>
              <w:t>Subscribed (Yes)</w:t>
            </w:r>
          </w:p>
        </w:tc>
        <w:tc>
          <w:tcPr>
            <w:tcW w:w="18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0549A23" w14:textId="77777777" w:rsidR="006D7F91" w:rsidRDefault="0040114C">
            <w:pPr>
              <w:jc w:val="center"/>
            </w:pPr>
            <w:r>
              <w:rPr>
                <w:rFonts w:ascii="Arial" w:eastAsia="Arial" w:hAnsi="Arial" w:cs="Arial"/>
                <w:b/>
                <w:bCs/>
                <w:color w:val="FFFFFF"/>
                <w:sz w:val="19"/>
                <w:szCs w:val="19"/>
              </w:rPr>
              <w:t>Total Customers</w:t>
            </w:r>
          </w:p>
        </w:tc>
        <w:tc>
          <w:tcPr>
            <w:tcW w:w="18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8A9FF63" w14:textId="77777777" w:rsidR="006D7F91" w:rsidRDefault="0040114C">
            <w:pPr>
              <w:jc w:val="center"/>
            </w:pPr>
            <w:r>
              <w:rPr>
                <w:rFonts w:ascii="Arial" w:eastAsia="Arial" w:hAnsi="Arial" w:cs="Arial"/>
                <w:b/>
                <w:bCs/>
                <w:color w:val="FFFFFF"/>
                <w:sz w:val="19"/>
                <w:szCs w:val="19"/>
              </w:rPr>
              <w:t>Subscription Rate</w:t>
            </w:r>
          </w:p>
        </w:tc>
      </w:tr>
      <w:tr w:rsidR="006D7F91" w14:paraId="71574774" w14:textId="77777777">
        <w:tblPrEx>
          <w:tblCellMar>
            <w:top w:w="0" w:type="dxa"/>
            <w:bottom w:w="0" w:type="dxa"/>
          </w:tblCellMar>
        </w:tblPrEx>
        <w:tc>
          <w:tcPr>
            <w:tcW w:w="21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4180AA8" w14:textId="77777777" w:rsidR="006D7F91" w:rsidRDefault="0040114C">
            <w:pPr>
              <w:jc w:val="center"/>
            </w:pPr>
            <w:r>
              <w:rPr>
                <w:b/>
                <w:bCs/>
                <w:color w:val="1B3A6B"/>
                <w:sz w:val="19"/>
                <w:szCs w:val="19"/>
              </w:rPr>
              <w:t>Cellular</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95DB229" w14:textId="77777777" w:rsidR="006D7F91" w:rsidRDefault="0040114C">
            <w:r>
              <w:rPr>
                <w:color w:val="222222"/>
                <w:sz w:val="19"/>
                <w:szCs w:val="19"/>
              </w:rPr>
              <w:t>10,584</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A88B4B8" w14:textId="77777777" w:rsidR="006D7F91" w:rsidRDefault="0040114C">
            <w:r>
              <w:rPr>
                <w:color w:val="222222"/>
                <w:sz w:val="19"/>
                <w:szCs w:val="19"/>
              </w:rPr>
              <w:t>12,485</w:t>
            </w:r>
          </w:p>
        </w:tc>
        <w:tc>
          <w:tcPr>
            <w:tcW w:w="1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989F146" w14:textId="77777777" w:rsidR="006D7F91" w:rsidRDefault="0040114C">
            <w:r>
              <w:rPr>
                <w:color w:val="222222"/>
                <w:sz w:val="19"/>
                <w:szCs w:val="19"/>
              </w:rPr>
              <w:t>23,069</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BFA0323" w14:textId="77777777" w:rsidR="006D7F91" w:rsidRDefault="0040114C">
            <w:pPr>
              <w:jc w:val="center"/>
            </w:pPr>
            <w:r>
              <w:rPr>
                <w:b/>
                <w:bCs/>
                <w:color w:val="222222"/>
                <w:sz w:val="19"/>
                <w:szCs w:val="19"/>
              </w:rPr>
              <w:t>54.1%</w:t>
            </w:r>
          </w:p>
        </w:tc>
      </w:tr>
      <w:tr w:rsidR="006D7F91" w14:paraId="670BBB83" w14:textId="77777777">
        <w:tblPrEx>
          <w:tblCellMar>
            <w:top w:w="0" w:type="dxa"/>
            <w:bottom w:w="0" w:type="dxa"/>
          </w:tblCellMar>
        </w:tblPrEx>
        <w:tc>
          <w:tcPr>
            <w:tcW w:w="21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3C5D2327" w14:textId="77777777" w:rsidR="006D7F91" w:rsidRDefault="0040114C">
            <w:pPr>
              <w:jc w:val="center"/>
            </w:pPr>
            <w:r>
              <w:rPr>
                <w:b/>
                <w:bCs/>
                <w:color w:val="1B3A6B"/>
                <w:sz w:val="19"/>
                <w:szCs w:val="19"/>
              </w:rPr>
              <w:t>Telephone</w:t>
            </w:r>
          </w:p>
        </w:tc>
        <w:tc>
          <w:tcPr>
            <w:tcW w:w="17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C1A6C4D" w14:textId="77777777" w:rsidR="006D7F91" w:rsidRDefault="0040114C">
            <w:r>
              <w:rPr>
                <w:color w:val="222222"/>
                <w:sz w:val="19"/>
                <w:szCs w:val="19"/>
              </w:rPr>
              <w:t>1,106</w:t>
            </w:r>
          </w:p>
        </w:tc>
        <w:tc>
          <w:tcPr>
            <w:tcW w:w="17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CB9BDB4" w14:textId="77777777" w:rsidR="006D7F91" w:rsidRDefault="0040114C">
            <w:r>
              <w:rPr>
                <w:color w:val="222222"/>
                <w:sz w:val="19"/>
                <w:szCs w:val="19"/>
              </w:rPr>
              <w:t>1,134</w:t>
            </w:r>
          </w:p>
        </w:tc>
        <w:tc>
          <w:tcPr>
            <w:tcW w:w="18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CAFACA1" w14:textId="77777777" w:rsidR="006D7F91" w:rsidRDefault="0040114C">
            <w:r>
              <w:rPr>
                <w:color w:val="222222"/>
                <w:sz w:val="19"/>
                <w:szCs w:val="19"/>
              </w:rPr>
              <w:t>2,240</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A7EA1A2" w14:textId="77777777" w:rsidR="006D7F91" w:rsidRDefault="0040114C">
            <w:pPr>
              <w:jc w:val="center"/>
            </w:pPr>
            <w:r>
              <w:rPr>
                <w:color w:val="222222"/>
                <w:sz w:val="19"/>
                <w:szCs w:val="19"/>
              </w:rPr>
              <w:t>50.6%</w:t>
            </w:r>
          </w:p>
        </w:tc>
      </w:tr>
      <w:tr w:rsidR="006D7F91" w14:paraId="47B33EE9" w14:textId="77777777">
        <w:tblPrEx>
          <w:tblCellMar>
            <w:top w:w="0" w:type="dxa"/>
            <w:bottom w:w="0" w:type="dxa"/>
          </w:tblCellMar>
        </w:tblPrEx>
        <w:tc>
          <w:tcPr>
            <w:tcW w:w="21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48256D93" w14:textId="77777777" w:rsidR="006D7F91" w:rsidRDefault="0040114C">
            <w:pPr>
              <w:jc w:val="center"/>
            </w:pPr>
            <w:r>
              <w:rPr>
                <w:b/>
                <w:bCs/>
                <w:color w:val="1B3A6B"/>
                <w:sz w:val="19"/>
                <w:szCs w:val="19"/>
              </w:rPr>
              <w:t>Unknown</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EE98A33" w14:textId="77777777" w:rsidR="006D7F91" w:rsidRDefault="0040114C">
            <w:r>
              <w:rPr>
                <w:color w:val="222222"/>
                <w:sz w:val="19"/>
                <w:szCs w:val="19"/>
              </w:rPr>
              <w:t>5,168</w:t>
            </w:r>
          </w:p>
        </w:tc>
        <w:tc>
          <w:tcPr>
            <w:tcW w:w="17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067B2A6" w14:textId="77777777" w:rsidR="006D7F91" w:rsidRDefault="0040114C">
            <w:r>
              <w:rPr>
                <w:color w:val="222222"/>
                <w:sz w:val="19"/>
                <w:szCs w:val="19"/>
              </w:rPr>
              <w:t>1,523</w:t>
            </w:r>
          </w:p>
        </w:tc>
        <w:tc>
          <w:tcPr>
            <w:tcW w:w="18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53D6843" w14:textId="77777777" w:rsidR="006D7F91" w:rsidRDefault="0040114C">
            <w:r>
              <w:rPr>
                <w:color w:val="222222"/>
                <w:sz w:val="19"/>
                <w:szCs w:val="19"/>
              </w:rPr>
              <w:t>6,691</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FD5C9FF" w14:textId="77777777" w:rsidR="006D7F91" w:rsidRDefault="0040114C">
            <w:pPr>
              <w:jc w:val="center"/>
            </w:pPr>
            <w:r>
              <w:rPr>
                <w:color w:val="222222"/>
                <w:sz w:val="19"/>
                <w:szCs w:val="19"/>
              </w:rPr>
              <w:t>22.8%</w:t>
            </w:r>
          </w:p>
        </w:tc>
      </w:tr>
      <w:tr w:rsidR="006D7F91" w14:paraId="5C3EC077" w14:textId="77777777">
        <w:tblPrEx>
          <w:tblCellMar>
            <w:top w:w="0" w:type="dxa"/>
            <w:bottom w:w="0" w:type="dxa"/>
          </w:tblCellMar>
        </w:tblPrEx>
        <w:tc>
          <w:tcPr>
            <w:tcW w:w="21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281537A" w14:textId="77777777" w:rsidR="006D7F91" w:rsidRDefault="0040114C">
            <w:pPr>
              <w:jc w:val="center"/>
            </w:pPr>
            <w:r>
              <w:rPr>
                <w:rFonts w:ascii="Arial" w:eastAsia="Arial" w:hAnsi="Arial" w:cs="Arial"/>
                <w:b/>
                <w:bCs/>
                <w:color w:val="FFFFFF"/>
                <w:sz w:val="19"/>
                <w:szCs w:val="19"/>
              </w:rPr>
              <w:t>Grand Total</w:t>
            </w:r>
          </w:p>
        </w:tc>
        <w:tc>
          <w:tcPr>
            <w:tcW w:w="17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66C3932" w14:textId="77777777" w:rsidR="006D7F91" w:rsidRDefault="0040114C">
            <w:pPr>
              <w:jc w:val="center"/>
            </w:pPr>
            <w:r>
              <w:rPr>
                <w:rFonts w:ascii="Arial" w:eastAsia="Arial" w:hAnsi="Arial" w:cs="Arial"/>
                <w:b/>
                <w:bCs/>
                <w:color w:val="FFFFFF"/>
                <w:sz w:val="19"/>
                <w:szCs w:val="19"/>
              </w:rPr>
              <w:t>16,858</w:t>
            </w:r>
          </w:p>
        </w:tc>
        <w:tc>
          <w:tcPr>
            <w:tcW w:w="17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0DB371D" w14:textId="77777777" w:rsidR="006D7F91" w:rsidRDefault="0040114C">
            <w:pPr>
              <w:jc w:val="center"/>
            </w:pPr>
            <w:r>
              <w:rPr>
                <w:rFonts w:ascii="Arial" w:eastAsia="Arial" w:hAnsi="Arial" w:cs="Arial"/>
                <w:b/>
                <w:bCs/>
                <w:color w:val="FFFFFF"/>
                <w:sz w:val="19"/>
                <w:szCs w:val="19"/>
              </w:rPr>
              <w:t>15,142</w:t>
            </w:r>
          </w:p>
        </w:tc>
        <w:tc>
          <w:tcPr>
            <w:tcW w:w="18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4DE286D" w14:textId="77777777" w:rsidR="006D7F91" w:rsidRDefault="0040114C">
            <w:pPr>
              <w:jc w:val="center"/>
            </w:pPr>
            <w:r>
              <w:rPr>
                <w:rFonts w:ascii="Arial" w:eastAsia="Arial" w:hAnsi="Arial" w:cs="Arial"/>
                <w:b/>
                <w:bCs/>
                <w:color w:val="FFFFFF"/>
                <w:sz w:val="19"/>
                <w:szCs w:val="19"/>
              </w:rPr>
              <w:t>32,000</w:t>
            </w:r>
          </w:p>
        </w:tc>
        <w:tc>
          <w:tcPr>
            <w:tcW w:w="18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9C1D615" w14:textId="77777777" w:rsidR="006D7F91" w:rsidRDefault="0040114C">
            <w:pPr>
              <w:jc w:val="center"/>
            </w:pPr>
            <w:r>
              <w:rPr>
                <w:rFonts w:ascii="Arial" w:eastAsia="Arial" w:hAnsi="Arial" w:cs="Arial"/>
                <w:b/>
                <w:bCs/>
                <w:color w:val="FFFFFF"/>
                <w:sz w:val="19"/>
                <w:szCs w:val="19"/>
              </w:rPr>
              <w:t>47.3%</w:t>
            </w:r>
          </w:p>
        </w:tc>
      </w:tr>
    </w:tbl>
    <w:p w14:paraId="6E6A7117" w14:textId="77777777" w:rsidR="006D7F91" w:rsidRDefault="006D7F91">
      <w:pPr>
        <w:spacing w:before="100"/>
      </w:pPr>
    </w:p>
    <w:p w14:paraId="048173B9" w14:textId="77777777" w:rsidR="006D7F91" w:rsidRDefault="0040114C">
      <w:pPr>
        <w:spacing w:before="120" w:after="40"/>
      </w:pPr>
      <w:r>
        <w:rPr>
          <w:rFonts w:ascii="Arial" w:eastAsia="Arial" w:hAnsi="Arial" w:cs="Arial"/>
          <w:b/>
          <w:bCs/>
          <w:color w:val="2E5FAC"/>
          <w:sz w:val="20"/>
          <w:szCs w:val="20"/>
        </w:rPr>
        <w:t>Subscription Rate Formula:</w:t>
      </w:r>
    </w:p>
    <w:p w14:paraId="75413720"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61ECCC4C" w14:textId="77777777" w:rsidR="006D7F91" w:rsidRDefault="0040114C">
      <w:pPr>
        <w:spacing w:before="80" w:after="120" w:line="280" w:lineRule="auto"/>
        <w:jc w:val="both"/>
      </w:pPr>
      <w:r>
        <w:rPr>
          <w:i/>
          <w:iCs/>
          <w:color w:val="555555"/>
        </w:rPr>
        <w:t>Example — Cellular:  12,485 ÷ 23,069 × 100 = 54.1%</w:t>
      </w:r>
    </w:p>
    <w:p w14:paraId="54665B3F" w14:textId="77777777" w:rsidR="006D7F91" w:rsidRDefault="006D7F91">
      <w:pPr>
        <w:spacing w:before="120"/>
      </w:pPr>
    </w:p>
    <w:p w14:paraId="75C75F58" w14:textId="77777777" w:rsidR="006D7F91" w:rsidRDefault="0040114C">
      <w:pPr>
        <w:pStyle w:val="Heading2"/>
      </w:pPr>
      <w:r>
        <w:t>10.2  Findings</w:t>
      </w:r>
    </w:p>
    <w:p w14:paraId="7CA19C8A" w14:textId="77777777" w:rsidR="006D7F91" w:rsidRDefault="0040114C">
      <w:pPr>
        <w:spacing w:before="80" w:after="120" w:line="280" w:lineRule="auto"/>
        <w:jc w:val="both"/>
      </w:pPr>
      <w:r>
        <w:rPr>
          <w:color w:val="222222"/>
        </w:rPr>
        <w:t>Cellular contact accounted for 23,069 customers (72.1% of total) and generated the highest raw subscriber count at 12,485. Critically, Cellular also maintained the highest subscription rate at 54.1% — making this a case where both volume and efficiency ali</w:t>
      </w:r>
      <w:r>
        <w:rPr>
          <w:color w:val="222222"/>
        </w:rPr>
        <w:t>gn. This is distinct from many other segments analysed in this report, where high subscription counts were driven purely by customer concentration.</w:t>
      </w:r>
    </w:p>
    <w:p w14:paraId="5EFF57C9" w14:textId="77777777" w:rsidR="006D7F91" w:rsidRDefault="006D7F91">
      <w:pPr>
        <w:spacing w:before="80"/>
      </w:pPr>
    </w:p>
    <w:p w14:paraId="04D7AB64" w14:textId="77777777" w:rsidR="006D7F91" w:rsidRDefault="0040114C">
      <w:pPr>
        <w:spacing w:before="80" w:after="120" w:line="280" w:lineRule="auto"/>
        <w:jc w:val="both"/>
      </w:pPr>
      <w:r>
        <w:rPr>
          <w:color w:val="222222"/>
        </w:rPr>
        <w:t>Telephone contact achieved a 50.6% subscription rate, only marginally below Cellular, from a much smaller c</w:t>
      </w:r>
      <w:r>
        <w:rPr>
          <w:color w:val="222222"/>
        </w:rPr>
        <w:t>ustomer base (2,240 customers). The Unknown contact category, comprising 6,691 customers, returned a subscription rate of only 22.8% — significantly below the dataset average of 47.3%, indicating that this group is the least responsive segment in the conta</w:t>
      </w:r>
      <w:r>
        <w:rPr>
          <w:color w:val="222222"/>
        </w:rPr>
        <w:t>ct method analysis.</w:t>
      </w:r>
    </w:p>
    <w:p w14:paraId="60D6C7FC" w14:textId="77777777" w:rsidR="006D7F91" w:rsidRDefault="006D7F91">
      <w:pPr>
        <w:spacing w:before="120"/>
      </w:pPr>
    </w:p>
    <w:p w14:paraId="2AC2F247" w14:textId="77777777" w:rsidR="006D7F91" w:rsidRDefault="0040114C">
      <w:pPr>
        <w:pStyle w:val="Heading2"/>
      </w:pPr>
      <w:r>
        <w:t>10.3  Business Insight</w:t>
      </w:r>
    </w:p>
    <w:p w14:paraId="13D55E92" w14:textId="77777777" w:rsidR="006D7F91" w:rsidRDefault="0040114C">
      <w:pPr>
        <w:spacing w:before="80" w:after="120" w:line="280" w:lineRule="auto"/>
        <w:jc w:val="both"/>
      </w:pPr>
      <w:r>
        <w:rPr>
          <w:color w:val="222222"/>
        </w:rPr>
        <w:t>Unlike several other segments in this report where apparent performance leaders were exposed as products of customer concentration upon rate analysis, the Cellular channel demonstrates genuine superiority in both volume and efficiency. This suggests that m</w:t>
      </w:r>
      <w:r>
        <w:rPr>
          <w:color w:val="222222"/>
        </w:rPr>
        <w:t>obile telephony is not only the bank’s primary outreach channel but also its most effective one. The near-parity between Cellular and Telephone rates (54.1% vs 50.6%) indicates that direct voice contact — regardless of device type — is an effective campaig</w:t>
      </w:r>
      <w:r>
        <w:rPr>
          <w:color w:val="222222"/>
        </w:rPr>
        <w:t>n delivery mechanism.</w:t>
      </w:r>
    </w:p>
    <w:p w14:paraId="7B99B32B" w14:textId="77777777" w:rsidR="006D7F91" w:rsidRDefault="006D7F91">
      <w:pPr>
        <w:spacing w:before="80"/>
      </w:pPr>
    </w:p>
    <w:p w14:paraId="527B784C" w14:textId="77777777" w:rsidR="006D7F91" w:rsidRDefault="0040114C">
      <w:pPr>
        <w:spacing w:before="80" w:after="120" w:line="280" w:lineRule="auto"/>
        <w:jc w:val="both"/>
      </w:pPr>
      <w:r>
        <w:rPr>
          <w:color w:val="222222"/>
        </w:rPr>
        <w:t>The Unknown category’s low conversion rate (22.8%) signals a data quality issue: customers whose contact method was not recorded may have been reached through less effective or less traceable channels, or may represent incomplete cam</w:t>
      </w:r>
      <w:r>
        <w:rPr>
          <w:color w:val="222222"/>
        </w:rPr>
        <w:t>paign records.</w:t>
      </w:r>
    </w:p>
    <w:p w14:paraId="65C2E93A" w14:textId="77777777" w:rsidR="006D7F91" w:rsidRDefault="006D7F91">
      <w:pPr>
        <w:spacing w:before="120"/>
      </w:pPr>
    </w:p>
    <w:p w14:paraId="017A4C50" w14:textId="77777777" w:rsidR="006D7F91" w:rsidRDefault="0040114C">
      <w:pPr>
        <w:pStyle w:val="Heading2"/>
      </w:pPr>
      <w:r>
        <w:t>10.4  Recommendation</w:t>
      </w:r>
    </w:p>
    <w:p w14:paraId="4BCE3E4D" w14:textId="77777777" w:rsidR="006D7F91" w:rsidRDefault="0040114C">
      <w:pPr>
        <w:spacing w:before="80" w:after="120" w:line="280" w:lineRule="auto"/>
        <w:jc w:val="both"/>
      </w:pPr>
      <w:r>
        <w:rPr>
          <w:color w:val="222222"/>
        </w:rPr>
        <w:lastRenderedPageBreak/>
        <w:t>The bank should continue to prioritise Cellular as the primary customer contact channel, as it delivers both the highest volume and the highest conversion efficiency. Efforts to resolve the Unknown contact category thro</w:t>
      </w:r>
      <w:r>
        <w:rPr>
          <w:color w:val="222222"/>
        </w:rPr>
        <w:t xml:space="preserve">ugh improved data capture practices should be made a campaign management priority, as the 6,691 customers in this group represent a significant untapped pool whose true responsiveness cannot currently be measured. Establishing contact method tracking as a </w:t>
      </w:r>
      <w:r>
        <w:rPr>
          <w:color w:val="222222"/>
        </w:rPr>
        <w:t>mandatory campaign field would enable more precise targeting and performance attribution in future campaigns.</w:t>
      </w:r>
    </w:p>
    <w:p w14:paraId="4238F461" w14:textId="77777777" w:rsidR="006D7F91" w:rsidRDefault="006D7F91">
      <w:pPr>
        <w:spacing w:before="200"/>
      </w:pPr>
    </w:p>
    <w:p w14:paraId="1E03FB77" w14:textId="77777777" w:rsidR="006D7F91" w:rsidRDefault="0040114C">
      <w:pPr>
        <w:pStyle w:val="Heading1"/>
      </w:pPr>
      <w:r>
        <w:t>11. Monthly Campaign Analysis</w:t>
      </w:r>
    </w:p>
    <w:p w14:paraId="19D2CFFC" w14:textId="77777777" w:rsidR="006D7F91" w:rsidRDefault="006D7F91">
      <w:pPr>
        <w:pBdr>
          <w:bottom w:val="single" w:sz="6" w:space="1" w:color="2E5FAC"/>
        </w:pBdr>
        <w:spacing w:after="160"/>
      </w:pPr>
    </w:p>
    <w:p w14:paraId="4781C286" w14:textId="77777777" w:rsidR="006D7F91" w:rsidRDefault="0040114C">
      <w:pPr>
        <w:spacing w:before="80" w:after="120" w:line="280" w:lineRule="auto"/>
        <w:jc w:val="both"/>
      </w:pPr>
      <w:r>
        <w:rPr>
          <w:color w:val="222222"/>
        </w:rPr>
        <w:t>This section analyses campaign subscription outcomes by month to identify seasonal patterns and evaluate the effic</w:t>
      </w:r>
      <w:r>
        <w:rPr>
          <w:color w:val="222222"/>
        </w:rPr>
        <w:t>iency of campaign activities across different periods of the year. The dataset spans all twelve calendar months, with varying levels of customer outreach activity recorded across each.</w:t>
      </w:r>
    </w:p>
    <w:p w14:paraId="58106F90" w14:textId="77777777" w:rsidR="006D7F91" w:rsidRDefault="006D7F91">
      <w:pPr>
        <w:spacing w:before="80"/>
      </w:pPr>
    </w:p>
    <w:p w14:paraId="0994BBD6" w14:textId="77777777" w:rsidR="006D7F91" w:rsidRDefault="0040114C">
      <w:pPr>
        <w:spacing w:before="80" w:after="120" w:line="280" w:lineRule="auto"/>
        <w:jc w:val="both"/>
      </w:pPr>
      <w:r>
        <w:rPr>
          <w:color w:val="222222"/>
        </w:rPr>
        <w:t xml:space="preserve">Campaign activity is unevenly distributed across months: May recorded </w:t>
      </w:r>
      <w:r>
        <w:rPr>
          <w:color w:val="222222"/>
        </w:rPr>
        <w:t>the highest number of customer contacts at 8,080, while December had the smallest at just 314 — a ratio of over 25 to 1. This extreme distribution imbalance makes subscription rate analysis essential, as raw subscription counts would otherwise be dominated</w:t>
      </w:r>
      <w:r>
        <w:rPr>
          <w:color w:val="222222"/>
        </w:rPr>
        <w:t xml:space="preserve"> entirely by high-activity months.</w:t>
      </w:r>
    </w:p>
    <w:p w14:paraId="29F6B006" w14:textId="77777777" w:rsidR="006D7F91" w:rsidRDefault="006D7F91">
      <w:pPr>
        <w:spacing w:before="120"/>
      </w:pPr>
    </w:p>
    <w:p w14:paraId="77CBA141" w14:textId="77777777" w:rsidR="006D7F91" w:rsidRDefault="0040114C">
      <w:pPr>
        <w:pStyle w:val="Heading2"/>
      </w:pPr>
      <w:r>
        <w:t>11.1  Pivot Table: Month vs. Subscription Outcome</w:t>
      </w:r>
    </w:p>
    <w:p w14:paraId="59F63AF7" w14:textId="77777777" w:rsidR="006D7F91" w:rsidRDefault="006D7F91">
      <w:pPr>
        <w:spacing w:before="60"/>
      </w:pPr>
    </w:p>
    <w:tbl>
      <w:tblPr>
        <w:tblW w:w="8360" w:type="dxa"/>
        <w:tblCellMar>
          <w:left w:w="10" w:type="dxa"/>
          <w:right w:w="10" w:type="dxa"/>
        </w:tblCellMar>
        <w:tblLook w:val="0000" w:firstRow="0" w:lastRow="0" w:firstColumn="0" w:lastColumn="0" w:noHBand="0" w:noVBand="0"/>
      </w:tblPr>
      <w:tblGrid>
        <w:gridCol w:w="1560"/>
        <w:gridCol w:w="1560"/>
        <w:gridCol w:w="1560"/>
        <w:gridCol w:w="1800"/>
        <w:gridCol w:w="1880"/>
      </w:tblGrid>
      <w:tr w:rsidR="006D7F91" w14:paraId="5DCD59DF"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640F56A" w14:textId="77777777" w:rsidR="006D7F91" w:rsidRDefault="0040114C">
            <w:pPr>
              <w:jc w:val="center"/>
            </w:pPr>
            <w:r>
              <w:rPr>
                <w:rFonts w:ascii="Arial" w:eastAsia="Arial" w:hAnsi="Arial" w:cs="Arial"/>
                <w:b/>
                <w:bCs/>
                <w:color w:val="FFFFFF"/>
                <w:sz w:val="19"/>
                <w:szCs w:val="19"/>
              </w:rPr>
              <w:t>Month</w:t>
            </w:r>
          </w:p>
        </w:tc>
        <w:tc>
          <w:tcPr>
            <w:tcW w:w="15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513BBA0" w14:textId="77777777" w:rsidR="006D7F91" w:rsidRDefault="0040114C">
            <w:pPr>
              <w:jc w:val="center"/>
            </w:pPr>
            <w:r>
              <w:rPr>
                <w:rFonts w:ascii="Arial" w:eastAsia="Arial" w:hAnsi="Arial" w:cs="Arial"/>
                <w:b/>
                <w:bCs/>
                <w:color w:val="FFFFFF"/>
                <w:sz w:val="19"/>
                <w:szCs w:val="19"/>
              </w:rPr>
              <w:t>Did Not Subscribe</w:t>
            </w:r>
          </w:p>
        </w:tc>
        <w:tc>
          <w:tcPr>
            <w:tcW w:w="15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111B3FB" w14:textId="77777777" w:rsidR="006D7F91" w:rsidRDefault="0040114C">
            <w:pPr>
              <w:jc w:val="center"/>
            </w:pPr>
            <w:r>
              <w:rPr>
                <w:rFonts w:ascii="Arial" w:eastAsia="Arial" w:hAnsi="Arial" w:cs="Arial"/>
                <w:b/>
                <w:bCs/>
                <w:color w:val="FFFFFF"/>
                <w:sz w:val="19"/>
                <w:szCs w:val="19"/>
              </w:rPr>
              <w:t>Subscribed (Yes)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F326945" w14:textId="77777777" w:rsidR="006D7F91" w:rsidRDefault="0040114C">
            <w:pPr>
              <w:jc w:val="center"/>
            </w:pPr>
            <w:r>
              <w:rPr>
                <w:rFonts w:ascii="Arial" w:eastAsia="Arial" w:hAnsi="Arial" w:cs="Arial"/>
                <w:b/>
                <w:bCs/>
                <w:color w:val="FFFFFF"/>
                <w:sz w:val="19"/>
                <w:szCs w:val="19"/>
              </w:rPr>
              <w:t>Total Customers</w:t>
            </w:r>
          </w:p>
        </w:tc>
        <w:tc>
          <w:tcPr>
            <w:tcW w:w="18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BFD41AD" w14:textId="77777777" w:rsidR="006D7F91" w:rsidRDefault="0040114C">
            <w:pPr>
              <w:jc w:val="center"/>
            </w:pPr>
            <w:r>
              <w:rPr>
                <w:rFonts w:ascii="Arial" w:eastAsia="Arial" w:hAnsi="Arial" w:cs="Arial"/>
                <w:b/>
                <w:bCs/>
                <w:color w:val="FFFFFF"/>
                <w:sz w:val="19"/>
                <w:szCs w:val="19"/>
              </w:rPr>
              <w:t>Subscription Rate</w:t>
            </w:r>
          </w:p>
        </w:tc>
      </w:tr>
      <w:tr w:rsidR="006D7F91" w14:paraId="466A3C6A"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29FD998D" w14:textId="77777777" w:rsidR="006D7F91" w:rsidRDefault="0040114C">
            <w:pPr>
              <w:jc w:val="center"/>
            </w:pPr>
            <w:r>
              <w:rPr>
                <w:b/>
                <w:bCs/>
                <w:color w:val="1B3A6B"/>
                <w:sz w:val="19"/>
                <w:szCs w:val="19"/>
              </w:rPr>
              <w:t>January</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0F89263" w14:textId="77777777" w:rsidR="006D7F91" w:rsidRDefault="0040114C">
            <w:r>
              <w:rPr>
                <w:color w:val="222222"/>
                <w:sz w:val="19"/>
                <w:szCs w:val="19"/>
              </w:rPr>
              <w:t>570</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B14A379" w14:textId="77777777" w:rsidR="006D7F91" w:rsidRDefault="0040114C">
            <w:r>
              <w:rPr>
                <w:color w:val="222222"/>
                <w:sz w:val="19"/>
                <w:szCs w:val="19"/>
              </w:rPr>
              <w:t>404</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1D04C0C" w14:textId="77777777" w:rsidR="006D7F91" w:rsidRDefault="0040114C">
            <w:r>
              <w:rPr>
                <w:color w:val="222222"/>
                <w:sz w:val="19"/>
                <w:szCs w:val="19"/>
              </w:rPr>
              <w:t>974</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F024DA9" w14:textId="77777777" w:rsidR="006D7F91" w:rsidRDefault="0040114C">
            <w:pPr>
              <w:jc w:val="center"/>
            </w:pPr>
            <w:r>
              <w:rPr>
                <w:color w:val="222222"/>
                <w:sz w:val="19"/>
                <w:szCs w:val="19"/>
              </w:rPr>
              <w:t>41.5%</w:t>
            </w:r>
          </w:p>
        </w:tc>
      </w:tr>
      <w:tr w:rsidR="006D7F91" w14:paraId="176A9524"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49C7743" w14:textId="77777777" w:rsidR="006D7F91" w:rsidRDefault="0040114C">
            <w:pPr>
              <w:jc w:val="center"/>
            </w:pPr>
            <w:r>
              <w:rPr>
                <w:b/>
                <w:bCs/>
                <w:color w:val="1B3A6B"/>
                <w:sz w:val="19"/>
                <w:szCs w:val="19"/>
              </w:rPr>
              <w:t>February</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1982D7E" w14:textId="77777777" w:rsidR="006D7F91" w:rsidRDefault="0040114C">
            <w:r>
              <w:rPr>
                <w:color w:val="222222"/>
                <w:sz w:val="19"/>
                <w:szCs w:val="19"/>
              </w:rPr>
              <w:t>944</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61600D5" w14:textId="77777777" w:rsidR="006D7F91" w:rsidRDefault="0040114C">
            <w:r>
              <w:rPr>
                <w:color w:val="222222"/>
                <w:sz w:val="19"/>
                <w:szCs w:val="19"/>
              </w:rPr>
              <w:t>1,291</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52ABEDA" w14:textId="77777777" w:rsidR="006D7F91" w:rsidRDefault="0040114C">
            <w:r>
              <w:rPr>
                <w:color w:val="222222"/>
                <w:sz w:val="19"/>
                <w:szCs w:val="19"/>
              </w:rPr>
              <w:t>2,235</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3E87202" w14:textId="77777777" w:rsidR="006D7F91" w:rsidRDefault="0040114C">
            <w:pPr>
              <w:jc w:val="center"/>
            </w:pPr>
            <w:r>
              <w:rPr>
                <w:color w:val="222222"/>
                <w:sz w:val="19"/>
                <w:szCs w:val="19"/>
              </w:rPr>
              <w:t>57.8%</w:t>
            </w:r>
          </w:p>
        </w:tc>
      </w:tr>
      <w:tr w:rsidR="006D7F91" w14:paraId="0C90603D"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6EE83475" w14:textId="77777777" w:rsidR="006D7F91" w:rsidRDefault="0040114C">
            <w:pPr>
              <w:jc w:val="center"/>
            </w:pPr>
            <w:r>
              <w:rPr>
                <w:b/>
                <w:bCs/>
                <w:color w:val="1B3A6B"/>
                <w:sz w:val="19"/>
                <w:szCs w:val="19"/>
              </w:rPr>
              <w:t>March</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D31570D" w14:textId="77777777" w:rsidR="006D7F91" w:rsidRDefault="0040114C">
            <w:r>
              <w:rPr>
                <w:color w:val="222222"/>
                <w:sz w:val="19"/>
                <w:szCs w:val="19"/>
              </w:rPr>
              <w:t>83</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8E572F3" w14:textId="77777777" w:rsidR="006D7F91" w:rsidRDefault="0040114C">
            <w:r>
              <w:rPr>
                <w:color w:val="222222"/>
                <w:sz w:val="19"/>
                <w:szCs w:val="19"/>
              </w:rPr>
              <w:t>712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577BD54" w14:textId="77777777" w:rsidR="006D7F91" w:rsidRDefault="0040114C">
            <w:r>
              <w:rPr>
                <w:color w:val="222222"/>
                <w:sz w:val="19"/>
                <w:szCs w:val="19"/>
              </w:rPr>
              <w:t>795</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DA70C50" w14:textId="77777777" w:rsidR="006D7F91" w:rsidRDefault="0040114C">
            <w:pPr>
              <w:jc w:val="center"/>
            </w:pPr>
            <w:r>
              <w:rPr>
                <w:b/>
                <w:bCs/>
                <w:color w:val="222222"/>
                <w:sz w:val="19"/>
                <w:szCs w:val="19"/>
              </w:rPr>
              <w:t>89.6%</w:t>
            </w:r>
          </w:p>
        </w:tc>
      </w:tr>
      <w:tr w:rsidR="006D7F91" w14:paraId="7550CE3F"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9C8AB5A" w14:textId="77777777" w:rsidR="006D7F91" w:rsidRDefault="0040114C">
            <w:pPr>
              <w:jc w:val="center"/>
            </w:pPr>
            <w:r>
              <w:rPr>
                <w:b/>
                <w:bCs/>
                <w:color w:val="1B3A6B"/>
                <w:sz w:val="19"/>
                <w:szCs w:val="19"/>
              </w:rPr>
              <w:t>April</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42624F19" w14:textId="77777777" w:rsidR="006D7F91" w:rsidRDefault="0040114C">
            <w:r>
              <w:rPr>
                <w:color w:val="222222"/>
                <w:sz w:val="19"/>
                <w:szCs w:val="19"/>
              </w:rPr>
              <w:t>1,003</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0813CC9" w14:textId="77777777" w:rsidR="006D7F91" w:rsidRDefault="0040114C">
            <w:r>
              <w:rPr>
                <w:color w:val="222222"/>
                <w:sz w:val="19"/>
                <w:szCs w:val="19"/>
              </w:rPr>
              <w:t>1,605</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905C889" w14:textId="77777777" w:rsidR="006D7F91" w:rsidRDefault="0040114C">
            <w:r>
              <w:rPr>
                <w:color w:val="222222"/>
                <w:sz w:val="19"/>
                <w:szCs w:val="19"/>
              </w:rPr>
              <w:t>2,608</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DEAD742" w14:textId="77777777" w:rsidR="006D7F91" w:rsidRDefault="0040114C">
            <w:pPr>
              <w:jc w:val="center"/>
            </w:pPr>
            <w:r>
              <w:rPr>
                <w:color w:val="222222"/>
                <w:sz w:val="19"/>
                <w:szCs w:val="19"/>
              </w:rPr>
              <w:t>61.5%</w:t>
            </w:r>
          </w:p>
        </w:tc>
      </w:tr>
      <w:tr w:rsidR="006D7F91" w14:paraId="3DACE61E"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38054DD5" w14:textId="77777777" w:rsidR="006D7F91" w:rsidRDefault="0040114C">
            <w:pPr>
              <w:jc w:val="center"/>
            </w:pPr>
            <w:r>
              <w:rPr>
                <w:b/>
                <w:bCs/>
                <w:color w:val="1B3A6B"/>
                <w:sz w:val="19"/>
                <w:szCs w:val="19"/>
              </w:rPr>
              <w:t>May</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E87C377" w14:textId="77777777" w:rsidR="006D7F91" w:rsidRDefault="0040114C">
            <w:r>
              <w:rPr>
                <w:color w:val="222222"/>
                <w:sz w:val="19"/>
                <w:szCs w:val="19"/>
              </w:rPr>
              <w:t>5,413</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96272F6" w14:textId="77777777" w:rsidR="006D7F91" w:rsidRDefault="0040114C">
            <w:r>
              <w:rPr>
                <w:color w:val="222222"/>
                <w:sz w:val="19"/>
                <w:szCs w:val="19"/>
              </w:rPr>
              <w:t>2,667</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0E13330" w14:textId="77777777" w:rsidR="006D7F91" w:rsidRDefault="0040114C">
            <w:r>
              <w:rPr>
                <w:color w:val="222222"/>
                <w:sz w:val="19"/>
                <w:szCs w:val="19"/>
              </w:rPr>
              <w:t>8,080</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A75A0F6" w14:textId="77777777" w:rsidR="006D7F91" w:rsidRDefault="0040114C">
            <w:pPr>
              <w:jc w:val="center"/>
            </w:pPr>
            <w:r>
              <w:rPr>
                <w:color w:val="222222"/>
                <w:sz w:val="19"/>
                <w:szCs w:val="19"/>
              </w:rPr>
              <w:t>33.0%</w:t>
            </w:r>
          </w:p>
        </w:tc>
      </w:tr>
      <w:tr w:rsidR="006D7F91" w14:paraId="583F3AE6"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2D04E431" w14:textId="77777777" w:rsidR="006D7F91" w:rsidRDefault="0040114C">
            <w:pPr>
              <w:jc w:val="center"/>
            </w:pPr>
            <w:r>
              <w:rPr>
                <w:b/>
                <w:bCs/>
                <w:color w:val="1B3A6B"/>
                <w:sz w:val="19"/>
                <w:szCs w:val="19"/>
              </w:rPr>
              <w:t>June</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FB2F6BB" w14:textId="77777777" w:rsidR="006D7F91" w:rsidRDefault="0040114C">
            <w:r>
              <w:rPr>
                <w:color w:val="222222"/>
                <w:sz w:val="19"/>
                <w:szCs w:val="19"/>
              </w:rPr>
              <w:t>1,918</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FB02FFB" w14:textId="77777777" w:rsidR="006D7F91" w:rsidRDefault="0040114C">
            <w:r>
              <w:rPr>
                <w:color w:val="222222"/>
                <w:sz w:val="19"/>
                <w:szCs w:val="19"/>
              </w:rPr>
              <w:t>1,538</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52DBE66" w14:textId="77777777" w:rsidR="006D7F91" w:rsidRDefault="0040114C">
            <w:r>
              <w:rPr>
                <w:color w:val="222222"/>
                <w:sz w:val="19"/>
                <w:szCs w:val="19"/>
              </w:rPr>
              <w:t>3,456</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6EE1F9A" w14:textId="77777777" w:rsidR="006D7F91" w:rsidRDefault="0040114C">
            <w:pPr>
              <w:jc w:val="center"/>
            </w:pPr>
            <w:r>
              <w:rPr>
                <w:color w:val="222222"/>
                <w:sz w:val="19"/>
                <w:szCs w:val="19"/>
              </w:rPr>
              <w:t>44.5%</w:t>
            </w:r>
          </w:p>
        </w:tc>
      </w:tr>
      <w:tr w:rsidR="006D7F91" w14:paraId="0E0070CE"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0CC36F3C" w14:textId="77777777" w:rsidR="006D7F91" w:rsidRDefault="0040114C">
            <w:pPr>
              <w:jc w:val="center"/>
            </w:pPr>
            <w:r>
              <w:rPr>
                <w:b/>
                <w:bCs/>
                <w:color w:val="1B3A6B"/>
                <w:sz w:val="19"/>
                <w:szCs w:val="19"/>
              </w:rPr>
              <w:t>July</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08F16EE" w14:textId="77777777" w:rsidR="006D7F91" w:rsidRDefault="0040114C">
            <w:r>
              <w:rPr>
                <w:color w:val="222222"/>
                <w:sz w:val="19"/>
                <w:szCs w:val="19"/>
              </w:rPr>
              <w:t>2,645</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C6F82E6" w14:textId="77777777" w:rsidR="006D7F91" w:rsidRDefault="0040114C">
            <w:r>
              <w:rPr>
                <w:color w:val="222222"/>
                <w:sz w:val="19"/>
                <w:szCs w:val="19"/>
              </w:rPr>
              <w:t>1,813</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CFD949C" w14:textId="77777777" w:rsidR="006D7F91" w:rsidRDefault="0040114C">
            <w:r>
              <w:rPr>
                <w:color w:val="222222"/>
                <w:sz w:val="19"/>
                <w:szCs w:val="19"/>
              </w:rPr>
              <w:t>4,458</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73B0375" w14:textId="77777777" w:rsidR="006D7F91" w:rsidRDefault="0040114C">
            <w:pPr>
              <w:jc w:val="center"/>
            </w:pPr>
            <w:r>
              <w:rPr>
                <w:color w:val="222222"/>
                <w:sz w:val="19"/>
                <w:szCs w:val="19"/>
              </w:rPr>
              <w:t>40.7%</w:t>
            </w:r>
          </w:p>
        </w:tc>
      </w:tr>
      <w:tr w:rsidR="006D7F91" w14:paraId="47F0D03B"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41F44562" w14:textId="77777777" w:rsidR="006D7F91" w:rsidRDefault="0040114C">
            <w:pPr>
              <w:jc w:val="center"/>
            </w:pPr>
            <w:r>
              <w:rPr>
                <w:b/>
                <w:bCs/>
                <w:color w:val="1B3A6B"/>
                <w:sz w:val="19"/>
                <w:szCs w:val="19"/>
              </w:rPr>
              <w:t>August</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316A36E" w14:textId="77777777" w:rsidR="006D7F91" w:rsidRDefault="0040114C">
            <w:r>
              <w:rPr>
                <w:color w:val="222222"/>
                <w:sz w:val="19"/>
                <w:szCs w:val="19"/>
              </w:rPr>
              <w:t>2,396</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688A335" w14:textId="77777777" w:rsidR="006D7F91" w:rsidRDefault="0040114C">
            <w:r>
              <w:rPr>
                <w:color w:val="222222"/>
                <w:sz w:val="19"/>
                <w:szCs w:val="19"/>
              </w:rPr>
              <w:t>1,947</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62E9DF79" w14:textId="77777777" w:rsidR="006D7F91" w:rsidRDefault="0040114C">
            <w:r>
              <w:rPr>
                <w:color w:val="222222"/>
                <w:sz w:val="19"/>
                <w:szCs w:val="19"/>
              </w:rPr>
              <w:t>4,343</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12F2024" w14:textId="77777777" w:rsidR="006D7F91" w:rsidRDefault="0040114C">
            <w:pPr>
              <w:jc w:val="center"/>
            </w:pPr>
            <w:r>
              <w:rPr>
                <w:color w:val="222222"/>
                <w:sz w:val="19"/>
                <w:szCs w:val="19"/>
              </w:rPr>
              <w:t>44.8%</w:t>
            </w:r>
          </w:p>
        </w:tc>
      </w:tr>
      <w:tr w:rsidR="006D7F91" w14:paraId="42F7EF20"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C714863" w14:textId="77777777" w:rsidR="006D7F91" w:rsidRDefault="0040114C">
            <w:pPr>
              <w:jc w:val="center"/>
            </w:pPr>
            <w:r>
              <w:rPr>
                <w:b/>
                <w:bCs/>
                <w:color w:val="1B3A6B"/>
                <w:sz w:val="19"/>
                <w:szCs w:val="19"/>
              </w:rPr>
              <w:t>September</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0F2FFD1" w14:textId="77777777" w:rsidR="006D7F91" w:rsidRDefault="0040114C">
            <w:r>
              <w:rPr>
                <w:color w:val="222222"/>
                <w:sz w:val="19"/>
                <w:szCs w:val="19"/>
              </w:rPr>
              <w:t>132</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54CC686" w14:textId="77777777" w:rsidR="006D7F91" w:rsidRDefault="0040114C">
            <w:r>
              <w:rPr>
                <w:color w:val="222222"/>
                <w:sz w:val="19"/>
                <w:szCs w:val="19"/>
              </w:rPr>
              <w:t>762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D68D51B" w14:textId="77777777" w:rsidR="006D7F91" w:rsidRDefault="0040114C">
            <w:r>
              <w:rPr>
                <w:color w:val="222222"/>
                <w:sz w:val="19"/>
                <w:szCs w:val="19"/>
              </w:rPr>
              <w:t>894</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9C418CC" w14:textId="77777777" w:rsidR="006D7F91" w:rsidRDefault="0040114C">
            <w:pPr>
              <w:jc w:val="center"/>
            </w:pPr>
            <w:r>
              <w:rPr>
                <w:b/>
                <w:bCs/>
                <w:color w:val="222222"/>
                <w:sz w:val="19"/>
                <w:szCs w:val="19"/>
              </w:rPr>
              <w:t>85.2%</w:t>
            </w:r>
          </w:p>
        </w:tc>
      </w:tr>
      <w:tr w:rsidR="006D7F91" w14:paraId="1EA717D9"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3C9D6E20" w14:textId="77777777" w:rsidR="006D7F91" w:rsidRDefault="0040114C">
            <w:pPr>
              <w:jc w:val="center"/>
            </w:pPr>
            <w:r>
              <w:rPr>
                <w:b/>
                <w:bCs/>
                <w:color w:val="1B3A6B"/>
                <w:sz w:val="19"/>
                <w:szCs w:val="19"/>
              </w:rPr>
              <w:t>October</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E9690BF" w14:textId="77777777" w:rsidR="006D7F91" w:rsidRDefault="0040114C">
            <w:r>
              <w:rPr>
                <w:color w:val="222222"/>
                <w:sz w:val="19"/>
                <w:szCs w:val="19"/>
              </w:rPr>
              <w:t>220</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13BE865" w14:textId="77777777" w:rsidR="006D7F91" w:rsidRDefault="0040114C">
            <w:r>
              <w:rPr>
                <w:color w:val="222222"/>
                <w:sz w:val="19"/>
                <w:szCs w:val="19"/>
              </w:rPr>
              <w:t>939</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24F5205" w14:textId="77777777" w:rsidR="006D7F91" w:rsidRDefault="0040114C">
            <w:r>
              <w:rPr>
                <w:color w:val="222222"/>
                <w:sz w:val="19"/>
                <w:szCs w:val="19"/>
              </w:rPr>
              <w:t>1,159</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80A4FE0" w14:textId="77777777" w:rsidR="006D7F91" w:rsidRDefault="0040114C">
            <w:pPr>
              <w:jc w:val="center"/>
            </w:pPr>
            <w:r>
              <w:rPr>
                <w:color w:val="222222"/>
                <w:sz w:val="19"/>
                <w:szCs w:val="19"/>
              </w:rPr>
              <w:t>81.0%</w:t>
            </w:r>
          </w:p>
        </w:tc>
      </w:tr>
      <w:tr w:rsidR="006D7F91" w14:paraId="1B60DE7E"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0B4AA0A6" w14:textId="77777777" w:rsidR="006D7F91" w:rsidRDefault="0040114C">
            <w:pPr>
              <w:jc w:val="center"/>
            </w:pPr>
            <w:r>
              <w:rPr>
                <w:b/>
                <w:bCs/>
                <w:color w:val="1B3A6B"/>
                <w:sz w:val="19"/>
                <w:szCs w:val="19"/>
              </w:rPr>
              <w:t>November</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901B85A" w14:textId="77777777" w:rsidR="006D7F91" w:rsidRDefault="0040114C">
            <w:r>
              <w:rPr>
                <w:color w:val="222222"/>
                <w:sz w:val="19"/>
                <w:szCs w:val="19"/>
              </w:rPr>
              <w:t>1,503</w:t>
            </w:r>
          </w:p>
        </w:tc>
        <w:tc>
          <w:tcPr>
            <w:tcW w:w="15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20A2970" w14:textId="77777777" w:rsidR="006D7F91" w:rsidRDefault="0040114C">
            <w:r>
              <w:rPr>
                <w:color w:val="222222"/>
                <w:sz w:val="19"/>
                <w:szCs w:val="19"/>
              </w:rPr>
              <w:t>1,181</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AE4983C" w14:textId="77777777" w:rsidR="006D7F91" w:rsidRDefault="0040114C">
            <w:r>
              <w:rPr>
                <w:color w:val="222222"/>
                <w:sz w:val="19"/>
                <w:szCs w:val="19"/>
              </w:rPr>
              <w:t>2,684</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EB11ADF" w14:textId="77777777" w:rsidR="006D7F91" w:rsidRDefault="0040114C">
            <w:pPr>
              <w:jc w:val="center"/>
            </w:pPr>
            <w:r>
              <w:rPr>
                <w:color w:val="222222"/>
                <w:sz w:val="19"/>
                <w:szCs w:val="19"/>
              </w:rPr>
              <w:t>44.0%</w:t>
            </w:r>
          </w:p>
        </w:tc>
      </w:tr>
      <w:tr w:rsidR="006D7F91" w14:paraId="0091B5A7"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6E443674" w14:textId="77777777" w:rsidR="006D7F91" w:rsidRDefault="0040114C">
            <w:pPr>
              <w:jc w:val="center"/>
            </w:pPr>
            <w:r>
              <w:rPr>
                <w:b/>
                <w:bCs/>
                <w:color w:val="1B3A6B"/>
                <w:sz w:val="19"/>
                <w:szCs w:val="19"/>
              </w:rPr>
              <w:t>December</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49E9E033" w14:textId="77777777" w:rsidR="006D7F91" w:rsidRDefault="0040114C">
            <w:r>
              <w:rPr>
                <w:color w:val="222222"/>
                <w:sz w:val="19"/>
                <w:szCs w:val="19"/>
              </w:rPr>
              <w:t>31</w:t>
            </w:r>
          </w:p>
        </w:tc>
        <w:tc>
          <w:tcPr>
            <w:tcW w:w="156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C4AD946" w14:textId="77777777" w:rsidR="006D7F91" w:rsidRDefault="0040114C">
            <w:r>
              <w:rPr>
                <w:color w:val="222222"/>
                <w:sz w:val="19"/>
                <w:szCs w:val="19"/>
              </w:rPr>
              <w:t>283</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4E7E169D" w14:textId="77777777" w:rsidR="006D7F91" w:rsidRDefault="0040114C">
            <w:r>
              <w:rPr>
                <w:color w:val="222222"/>
                <w:sz w:val="19"/>
                <w:szCs w:val="19"/>
              </w:rPr>
              <w:t>314</w:t>
            </w:r>
          </w:p>
        </w:tc>
        <w:tc>
          <w:tcPr>
            <w:tcW w:w="18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6366A1D" w14:textId="77777777" w:rsidR="006D7F91" w:rsidRDefault="0040114C">
            <w:pPr>
              <w:jc w:val="center"/>
            </w:pPr>
            <w:r>
              <w:rPr>
                <w:b/>
                <w:bCs/>
                <w:color w:val="222222"/>
                <w:sz w:val="19"/>
                <w:szCs w:val="19"/>
              </w:rPr>
              <w:t>90.1%</w:t>
            </w:r>
          </w:p>
        </w:tc>
      </w:tr>
      <w:tr w:rsidR="006D7F91" w14:paraId="7AC4A778" w14:textId="77777777">
        <w:tblPrEx>
          <w:tblCellMar>
            <w:top w:w="0" w:type="dxa"/>
            <w:bottom w:w="0" w:type="dxa"/>
          </w:tblCellMar>
        </w:tblPrEx>
        <w:tc>
          <w:tcPr>
            <w:tcW w:w="15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0F27658" w14:textId="77777777" w:rsidR="006D7F91" w:rsidRDefault="0040114C">
            <w:pPr>
              <w:jc w:val="center"/>
            </w:pPr>
            <w:r>
              <w:rPr>
                <w:rFonts w:ascii="Arial" w:eastAsia="Arial" w:hAnsi="Arial" w:cs="Arial"/>
                <w:b/>
                <w:bCs/>
                <w:color w:val="FFFFFF"/>
                <w:sz w:val="19"/>
                <w:szCs w:val="19"/>
              </w:rPr>
              <w:t>Grand Total</w:t>
            </w:r>
          </w:p>
        </w:tc>
        <w:tc>
          <w:tcPr>
            <w:tcW w:w="15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0B31465" w14:textId="77777777" w:rsidR="006D7F91" w:rsidRDefault="0040114C">
            <w:pPr>
              <w:jc w:val="center"/>
            </w:pPr>
            <w:r>
              <w:rPr>
                <w:rFonts w:ascii="Arial" w:eastAsia="Arial" w:hAnsi="Arial" w:cs="Arial"/>
                <w:b/>
                <w:bCs/>
                <w:color w:val="FFFFFF"/>
                <w:sz w:val="19"/>
                <w:szCs w:val="19"/>
              </w:rPr>
              <w:t>16,858</w:t>
            </w:r>
          </w:p>
        </w:tc>
        <w:tc>
          <w:tcPr>
            <w:tcW w:w="156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1222077" w14:textId="77777777" w:rsidR="006D7F91" w:rsidRDefault="0040114C">
            <w:pPr>
              <w:jc w:val="center"/>
            </w:pPr>
            <w:r>
              <w:rPr>
                <w:rFonts w:ascii="Arial" w:eastAsia="Arial" w:hAnsi="Arial" w:cs="Arial"/>
                <w:b/>
                <w:bCs/>
                <w:color w:val="FFFFFF"/>
                <w:sz w:val="19"/>
                <w:szCs w:val="19"/>
              </w:rPr>
              <w:t>15,142</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5442A6D" w14:textId="77777777" w:rsidR="006D7F91" w:rsidRDefault="0040114C">
            <w:pPr>
              <w:jc w:val="center"/>
            </w:pPr>
            <w:r>
              <w:rPr>
                <w:rFonts w:ascii="Arial" w:eastAsia="Arial" w:hAnsi="Arial" w:cs="Arial"/>
                <w:b/>
                <w:bCs/>
                <w:color w:val="FFFFFF"/>
                <w:sz w:val="19"/>
                <w:szCs w:val="19"/>
              </w:rPr>
              <w:t>32,000</w:t>
            </w:r>
          </w:p>
        </w:tc>
        <w:tc>
          <w:tcPr>
            <w:tcW w:w="18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31C9675" w14:textId="77777777" w:rsidR="006D7F91" w:rsidRDefault="0040114C">
            <w:pPr>
              <w:jc w:val="center"/>
            </w:pPr>
            <w:r>
              <w:rPr>
                <w:rFonts w:ascii="Arial" w:eastAsia="Arial" w:hAnsi="Arial" w:cs="Arial"/>
                <w:b/>
                <w:bCs/>
                <w:color w:val="FFFFFF"/>
                <w:sz w:val="19"/>
                <w:szCs w:val="19"/>
              </w:rPr>
              <w:t>47.3%</w:t>
            </w:r>
          </w:p>
        </w:tc>
      </w:tr>
    </w:tbl>
    <w:p w14:paraId="6559A3CD" w14:textId="77777777" w:rsidR="006D7F91" w:rsidRDefault="006D7F91">
      <w:pPr>
        <w:spacing w:before="100"/>
      </w:pPr>
    </w:p>
    <w:p w14:paraId="3AEDCDF5" w14:textId="77777777" w:rsidR="006D7F91" w:rsidRDefault="0040114C">
      <w:pPr>
        <w:spacing w:before="120" w:after="40"/>
      </w:pPr>
      <w:r>
        <w:rPr>
          <w:rFonts w:ascii="Arial" w:eastAsia="Arial" w:hAnsi="Arial" w:cs="Arial"/>
          <w:b/>
          <w:bCs/>
          <w:color w:val="2E5FAC"/>
          <w:sz w:val="20"/>
          <w:szCs w:val="20"/>
        </w:rPr>
        <w:lastRenderedPageBreak/>
        <w:t>Subscription Rate Formula:</w:t>
      </w:r>
    </w:p>
    <w:p w14:paraId="50030BB7"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1FE551E9" w14:textId="77777777" w:rsidR="006D7F91" w:rsidRDefault="0040114C">
      <w:pPr>
        <w:spacing w:before="80" w:after="120" w:line="280" w:lineRule="auto"/>
        <w:jc w:val="both"/>
      </w:pPr>
      <w:r>
        <w:rPr>
          <w:i/>
          <w:iCs/>
          <w:color w:val="555555"/>
        </w:rPr>
        <w:t>Example — December:  283 ÷ 314 × 100 = 90.1%</w:t>
      </w:r>
    </w:p>
    <w:p w14:paraId="3B8416BC" w14:textId="77777777" w:rsidR="006D7F91" w:rsidRDefault="006D7F91">
      <w:pPr>
        <w:spacing w:before="120"/>
      </w:pPr>
    </w:p>
    <w:p w14:paraId="556901E3" w14:textId="77777777" w:rsidR="006D7F91" w:rsidRDefault="0040114C">
      <w:pPr>
        <w:pStyle w:val="Heading2"/>
      </w:pPr>
      <w:r>
        <w:t>11.2  Findings</w:t>
      </w:r>
    </w:p>
    <w:p w14:paraId="387A4844" w14:textId="77777777" w:rsidR="006D7F91" w:rsidRDefault="0040114C">
      <w:pPr>
        <w:spacing w:before="80" w:after="120" w:line="280" w:lineRule="auto"/>
        <w:jc w:val="both"/>
      </w:pPr>
      <w:r>
        <w:rPr>
          <w:color w:val="222222"/>
        </w:rPr>
        <w:t>May generated the highest absolute number of subscriptions (2,667) due to its disproportionately high campaign volume (8,080 customers contacted). However, May recorded a subscription rate of only 33.0% — the second lowest of any month in the dataset. This</w:t>
      </w:r>
      <w:r>
        <w:rPr>
          <w:color w:val="222222"/>
        </w:rPr>
        <w:t xml:space="preserve"> is a clear example of volume masking poor efficiency.</w:t>
      </w:r>
    </w:p>
    <w:p w14:paraId="46333AA2" w14:textId="77777777" w:rsidR="006D7F91" w:rsidRDefault="006D7F91">
      <w:pPr>
        <w:spacing w:before="80"/>
      </w:pPr>
    </w:p>
    <w:p w14:paraId="365D4234" w14:textId="77777777" w:rsidR="006D7F91" w:rsidRDefault="0040114C">
      <w:pPr>
        <w:spacing w:before="80" w:after="120" w:line="280" w:lineRule="auto"/>
        <w:jc w:val="both"/>
      </w:pPr>
      <w:r>
        <w:rPr>
          <w:color w:val="222222"/>
        </w:rPr>
        <w:t>In contrast, December, March, September, and October achieved the highest subscription rates at 90.1%, 89.6%, 85.2%, and 81.0% respectively — all substantially above the dataset average of 47.3%. Thes</w:t>
      </w:r>
      <w:r>
        <w:rPr>
          <w:color w:val="222222"/>
        </w:rPr>
        <w:t xml:space="preserve">e months, however, had significantly smaller campaign volumes, which means their high rates should be interpreted cautiously. A small sample size can produce inflated rates due to statistical volatility. For context, December’s 90.1% rate is based on just </w:t>
      </w:r>
      <w:r>
        <w:rPr>
          <w:color w:val="222222"/>
        </w:rPr>
        <w:t>314 customer contacts, compared to May’s 8,080.</w:t>
      </w:r>
    </w:p>
    <w:p w14:paraId="32C18734" w14:textId="77777777" w:rsidR="006D7F91" w:rsidRDefault="006D7F91">
      <w:pPr>
        <w:spacing w:before="120"/>
      </w:pPr>
    </w:p>
    <w:p w14:paraId="456CA637" w14:textId="77777777" w:rsidR="006D7F91" w:rsidRDefault="0040114C">
      <w:pPr>
        <w:pStyle w:val="Heading2"/>
      </w:pPr>
      <w:r>
        <w:t>11.3  Business Insight</w:t>
      </w:r>
    </w:p>
    <w:p w14:paraId="74315B07" w14:textId="77777777" w:rsidR="006D7F91" w:rsidRDefault="0040114C">
      <w:pPr>
        <w:spacing w:before="80" w:after="120" w:line="280" w:lineRule="auto"/>
        <w:jc w:val="both"/>
      </w:pPr>
      <w:r>
        <w:rPr>
          <w:color w:val="222222"/>
        </w:rPr>
        <w:t>The disproportionate campaign activity in May — and its correspondingly poor conversion rate — suggests that the bank may have deployed its highest outreach volume in a period when cus</w:t>
      </w:r>
      <w:r>
        <w:rPr>
          <w:color w:val="222222"/>
        </w:rPr>
        <w:t>tomer receptiveness was relatively low. This may reflect operational or seasonal campaign scheduling decisions that did not fully account for conversion efficiency.</w:t>
      </w:r>
    </w:p>
    <w:p w14:paraId="247E0D96" w14:textId="77777777" w:rsidR="006D7F91" w:rsidRDefault="006D7F91">
      <w:pPr>
        <w:spacing w:before="80"/>
      </w:pPr>
    </w:p>
    <w:p w14:paraId="12DBF8A7" w14:textId="77777777" w:rsidR="006D7F91" w:rsidRDefault="0040114C">
      <w:pPr>
        <w:spacing w:before="80" w:after="120" w:line="280" w:lineRule="auto"/>
        <w:jc w:val="both"/>
      </w:pPr>
      <w:r>
        <w:rPr>
          <w:color w:val="222222"/>
        </w:rPr>
        <w:t>The exceptional conversion rates recorded in the autumn and winter months (September throu</w:t>
      </w:r>
      <w:r>
        <w:rPr>
          <w:color w:val="222222"/>
        </w:rPr>
        <w:t xml:space="preserve">gh December) and in March raise an important strategic question: what was different about these campaigns? Whether the answer lies in better customer targeting, more experienced agents, seasonal financial behaviour, or product-specific timing, identifying </w:t>
      </w:r>
      <w:r>
        <w:rPr>
          <w:color w:val="222222"/>
        </w:rPr>
        <w:t>and replicating these conditions in larger campaigns could significantly lift overall campaign performance.</w:t>
      </w:r>
    </w:p>
    <w:p w14:paraId="1BDEEB3F" w14:textId="77777777" w:rsidR="006D7F91" w:rsidRDefault="006D7F91">
      <w:pPr>
        <w:spacing w:before="120"/>
      </w:pPr>
    </w:p>
    <w:p w14:paraId="51F39BCA" w14:textId="77777777" w:rsidR="006D7F91" w:rsidRDefault="0040114C">
      <w:pPr>
        <w:pStyle w:val="Heading2"/>
      </w:pPr>
      <w:r>
        <w:t>11.4  Recommendation</w:t>
      </w:r>
    </w:p>
    <w:p w14:paraId="09AC6E4D" w14:textId="77777777" w:rsidR="006D7F91" w:rsidRDefault="0040114C">
      <w:pPr>
        <w:spacing w:before="80" w:after="120" w:line="280" w:lineRule="auto"/>
        <w:jc w:val="both"/>
      </w:pPr>
      <w:r>
        <w:rPr>
          <w:color w:val="222222"/>
        </w:rPr>
        <w:t>The bank should conduct a detailed review of the campaign approaches deployed in March, September, October, and December to un</w:t>
      </w:r>
      <w:r>
        <w:rPr>
          <w:color w:val="222222"/>
        </w:rPr>
        <w:t xml:space="preserve">derstand the factors behind their high conversion rates. Key questions to investigate include: what customer profiles were targeted, what messaging was used, and what product terms were offered during those periods. If these factors can be replicated at a </w:t>
      </w:r>
      <w:r>
        <w:rPr>
          <w:color w:val="222222"/>
        </w:rPr>
        <w:t>larger campaign scale — such as the volume levels seen in May — the impact on overall subscription numbers could be substantial. Future campaigns should reduce over-concentration of outreach in low-efficiency periods and redistribute campaign resources tow</w:t>
      </w:r>
      <w:r>
        <w:rPr>
          <w:color w:val="222222"/>
        </w:rPr>
        <w:t>ard months and approaches that have demonstrated strong conversion performance.</w:t>
      </w:r>
    </w:p>
    <w:p w14:paraId="37103240" w14:textId="77777777" w:rsidR="006D7F91" w:rsidRDefault="006D7F91">
      <w:pPr>
        <w:spacing w:before="200"/>
      </w:pPr>
    </w:p>
    <w:p w14:paraId="03649686" w14:textId="77777777" w:rsidR="006D7F91" w:rsidRDefault="0040114C">
      <w:pPr>
        <w:pStyle w:val="Heading1"/>
      </w:pPr>
      <w:r>
        <w:t>12. Gender Analysis</w:t>
      </w:r>
    </w:p>
    <w:p w14:paraId="44EF3AEB" w14:textId="77777777" w:rsidR="006D7F91" w:rsidRDefault="006D7F91">
      <w:pPr>
        <w:pBdr>
          <w:bottom w:val="single" w:sz="6" w:space="1" w:color="2E5FAC"/>
        </w:pBdr>
        <w:spacing w:after="160"/>
      </w:pPr>
    </w:p>
    <w:p w14:paraId="28B4119B" w14:textId="77777777" w:rsidR="006D7F91" w:rsidRDefault="0040114C">
      <w:pPr>
        <w:spacing w:before="80" w:after="120" w:line="280" w:lineRule="auto"/>
        <w:jc w:val="both"/>
      </w:pPr>
      <w:r>
        <w:rPr>
          <w:color w:val="222222"/>
        </w:rPr>
        <w:t>This section examines whether a customer’s gender is associated with different subscription outcomes. Gender is recorded across two categories in the data</w:t>
      </w:r>
      <w:r>
        <w:rPr>
          <w:color w:val="222222"/>
        </w:rPr>
        <w:t>set: Male and Female.</w:t>
      </w:r>
    </w:p>
    <w:p w14:paraId="1F141EAF" w14:textId="77777777" w:rsidR="006D7F91" w:rsidRDefault="006D7F91">
      <w:pPr>
        <w:spacing w:before="120"/>
      </w:pPr>
    </w:p>
    <w:p w14:paraId="61E9DBF7" w14:textId="77777777" w:rsidR="006D7F91" w:rsidRDefault="0040114C">
      <w:pPr>
        <w:pStyle w:val="Heading2"/>
      </w:pPr>
      <w:r>
        <w:t>12.1  Pivot Table: Gender vs. Subscription Outcome</w:t>
      </w:r>
    </w:p>
    <w:p w14:paraId="63A87C01"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2000"/>
        <w:gridCol w:w="1840"/>
        <w:gridCol w:w="1840"/>
        <w:gridCol w:w="1840"/>
        <w:gridCol w:w="1840"/>
      </w:tblGrid>
      <w:tr w:rsidR="006D7F91" w14:paraId="0A08E253"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1AA1412" w14:textId="77777777" w:rsidR="006D7F91" w:rsidRDefault="0040114C">
            <w:pPr>
              <w:jc w:val="center"/>
            </w:pPr>
            <w:r>
              <w:rPr>
                <w:rFonts w:ascii="Arial" w:eastAsia="Arial" w:hAnsi="Arial" w:cs="Arial"/>
                <w:b/>
                <w:bCs/>
                <w:color w:val="FFFFFF"/>
                <w:sz w:val="19"/>
                <w:szCs w:val="19"/>
              </w:rPr>
              <w:t>Gender</w:t>
            </w:r>
          </w:p>
        </w:tc>
        <w:tc>
          <w:tcPr>
            <w:tcW w:w="18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4D0CAFD" w14:textId="77777777" w:rsidR="006D7F91" w:rsidRDefault="0040114C">
            <w:pPr>
              <w:jc w:val="center"/>
            </w:pPr>
            <w:r>
              <w:rPr>
                <w:rFonts w:ascii="Arial" w:eastAsia="Arial" w:hAnsi="Arial" w:cs="Arial"/>
                <w:b/>
                <w:bCs/>
                <w:color w:val="FFFFFF"/>
                <w:sz w:val="19"/>
                <w:szCs w:val="19"/>
              </w:rPr>
              <w:t>Did Not Subscribe</w:t>
            </w:r>
          </w:p>
        </w:tc>
        <w:tc>
          <w:tcPr>
            <w:tcW w:w="18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907F438" w14:textId="77777777" w:rsidR="006D7F91" w:rsidRDefault="0040114C">
            <w:pPr>
              <w:jc w:val="center"/>
            </w:pPr>
            <w:r>
              <w:rPr>
                <w:rFonts w:ascii="Arial" w:eastAsia="Arial" w:hAnsi="Arial" w:cs="Arial"/>
                <w:b/>
                <w:bCs/>
                <w:color w:val="FFFFFF"/>
                <w:sz w:val="19"/>
                <w:szCs w:val="19"/>
              </w:rPr>
              <w:t>Subscribed (Yes)</w:t>
            </w:r>
          </w:p>
        </w:tc>
        <w:tc>
          <w:tcPr>
            <w:tcW w:w="18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130FDE9" w14:textId="77777777" w:rsidR="006D7F91" w:rsidRDefault="0040114C">
            <w:pPr>
              <w:jc w:val="center"/>
            </w:pPr>
            <w:r>
              <w:rPr>
                <w:rFonts w:ascii="Arial" w:eastAsia="Arial" w:hAnsi="Arial" w:cs="Arial"/>
                <w:b/>
                <w:bCs/>
                <w:color w:val="FFFFFF"/>
                <w:sz w:val="19"/>
                <w:szCs w:val="19"/>
              </w:rPr>
              <w:t>Total Customers</w:t>
            </w:r>
          </w:p>
        </w:tc>
        <w:tc>
          <w:tcPr>
            <w:tcW w:w="18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F8986E5" w14:textId="77777777" w:rsidR="006D7F91" w:rsidRDefault="0040114C">
            <w:pPr>
              <w:jc w:val="center"/>
            </w:pPr>
            <w:r>
              <w:rPr>
                <w:rFonts w:ascii="Arial" w:eastAsia="Arial" w:hAnsi="Arial" w:cs="Arial"/>
                <w:b/>
                <w:bCs/>
                <w:color w:val="FFFFFF"/>
                <w:sz w:val="19"/>
                <w:szCs w:val="19"/>
              </w:rPr>
              <w:t>Subscription Rate</w:t>
            </w:r>
          </w:p>
        </w:tc>
      </w:tr>
      <w:tr w:rsidR="006D7F91" w14:paraId="5EA21029"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1DF499F" w14:textId="77777777" w:rsidR="006D7F91" w:rsidRDefault="0040114C">
            <w:pPr>
              <w:jc w:val="center"/>
            </w:pPr>
            <w:r>
              <w:rPr>
                <w:b/>
                <w:bCs/>
                <w:color w:val="1B3A6B"/>
                <w:sz w:val="19"/>
                <w:szCs w:val="19"/>
              </w:rPr>
              <w:t>Male</w:t>
            </w:r>
          </w:p>
        </w:tc>
        <w:tc>
          <w:tcPr>
            <w:tcW w:w="18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E180678" w14:textId="77777777" w:rsidR="006D7F91" w:rsidRDefault="0040114C">
            <w:r>
              <w:rPr>
                <w:color w:val="222222"/>
                <w:sz w:val="19"/>
                <w:szCs w:val="19"/>
              </w:rPr>
              <w:t>9,010</w:t>
            </w:r>
          </w:p>
        </w:tc>
        <w:tc>
          <w:tcPr>
            <w:tcW w:w="18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ABCFBCA" w14:textId="77777777" w:rsidR="006D7F91" w:rsidRDefault="0040114C">
            <w:r>
              <w:rPr>
                <w:color w:val="222222"/>
                <w:sz w:val="19"/>
                <w:szCs w:val="19"/>
              </w:rPr>
              <w:t>7,860</w:t>
            </w:r>
          </w:p>
        </w:tc>
        <w:tc>
          <w:tcPr>
            <w:tcW w:w="18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F14582F" w14:textId="77777777" w:rsidR="006D7F91" w:rsidRDefault="0040114C">
            <w:r>
              <w:rPr>
                <w:color w:val="222222"/>
                <w:sz w:val="19"/>
                <w:szCs w:val="19"/>
              </w:rPr>
              <w:t>16,870</w:t>
            </w:r>
          </w:p>
        </w:tc>
        <w:tc>
          <w:tcPr>
            <w:tcW w:w="18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A88012E" w14:textId="77777777" w:rsidR="006D7F91" w:rsidRDefault="0040114C">
            <w:pPr>
              <w:jc w:val="center"/>
            </w:pPr>
            <w:r>
              <w:rPr>
                <w:color w:val="222222"/>
                <w:sz w:val="19"/>
                <w:szCs w:val="19"/>
              </w:rPr>
              <w:t>46.6%</w:t>
            </w:r>
          </w:p>
        </w:tc>
      </w:tr>
      <w:tr w:rsidR="006D7F91" w14:paraId="37F9318A"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0A52D58E" w14:textId="77777777" w:rsidR="006D7F91" w:rsidRDefault="0040114C">
            <w:pPr>
              <w:jc w:val="center"/>
            </w:pPr>
            <w:r>
              <w:rPr>
                <w:b/>
                <w:bCs/>
                <w:color w:val="1B3A6B"/>
                <w:sz w:val="19"/>
                <w:szCs w:val="19"/>
              </w:rPr>
              <w:t>Female</w:t>
            </w:r>
          </w:p>
        </w:tc>
        <w:tc>
          <w:tcPr>
            <w:tcW w:w="18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6D76834" w14:textId="77777777" w:rsidR="006D7F91" w:rsidRDefault="0040114C">
            <w:r>
              <w:rPr>
                <w:color w:val="222222"/>
                <w:sz w:val="19"/>
                <w:szCs w:val="19"/>
              </w:rPr>
              <w:t>7,848</w:t>
            </w:r>
          </w:p>
        </w:tc>
        <w:tc>
          <w:tcPr>
            <w:tcW w:w="18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0C54E89" w14:textId="77777777" w:rsidR="006D7F91" w:rsidRDefault="0040114C">
            <w:r>
              <w:rPr>
                <w:color w:val="222222"/>
                <w:sz w:val="19"/>
                <w:szCs w:val="19"/>
              </w:rPr>
              <w:t>7,282</w:t>
            </w:r>
          </w:p>
        </w:tc>
        <w:tc>
          <w:tcPr>
            <w:tcW w:w="18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1C62A7BA" w14:textId="77777777" w:rsidR="006D7F91" w:rsidRDefault="0040114C">
            <w:r>
              <w:rPr>
                <w:color w:val="222222"/>
                <w:sz w:val="19"/>
                <w:szCs w:val="19"/>
              </w:rPr>
              <w:t>15,130</w:t>
            </w:r>
          </w:p>
        </w:tc>
        <w:tc>
          <w:tcPr>
            <w:tcW w:w="18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FC948C4" w14:textId="77777777" w:rsidR="006D7F91" w:rsidRDefault="0040114C">
            <w:pPr>
              <w:jc w:val="center"/>
            </w:pPr>
            <w:r>
              <w:rPr>
                <w:color w:val="222222"/>
                <w:sz w:val="19"/>
                <w:szCs w:val="19"/>
              </w:rPr>
              <w:t>48.1%</w:t>
            </w:r>
          </w:p>
        </w:tc>
      </w:tr>
      <w:tr w:rsidR="006D7F91" w14:paraId="22A5E0AC"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DEE46A8" w14:textId="77777777" w:rsidR="006D7F91" w:rsidRDefault="0040114C">
            <w:pPr>
              <w:jc w:val="center"/>
            </w:pPr>
            <w:r>
              <w:rPr>
                <w:rFonts w:ascii="Arial" w:eastAsia="Arial" w:hAnsi="Arial" w:cs="Arial"/>
                <w:b/>
                <w:bCs/>
                <w:color w:val="FFFFFF"/>
                <w:sz w:val="19"/>
                <w:szCs w:val="19"/>
              </w:rPr>
              <w:t>Grand Total</w:t>
            </w:r>
          </w:p>
        </w:tc>
        <w:tc>
          <w:tcPr>
            <w:tcW w:w="18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9199ED4" w14:textId="77777777" w:rsidR="006D7F91" w:rsidRDefault="0040114C">
            <w:pPr>
              <w:jc w:val="center"/>
            </w:pPr>
            <w:r>
              <w:rPr>
                <w:rFonts w:ascii="Arial" w:eastAsia="Arial" w:hAnsi="Arial" w:cs="Arial"/>
                <w:b/>
                <w:bCs/>
                <w:color w:val="FFFFFF"/>
                <w:sz w:val="19"/>
                <w:szCs w:val="19"/>
              </w:rPr>
              <w:t>16,858</w:t>
            </w:r>
          </w:p>
        </w:tc>
        <w:tc>
          <w:tcPr>
            <w:tcW w:w="18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6EF1857" w14:textId="77777777" w:rsidR="006D7F91" w:rsidRDefault="0040114C">
            <w:pPr>
              <w:jc w:val="center"/>
            </w:pPr>
            <w:r>
              <w:rPr>
                <w:rFonts w:ascii="Arial" w:eastAsia="Arial" w:hAnsi="Arial" w:cs="Arial"/>
                <w:b/>
                <w:bCs/>
                <w:color w:val="FFFFFF"/>
                <w:sz w:val="19"/>
                <w:szCs w:val="19"/>
              </w:rPr>
              <w:t>15,142</w:t>
            </w:r>
          </w:p>
        </w:tc>
        <w:tc>
          <w:tcPr>
            <w:tcW w:w="18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D85759A" w14:textId="77777777" w:rsidR="006D7F91" w:rsidRDefault="0040114C">
            <w:pPr>
              <w:jc w:val="center"/>
            </w:pPr>
            <w:r>
              <w:rPr>
                <w:rFonts w:ascii="Arial" w:eastAsia="Arial" w:hAnsi="Arial" w:cs="Arial"/>
                <w:b/>
                <w:bCs/>
                <w:color w:val="FFFFFF"/>
                <w:sz w:val="19"/>
                <w:szCs w:val="19"/>
              </w:rPr>
              <w:t>32,000</w:t>
            </w:r>
          </w:p>
        </w:tc>
        <w:tc>
          <w:tcPr>
            <w:tcW w:w="18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3FD9766" w14:textId="77777777" w:rsidR="006D7F91" w:rsidRDefault="0040114C">
            <w:pPr>
              <w:jc w:val="center"/>
            </w:pPr>
            <w:r>
              <w:rPr>
                <w:rFonts w:ascii="Arial" w:eastAsia="Arial" w:hAnsi="Arial" w:cs="Arial"/>
                <w:b/>
                <w:bCs/>
                <w:color w:val="FFFFFF"/>
                <w:sz w:val="19"/>
                <w:szCs w:val="19"/>
              </w:rPr>
              <w:t>47.3%</w:t>
            </w:r>
          </w:p>
        </w:tc>
      </w:tr>
    </w:tbl>
    <w:p w14:paraId="50A8FE4D" w14:textId="77777777" w:rsidR="006D7F91" w:rsidRDefault="006D7F91">
      <w:pPr>
        <w:spacing w:before="100"/>
      </w:pPr>
    </w:p>
    <w:p w14:paraId="7E30A550" w14:textId="77777777" w:rsidR="006D7F91" w:rsidRDefault="0040114C">
      <w:pPr>
        <w:spacing w:before="120" w:after="40"/>
      </w:pPr>
      <w:r>
        <w:rPr>
          <w:rFonts w:ascii="Arial" w:eastAsia="Arial" w:hAnsi="Arial" w:cs="Arial"/>
          <w:b/>
          <w:bCs/>
          <w:color w:val="2E5FAC"/>
          <w:sz w:val="20"/>
          <w:szCs w:val="20"/>
        </w:rPr>
        <w:t>Subscription Rate Formula:</w:t>
      </w:r>
    </w:p>
    <w:p w14:paraId="2B42E9FF"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41179FE6" w14:textId="77777777" w:rsidR="006D7F91" w:rsidRDefault="0040114C">
      <w:pPr>
        <w:spacing w:before="80" w:after="120" w:line="280" w:lineRule="auto"/>
        <w:jc w:val="both"/>
      </w:pPr>
      <w:r>
        <w:rPr>
          <w:i/>
          <w:iCs/>
          <w:color w:val="555555"/>
        </w:rPr>
        <w:t>Example — Female:  7,282 ÷ 15,130 × 100 = 48.1%</w:t>
      </w:r>
    </w:p>
    <w:p w14:paraId="425E003D" w14:textId="77777777" w:rsidR="006D7F91" w:rsidRDefault="006D7F91">
      <w:pPr>
        <w:spacing w:before="120"/>
      </w:pPr>
    </w:p>
    <w:p w14:paraId="2B3BFB27" w14:textId="77777777" w:rsidR="006D7F91" w:rsidRDefault="0040114C">
      <w:pPr>
        <w:pStyle w:val="Heading2"/>
      </w:pPr>
      <w:r>
        <w:t>12.2  Findings</w:t>
      </w:r>
    </w:p>
    <w:p w14:paraId="371EDC96" w14:textId="77777777" w:rsidR="006D7F91" w:rsidRDefault="0040114C">
      <w:pPr>
        <w:spacing w:before="80" w:after="120" w:line="280" w:lineRule="auto"/>
        <w:jc w:val="both"/>
      </w:pPr>
      <w:r>
        <w:rPr>
          <w:color w:val="222222"/>
        </w:rPr>
        <w:t>The gender distribution in the dataset is relatively balanced: Males account for 16,870 customers (52.7%) and Females for 15,130 (47.3%). Male customers generated a slightly higher number of subscriptions (7,860 vs 7,282) in absolute terms, consistent with</w:t>
      </w:r>
      <w:r>
        <w:rPr>
          <w:color w:val="222222"/>
        </w:rPr>
        <w:t xml:space="preserve"> their marginally larger representation in the dataset. However, when assessed by subscription rate, Female customers performed marginally better at 48.1% compared to 46.6% for Male customers — a difference of only 1.5 percentage points.</w:t>
      </w:r>
    </w:p>
    <w:p w14:paraId="36014308" w14:textId="77777777" w:rsidR="006D7F91" w:rsidRDefault="006D7F91">
      <w:pPr>
        <w:spacing w:before="120"/>
      </w:pPr>
    </w:p>
    <w:p w14:paraId="697549E5" w14:textId="77777777" w:rsidR="006D7F91" w:rsidRDefault="0040114C">
      <w:pPr>
        <w:pStyle w:val="Heading2"/>
      </w:pPr>
      <w:r>
        <w:t>12.3  Business Insight</w:t>
      </w:r>
    </w:p>
    <w:p w14:paraId="53A0B4AD" w14:textId="77777777" w:rsidR="006D7F91" w:rsidRDefault="0040114C">
      <w:pPr>
        <w:spacing w:before="80" w:after="120" w:line="280" w:lineRule="auto"/>
        <w:jc w:val="both"/>
      </w:pPr>
      <w:r>
        <w:rPr>
          <w:color w:val="222222"/>
        </w:rPr>
        <w:t>The near-identical subscription rates across genders suggest that gender is not a meaningful predictor of term deposit subscription behaviour in this dataset. The 1.5 percentage point difference between Male and Female conversion rat</w:t>
      </w:r>
      <w:r>
        <w:rPr>
          <w:color w:val="222222"/>
        </w:rPr>
        <w:t>es is unlikely to be practically significant for campaign strategy, particularly given the relatively balanced customer distribution. Unlike other variables examined in this report — such as age, housing loan status, or previous campaign outcome — gender d</w:t>
      </w:r>
      <w:r>
        <w:rPr>
          <w:color w:val="222222"/>
        </w:rPr>
        <w:t>oes not appear to be a reliable segmentation dimension for term deposit targeting.</w:t>
      </w:r>
    </w:p>
    <w:p w14:paraId="57402C8F" w14:textId="77777777" w:rsidR="006D7F91" w:rsidRDefault="006D7F91">
      <w:pPr>
        <w:spacing w:before="120"/>
      </w:pPr>
    </w:p>
    <w:p w14:paraId="53FA5060" w14:textId="77777777" w:rsidR="006D7F91" w:rsidRDefault="0040114C">
      <w:pPr>
        <w:pStyle w:val="Heading2"/>
      </w:pPr>
      <w:r>
        <w:t>12.4  Recommendation</w:t>
      </w:r>
    </w:p>
    <w:p w14:paraId="44EA5854" w14:textId="77777777" w:rsidR="006D7F91" w:rsidRDefault="0040114C">
      <w:pPr>
        <w:spacing w:before="80" w:after="120" w:line="280" w:lineRule="auto"/>
        <w:jc w:val="both"/>
      </w:pPr>
      <w:r>
        <w:rPr>
          <w:color w:val="222222"/>
        </w:rPr>
        <w:t>Campaign strategy should not prioritise gender as a primary segmentation variable, given the negligible difference in subscription rates between Male a</w:t>
      </w:r>
      <w:r>
        <w:rPr>
          <w:color w:val="222222"/>
        </w:rPr>
        <w:t>nd Female customers. Instead, campaign resources should be directed toward variables that demonstrate stronger and more actionable differentiation — such as account balance, loan status, age group, and previous campaign history. Gender-inclusive campaign c</w:t>
      </w:r>
      <w:r>
        <w:rPr>
          <w:color w:val="222222"/>
        </w:rPr>
        <w:t>ommunication should be maintained to ensure broad market reach without demographic exclusion.</w:t>
      </w:r>
    </w:p>
    <w:p w14:paraId="6D4B661B" w14:textId="77777777" w:rsidR="006D7F91" w:rsidRDefault="006D7F91">
      <w:pPr>
        <w:spacing w:before="200"/>
      </w:pPr>
    </w:p>
    <w:p w14:paraId="0099009D" w14:textId="77777777" w:rsidR="006D7F91" w:rsidRDefault="0040114C">
      <w:pPr>
        <w:pStyle w:val="Heading1"/>
      </w:pPr>
      <w:r>
        <w:t>13. Account Balance Segment Analysis</w:t>
      </w:r>
    </w:p>
    <w:p w14:paraId="08B9429B" w14:textId="77777777" w:rsidR="006D7F91" w:rsidRDefault="006D7F91">
      <w:pPr>
        <w:pBdr>
          <w:bottom w:val="single" w:sz="6" w:space="1" w:color="2E5FAC"/>
        </w:pBdr>
        <w:spacing w:after="160"/>
      </w:pPr>
    </w:p>
    <w:p w14:paraId="463CF74C" w14:textId="77777777" w:rsidR="006D7F91" w:rsidRDefault="0040114C">
      <w:pPr>
        <w:spacing w:before="80" w:after="120" w:line="280" w:lineRule="auto"/>
        <w:jc w:val="both"/>
      </w:pPr>
      <w:r>
        <w:rPr>
          <w:color w:val="222222"/>
        </w:rPr>
        <w:lastRenderedPageBreak/>
        <w:t>Account balance was segmented into five categories based on quartile analysis: Negative Balance, Low Balance, Medium Balanc</w:t>
      </w:r>
      <w:r>
        <w:rPr>
          <w:color w:val="222222"/>
        </w:rPr>
        <w:t>e, High Balance, and Very High Balance. This segmentation enables the bank to evaluate how a customer’s financial position correlates with their term deposit subscription behaviour.</w:t>
      </w:r>
    </w:p>
    <w:p w14:paraId="2BE7EC6D" w14:textId="77777777" w:rsidR="006D7F91" w:rsidRDefault="006D7F91">
      <w:pPr>
        <w:spacing w:before="80"/>
      </w:pPr>
    </w:p>
    <w:p w14:paraId="7B65CA3D" w14:textId="77777777" w:rsidR="006D7F91" w:rsidRDefault="0040114C">
      <w:pPr>
        <w:spacing w:before="80" w:after="120" w:line="280" w:lineRule="auto"/>
        <w:jc w:val="both"/>
      </w:pPr>
      <w:r>
        <w:rPr>
          <w:color w:val="222222"/>
        </w:rPr>
        <w:t xml:space="preserve">Statistical descriptors for the balance variable: Minimum = €−6,847 | Q1 </w:t>
      </w:r>
      <w:r>
        <w:rPr>
          <w:color w:val="222222"/>
        </w:rPr>
        <w:t>= €130 | Median = €552 | Q3 = €1,707 | Mean = €1,531.54 | Maximum = €81,249. The distribution is right-skewed, driven by a small number of very high-balance customers.</w:t>
      </w:r>
    </w:p>
    <w:p w14:paraId="0B0C92A7" w14:textId="77777777" w:rsidR="006D7F91" w:rsidRDefault="006D7F91">
      <w:pPr>
        <w:spacing w:before="120"/>
      </w:pPr>
    </w:p>
    <w:p w14:paraId="7C62DA52" w14:textId="77777777" w:rsidR="006D7F91" w:rsidRDefault="0040114C">
      <w:pPr>
        <w:pStyle w:val="Heading2"/>
      </w:pPr>
      <w:r>
        <w:t>13.1  Pivot Table: Balance Segment vs. Subscription Outcome</w:t>
      </w:r>
    </w:p>
    <w:p w14:paraId="775E6AD4"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2000"/>
        <w:gridCol w:w="1680"/>
        <w:gridCol w:w="1680"/>
        <w:gridCol w:w="1800"/>
        <w:gridCol w:w="2200"/>
      </w:tblGrid>
      <w:tr w:rsidR="006D7F91" w14:paraId="6CF10DE1"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C354EB5" w14:textId="77777777" w:rsidR="006D7F91" w:rsidRDefault="0040114C">
            <w:pPr>
              <w:jc w:val="center"/>
            </w:pPr>
            <w:r>
              <w:rPr>
                <w:rFonts w:ascii="Arial" w:eastAsia="Arial" w:hAnsi="Arial" w:cs="Arial"/>
                <w:b/>
                <w:bCs/>
                <w:color w:val="FFFFFF"/>
                <w:sz w:val="19"/>
                <w:szCs w:val="19"/>
              </w:rPr>
              <w:t>Balance Segment</w:t>
            </w:r>
          </w:p>
        </w:tc>
        <w:tc>
          <w:tcPr>
            <w:tcW w:w="16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4197429" w14:textId="77777777" w:rsidR="006D7F91" w:rsidRDefault="0040114C">
            <w:pPr>
              <w:jc w:val="center"/>
            </w:pPr>
            <w:r>
              <w:rPr>
                <w:rFonts w:ascii="Arial" w:eastAsia="Arial" w:hAnsi="Arial" w:cs="Arial"/>
                <w:b/>
                <w:bCs/>
                <w:color w:val="FFFFFF"/>
                <w:sz w:val="19"/>
                <w:szCs w:val="19"/>
              </w:rPr>
              <w:t>Did Not Su</w:t>
            </w:r>
            <w:r>
              <w:rPr>
                <w:rFonts w:ascii="Arial" w:eastAsia="Arial" w:hAnsi="Arial" w:cs="Arial"/>
                <w:b/>
                <w:bCs/>
                <w:color w:val="FFFFFF"/>
                <w:sz w:val="19"/>
                <w:szCs w:val="19"/>
              </w:rPr>
              <w:t>bscribe</w:t>
            </w:r>
          </w:p>
        </w:tc>
        <w:tc>
          <w:tcPr>
            <w:tcW w:w="16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F8A0CDA" w14:textId="77777777" w:rsidR="006D7F91" w:rsidRDefault="0040114C">
            <w:pPr>
              <w:jc w:val="center"/>
            </w:pPr>
            <w:r>
              <w:rPr>
                <w:rFonts w:ascii="Arial" w:eastAsia="Arial" w:hAnsi="Arial" w:cs="Arial"/>
                <w:b/>
                <w:bCs/>
                <w:color w:val="FFFFFF"/>
                <w:sz w:val="19"/>
                <w:szCs w:val="19"/>
              </w:rPr>
              <w:t>Subscribed (Yes)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E1BFDBB" w14:textId="77777777" w:rsidR="006D7F91" w:rsidRDefault="0040114C">
            <w:pPr>
              <w:jc w:val="center"/>
            </w:pPr>
            <w:r>
              <w:rPr>
                <w:rFonts w:ascii="Arial" w:eastAsia="Arial" w:hAnsi="Arial" w:cs="Arial"/>
                <w:b/>
                <w:bCs/>
                <w:color w:val="FFFFFF"/>
                <w:sz w:val="19"/>
                <w:szCs w:val="19"/>
              </w:rPr>
              <w:t>Total Customers</w:t>
            </w:r>
          </w:p>
        </w:tc>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2E1D68F" w14:textId="77777777" w:rsidR="006D7F91" w:rsidRDefault="0040114C">
            <w:pPr>
              <w:jc w:val="center"/>
            </w:pPr>
            <w:r>
              <w:rPr>
                <w:rFonts w:ascii="Arial" w:eastAsia="Arial" w:hAnsi="Arial" w:cs="Arial"/>
                <w:b/>
                <w:bCs/>
                <w:color w:val="FFFFFF"/>
                <w:sz w:val="19"/>
                <w:szCs w:val="19"/>
              </w:rPr>
              <w:t>Subscription Rate</w:t>
            </w:r>
          </w:p>
        </w:tc>
      </w:tr>
      <w:tr w:rsidR="006D7F91" w14:paraId="1B51C899"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6AE5A16" w14:textId="77777777" w:rsidR="006D7F91" w:rsidRDefault="0040114C">
            <w:pPr>
              <w:jc w:val="center"/>
            </w:pPr>
            <w:r>
              <w:rPr>
                <w:b/>
                <w:bCs/>
                <w:color w:val="1B3A6B"/>
                <w:sz w:val="19"/>
                <w:szCs w:val="19"/>
              </w:rPr>
              <w:t>Negative Balance</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9C2E6D2" w14:textId="77777777" w:rsidR="006D7F91" w:rsidRDefault="0040114C">
            <w:r>
              <w:rPr>
                <w:color w:val="222222"/>
                <w:sz w:val="19"/>
                <w:szCs w:val="19"/>
              </w:rPr>
              <w:t>2,189</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51DBE42" w14:textId="77777777" w:rsidR="006D7F91" w:rsidRDefault="0040114C">
            <w:r>
              <w:rPr>
                <w:color w:val="222222"/>
                <w:sz w:val="19"/>
                <w:szCs w:val="19"/>
              </w:rPr>
              <w:t>1,172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118DE1E" w14:textId="77777777" w:rsidR="006D7F91" w:rsidRDefault="0040114C">
            <w:r>
              <w:rPr>
                <w:color w:val="222222"/>
                <w:sz w:val="19"/>
                <w:szCs w:val="19"/>
              </w:rPr>
              <w:t>3,361</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20DED34" w14:textId="77777777" w:rsidR="006D7F91" w:rsidRDefault="0040114C">
            <w:pPr>
              <w:jc w:val="center"/>
            </w:pPr>
            <w:r>
              <w:rPr>
                <w:color w:val="222222"/>
                <w:sz w:val="19"/>
                <w:szCs w:val="19"/>
              </w:rPr>
              <w:t>34.9%</w:t>
            </w:r>
          </w:p>
        </w:tc>
      </w:tr>
      <w:tr w:rsidR="006D7F91" w14:paraId="0DDE55E8"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2B894DDB" w14:textId="77777777" w:rsidR="006D7F91" w:rsidRDefault="0040114C">
            <w:pPr>
              <w:jc w:val="center"/>
            </w:pPr>
            <w:r>
              <w:rPr>
                <w:b/>
                <w:bCs/>
                <w:color w:val="1B3A6B"/>
                <w:sz w:val="19"/>
                <w:szCs w:val="19"/>
              </w:rPr>
              <w:t>Low Balance</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4D7C8DD8" w14:textId="77777777" w:rsidR="006D7F91" w:rsidRDefault="0040114C">
            <w:r>
              <w:rPr>
                <w:color w:val="222222"/>
                <w:sz w:val="19"/>
                <w:szCs w:val="19"/>
              </w:rPr>
              <w:t>2,861</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E5A75A7" w14:textId="77777777" w:rsidR="006D7F91" w:rsidRDefault="0040114C">
            <w:r>
              <w:rPr>
                <w:color w:val="222222"/>
                <w:sz w:val="19"/>
                <w:szCs w:val="19"/>
              </w:rPr>
              <w:t>1,790</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F606DDF" w14:textId="77777777" w:rsidR="006D7F91" w:rsidRDefault="0040114C">
            <w:r>
              <w:rPr>
                <w:color w:val="222222"/>
                <w:sz w:val="19"/>
                <w:szCs w:val="19"/>
              </w:rPr>
              <w:t>4,651</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163D490" w14:textId="77777777" w:rsidR="006D7F91" w:rsidRDefault="0040114C">
            <w:pPr>
              <w:jc w:val="center"/>
            </w:pPr>
            <w:r>
              <w:rPr>
                <w:color w:val="222222"/>
                <w:sz w:val="19"/>
                <w:szCs w:val="19"/>
              </w:rPr>
              <w:t>38.5%</w:t>
            </w:r>
          </w:p>
        </w:tc>
      </w:tr>
      <w:tr w:rsidR="006D7F91" w14:paraId="52492D96"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25926499" w14:textId="77777777" w:rsidR="006D7F91" w:rsidRDefault="0040114C">
            <w:pPr>
              <w:jc w:val="center"/>
            </w:pPr>
            <w:r>
              <w:rPr>
                <w:b/>
                <w:bCs/>
                <w:color w:val="1B3A6B"/>
                <w:sz w:val="19"/>
                <w:szCs w:val="19"/>
              </w:rPr>
              <w:t>Medium Balance</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C2A07B6" w14:textId="77777777" w:rsidR="006D7F91" w:rsidRDefault="0040114C">
            <w:r>
              <w:rPr>
                <w:color w:val="222222"/>
                <w:sz w:val="19"/>
                <w:szCs w:val="19"/>
              </w:rPr>
              <w:t>4,342</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376D1EB" w14:textId="77777777" w:rsidR="006D7F91" w:rsidRDefault="0040114C">
            <w:r>
              <w:rPr>
                <w:color w:val="222222"/>
                <w:sz w:val="19"/>
                <w:szCs w:val="19"/>
              </w:rPr>
              <w:t>3,659</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0600781" w14:textId="77777777" w:rsidR="006D7F91" w:rsidRDefault="0040114C">
            <w:r>
              <w:rPr>
                <w:color w:val="222222"/>
                <w:sz w:val="19"/>
                <w:szCs w:val="19"/>
              </w:rPr>
              <w:t>8,001</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F0C9F53" w14:textId="77777777" w:rsidR="006D7F91" w:rsidRDefault="0040114C">
            <w:pPr>
              <w:jc w:val="center"/>
            </w:pPr>
            <w:r>
              <w:rPr>
                <w:color w:val="222222"/>
                <w:sz w:val="19"/>
                <w:szCs w:val="19"/>
              </w:rPr>
              <w:t>45.7%</w:t>
            </w:r>
          </w:p>
        </w:tc>
      </w:tr>
      <w:tr w:rsidR="006D7F91" w14:paraId="6C88B620"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C66A5D6" w14:textId="77777777" w:rsidR="006D7F91" w:rsidRDefault="0040114C">
            <w:pPr>
              <w:jc w:val="center"/>
            </w:pPr>
            <w:r>
              <w:rPr>
                <w:b/>
                <w:bCs/>
                <w:color w:val="1B3A6B"/>
                <w:sz w:val="19"/>
                <w:szCs w:val="19"/>
              </w:rPr>
              <w:t>High Balance</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68F4F47B" w14:textId="77777777" w:rsidR="006D7F91" w:rsidRDefault="0040114C">
            <w:r>
              <w:rPr>
                <w:color w:val="222222"/>
                <w:sz w:val="19"/>
                <w:szCs w:val="19"/>
              </w:rPr>
              <w:t>4,011</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1854088C" w14:textId="77777777" w:rsidR="006D7F91" w:rsidRDefault="0040114C">
            <w:r>
              <w:rPr>
                <w:color w:val="222222"/>
                <w:sz w:val="19"/>
                <w:szCs w:val="19"/>
              </w:rPr>
              <w:t>3,981</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6AD8B1FB" w14:textId="77777777" w:rsidR="006D7F91" w:rsidRDefault="0040114C">
            <w:r>
              <w:rPr>
                <w:color w:val="222222"/>
                <w:sz w:val="19"/>
                <w:szCs w:val="19"/>
              </w:rPr>
              <w:t>7,992</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630E332" w14:textId="77777777" w:rsidR="006D7F91" w:rsidRDefault="0040114C">
            <w:pPr>
              <w:jc w:val="center"/>
            </w:pPr>
            <w:r>
              <w:rPr>
                <w:color w:val="222222"/>
                <w:sz w:val="19"/>
                <w:szCs w:val="19"/>
              </w:rPr>
              <w:t>49.8%</w:t>
            </w:r>
          </w:p>
        </w:tc>
      </w:tr>
      <w:tr w:rsidR="006D7F91" w14:paraId="34F55704"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3BFD5F8" w14:textId="77777777" w:rsidR="006D7F91" w:rsidRDefault="0040114C">
            <w:pPr>
              <w:jc w:val="center"/>
            </w:pPr>
            <w:r>
              <w:rPr>
                <w:b/>
                <w:bCs/>
                <w:color w:val="1B3A6B"/>
                <w:sz w:val="19"/>
                <w:szCs w:val="19"/>
              </w:rPr>
              <w:t>Very High Balance</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1807E1D" w14:textId="77777777" w:rsidR="006D7F91" w:rsidRDefault="0040114C">
            <w:r>
              <w:rPr>
                <w:color w:val="222222"/>
                <w:sz w:val="19"/>
                <w:szCs w:val="19"/>
              </w:rPr>
              <w:t>3,455</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972CB0B" w14:textId="77777777" w:rsidR="006D7F91" w:rsidRDefault="0040114C">
            <w:r>
              <w:rPr>
                <w:color w:val="222222"/>
                <w:sz w:val="19"/>
                <w:szCs w:val="19"/>
              </w:rPr>
              <w:t>4,540</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3E43ACB" w14:textId="77777777" w:rsidR="006D7F91" w:rsidRDefault="0040114C">
            <w:r>
              <w:rPr>
                <w:color w:val="222222"/>
                <w:sz w:val="19"/>
                <w:szCs w:val="19"/>
              </w:rPr>
              <w:t>7,995</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5B03BDC" w14:textId="77777777" w:rsidR="006D7F91" w:rsidRDefault="0040114C">
            <w:pPr>
              <w:jc w:val="center"/>
            </w:pPr>
            <w:r>
              <w:rPr>
                <w:b/>
                <w:bCs/>
                <w:color w:val="222222"/>
                <w:sz w:val="19"/>
                <w:szCs w:val="19"/>
              </w:rPr>
              <w:t>56.8%</w:t>
            </w:r>
          </w:p>
        </w:tc>
      </w:tr>
      <w:tr w:rsidR="006D7F91" w14:paraId="70C6B93C"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318041A" w14:textId="77777777" w:rsidR="006D7F91" w:rsidRDefault="0040114C">
            <w:pPr>
              <w:jc w:val="center"/>
            </w:pPr>
            <w:r>
              <w:rPr>
                <w:rFonts w:ascii="Arial" w:eastAsia="Arial" w:hAnsi="Arial" w:cs="Arial"/>
                <w:b/>
                <w:bCs/>
                <w:color w:val="FFFFFF"/>
                <w:sz w:val="19"/>
                <w:szCs w:val="19"/>
              </w:rPr>
              <w:t>Grand Total</w:t>
            </w:r>
          </w:p>
        </w:tc>
        <w:tc>
          <w:tcPr>
            <w:tcW w:w="16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B623683" w14:textId="77777777" w:rsidR="006D7F91" w:rsidRDefault="0040114C">
            <w:pPr>
              <w:jc w:val="center"/>
            </w:pPr>
            <w:r>
              <w:rPr>
                <w:rFonts w:ascii="Arial" w:eastAsia="Arial" w:hAnsi="Arial" w:cs="Arial"/>
                <w:b/>
                <w:bCs/>
                <w:color w:val="FFFFFF"/>
                <w:sz w:val="19"/>
                <w:szCs w:val="19"/>
              </w:rPr>
              <w:t>16,858</w:t>
            </w:r>
          </w:p>
        </w:tc>
        <w:tc>
          <w:tcPr>
            <w:tcW w:w="16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1D1E3A1" w14:textId="77777777" w:rsidR="006D7F91" w:rsidRDefault="0040114C">
            <w:pPr>
              <w:jc w:val="center"/>
            </w:pPr>
            <w:r>
              <w:rPr>
                <w:rFonts w:ascii="Arial" w:eastAsia="Arial" w:hAnsi="Arial" w:cs="Arial"/>
                <w:b/>
                <w:bCs/>
                <w:color w:val="FFFFFF"/>
                <w:sz w:val="19"/>
                <w:szCs w:val="19"/>
              </w:rPr>
              <w:t>15,142</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C167F7C" w14:textId="77777777" w:rsidR="006D7F91" w:rsidRDefault="0040114C">
            <w:pPr>
              <w:jc w:val="center"/>
            </w:pPr>
            <w:r>
              <w:rPr>
                <w:rFonts w:ascii="Arial" w:eastAsia="Arial" w:hAnsi="Arial" w:cs="Arial"/>
                <w:b/>
                <w:bCs/>
                <w:color w:val="FFFFFF"/>
                <w:sz w:val="19"/>
                <w:szCs w:val="19"/>
              </w:rPr>
              <w:t>32,000</w:t>
            </w:r>
          </w:p>
        </w:tc>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625BCC0" w14:textId="77777777" w:rsidR="006D7F91" w:rsidRDefault="0040114C">
            <w:pPr>
              <w:jc w:val="center"/>
            </w:pPr>
            <w:r>
              <w:rPr>
                <w:rFonts w:ascii="Arial" w:eastAsia="Arial" w:hAnsi="Arial" w:cs="Arial"/>
                <w:b/>
                <w:bCs/>
                <w:color w:val="FFFFFF"/>
                <w:sz w:val="19"/>
                <w:szCs w:val="19"/>
              </w:rPr>
              <w:t>47.3%</w:t>
            </w:r>
          </w:p>
        </w:tc>
      </w:tr>
    </w:tbl>
    <w:p w14:paraId="12BD2870" w14:textId="77777777" w:rsidR="006D7F91" w:rsidRDefault="006D7F91">
      <w:pPr>
        <w:spacing w:before="100"/>
      </w:pPr>
    </w:p>
    <w:p w14:paraId="7DC50B0E" w14:textId="77777777" w:rsidR="006D7F91" w:rsidRDefault="0040114C">
      <w:pPr>
        <w:spacing w:before="120" w:after="40"/>
      </w:pPr>
      <w:r>
        <w:rPr>
          <w:rFonts w:ascii="Arial" w:eastAsia="Arial" w:hAnsi="Arial" w:cs="Arial"/>
          <w:b/>
          <w:bCs/>
          <w:color w:val="2E5FAC"/>
          <w:sz w:val="20"/>
          <w:szCs w:val="20"/>
        </w:rPr>
        <w:t>Subscription Rate Formula:</w:t>
      </w:r>
    </w:p>
    <w:p w14:paraId="0B460509"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183BE1F2" w14:textId="77777777" w:rsidR="006D7F91" w:rsidRDefault="0040114C">
      <w:pPr>
        <w:spacing w:before="80" w:after="120" w:line="280" w:lineRule="auto"/>
        <w:jc w:val="both"/>
      </w:pPr>
      <w:r>
        <w:rPr>
          <w:i/>
          <w:iCs/>
          <w:color w:val="555555"/>
        </w:rPr>
        <w:t>Example — Very High Balance:  4,540 ÷ 7,995 × 100 = 56.8%</w:t>
      </w:r>
    </w:p>
    <w:p w14:paraId="4C57B2D1" w14:textId="77777777" w:rsidR="006D7F91" w:rsidRDefault="006D7F91">
      <w:pPr>
        <w:spacing w:before="120"/>
      </w:pPr>
    </w:p>
    <w:p w14:paraId="5B73D4B7" w14:textId="77777777" w:rsidR="006D7F91" w:rsidRDefault="0040114C">
      <w:pPr>
        <w:pStyle w:val="Heading2"/>
      </w:pPr>
      <w:r>
        <w:t>13.2  Findings</w:t>
      </w:r>
    </w:p>
    <w:p w14:paraId="05B453B0" w14:textId="77777777" w:rsidR="006D7F91" w:rsidRDefault="0040114C">
      <w:pPr>
        <w:spacing w:before="80" w:after="120" w:line="280" w:lineRule="auto"/>
        <w:jc w:val="both"/>
      </w:pPr>
      <w:r>
        <w:rPr>
          <w:color w:val="222222"/>
        </w:rPr>
        <w:t>The data reveals a clear and consistent positive relationship between account balance and subscription rate. Moving from Negative Balance (34.9%) through Low (38.5%), Medium (45.7%), High (49.8%), to Very High Balance (56.8%), the subscription rate increas</w:t>
      </w:r>
      <w:r>
        <w:rPr>
          <w:color w:val="222222"/>
        </w:rPr>
        <w:t>es steadily with each tier. This monotonic pattern — where every step up in balance corresponds to a higher conversion rate — is one of the most statistically elegant findings in the entire dataset.</w:t>
      </w:r>
    </w:p>
    <w:p w14:paraId="71FB4D4B" w14:textId="77777777" w:rsidR="006D7F91" w:rsidRDefault="006D7F91">
      <w:pPr>
        <w:spacing w:before="80"/>
      </w:pPr>
    </w:p>
    <w:p w14:paraId="50D12597" w14:textId="77777777" w:rsidR="006D7F91" w:rsidRDefault="0040114C">
      <w:pPr>
        <w:spacing w:before="80" w:after="120" w:line="280" w:lineRule="auto"/>
        <w:jc w:val="both"/>
      </w:pPr>
      <w:r>
        <w:rPr>
          <w:color w:val="222222"/>
        </w:rPr>
        <w:t>Very High Balance customers are the only segment where s</w:t>
      </w:r>
      <w:r>
        <w:rPr>
          <w:color w:val="222222"/>
        </w:rPr>
        <w:t>ubscribers outnumber non-subscribers in absolute terms (4,540 vs 3,455), reinforcing the strength of this relationship. Medium, High, and Very High Balance segments together account for 23,988 customers (74.9% of the dataset), providing a substantial and c</w:t>
      </w:r>
      <w:r>
        <w:rPr>
          <w:color w:val="222222"/>
        </w:rPr>
        <w:t>ommercially significant target population.</w:t>
      </w:r>
    </w:p>
    <w:p w14:paraId="029BE8B4" w14:textId="77777777" w:rsidR="006D7F91" w:rsidRDefault="006D7F91">
      <w:pPr>
        <w:spacing w:before="120"/>
      </w:pPr>
    </w:p>
    <w:p w14:paraId="323AE283" w14:textId="77777777" w:rsidR="006D7F91" w:rsidRDefault="0040114C">
      <w:pPr>
        <w:pStyle w:val="Heading2"/>
      </w:pPr>
      <w:r>
        <w:t>13.3  Business Insight</w:t>
      </w:r>
    </w:p>
    <w:p w14:paraId="18107A03" w14:textId="77777777" w:rsidR="006D7F91" w:rsidRDefault="0040114C">
      <w:pPr>
        <w:spacing w:before="80" w:after="120" w:line="280" w:lineRule="auto"/>
        <w:jc w:val="both"/>
      </w:pPr>
      <w:r>
        <w:rPr>
          <w:color w:val="222222"/>
        </w:rPr>
        <w:t>The consistent stepwise increase in subscription rate across balance tiers strongly suggests that financial capacity is a core driver of term deposit adoption. Customers with higher balance</w:t>
      </w:r>
      <w:r>
        <w:rPr>
          <w:color w:val="222222"/>
        </w:rPr>
        <w:t xml:space="preserve">s have greater liquidity, a demonstrated saving </w:t>
      </w:r>
      <w:r>
        <w:rPr>
          <w:color w:val="222222"/>
        </w:rPr>
        <w:lastRenderedPageBreak/>
        <w:t>disposition, and the financial security to lock funds into a fixed-term product without compromising their day-to-day financial needs. This pattern is intuitive and well-supported by the data.</w:t>
      </w:r>
    </w:p>
    <w:p w14:paraId="4B2574F8" w14:textId="77777777" w:rsidR="006D7F91" w:rsidRDefault="006D7F91">
      <w:pPr>
        <w:spacing w:before="80"/>
      </w:pPr>
    </w:p>
    <w:p w14:paraId="77052A8D" w14:textId="77777777" w:rsidR="006D7F91" w:rsidRDefault="0040114C">
      <w:pPr>
        <w:spacing w:before="80" w:after="120" w:line="280" w:lineRule="auto"/>
        <w:jc w:val="both"/>
      </w:pPr>
      <w:r>
        <w:rPr>
          <w:color w:val="222222"/>
        </w:rPr>
        <w:t>Customers in t</w:t>
      </w:r>
      <w:r>
        <w:rPr>
          <w:color w:val="222222"/>
        </w:rPr>
        <w:t>he Negative and Low Balance segments, while collectively representing 8,012 customers, convert at rates of 34.9% and 38.5% respectively — below the dataset average of 47.3%. These customers may face financial constraints that make term deposits impractical</w:t>
      </w:r>
      <w:r>
        <w:rPr>
          <w:color w:val="222222"/>
        </w:rPr>
        <w:t xml:space="preserve"> or unappealing as a savings vehicle.</w:t>
      </w:r>
    </w:p>
    <w:p w14:paraId="1C3E68F9" w14:textId="77777777" w:rsidR="006D7F91" w:rsidRDefault="006D7F91">
      <w:pPr>
        <w:spacing w:before="120"/>
      </w:pPr>
    </w:p>
    <w:p w14:paraId="214DD4C7" w14:textId="77777777" w:rsidR="006D7F91" w:rsidRDefault="0040114C">
      <w:pPr>
        <w:pStyle w:val="Heading2"/>
      </w:pPr>
      <w:r>
        <w:t>13.4  Recommendation</w:t>
      </w:r>
    </w:p>
    <w:p w14:paraId="41E8923C" w14:textId="77777777" w:rsidR="006D7F91" w:rsidRDefault="0040114C">
      <w:pPr>
        <w:spacing w:before="80" w:after="120" w:line="280" w:lineRule="auto"/>
        <w:jc w:val="both"/>
      </w:pPr>
      <w:r>
        <w:rPr>
          <w:color w:val="222222"/>
        </w:rPr>
        <w:t>Balance segment should be a foundational variable in campaign targeting and customer prioritisation. Very High and High Balance customers represent the bank’s most receptive and likely highest-val</w:t>
      </w:r>
      <w:r>
        <w:rPr>
          <w:color w:val="222222"/>
        </w:rPr>
        <w:t xml:space="preserve">ue deposit prospects and should receive premium outreach efforts. Medium Balance customers — the largest single segment at 8,001 customers with a 45.7% subscription rate — represent a strong mid-tier opportunity where even modest improvements in messaging </w:t>
      </w:r>
      <w:r>
        <w:rPr>
          <w:color w:val="222222"/>
        </w:rPr>
        <w:t xml:space="preserve">or incentive design could yield meaningful subscription volume gains. For Low and Negative Balance customers, the bank may consider introductory or small-denomination deposit products designed to build saving habits before graduating them toward full term </w:t>
      </w:r>
      <w:r>
        <w:rPr>
          <w:color w:val="222222"/>
        </w:rPr>
        <w:t>deposit products.</w:t>
      </w:r>
    </w:p>
    <w:p w14:paraId="123EEDA1" w14:textId="77777777" w:rsidR="006D7F91" w:rsidRDefault="006D7F91">
      <w:pPr>
        <w:spacing w:before="200"/>
      </w:pPr>
    </w:p>
    <w:p w14:paraId="132EE733" w14:textId="77777777" w:rsidR="006D7F91" w:rsidRDefault="0040114C">
      <w:pPr>
        <w:pStyle w:val="Heading1"/>
      </w:pPr>
      <w:r>
        <w:t>14. Call Duration Segment Analysis</w:t>
      </w:r>
    </w:p>
    <w:p w14:paraId="09683B5D" w14:textId="77777777" w:rsidR="006D7F91" w:rsidRDefault="006D7F91">
      <w:pPr>
        <w:pBdr>
          <w:bottom w:val="single" w:sz="6" w:space="1" w:color="2E5FAC"/>
        </w:pBdr>
        <w:spacing w:after="160"/>
      </w:pPr>
    </w:p>
    <w:p w14:paraId="7EBA1C39" w14:textId="77777777" w:rsidR="006D7F91" w:rsidRDefault="0040114C">
      <w:pPr>
        <w:spacing w:before="80" w:after="120" w:line="280" w:lineRule="auto"/>
        <w:jc w:val="both"/>
      </w:pPr>
      <w:r>
        <w:rPr>
          <w:color w:val="222222"/>
        </w:rPr>
        <w:t>Call duration — the length of the customer contact during the campaign — was segmented into four categories: Short (1–139 seconds), Standard (140–255 seconds), Long (256–495 seconds), and Extended (abo</w:t>
      </w:r>
      <w:r>
        <w:rPr>
          <w:color w:val="222222"/>
        </w:rPr>
        <w:t>ve 495 seconds). An additional category of Invalid Duration captures the 45 records with negative duration values, which were excluded from all duration-based analysis.</w:t>
      </w:r>
    </w:p>
    <w:p w14:paraId="44D9B4D0" w14:textId="77777777" w:rsidR="006D7F91" w:rsidRDefault="006D7F91">
      <w:pPr>
        <w:spacing w:before="80"/>
      </w:pPr>
    </w:p>
    <w:p w14:paraId="6EFA5E03" w14:textId="77777777" w:rsidR="006D7F91" w:rsidRDefault="0040114C">
      <w:pPr>
        <w:spacing w:before="80" w:after="120" w:line="280" w:lineRule="auto"/>
        <w:jc w:val="both"/>
      </w:pPr>
      <w:r>
        <w:rPr>
          <w:color w:val="222222"/>
        </w:rPr>
        <w:t>Statistical descriptors: Minimum = −28 seconds (invalid) | Q1 = 139 seconds | Median (</w:t>
      </w:r>
      <w:r>
        <w:rPr>
          <w:color w:val="222222"/>
        </w:rPr>
        <w:t xml:space="preserve">Q2) = 256 seconds | Q3 = 495 seconds | Maximum = 3,898 seconds. The distribution is right-skewed. Customer distribution across segments is approximately even, which makes cross-segment rate comparisons more reliable than in many other segments analysed in </w:t>
      </w:r>
      <w:r>
        <w:rPr>
          <w:color w:val="222222"/>
        </w:rPr>
        <w:t>this report.</w:t>
      </w:r>
    </w:p>
    <w:p w14:paraId="15F579C0" w14:textId="77777777" w:rsidR="006D7F91" w:rsidRDefault="006D7F91">
      <w:pPr>
        <w:spacing w:before="120"/>
      </w:pPr>
    </w:p>
    <w:p w14:paraId="054C7A85" w14:textId="77777777" w:rsidR="006D7F91" w:rsidRDefault="0040114C">
      <w:pPr>
        <w:pStyle w:val="Heading2"/>
      </w:pPr>
      <w:r>
        <w:t>14.1  Pivot Table: Call Duration vs. Subscription Outcome</w:t>
      </w:r>
    </w:p>
    <w:p w14:paraId="6204E388"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2000"/>
        <w:gridCol w:w="1680"/>
        <w:gridCol w:w="1680"/>
        <w:gridCol w:w="1800"/>
        <w:gridCol w:w="2200"/>
      </w:tblGrid>
      <w:tr w:rsidR="006D7F91" w14:paraId="5C43E5A0"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099C07B" w14:textId="77777777" w:rsidR="006D7F91" w:rsidRDefault="0040114C">
            <w:pPr>
              <w:jc w:val="center"/>
            </w:pPr>
            <w:r>
              <w:rPr>
                <w:rFonts w:ascii="Arial" w:eastAsia="Arial" w:hAnsi="Arial" w:cs="Arial"/>
                <w:b/>
                <w:bCs/>
                <w:color w:val="FFFFFF"/>
                <w:sz w:val="19"/>
                <w:szCs w:val="19"/>
              </w:rPr>
              <w:t>Duration Segment</w:t>
            </w:r>
          </w:p>
        </w:tc>
        <w:tc>
          <w:tcPr>
            <w:tcW w:w="16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57A13FC" w14:textId="77777777" w:rsidR="006D7F91" w:rsidRDefault="0040114C">
            <w:pPr>
              <w:jc w:val="center"/>
            </w:pPr>
            <w:r>
              <w:rPr>
                <w:rFonts w:ascii="Arial" w:eastAsia="Arial" w:hAnsi="Arial" w:cs="Arial"/>
                <w:b/>
                <w:bCs/>
                <w:color w:val="FFFFFF"/>
                <w:sz w:val="19"/>
                <w:szCs w:val="19"/>
              </w:rPr>
              <w:t>Did Not Subscribe</w:t>
            </w:r>
          </w:p>
        </w:tc>
        <w:tc>
          <w:tcPr>
            <w:tcW w:w="16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75D9A91" w14:textId="77777777" w:rsidR="006D7F91" w:rsidRDefault="0040114C">
            <w:pPr>
              <w:jc w:val="center"/>
            </w:pPr>
            <w:r>
              <w:rPr>
                <w:rFonts w:ascii="Arial" w:eastAsia="Arial" w:hAnsi="Arial" w:cs="Arial"/>
                <w:b/>
                <w:bCs/>
                <w:color w:val="FFFFFF"/>
                <w:sz w:val="19"/>
                <w:szCs w:val="19"/>
              </w:rPr>
              <w:t>Subscribed (Yes)</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CFF755B" w14:textId="77777777" w:rsidR="006D7F91" w:rsidRDefault="0040114C">
            <w:pPr>
              <w:jc w:val="center"/>
            </w:pPr>
            <w:r>
              <w:rPr>
                <w:rFonts w:ascii="Arial" w:eastAsia="Arial" w:hAnsi="Arial" w:cs="Arial"/>
                <w:b/>
                <w:bCs/>
                <w:color w:val="FFFFFF"/>
                <w:sz w:val="19"/>
                <w:szCs w:val="19"/>
              </w:rPr>
              <w:t>Total Customers</w:t>
            </w:r>
          </w:p>
        </w:tc>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F46053E" w14:textId="77777777" w:rsidR="006D7F91" w:rsidRDefault="0040114C">
            <w:pPr>
              <w:jc w:val="center"/>
            </w:pPr>
            <w:r>
              <w:rPr>
                <w:rFonts w:ascii="Arial" w:eastAsia="Arial" w:hAnsi="Arial" w:cs="Arial"/>
                <w:b/>
                <w:bCs/>
                <w:color w:val="FFFFFF"/>
                <w:sz w:val="19"/>
                <w:szCs w:val="19"/>
              </w:rPr>
              <w:t>Subscription Rate</w:t>
            </w:r>
          </w:p>
        </w:tc>
      </w:tr>
      <w:tr w:rsidR="006D7F91" w14:paraId="041CEDE5"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33CD1D9E" w14:textId="77777777" w:rsidR="006D7F91" w:rsidRDefault="0040114C">
            <w:pPr>
              <w:jc w:val="center"/>
            </w:pPr>
            <w:r>
              <w:rPr>
                <w:b/>
                <w:bCs/>
                <w:color w:val="1B3A6B"/>
                <w:sz w:val="19"/>
                <w:szCs w:val="19"/>
              </w:rPr>
              <w:t>Short (1–139s)</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EF5FEDA" w14:textId="77777777" w:rsidR="006D7F91" w:rsidRDefault="0040114C">
            <w:r>
              <w:rPr>
                <w:color w:val="222222"/>
                <w:sz w:val="19"/>
                <w:szCs w:val="19"/>
              </w:rPr>
              <w:t>7,020</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E3EE3D7" w14:textId="77777777" w:rsidR="006D7F91" w:rsidRDefault="0040114C">
            <w:r>
              <w:rPr>
                <w:color w:val="222222"/>
                <w:sz w:val="19"/>
                <w:szCs w:val="19"/>
              </w:rPr>
              <w:t>952</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DB75F22" w14:textId="77777777" w:rsidR="006D7F91" w:rsidRDefault="0040114C">
            <w:r>
              <w:rPr>
                <w:color w:val="222222"/>
                <w:sz w:val="19"/>
                <w:szCs w:val="19"/>
              </w:rPr>
              <w:t>7,972</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EC985C0" w14:textId="77777777" w:rsidR="006D7F91" w:rsidRDefault="0040114C">
            <w:pPr>
              <w:jc w:val="center"/>
            </w:pPr>
            <w:r>
              <w:rPr>
                <w:color w:val="222222"/>
                <w:sz w:val="19"/>
                <w:szCs w:val="19"/>
              </w:rPr>
              <w:t>11.9%</w:t>
            </w:r>
          </w:p>
        </w:tc>
      </w:tr>
      <w:tr w:rsidR="006D7F91" w14:paraId="19AC114E"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64DF272E" w14:textId="77777777" w:rsidR="006D7F91" w:rsidRDefault="0040114C">
            <w:pPr>
              <w:jc w:val="center"/>
            </w:pPr>
            <w:r>
              <w:rPr>
                <w:b/>
                <w:bCs/>
                <w:color w:val="1B3A6B"/>
                <w:sz w:val="19"/>
                <w:szCs w:val="19"/>
              </w:rPr>
              <w:t>Standard (140–255s)</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FEF0A5E" w14:textId="77777777" w:rsidR="006D7F91" w:rsidRDefault="0040114C">
            <w:r>
              <w:rPr>
                <w:color w:val="222222"/>
                <w:sz w:val="19"/>
                <w:szCs w:val="19"/>
              </w:rPr>
              <w:t>4,871</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06D9F3F" w14:textId="77777777" w:rsidR="006D7F91" w:rsidRDefault="0040114C">
            <w:r>
              <w:rPr>
                <w:color w:val="222222"/>
                <w:sz w:val="19"/>
                <w:szCs w:val="19"/>
              </w:rPr>
              <w:t>3,137</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88331B1" w14:textId="77777777" w:rsidR="006D7F91" w:rsidRDefault="0040114C">
            <w:r>
              <w:rPr>
                <w:color w:val="222222"/>
                <w:sz w:val="19"/>
                <w:szCs w:val="19"/>
              </w:rPr>
              <w:t>8,008</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C162C3E" w14:textId="77777777" w:rsidR="006D7F91" w:rsidRDefault="0040114C">
            <w:pPr>
              <w:jc w:val="center"/>
            </w:pPr>
            <w:r>
              <w:rPr>
                <w:color w:val="222222"/>
                <w:sz w:val="19"/>
                <w:szCs w:val="19"/>
              </w:rPr>
              <w:t>39.2%</w:t>
            </w:r>
          </w:p>
        </w:tc>
      </w:tr>
      <w:tr w:rsidR="006D7F91" w14:paraId="3F3A4C2C"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9209B73" w14:textId="77777777" w:rsidR="006D7F91" w:rsidRDefault="0040114C">
            <w:pPr>
              <w:jc w:val="center"/>
            </w:pPr>
            <w:r>
              <w:rPr>
                <w:b/>
                <w:bCs/>
                <w:color w:val="1B3A6B"/>
                <w:sz w:val="19"/>
                <w:szCs w:val="19"/>
              </w:rPr>
              <w:t>Long (256–495s)</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2F87ADE" w14:textId="77777777" w:rsidR="006D7F91" w:rsidRDefault="0040114C">
            <w:r>
              <w:rPr>
                <w:color w:val="222222"/>
                <w:sz w:val="19"/>
                <w:szCs w:val="19"/>
              </w:rPr>
              <w:t>3,471</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18E8CA9" w14:textId="77777777" w:rsidR="006D7F91" w:rsidRDefault="0040114C">
            <w:r>
              <w:rPr>
                <w:color w:val="222222"/>
                <w:sz w:val="19"/>
                <w:szCs w:val="19"/>
              </w:rPr>
              <w:t>4,508</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4B70C89" w14:textId="77777777" w:rsidR="006D7F91" w:rsidRDefault="0040114C">
            <w:r>
              <w:rPr>
                <w:color w:val="222222"/>
                <w:sz w:val="19"/>
                <w:szCs w:val="19"/>
              </w:rPr>
              <w:t>7,979</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D688EC7" w14:textId="77777777" w:rsidR="006D7F91" w:rsidRDefault="0040114C">
            <w:pPr>
              <w:jc w:val="center"/>
            </w:pPr>
            <w:r>
              <w:rPr>
                <w:color w:val="222222"/>
                <w:sz w:val="19"/>
                <w:szCs w:val="19"/>
              </w:rPr>
              <w:t>56.5%</w:t>
            </w:r>
          </w:p>
        </w:tc>
      </w:tr>
      <w:tr w:rsidR="006D7F91" w14:paraId="0EC5B244"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3A8912B2" w14:textId="77777777" w:rsidR="006D7F91" w:rsidRDefault="0040114C">
            <w:pPr>
              <w:jc w:val="center"/>
            </w:pPr>
            <w:r>
              <w:rPr>
                <w:b/>
                <w:bCs/>
                <w:color w:val="1B3A6B"/>
                <w:sz w:val="19"/>
                <w:szCs w:val="19"/>
              </w:rPr>
              <w:t>Extended (495s+)</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79F00EB" w14:textId="77777777" w:rsidR="006D7F91" w:rsidRDefault="0040114C">
            <w:r>
              <w:rPr>
                <w:color w:val="222222"/>
                <w:sz w:val="19"/>
                <w:szCs w:val="19"/>
              </w:rPr>
              <w:t>1,451</w:t>
            </w:r>
          </w:p>
        </w:tc>
        <w:tc>
          <w:tcPr>
            <w:tcW w:w="16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69F3116F" w14:textId="77777777" w:rsidR="006D7F91" w:rsidRDefault="0040114C">
            <w:r>
              <w:rPr>
                <w:color w:val="222222"/>
                <w:sz w:val="19"/>
                <w:szCs w:val="19"/>
              </w:rPr>
              <w:t>6,545</w:t>
            </w:r>
          </w:p>
        </w:tc>
        <w:tc>
          <w:tcPr>
            <w:tcW w:w="180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CF0B5E7" w14:textId="77777777" w:rsidR="006D7F91" w:rsidRDefault="0040114C">
            <w:r>
              <w:rPr>
                <w:color w:val="222222"/>
                <w:sz w:val="19"/>
                <w:szCs w:val="19"/>
              </w:rPr>
              <w:t>7,996</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97F2BF2" w14:textId="77777777" w:rsidR="006D7F91" w:rsidRDefault="0040114C">
            <w:pPr>
              <w:jc w:val="center"/>
            </w:pPr>
            <w:r>
              <w:rPr>
                <w:b/>
                <w:bCs/>
                <w:color w:val="222222"/>
                <w:sz w:val="19"/>
                <w:szCs w:val="19"/>
              </w:rPr>
              <w:t>81.9%</w:t>
            </w:r>
          </w:p>
        </w:tc>
      </w:tr>
      <w:tr w:rsidR="006D7F91" w14:paraId="536E1157"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51549BE4" w14:textId="77777777" w:rsidR="006D7F91" w:rsidRDefault="0040114C">
            <w:pPr>
              <w:jc w:val="center"/>
            </w:pPr>
            <w:r>
              <w:rPr>
                <w:b/>
                <w:bCs/>
                <w:color w:val="1B3A6B"/>
                <w:sz w:val="19"/>
                <w:szCs w:val="19"/>
              </w:rPr>
              <w:t>Invalid Duration</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5ED54B8" w14:textId="77777777" w:rsidR="006D7F91" w:rsidRDefault="0040114C">
            <w:r>
              <w:rPr>
                <w:color w:val="222222"/>
                <w:sz w:val="19"/>
                <w:szCs w:val="19"/>
              </w:rPr>
              <w:t>45</w:t>
            </w:r>
          </w:p>
        </w:tc>
        <w:tc>
          <w:tcPr>
            <w:tcW w:w="16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CD7D6FB" w14:textId="77777777" w:rsidR="006D7F91" w:rsidRDefault="0040114C">
            <w:r>
              <w:rPr>
                <w:color w:val="222222"/>
                <w:sz w:val="19"/>
                <w:szCs w:val="19"/>
              </w:rPr>
              <w:t>0</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F5F479B" w14:textId="77777777" w:rsidR="006D7F91" w:rsidRDefault="0040114C">
            <w:r>
              <w:rPr>
                <w:color w:val="222222"/>
                <w:sz w:val="19"/>
                <w:szCs w:val="19"/>
              </w:rPr>
              <w:t>45</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54AD8DA" w14:textId="77777777" w:rsidR="006D7F91" w:rsidRDefault="0040114C">
            <w:pPr>
              <w:jc w:val="center"/>
            </w:pPr>
            <w:r>
              <w:rPr>
                <w:color w:val="222222"/>
                <w:sz w:val="19"/>
                <w:szCs w:val="19"/>
              </w:rPr>
              <w:t>Excluded</w:t>
            </w:r>
          </w:p>
        </w:tc>
      </w:tr>
      <w:tr w:rsidR="006D7F91" w14:paraId="2C98FDCC" w14:textId="77777777">
        <w:tblPrEx>
          <w:tblCellMar>
            <w:top w:w="0" w:type="dxa"/>
            <w:bottom w:w="0" w:type="dxa"/>
          </w:tblCellMar>
        </w:tblPrEx>
        <w:tc>
          <w:tcPr>
            <w:tcW w:w="20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09C110B" w14:textId="77777777" w:rsidR="006D7F91" w:rsidRDefault="0040114C">
            <w:pPr>
              <w:jc w:val="center"/>
            </w:pPr>
            <w:r>
              <w:rPr>
                <w:rFonts w:ascii="Arial" w:eastAsia="Arial" w:hAnsi="Arial" w:cs="Arial"/>
                <w:b/>
                <w:bCs/>
                <w:color w:val="FFFFFF"/>
                <w:sz w:val="19"/>
                <w:szCs w:val="19"/>
              </w:rPr>
              <w:lastRenderedPageBreak/>
              <w:t>Grand Total</w:t>
            </w:r>
          </w:p>
        </w:tc>
        <w:tc>
          <w:tcPr>
            <w:tcW w:w="16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E46B60D" w14:textId="77777777" w:rsidR="006D7F91" w:rsidRDefault="0040114C">
            <w:pPr>
              <w:jc w:val="center"/>
            </w:pPr>
            <w:r>
              <w:rPr>
                <w:rFonts w:ascii="Arial" w:eastAsia="Arial" w:hAnsi="Arial" w:cs="Arial"/>
                <w:b/>
                <w:bCs/>
                <w:color w:val="FFFFFF"/>
                <w:sz w:val="19"/>
                <w:szCs w:val="19"/>
              </w:rPr>
              <w:t>16,858</w:t>
            </w:r>
          </w:p>
        </w:tc>
        <w:tc>
          <w:tcPr>
            <w:tcW w:w="16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39C2EF82" w14:textId="77777777" w:rsidR="006D7F91" w:rsidRDefault="0040114C">
            <w:pPr>
              <w:jc w:val="center"/>
            </w:pPr>
            <w:r>
              <w:rPr>
                <w:rFonts w:ascii="Arial" w:eastAsia="Arial" w:hAnsi="Arial" w:cs="Arial"/>
                <w:b/>
                <w:bCs/>
                <w:color w:val="FFFFFF"/>
                <w:sz w:val="19"/>
                <w:szCs w:val="19"/>
              </w:rPr>
              <w:t>15,142</w:t>
            </w:r>
          </w:p>
        </w:tc>
        <w:tc>
          <w:tcPr>
            <w:tcW w:w="18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66B1F74" w14:textId="77777777" w:rsidR="006D7F91" w:rsidRDefault="0040114C">
            <w:pPr>
              <w:jc w:val="center"/>
            </w:pPr>
            <w:r>
              <w:rPr>
                <w:rFonts w:ascii="Arial" w:eastAsia="Arial" w:hAnsi="Arial" w:cs="Arial"/>
                <w:b/>
                <w:bCs/>
                <w:color w:val="FFFFFF"/>
                <w:sz w:val="19"/>
                <w:szCs w:val="19"/>
              </w:rPr>
              <w:t>32,000</w:t>
            </w:r>
          </w:p>
        </w:tc>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6A254B8" w14:textId="77777777" w:rsidR="006D7F91" w:rsidRDefault="0040114C">
            <w:pPr>
              <w:jc w:val="center"/>
            </w:pPr>
            <w:r>
              <w:rPr>
                <w:rFonts w:ascii="Arial" w:eastAsia="Arial" w:hAnsi="Arial" w:cs="Arial"/>
                <w:b/>
                <w:bCs/>
                <w:color w:val="FFFFFF"/>
                <w:sz w:val="19"/>
                <w:szCs w:val="19"/>
              </w:rPr>
              <w:t>47.3%</w:t>
            </w:r>
          </w:p>
        </w:tc>
      </w:tr>
    </w:tbl>
    <w:p w14:paraId="044D449E" w14:textId="77777777" w:rsidR="006D7F91" w:rsidRDefault="006D7F91">
      <w:pPr>
        <w:spacing w:before="100"/>
      </w:pPr>
    </w:p>
    <w:p w14:paraId="234E1C25" w14:textId="77777777" w:rsidR="006D7F91" w:rsidRDefault="0040114C">
      <w:pPr>
        <w:spacing w:before="120" w:after="40"/>
      </w:pPr>
      <w:r>
        <w:rPr>
          <w:rFonts w:ascii="Arial" w:eastAsia="Arial" w:hAnsi="Arial" w:cs="Arial"/>
          <w:b/>
          <w:bCs/>
          <w:color w:val="2E5FAC"/>
          <w:sz w:val="20"/>
          <w:szCs w:val="20"/>
        </w:rPr>
        <w:t>Subscription Rate Formula:</w:t>
      </w:r>
    </w:p>
    <w:p w14:paraId="069A7A82"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6F5A7024" w14:textId="77777777" w:rsidR="006D7F91" w:rsidRDefault="0040114C">
      <w:pPr>
        <w:spacing w:before="80" w:after="120" w:line="280" w:lineRule="auto"/>
        <w:jc w:val="both"/>
      </w:pPr>
      <w:r>
        <w:rPr>
          <w:i/>
          <w:iCs/>
          <w:color w:val="555555"/>
        </w:rPr>
        <w:t>Example — Extended calls:  6,545 ÷ 7,996 × 100 = 81.9%</w:t>
      </w:r>
    </w:p>
    <w:p w14:paraId="7B8D07A4" w14:textId="77777777" w:rsidR="006D7F91" w:rsidRDefault="006D7F91">
      <w:pPr>
        <w:spacing w:before="120"/>
      </w:pPr>
    </w:p>
    <w:p w14:paraId="6C6B1470" w14:textId="77777777" w:rsidR="006D7F91" w:rsidRDefault="0040114C">
      <w:pPr>
        <w:pStyle w:val="Heading2"/>
      </w:pPr>
      <w:r>
        <w:t>14.2  Findings</w:t>
      </w:r>
    </w:p>
    <w:p w14:paraId="62FC0240" w14:textId="77777777" w:rsidR="006D7F91" w:rsidRDefault="0040114C">
      <w:pPr>
        <w:spacing w:before="80" w:after="120" w:line="280" w:lineRule="auto"/>
        <w:jc w:val="both"/>
      </w:pPr>
      <w:r>
        <w:rPr>
          <w:color w:val="222222"/>
        </w:rPr>
        <w:t>Call duration exhibits the single strongest and most consistent relationship with subscription outcomes of any variable in this dataset. The subscription rate rises from 11.9% for Short calls to 39.2% for Standard, 56.5% for Long, and 81.9% for Extended ca</w:t>
      </w:r>
      <w:r>
        <w:rPr>
          <w:color w:val="222222"/>
        </w:rPr>
        <w:t>lls — an increase of 70 percentage points from the lowest to the highest duration category. Notably, since customer distribution is approximately equal across the four valid segments (approximately 8,000 customers each), this pattern is not distorted by vo</w:t>
      </w:r>
      <w:r>
        <w:rPr>
          <w:color w:val="222222"/>
        </w:rPr>
        <w:t>lume concentration.</w:t>
      </w:r>
    </w:p>
    <w:p w14:paraId="78EF2AF0" w14:textId="77777777" w:rsidR="006D7F91" w:rsidRDefault="006D7F91">
      <w:pPr>
        <w:spacing w:before="80"/>
      </w:pPr>
    </w:p>
    <w:p w14:paraId="0A4F234A" w14:textId="77777777" w:rsidR="006D7F91" w:rsidRDefault="0040114C">
      <w:pPr>
        <w:spacing w:before="80" w:after="120" w:line="280" w:lineRule="auto"/>
        <w:jc w:val="both"/>
      </w:pPr>
      <w:r>
        <w:rPr>
          <w:color w:val="222222"/>
        </w:rPr>
        <w:t>Extended calls stand out as the highest-performing segment in the entire analysis: 6,545 out of 7,996 customers in this category subscribed to a term deposit, representing a conversion rate of 81.9%.</w:t>
      </w:r>
    </w:p>
    <w:p w14:paraId="19098927" w14:textId="77777777" w:rsidR="006D7F91" w:rsidRDefault="006D7F91">
      <w:pPr>
        <w:spacing w:before="120"/>
      </w:pPr>
    </w:p>
    <w:p w14:paraId="1DDF6AA5" w14:textId="77777777" w:rsidR="006D7F91" w:rsidRDefault="0040114C">
      <w:pPr>
        <w:pStyle w:val="Heading2"/>
      </w:pPr>
      <w:r>
        <w:t>14.3  Business Insight</w:t>
      </w:r>
    </w:p>
    <w:p w14:paraId="1F0B0EBD" w14:textId="77777777" w:rsidR="006D7F91" w:rsidRDefault="0040114C">
      <w:pPr>
        <w:spacing w:before="80" w:after="120" w:line="280" w:lineRule="auto"/>
        <w:jc w:val="both"/>
      </w:pPr>
      <w:r>
        <w:rPr>
          <w:color w:val="222222"/>
        </w:rPr>
        <w:t>The relatio</w:t>
      </w:r>
      <w:r>
        <w:rPr>
          <w:color w:val="222222"/>
        </w:rPr>
        <w:t>nship between call duration and subscription rate may reflect one or both of the following dynamics. First, longer conversations may give agents greater opportunity to explain the product, address concerns, and build customer confidence — particularly impo</w:t>
      </w:r>
      <w:r>
        <w:rPr>
          <w:color w:val="222222"/>
        </w:rPr>
        <w:t>rtant for a product such as a term deposit that requires commitment of funds for a fixed period. Second, and equally plausible, customers who are already interested in the product are likely to stay on the call longer, meaning that extended duration may in</w:t>
      </w:r>
      <w:r>
        <w:rPr>
          <w:color w:val="222222"/>
        </w:rPr>
        <w:t xml:space="preserve"> part be a symptom of high intent rather than solely a cause of conversion.</w:t>
      </w:r>
    </w:p>
    <w:p w14:paraId="0641377D" w14:textId="77777777" w:rsidR="006D7F91" w:rsidRDefault="006D7F91">
      <w:pPr>
        <w:spacing w:before="80"/>
      </w:pPr>
    </w:p>
    <w:p w14:paraId="0EFA6D30" w14:textId="77777777" w:rsidR="006D7F91" w:rsidRDefault="0040114C">
      <w:pPr>
        <w:spacing w:before="80" w:after="120" w:line="280" w:lineRule="auto"/>
        <w:jc w:val="both"/>
      </w:pPr>
      <w:r>
        <w:rPr>
          <w:color w:val="222222"/>
        </w:rPr>
        <w:t>Both interpretations carry practical implications. If longer calls drive conversion, campaign management should resist imposing aggressive call-time targets that cut off productiv</w:t>
      </w:r>
      <w:r>
        <w:rPr>
          <w:color w:val="222222"/>
        </w:rPr>
        <w:t>e conversations. If interested customers self-select into longer calls, agents should be trained to identify early signals of customer interest and invest appropriately in sustaining those interactions.</w:t>
      </w:r>
    </w:p>
    <w:p w14:paraId="383B7572" w14:textId="77777777" w:rsidR="006D7F91" w:rsidRDefault="006D7F91">
      <w:pPr>
        <w:spacing w:before="120"/>
      </w:pPr>
    </w:p>
    <w:p w14:paraId="5C157A4B" w14:textId="77777777" w:rsidR="006D7F91" w:rsidRDefault="0040114C">
      <w:pPr>
        <w:pStyle w:val="Heading2"/>
      </w:pPr>
      <w:r>
        <w:t>14.4  Recommendation</w:t>
      </w:r>
    </w:p>
    <w:p w14:paraId="3F016DF5" w14:textId="77777777" w:rsidR="006D7F91" w:rsidRDefault="0040114C">
      <w:pPr>
        <w:spacing w:before="80" w:after="120" w:line="280" w:lineRule="auto"/>
        <w:jc w:val="both"/>
      </w:pPr>
      <w:r>
        <w:rPr>
          <w:color w:val="222222"/>
        </w:rPr>
        <w:t>Call duration metrics should be</w:t>
      </w:r>
      <w:r>
        <w:rPr>
          <w:color w:val="222222"/>
        </w:rPr>
        <w:t xml:space="preserve"> incorporated into campaign performance monitoring as a leading indicator of conversion quality. Agents demonstrating consistently longer average call durations, paired with high conversion rates, should be identified as performance benchmarks and used to </w:t>
      </w:r>
      <w:r>
        <w:rPr>
          <w:color w:val="222222"/>
        </w:rPr>
        <w:t xml:space="preserve">inform training programmes. Campaign KPIs should be redesigned to reward conversion rate alongside call volume, discouraging premature call termination in the interest of throughput. Additionally, customers who ended previous calls in the Standard or Long </w:t>
      </w:r>
      <w:r>
        <w:rPr>
          <w:color w:val="222222"/>
        </w:rPr>
        <w:t>duration bands without subscribing may represent a re-engagement opportunity: follow-up contact with these individuals could yield additional subscriptions with comparatively modest effort.</w:t>
      </w:r>
    </w:p>
    <w:p w14:paraId="34E41A42" w14:textId="77777777" w:rsidR="006D7F91" w:rsidRDefault="006D7F91">
      <w:pPr>
        <w:spacing w:before="200"/>
      </w:pPr>
    </w:p>
    <w:p w14:paraId="2DD0300B" w14:textId="77777777" w:rsidR="006D7F91" w:rsidRDefault="0040114C">
      <w:pPr>
        <w:pStyle w:val="Heading1"/>
      </w:pPr>
      <w:r>
        <w:lastRenderedPageBreak/>
        <w:t>15. Previous Contact Days (PDays) Analysis</w:t>
      </w:r>
    </w:p>
    <w:p w14:paraId="26CFD636" w14:textId="77777777" w:rsidR="006D7F91" w:rsidRDefault="006D7F91">
      <w:pPr>
        <w:pBdr>
          <w:bottom w:val="single" w:sz="6" w:space="1" w:color="2E5FAC"/>
        </w:pBdr>
        <w:spacing w:after="160"/>
      </w:pPr>
    </w:p>
    <w:p w14:paraId="0E59A2A6" w14:textId="77777777" w:rsidR="006D7F91" w:rsidRDefault="0040114C">
      <w:pPr>
        <w:spacing w:before="80" w:after="120" w:line="280" w:lineRule="auto"/>
        <w:jc w:val="both"/>
      </w:pPr>
      <w:r>
        <w:rPr>
          <w:color w:val="222222"/>
        </w:rPr>
        <w:t>The PDays variable me</w:t>
      </w:r>
      <w:r>
        <w:rPr>
          <w:color w:val="222222"/>
        </w:rPr>
        <w:t xml:space="preserve">asures the number of days elapsed since a customer was last contacted in a previous campaign. Customers are segmented into six groups: 0–30 days (recently contacted), 31–90 days, 91–180 days, 181–365 days, 365+ days, and Never Contacted (no prior campaign </w:t>
      </w:r>
      <w:r>
        <w:rPr>
          <w:color w:val="222222"/>
        </w:rPr>
        <w:t>contact on record). This variable provides insight into how recency of engagement influences current campaign responsiveness.</w:t>
      </w:r>
    </w:p>
    <w:p w14:paraId="1FC1634B" w14:textId="77777777" w:rsidR="006D7F91" w:rsidRDefault="006D7F91">
      <w:pPr>
        <w:spacing w:before="120"/>
      </w:pPr>
    </w:p>
    <w:p w14:paraId="590AF56F" w14:textId="77777777" w:rsidR="006D7F91" w:rsidRDefault="0040114C">
      <w:pPr>
        <w:pStyle w:val="Heading2"/>
      </w:pPr>
      <w:r>
        <w:t>15.1  Pivot Table: PDays Segment vs. Subscription Outcome</w:t>
      </w:r>
    </w:p>
    <w:p w14:paraId="14767E37"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2200"/>
        <w:gridCol w:w="1640"/>
        <w:gridCol w:w="1640"/>
        <w:gridCol w:w="1780"/>
        <w:gridCol w:w="2100"/>
      </w:tblGrid>
      <w:tr w:rsidR="006D7F91" w14:paraId="2B0BE383"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0D4C41F" w14:textId="77777777" w:rsidR="006D7F91" w:rsidRDefault="0040114C">
            <w:pPr>
              <w:jc w:val="center"/>
            </w:pPr>
            <w:r>
              <w:rPr>
                <w:rFonts w:ascii="Arial" w:eastAsia="Arial" w:hAnsi="Arial" w:cs="Arial"/>
                <w:b/>
                <w:bCs/>
                <w:color w:val="FFFFFF"/>
                <w:sz w:val="19"/>
                <w:szCs w:val="19"/>
              </w:rPr>
              <w:t>PDays Segment</w:t>
            </w:r>
          </w:p>
        </w:tc>
        <w:tc>
          <w:tcPr>
            <w:tcW w:w="16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D749F52" w14:textId="77777777" w:rsidR="006D7F91" w:rsidRDefault="0040114C">
            <w:pPr>
              <w:jc w:val="center"/>
            </w:pPr>
            <w:r>
              <w:rPr>
                <w:rFonts w:ascii="Arial" w:eastAsia="Arial" w:hAnsi="Arial" w:cs="Arial"/>
                <w:b/>
                <w:bCs/>
                <w:color w:val="FFFFFF"/>
                <w:sz w:val="19"/>
                <w:szCs w:val="19"/>
              </w:rPr>
              <w:t>Did Not Subscribe</w:t>
            </w:r>
          </w:p>
        </w:tc>
        <w:tc>
          <w:tcPr>
            <w:tcW w:w="16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E10E043" w14:textId="77777777" w:rsidR="006D7F91" w:rsidRDefault="0040114C">
            <w:pPr>
              <w:jc w:val="center"/>
            </w:pPr>
            <w:r>
              <w:rPr>
                <w:rFonts w:ascii="Arial" w:eastAsia="Arial" w:hAnsi="Arial" w:cs="Arial"/>
                <w:b/>
                <w:bCs/>
                <w:color w:val="FFFFFF"/>
                <w:sz w:val="19"/>
                <w:szCs w:val="19"/>
              </w:rPr>
              <w:t>Subscribed (Yes)</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8782B28" w14:textId="77777777" w:rsidR="006D7F91" w:rsidRDefault="0040114C">
            <w:pPr>
              <w:jc w:val="center"/>
            </w:pPr>
            <w:r>
              <w:rPr>
                <w:rFonts w:ascii="Arial" w:eastAsia="Arial" w:hAnsi="Arial" w:cs="Arial"/>
                <w:b/>
                <w:bCs/>
                <w:color w:val="FFFFFF"/>
                <w:sz w:val="19"/>
                <w:szCs w:val="19"/>
              </w:rPr>
              <w:t>Total Customers</w:t>
            </w:r>
          </w:p>
        </w:tc>
        <w:tc>
          <w:tcPr>
            <w:tcW w:w="21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51C5595" w14:textId="77777777" w:rsidR="006D7F91" w:rsidRDefault="0040114C">
            <w:pPr>
              <w:jc w:val="center"/>
            </w:pPr>
            <w:r>
              <w:rPr>
                <w:rFonts w:ascii="Arial" w:eastAsia="Arial" w:hAnsi="Arial" w:cs="Arial"/>
                <w:b/>
                <w:bCs/>
                <w:color w:val="FFFFFF"/>
                <w:sz w:val="19"/>
                <w:szCs w:val="19"/>
              </w:rPr>
              <w:t>Subscription Rate</w:t>
            </w:r>
          </w:p>
        </w:tc>
      </w:tr>
      <w:tr w:rsidR="006D7F91" w14:paraId="766FA14F"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0223DCC7" w14:textId="77777777" w:rsidR="006D7F91" w:rsidRDefault="0040114C">
            <w:pPr>
              <w:jc w:val="center"/>
            </w:pPr>
            <w:r>
              <w:rPr>
                <w:b/>
                <w:bCs/>
                <w:color w:val="1B3A6B"/>
                <w:sz w:val="19"/>
                <w:szCs w:val="19"/>
              </w:rPr>
              <w:t>0–30 Days</w:t>
            </w:r>
          </w:p>
        </w:tc>
        <w:tc>
          <w:tcPr>
            <w:tcW w:w="1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4D97D02" w14:textId="77777777" w:rsidR="006D7F91" w:rsidRDefault="0040114C">
            <w:r>
              <w:rPr>
                <w:color w:val="222222"/>
                <w:sz w:val="19"/>
                <w:szCs w:val="19"/>
              </w:rPr>
              <w:t>8,286</w:t>
            </w:r>
          </w:p>
        </w:tc>
        <w:tc>
          <w:tcPr>
            <w:tcW w:w="1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69D90D8" w14:textId="77777777" w:rsidR="006D7F91" w:rsidRDefault="0040114C">
            <w:r>
              <w:rPr>
                <w:color w:val="222222"/>
                <w:sz w:val="19"/>
                <w:szCs w:val="19"/>
              </w:rPr>
              <w:t>5,682</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5CA7427" w14:textId="77777777" w:rsidR="006D7F91" w:rsidRDefault="0040114C">
            <w:r>
              <w:rPr>
                <w:color w:val="222222"/>
                <w:sz w:val="19"/>
                <w:szCs w:val="19"/>
              </w:rPr>
              <w:t>13,968</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2D6D329" w14:textId="77777777" w:rsidR="006D7F91" w:rsidRDefault="0040114C">
            <w:pPr>
              <w:jc w:val="center"/>
            </w:pPr>
            <w:r>
              <w:rPr>
                <w:color w:val="222222"/>
                <w:sz w:val="19"/>
                <w:szCs w:val="19"/>
              </w:rPr>
              <w:t>40.7%</w:t>
            </w:r>
          </w:p>
        </w:tc>
      </w:tr>
      <w:tr w:rsidR="006D7F91" w14:paraId="06E785DD"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338C569A" w14:textId="77777777" w:rsidR="006D7F91" w:rsidRDefault="0040114C">
            <w:pPr>
              <w:jc w:val="center"/>
            </w:pPr>
            <w:r>
              <w:rPr>
                <w:b/>
                <w:bCs/>
                <w:color w:val="1B3A6B"/>
                <w:sz w:val="19"/>
                <w:szCs w:val="19"/>
              </w:rPr>
              <w:t>31–90 Days</w:t>
            </w:r>
          </w:p>
        </w:tc>
        <w:tc>
          <w:tcPr>
            <w:tcW w:w="16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9E31203" w14:textId="77777777" w:rsidR="006D7F91" w:rsidRDefault="0040114C">
            <w:r>
              <w:rPr>
                <w:color w:val="222222"/>
                <w:sz w:val="19"/>
                <w:szCs w:val="19"/>
              </w:rPr>
              <w:t>156</w:t>
            </w:r>
          </w:p>
        </w:tc>
        <w:tc>
          <w:tcPr>
            <w:tcW w:w="16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736BC2F" w14:textId="77777777" w:rsidR="006D7F91" w:rsidRDefault="0040114C">
            <w:r>
              <w:rPr>
                <w:color w:val="222222"/>
                <w:sz w:val="19"/>
                <w:szCs w:val="19"/>
              </w:rPr>
              <w:t>768</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9DE084D" w14:textId="77777777" w:rsidR="006D7F91" w:rsidRDefault="0040114C">
            <w:r>
              <w:rPr>
                <w:color w:val="222222"/>
                <w:sz w:val="19"/>
                <w:szCs w:val="19"/>
              </w:rPr>
              <w:t>924</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5F158C6" w14:textId="77777777" w:rsidR="006D7F91" w:rsidRDefault="0040114C">
            <w:pPr>
              <w:jc w:val="center"/>
            </w:pPr>
            <w:r>
              <w:rPr>
                <w:b/>
                <w:bCs/>
                <w:color w:val="222222"/>
                <w:sz w:val="19"/>
                <w:szCs w:val="19"/>
              </w:rPr>
              <w:t>83.1%</w:t>
            </w:r>
          </w:p>
        </w:tc>
      </w:tr>
      <w:tr w:rsidR="006D7F91" w14:paraId="3204C15F"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B073245" w14:textId="77777777" w:rsidR="006D7F91" w:rsidRDefault="0040114C">
            <w:pPr>
              <w:jc w:val="center"/>
            </w:pPr>
            <w:r>
              <w:rPr>
                <w:b/>
                <w:bCs/>
                <w:color w:val="1B3A6B"/>
                <w:sz w:val="19"/>
                <w:szCs w:val="19"/>
              </w:rPr>
              <w:t>91–180 Days</w:t>
            </w:r>
          </w:p>
        </w:tc>
        <w:tc>
          <w:tcPr>
            <w:tcW w:w="1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E2069BD" w14:textId="77777777" w:rsidR="006D7F91" w:rsidRDefault="0040114C">
            <w:r>
              <w:rPr>
                <w:color w:val="222222"/>
                <w:sz w:val="19"/>
                <w:szCs w:val="19"/>
              </w:rPr>
              <w:t>760</w:t>
            </w:r>
          </w:p>
        </w:tc>
        <w:tc>
          <w:tcPr>
            <w:tcW w:w="1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C856E6D" w14:textId="77777777" w:rsidR="006D7F91" w:rsidRDefault="0040114C">
            <w:r>
              <w:rPr>
                <w:color w:val="222222"/>
                <w:sz w:val="19"/>
                <w:szCs w:val="19"/>
              </w:rPr>
              <w:t>1,925</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5E9FB41" w14:textId="77777777" w:rsidR="006D7F91" w:rsidRDefault="0040114C">
            <w:r>
              <w:rPr>
                <w:color w:val="222222"/>
                <w:sz w:val="19"/>
                <w:szCs w:val="19"/>
              </w:rPr>
              <w:t>2,685</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3C58B42C" w14:textId="77777777" w:rsidR="006D7F91" w:rsidRDefault="0040114C">
            <w:pPr>
              <w:jc w:val="center"/>
            </w:pPr>
            <w:r>
              <w:rPr>
                <w:color w:val="222222"/>
                <w:sz w:val="19"/>
                <w:szCs w:val="19"/>
              </w:rPr>
              <w:t>71.7%</w:t>
            </w:r>
          </w:p>
        </w:tc>
      </w:tr>
      <w:tr w:rsidR="006D7F91" w14:paraId="75856FAE"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7B7B14A0" w14:textId="77777777" w:rsidR="006D7F91" w:rsidRDefault="0040114C">
            <w:pPr>
              <w:jc w:val="center"/>
            </w:pPr>
            <w:r>
              <w:rPr>
                <w:b/>
                <w:bCs/>
                <w:color w:val="1B3A6B"/>
                <w:sz w:val="19"/>
                <w:szCs w:val="19"/>
              </w:rPr>
              <w:t>181–365 Days</w:t>
            </w:r>
          </w:p>
        </w:tc>
        <w:tc>
          <w:tcPr>
            <w:tcW w:w="16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BD34A64" w14:textId="77777777" w:rsidR="006D7F91" w:rsidRDefault="0040114C">
            <w:r>
              <w:rPr>
                <w:color w:val="222222"/>
                <w:sz w:val="19"/>
                <w:szCs w:val="19"/>
              </w:rPr>
              <w:t>1,448</w:t>
            </w:r>
          </w:p>
        </w:tc>
        <w:tc>
          <w:tcPr>
            <w:tcW w:w="16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33D9B95E" w14:textId="77777777" w:rsidR="006D7F91" w:rsidRDefault="0040114C">
            <w:r>
              <w:rPr>
                <w:color w:val="222222"/>
                <w:sz w:val="19"/>
                <w:szCs w:val="19"/>
              </w:rPr>
              <w:t>2,095</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42A91939" w14:textId="77777777" w:rsidR="006D7F91" w:rsidRDefault="0040114C">
            <w:r>
              <w:rPr>
                <w:color w:val="222222"/>
                <w:sz w:val="19"/>
                <w:szCs w:val="19"/>
              </w:rPr>
              <w:t>3,543</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C3983E2" w14:textId="77777777" w:rsidR="006D7F91" w:rsidRDefault="0040114C">
            <w:pPr>
              <w:jc w:val="center"/>
            </w:pPr>
            <w:r>
              <w:rPr>
                <w:color w:val="222222"/>
                <w:sz w:val="19"/>
                <w:szCs w:val="19"/>
              </w:rPr>
              <w:t>59.1%</w:t>
            </w:r>
          </w:p>
        </w:tc>
      </w:tr>
      <w:tr w:rsidR="006D7F91" w14:paraId="263D68A6"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B1A6CB6" w14:textId="77777777" w:rsidR="006D7F91" w:rsidRDefault="0040114C">
            <w:pPr>
              <w:jc w:val="center"/>
            </w:pPr>
            <w:r>
              <w:rPr>
                <w:b/>
                <w:bCs/>
                <w:color w:val="1B3A6B"/>
                <w:sz w:val="19"/>
                <w:szCs w:val="19"/>
              </w:rPr>
              <w:t>365+ Days</w:t>
            </w:r>
          </w:p>
        </w:tc>
        <w:tc>
          <w:tcPr>
            <w:tcW w:w="1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FC93764" w14:textId="77777777" w:rsidR="006D7F91" w:rsidRDefault="0040114C">
            <w:r>
              <w:rPr>
                <w:color w:val="222222"/>
                <w:sz w:val="19"/>
                <w:szCs w:val="19"/>
              </w:rPr>
              <w:t>181</w:t>
            </w:r>
          </w:p>
        </w:tc>
        <w:tc>
          <w:tcPr>
            <w:tcW w:w="1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55ED6C9" w14:textId="77777777" w:rsidR="006D7F91" w:rsidRDefault="0040114C">
            <w:r>
              <w:rPr>
                <w:color w:val="222222"/>
                <w:sz w:val="19"/>
                <w:szCs w:val="19"/>
              </w:rPr>
              <w:t>532</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262C697" w14:textId="77777777" w:rsidR="006D7F91" w:rsidRDefault="0040114C">
            <w:r>
              <w:rPr>
                <w:color w:val="222222"/>
                <w:sz w:val="19"/>
                <w:szCs w:val="19"/>
              </w:rPr>
              <w:t>713</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2698C70" w14:textId="77777777" w:rsidR="006D7F91" w:rsidRDefault="0040114C">
            <w:pPr>
              <w:jc w:val="center"/>
            </w:pPr>
            <w:r>
              <w:rPr>
                <w:color w:val="222222"/>
                <w:sz w:val="19"/>
                <w:szCs w:val="19"/>
              </w:rPr>
              <w:t>74.6%</w:t>
            </w:r>
          </w:p>
        </w:tc>
      </w:tr>
      <w:tr w:rsidR="006D7F91" w14:paraId="3E01EC5A"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1CE4787C" w14:textId="77777777" w:rsidR="006D7F91" w:rsidRDefault="0040114C">
            <w:pPr>
              <w:jc w:val="center"/>
            </w:pPr>
            <w:r>
              <w:rPr>
                <w:b/>
                <w:bCs/>
                <w:color w:val="1B3A6B"/>
                <w:sz w:val="19"/>
                <w:szCs w:val="19"/>
              </w:rPr>
              <w:t>Never Contacted</w:t>
            </w:r>
          </w:p>
        </w:tc>
        <w:tc>
          <w:tcPr>
            <w:tcW w:w="16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3EEDECE" w14:textId="77777777" w:rsidR="006D7F91" w:rsidRDefault="0040114C">
            <w:r>
              <w:rPr>
                <w:color w:val="222222"/>
                <w:sz w:val="19"/>
                <w:szCs w:val="19"/>
              </w:rPr>
              <w:t>6,027</w:t>
            </w:r>
          </w:p>
        </w:tc>
        <w:tc>
          <w:tcPr>
            <w:tcW w:w="16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DE62953" w14:textId="77777777" w:rsidR="006D7F91" w:rsidRDefault="0040114C">
            <w:r>
              <w:rPr>
                <w:color w:val="222222"/>
                <w:sz w:val="19"/>
                <w:szCs w:val="19"/>
              </w:rPr>
              <w:t>4,140</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01CC409B" w14:textId="77777777" w:rsidR="006D7F91" w:rsidRDefault="0040114C">
            <w:r>
              <w:rPr>
                <w:color w:val="222222"/>
                <w:sz w:val="19"/>
                <w:szCs w:val="19"/>
              </w:rPr>
              <w:t>10,167</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3D719B5" w14:textId="77777777" w:rsidR="006D7F91" w:rsidRDefault="0040114C">
            <w:pPr>
              <w:jc w:val="center"/>
            </w:pPr>
            <w:r>
              <w:rPr>
                <w:color w:val="222222"/>
                <w:sz w:val="19"/>
                <w:szCs w:val="19"/>
              </w:rPr>
              <w:t>40.7%</w:t>
            </w:r>
          </w:p>
        </w:tc>
      </w:tr>
      <w:tr w:rsidR="006D7F91" w14:paraId="38BD7AFC"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AD520FE" w14:textId="77777777" w:rsidR="006D7F91" w:rsidRDefault="0040114C">
            <w:pPr>
              <w:jc w:val="center"/>
            </w:pPr>
            <w:r>
              <w:rPr>
                <w:rFonts w:ascii="Arial" w:eastAsia="Arial" w:hAnsi="Arial" w:cs="Arial"/>
                <w:b/>
                <w:bCs/>
                <w:color w:val="FFFFFF"/>
                <w:sz w:val="19"/>
                <w:szCs w:val="19"/>
              </w:rPr>
              <w:t>Grand Total</w:t>
            </w:r>
          </w:p>
        </w:tc>
        <w:tc>
          <w:tcPr>
            <w:tcW w:w="16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D5FAA7C" w14:textId="77777777" w:rsidR="006D7F91" w:rsidRDefault="0040114C">
            <w:pPr>
              <w:jc w:val="center"/>
            </w:pPr>
            <w:r>
              <w:rPr>
                <w:rFonts w:ascii="Arial" w:eastAsia="Arial" w:hAnsi="Arial" w:cs="Arial"/>
                <w:b/>
                <w:bCs/>
                <w:color w:val="FFFFFF"/>
                <w:sz w:val="19"/>
                <w:szCs w:val="19"/>
              </w:rPr>
              <w:t>16,858</w:t>
            </w:r>
          </w:p>
        </w:tc>
        <w:tc>
          <w:tcPr>
            <w:tcW w:w="16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A1C146A" w14:textId="77777777" w:rsidR="006D7F91" w:rsidRDefault="0040114C">
            <w:pPr>
              <w:jc w:val="center"/>
            </w:pPr>
            <w:r>
              <w:rPr>
                <w:rFonts w:ascii="Arial" w:eastAsia="Arial" w:hAnsi="Arial" w:cs="Arial"/>
                <w:b/>
                <w:bCs/>
                <w:color w:val="FFFFFF"/>
                <w:sz w:val="19"/>
                <w:szCs w:val="19"/>
              </w:rPr>
              <w:t>15,142</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247F749" w14:textId="77777777" w:rsidR="006D7F91" w:rsidRDefault="0040114C">
            <w:pPr>
              <w:jc w:val="center"/>
            </w:pPr>
            <w:r>
              <w:rPr>
                <w:rFonts w:ascii="Arial" w:eastAsia="Arial" w:hAnsi="Arial" w:cs="Arial"/>
                <w:b/>
                <w:bCs/>
                <w:color w:val="FFFFFF"/>
                <w:sz w:val="19"/>
                <w:szCs w:val="19"/>
              </w:rPr>
              <w:t>32,000</w:t>
            </w:r>
          </w:p>
        </w:tc>
        <w:tc>
          <w:tcPr>
            <w:tcW w:w="21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6DE657A6" w14:textId="77777777" w:rsidR="006D7F91" w:rsidRDefault="0040114C">
            <w:pPr>
              <w:jc w:val="center"/>
            </w:pPr>
            <w:r>
              <w:rPr>
                <w:rFonts w:ascii="Arial" w:eastAsia="Arial" w:hAnsi="Arial" w:cs="Arial"/>
                <w:b/>
                <w:bCs/>
                <w:color w:val="FFFFFF"/>
                <w:sz w:val="19"/>
                <w:szCs w:val="19"/>
              </w:rPr>
              <w:t>47.3%</w:t>
            </w:r>
          </w:p>
        </w:tc>
      </w:tr>
    </w:tbl>
    <w:p w14:paraId="5823DCCD" w14:textId="77777777" w:rsidR="006D7F91" w:rsidRDefault="006D7F91">
      <w:pPr>
        <w:spacing w:before="100"/>
      </w:pPr>
    </w:p>
    <w:p w14:paraId="72DA9AB5" w14:textId="77777777" w:rsidR="006D7F91" w:rsidRDefault="0040114C">
      <w:pPr>
        <w:spacing w:before="120" w:after="40"/>
      </w:pPr>
      <w:r>
        <w:rPr>
          <w:rFonts w:ascii="Arial" w:eastAsia="Arial" w:hAnsi="Arial" w:cs="Arial"/>
          <w:b/>
          <w:bCs/>
          <w:color w:val="2E5FAC"/>
          <w:sz w:val="20"/>
          <w:szCs w:val="20"/>
        </w:rPr>
        <w:t>Subscription Rate Formula:</w:t>
      </w:r>
    </w:p>
    <w:p w14:paraId="476E03B8"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62918E52" w14:textId="77777777" w:rsidR="006D7F91" w:rsidRDefault="0040114C">
      <w:pPr>
        <w:spacing w:before="80" w:after="120" w:line="280" w:lineRule="auto"/>
        <w:jc w:val="both"/>
      </w:pPr>
      <w:r>
        <w:rPr>
          <w:i/>
          <w:iCs/>
          <w:color w:val="555555"/>
        </w:rPr>
        <w:t>Example — 31–90 Days:  768 ÷ 924 × 100 = 83.1%</w:t>
      </w:r>
    </w:p>
    <w:p w14:paraId="050DCFE3" w14:textId="77777777" w:rsidR="006D7F91" w:rsidRDefault="006D7F91">
      <w:pPr>
        <w:spacing w:before="120"/>
      </w:pPr>
    </w:p>
    <w:p w14:paraId="7DECE0BF" w14:textId="77777777" w:rsidR="006D7F91" w:rsidRDefault="0040114C">
      <w:pPr>
        <w:pStyle w:val="Heading2"/>
      </w:pPr>
      <w:r>
        <w:t>15.2  Findings</w:t>
      </w:r>
    </w:p>
    <w:p w14:paraId="037702D1" w14:textId="77777777" w:rsidR="006D7F91" w:rsidRDefault="0040114C">
      <w:pPr>
        <w:spacing w:before="80" w:after="120" w:line="280" w:lineRule="auto"/>
        <w:jc w:val="both"/>
      </w:pPr>
      <w:r>
        <w:rPr>
          <w:color w:val="222222"/>
        </w:rPr>
        <w:t>The 0–30 Days segment has the highest customer volume (13,968) and generates the most subscriptions in absolute terms (5,682). However, its subscription rate of 40.7% is the lowest among all segments with prior campaign contact — and identical to the Never</w:t>
      </w:r>
      <w:r>
        <w:rPr>
          <w:color w:val="222222"/>
        </w:rPr>
        <w:t xml:space="preserve"> Contacted group at 40.7%.</w:t>
      </w:r>
    </w:p>
    <w:p w14:paraId="07B3B01F" w14:textId="77777777" w:rsidR="006D7F91" w:rsidRDefault="006D7F91">
      <w:pPr>
        <w:spacing w:before="80"/>
      </w:pPr>
    </w:p>
    <w:p w14:paraId="13783E7A" w14:textId="77777777" w:rsidR="006D7F91" w:rsidRDefault="0040114C">
      <w:pPr>
        <w:spacing w:before="80" w:after="120" w:line="280" w:lineRule="auto"/>
        <w:jc w:val="both"/>
      </w:pPr>
      <w:r>
        <w:rPr>
          <w:color w:val="222222"/>
        </w:rPr>
        <w:t>The highest subscription rate belongs to customers last contacted 31–90 days ago at 83.1%, followed by 365+ Days at 74.6%, 91–180 Days at 71.7%, and 181–365 Days at 59.1%. Every segment with prior campaign contact between 31 and</w:t>
      </w:r>
      <w:r>
        <w:rPr>
          <w:color w:val="222222"/>
        </w:rPr>
        <w:t xml:space="preserve"> 365+ days outperforms both the recently contacted (0–30 days) and Never Contacted groups by a substantial margin.</w:t>
      </w:r>
    </w:p>
    <w:p w14:paraId="07017E0E" w14:textId="77777777" w:rsidR="006D7F91" w:rsidRDefault="006D7F91">
      <w:pPr>
        <w:spacing w:before="120"/>
      </w:pPr>
    </w:p>
    <w:p w14:paraId="5F4D873F" w14:textId="77777777" w:rsidR="006D7F91" w:rsidRDefault="0040114C">
      <w:pPr>
        <w:pStyle w:val="Heading2"/>
      </w:pPr>
      <w:r>
        <w:t>15.3  Business Insight</w:t>
      </w:r>
    </w:p>
    <w:p w14:paraId="3C4A6383" w14:textId="77777777" w:rsidR="006D7F91" w:rsidRDefault="0040114C">
      <w:pPr>
        <w:spacing w:before="80" w:after="120" w:line="280" w:lineRule="auto"/>
        <w:jc w:val="both"/>
      </w:pPr>
      <w:r>
        <w:rPr>
          <w:color w:val="222222"/>
        </w:rPr>
        <w:t>The matching subscription rates of the 0–30 Days and Never Contacted groups (both 40.7%) is a striking finding: custo</w:t>
      </w:r>
      <w:r>
        <w:rPr>
          <w:color w:val="222222"/>
        </w:rPr>
        <w:t xml:space="preserve">mers contacted very recently are no more responsive than entirely new customers. This suggests that contacting a customer too soon after a previous campaign may not allow sufficient time for the product to resonate, for the customer to consider the offer, </w:t>
      </w:r>
      <w:r>
        <w:rPr>
          <w:color w:val="222222"/>
        </w:rPr>
        <w:t>or for their financial circumstances to change in favour of subscribing.</w:t>
      </w:r>
    </w:p>
    <w:p w14:paraId="0CD87A73" w14:textId="77777777" w:rsidR="006D7F91" w:rsidRDefault="006D7F91">
      <w:pPr>
        <w:spacing w:before="80"/>
      </w:pPr>
    </w:p>
    <w:p w14:paraId="67DE49CB" w14:textId="77777777" w:rsidR="006D7F91" w:rsidRDefault="0040114C">
      <w:pPr>
        <w:spacing w:before="80" w:after="120" w:line="280" w:lineRule="auto"/>
        <w:jc w:val="both"/>
      </w:pPr>
      <w:r>
        <w:rPr>
          <w:color w:val="222222"/>
        </w:rPr>
        <w:t>Conversely, the 31–90 day group’s 83.1% conversion rate — the highest in this analysis — suggests there may be an optimal re-engagement window: long enough for the initial contact to</w:t>
      </w:r>
      <w:r>
        <w:rPr>
          <w:color w:val="222222"/>
        </w:rPr>
        <w:t xml:space="preserve"> have been absorbed, but short enough for the bank relationship to remain fresh. Beyond 180 days, rates remain elevated relative to the 0–30 and Never Contacted segments, suggesting that prior engagement creates a lasting positive effect on subscription li</w:t>
      </w:r>
      <w:r>
        <w:rPr>
          <w:color w:val="222222"/>
        </w:rPr>
        <w:t>kelihood regardless of how much time has passed.</w:t>
      </w:r>
    </w:p>
    <w:p w14:paraId="55C1DD8A" w14:textId="77777777" w:rsidR="006D7F91" w:rsidRDefault="006D7F91">
      <w:pPr>
        <w:spacing w:before="120"/>
      </w:pPr>
    </w:p>
    <w:p w14:paraId="095CED73" w14:textId="77777777" w:rsidR="006D7F91" w:rsidRDefault="0040114C">
      <w:pPr>
        <w:pStyle w:val="Heading2"/>
      </w:pPr>
      <w:r>
        <w:t>15.4  Recommendation</w:t>
      </w:r>
    </w:p>
    <w:p w14:paraId="4D0E00FC" w14:textId="77777777" w:rsidR="006D7F91" w:rsidRDefault="0040114C">
      <w:pPr>
        <w:spacing w:before="80" w:after="120" w:line="280" w:lineRule="auto"/>
        <w:jc w:val="both"/>
      </w:pPr>
      <w:r>
        <w:rPr>
          <w:color w:val="222222"/>
        </w:rPr>
        <w:t>Campaign scheduling should incorporate PDays-based segmentation as a re-engagement timing tool. Customers previously contacted between 31 and 180 days ago should be prioritised for re-e</w:t>
      </w:r>
      <w:r>
        <w:rPr>
          <w:color w:val="222222"/>
        </w:rPr>
        <w:t>ngagement, as this window appears to deliver the strongest conversion rates. Customers contacted within the last 30 days should generally be deprioritised for immediate follow-up, as their responsiveness is no higher than that of cold prospects. The bank s</w:t>
      </w:r>
      <w:r>
        <w:rPr>
          <w:color w:val="222222"/>
        </w:rPr>
        <w:t>hould also establish a re-engagement calendar that tracks elapsed time since last contact and triggers outreach to high-potential customers when they enter their optimal re-contact window.</w:t>
      </w:r>
    </w:p>
    <w:p w14:paraId="2D48A3D5" w14:textId="77777777" w:rsidR="006D7F91" w:rsidRDefault="006D7F91">
      <w:pPr>
        <w:spacing w:before="200"/>
      </w:pPr>
    </w:p>
    <w:p w14:paraId="56C1E583" w14:textId="77777777" w:rsidR="006D7F91" w:rsidRDefault="0040114C">
      <w:pPr>
        <w:pStyle w:val="Heading1"/>
      </w:pPr>
      <w:r>
        <w:t>16. Previous Campaign Outcome Analysis</w:t>
      </w:r>
    </w:p>
    <w:p w14:paraId="678EC933" w14:textId="77777777" w:rsidR="006D7F91" w:rsidRDefault="006D7F91">
      <w:pPr>
        <w:pBdr>
          <w:bottom w:val="single" w:sz="6" w:space="1" w:color="2E5FAC"/>
        </w:pBdr>
        <w:spacing w:after="160"/>
      </w:pPr>
    </w:p>
    <w:p w14:paraId="6BC997F8" w14:textId="77777777" w:rsidR="006D7F91" w:rsidRDefault="0040114C">
      <w:pPr>
        <w:spacing w:before="80" w:after="120" w:line="280" w:lineRule="auto"/>
        <w:jc w:val="both"/>
      </w:pPr>
      <w:r>
        <w:rPr>
          <w:color w:val="222222"/>
        </w:rPr>
        <w:t>The Previous Outcome varia</w:t>
      </w:r>
      <w:r>
        <w:rPr>
          <w:color w:val="222222"/>
        </w:rPr>
        <w:t>ble captures the result of any prior marketing campaign conducted by the bank with the same customer (excluding the current campaign). Outcomes are classified as Success, Failure, Other, or Unknown. This variable is a powerful predictor of current campaign</w:t>
      </w:r>
      <w:r>
        <w:rPr>
          <w:color w:val="222222"/>
        </w:rPr>
        <w:t xml:space="preserve"> behaviour, as prior engagement history provides a direct signal of customer receptiveness.</w:t>
      </w:r>
    </w:p>
    <w:p w14:paraId="2FD7FB42" w14:textId="77777777" w:rsidR="006D7F91" w:rsidRDefault="006D7F91">
      <w:pPr>
        <w:spacing w:before="120"/>
      </w:pPr>
    </w:p>
    <w:p w14:paraId="0BCED7B0" w14:textId="77777777" w:rsidR="006D7F91" w:rsidRDefault="0040114C">
      <w:pPr>
        <w:pStyle w:val="Heading2"/>
      </w:pPr>
      <w:r>
        <w:t>16.1  Pivot Table: Previous Outcome vs. Subscription Outcome</w:t>
      </w:r>
    </w:p>
    <w:p w14:paraId="19354412" w14:textId="77777777" w:rsidR="006D7F91" w:rsidRDefault="006D7F91">
      <w:pPr>
        <w:spacing w:before="60"/>
      </w:pPr>
    </w:p>
    <w:tbl>
      <w:tblPr>
        <w:tblW w:w="9360" w:type="dxa"/>
        <w:tblCellMar>
          <w:left w:w="10" w:type="dxa"/>
          <w:right w:w="10" w:type="dxa"/>
        </w:tblCellMar>
        <w:tblLook w:val="0000" w:firstRow="0" w:lastRow="0" w:firstColumn="0" w:lastColumn="0" w:noHBand="0" w:noVBand="0"/>
      </w:tblPr>
      <w:tblGrid>
        <w:gridCol w:w="2200"/>
        <w:gridCol w:w="1640"/>
        <w:gridCol w:w="1640"/>
        <w:gridCol w:w="1780"/>
        <w:gridCol w:w="2100"/>
      </w:tblGrid>
      <w:tr w:rsidR="006D7F91" w14:paraId="5F399D3C"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2B8124CE" w14:textId="77777777" w:rsidR="006D7F91" w:rsidRDefault="0040114C">
            <w:pPr>
              <w:jc w:val="center"/>
            </w:pPr>
            <w:r>
              <w:rPr>
                <w:rFonts w:ascii="Arial" w:eastAsia="Arial" w:hAnsi="Arial" w:cs="Arial"/>
                <w:b/>
                <w:bCs/>
                <w:color w:val="FFFFFF"/>
                <w:sz w:val="19"/>
                <w:szCs w:val="19"/>
              </w:rPr>
              <w:t>Previous Outcome</w:t>
            </w:r>
          </w:p>
        </w:tc>
        <w:tc>
          <w:tcPr>
            <w:tcW w:w="16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46DCA81" w14:textId="77777777" w:rsidR="006D7F91" w:rsidRDefault="0040114C">
            <w:pPr>
              <w:jc w:val="center"/>
            </w:pPr>
            <w:r>
              <w:rPr>
                <w:rFonts w:ascii="Arial" w:eastAsia="Arial" w:hAnsi="Arial" w:cs="Arial"/>
                <w:b/>
                <w:bCs/>
                <w:color w:val="FFFFFF"/>
                <w:sz w:val="19"/>
                <w:szCs w:val="19"/>
              </w:rPr>
              <w:t>Did Not Subscribe</w:t>
            </w:r>
          </w:p>
        </w:tc>
        <w:tc>
          <w:tcPr>
            <w:tcW w:w="16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2FE7E45" w14:textId="77777777" w:rsidR="006D7F91" w:rsidRDefault="0040114C">
            <w:pPr>
              <w:jc w:val="center"/>
            </w:pPr>
            <w:r>
              <w:rPr>
                <w:rFonts w:ascii="Arial" w:eastAsia="Arial" w:hAnsi="Arial" w:cs="Arial"/>
                <w:b/>
                <w:bCs/>
                <w:color w:val="FFFFFF"/>
                <w:sz w:val="19"/>
                <w:szCs w:val="19"/>
              </w:rPr>
              <w:t>Subscribed (Yes)</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083EFAE1" w14:textId="77777777" w:rsidR="006D7F91" w:rsidRDefault="0040114C">
            <w:pPr>
              <w:jc w:val="center"/>
            </w:pPr>
            <w:r>
              <w:rPr>
                <w:rFonts w:ascii="Arial" w:eastAsia="Arial" w:hAnsi="Arial" w:cs="Arial"/>
                <w:b/>
                <w:bCs/>
                <w:color w:val="FFFFFF"/>
                <w:sz w:val="19"/>
                <w:szCs w:val="19"/>
              </w:rPr>
              <w:t>Total Customers</w:t>
            </w:r>
          </w:p>
        </w:tc>
        <w:tc>
          <w:tcPr>
            <w:tcW w:w="21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732B4D19" w14:textId="77777777" w:rsidR="006D7F91" w:rsidRDefault="0040114C">
            <w:pPr>
              <w:jc w:val="center"/>
            </w:pPr>
            <w:r>
              <w:rPr>
                <w:rFonts w:ascii="Arial" w:eastAsia="Arial" w:hAnsi="Arial" w:cs="Arial"/>
                <w:b/>
                <w:bCs/>
                <w:color w:val="FFFFFF"/>
                <w:sz w:val="19"/>
                <w:szCs w:val="19"/>
              </w:rPr>
              <w:t>Subscription Rate</w:t>
            </w:r>
          </w:p>
        </w:tc>
      </w:tr>
      <w:tr w:rsidR="006D7F91" w14:paraId="48A7E56E"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4051E907" w14:textId="77777777" w:rsidR="006D7F91" w:rsidRDefault="0040114C">
            <w:pPr>
              <w:jc w:val="center"/>
            </w:pPr>
            <w:r>
              <w:rPr>
                <w:b/>
                <w:bCs/>
                <w:color w:val="1B3A6B"/>
                <w:sz w:val="19"/>
                <w:szCs w:val="19"/>
              </w:rPr>
              <w:t>Success</w:t>
            </w:r>
          </w:p>
        </w:tc>
        <w:tc>
          <w:tcPr>
            <w:tcW w:w="1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1659068" w14:textId="77777777" w:rsidR="006D7F91" w:rsidRDefault="0040114C">
            <w:r>
              <w:rPr>
                <w:color w:val="222222"/>
                <w:sz w:val="19"/>
                <w:szCs w:val="19"/>
              </w:rPr>
              <w:t>263</w:t>
            </w:r>
          </w:p>
        </w:tc>
        <w:tc>
          <w:tcPr>
            <w:tcW w:w="1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5061979C" w14:textId="77777777" w:rsidR="006D7F91" w:rsidRDefault="0040114C">
            <w:r>
              <w:rPr>
                <w:color w:val="222222"/>
                <w:sz w:val="19"/>
                <w:szCs w:val="19"/>
              </w:rPr>
              <w:t>2,764</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B020D7E" w14:textId="77777777" w:rsidR="006D7F91" w:rsidRDefault="0040114C">
            <w:r>
              <w:rPr>
                <w:color w:val="222222"/>
                <w:sz w:val="19"/>
                <w:szCs w:val="19"/>
              </w:rPr>
              <w:t>3,027</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8CC821A" w14:textId="77777777" w:rsidR="006D7F91" w:rsidRDefault="0040114C">
            <w:pPr>
              <w:jc w:val="center"/>
            </w:pPr>
            <w:r>
              <w:rPr>
                <w:b/>
                <w:bCs/>
                <w:color w:val="222222"/>
                <w:sz w:val="19"/>
                <w:szCs w:val="19"/>
              </w:rPr>
              <w:t>91.3%</w:t>
            </w:r>
          </w:p>
        </w:tc>
      </w:tr>
      <w:tr w:rsidR="006D7F91" w14:paraId="053D8730"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6C197976" w14:textId="77777777" w:rsidR="006D7F91" w:rsidRDefault="0040114C">
            <w:pPr>
              <w:jc w:val="center"/>
            </w:pPr>
            <w:r>
              <w:rPr>
                <w:b/>
                <w:bCs/>
                <w:color w:val="1B3A6B"/>
                <w:sz w:val="19"/>
                <w:szCs w:val="19"/>
              </w:rPr>
              <w:t>Other</w:t>
            </w:r>
          </w:p>
        </w:tc>
        <w:tc>
          <w:tcPr>
            <w:tcW w:w="16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8558F2B" w14:textId="77777777" w:rsidR="006D7F91" w:rsidRDefault="0040114C">
            <w:r>
              <w:rPr>
                <w:color w:val="222222"/>
                <w:sz w:val="19"/>
                <w:szCs w:val="19"/>
              </w:rPr>
              <w:t>639</w:t>
            </w:r>
          </w:p>
        </w:tc>
        <w:tc>
          <w:tcPr>
            <w:tcW w:w="16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75621C4A" w14:textId="77777777" w:rsidR="006D7F91" w:rsidRDefault="0040114C">
            <w:r>
              <w:rPr>
                <w:color w:val="222222"/>
                <w:sz w:val="19"/>
                <w:szCs w:val="19"/>
              </w:rPr>
              <w:t>857</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4FE44183" w14:textId="77777777" w:rsidR="006D7F91" w:rsidRDefault="0040114C">
            <w:r>
              <w:rPr>
                <w:color w:val="222222"/>
                <w:sz w:val="19"/>
                <w:szCs w:val="19"/>
              </w:rPr>
              <w:t>1,496</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02B21789" w14:textId="77777777" w:rsidR="006D7F91" w:rsidRDefault="0040114C">
            <w:pPr>
              <w:jc w:val="center"/>
            </w:pPr>
            <w:r>
              <w:rPr>
                <w:color w:val="222222"/>
                <w:sz w:val="19"/>
                <w:szCs w:val="19"/>
              </w:rPr>
              <w:t>57.3%</w:t>
            </w:r>
          </w:p>
        </w:tc>
      </w:tr>
      <w:tr w:rsidR="006D7F91" w14:paraId="3AD04ACE"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2477FA8F" w14:textId="77777777" w:rsidR="006D7F91" w:rsidRDefault="0040114C">
            <w:pPr>
              <w:jc w:val="center"/>
            </w:pPr>
            <w:r>
              <w:rPr>
                <w:b/>
                <w:bCs/>
                <w:color w:val="1B3A6B"/>
                <w:sz w:val="19"/>
                <w:szCs w:val="19"/>
              </w:rPr>
              <w:t>Failure</w:t>
            </w:r>
          </w:p>
        </w:tc>
        <w:tc>
          <w:tcPr>
            <w:tcW w:w="1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29D3FA50" w14:textId="77777777" w:rsidR="006D7F91" w:rsidRDefault="0040114C">
            <w:r>
              <w:rPr>
                <w:color w:val="222222"/>
                <w:sz w:val="19"/>
                <w:szCs w:val="19"/>
              </w:rPr>
              <w:t>1,718</w:t>
            </w:r>
          </w:p>
        </w:tc>
        <w:tc>
          <w:tcPr>
            <w:tcW w:w="164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44368666" w14:textId="77777777" w:rsidR="006D7F91" w:rsidRDefault="0040114C">
            <w:r>
              <w:rPr>
                <w:color w:val="222222"/>
                <w:sz w:val="19"/>
                <w:szCs w:val="19"/>
              </w:rPr>
              <w:t>1,776</w:t>
            </w:r>
          </w:p>
        </w:tc>
        <w:tc>
          <w:tcPr>
            <w:tcW w:w="178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7ACEC324" w14:textId="77777777" w:rsidR="006D7F91" w:rsidRDefault="0040114C">
            <w:r>
              <w:rPr>
                <w:color w:val="222222"/>
                <w:sz w:val="19"/>
                <w:szCs w:val="19"/>
              </w:rPr>
              <w:t>3,494</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69213A8E" w14:textId="77777777" w:rsidR="006D7F91" w:rsidRDefault="0040114C">
            <w:pPr>
              <w:jc w:val="center"/>
            </w:pPr>
            <w:r>
              <w:rPr>
                <w:color w:val="222222"/>
                <w:sz w:val="19"/>
                <w:szCs w:val="19"/>
              </w:rPr>
              <w:t>50.8%</w:t>
            </w:r>
          </w:p>
        </w:tc>
      </w:tr>
      <w:tr w:rsidR="006D7F91" w14:paraId="28DBCE15"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D6E4F7"/>
            <w:tcMar>
              <w:top w:w="80" w:type="dxa"/>
              <w:left w:w="140" w:type="dxa"/>
              <w:bottom w:w="80" w:type="dxa"/>
              <w:right w:w="140" w:type="dxa"/>
            </w:tcMar>
            <w:vAlign w:val="center"/>
          </w:tcPr>
          <w:p w14:paraId="63D285EB" w14:textId="77777777" w:rsidR="006D7F91" w:rsidRDefault="0040114C">
            <w:pPr>
              <w:jc w:val="center"/>
            </w:pPr>
            <w:r>
              <w:rPr>
                <w:b/>
                <w:bCs/>
                <w:color w:val="1B3A6B"/>
                <w:sz w:val="19"/>
                <w:szCs w:val="19"/>
              </w:rPr>
              <w:t>Unknown</w:t>
            </w:r>
          </w:p>
        </w:tc>
        <w:tc>
          <w:tcPr>
            <w:tcW w:w="16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1E687458" w14:textId="77777777" w:rsidR="006D7F91" w:rsidRDefault="0040114C">
            <w:r>
              <w:rPr>
                <w:color w:val="222222"/>
                <w:sz w:val="19"/>
                <w:szCs w:val="19"/>
              </w:rPr>
              <w:t>14,238</w:t>
            </w:r>
          </w:p>
        </w:tc>
        <w:tc>
          <w:tcPr>
            <w:tcW w:w="164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284423FE" w14:textId="77777777" w:rsidR="006D7F91" w:rsidRDefault="0040114C">
            <w:r>
              <w:rPr>
                <w:color w:val="222222"/>
                <w:sz w:val="19"/>
                <w:szCs w:val="19"/>
              </w:rPr>
              <w:t>9,745</w:t>
            </w:r>
          </w:p>
        </w:tc>
        <w:tc>
          <w:tcPr>
            <w:tcW w:w="1780" w:type="dxa"/>
            <w:tcBorders>
              <w:top w:val="single" w:sz="1" w:space="0" w:color="B0BEC5"/>
              <w:left w:val="single" w:sz="1" w:space="0" w:color="B0BEC5"/>
              <w:bottom w:val="single" w:sz="1" w:space="0" w:color="B0BEC5"/>
              <w:right w:val="single" w:sz="1" w:space="0" w:color="B0BEC5"/>
            </w:tcBorders>
            <w:shd w:val="clear" w:color="auto" w:fill="EEF4FB"/>
            <w:tcMar>
              <w:top w:w="80" w:type="dxa"/>
              <w:left w:w="140" w:type="dxa"/>
              <w:bottom w:w="80" w:type="dxa"/>
              <w:right w:w="140" w:type="dxa"/>
            </w:tcMar>
            <w:vAlign w:val="center"/>
          </w:tcPr>
          <w:p w14:paraId="5925A0D0" w14:textId="77777777" w:rsidR="006D7F91" w:rsidRDefault="0040114C">
            <w:r>
              <w:rPr>
                <w:color w:val="222222"/>
                <w:sz w:val="19"/>
                <w:szCs w:val="19"/>
              </w:rPr>
              <w:t>23,983</w:t>
            </w:r>
          </w:p>
        </w:tc>
        <w:tc>
          <w:tcPr>
            <w:tcW w:w="21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vAlign w:val="center"/>
          </w:tcPr>
          <w:p w14:paraId="139727BA" w14:textId="77777777" w:rsidR="006D7F91" w:rsidRDefault="0040114C">
            <w:pPr>
              <w:jc w:val="center"/>
            </w:pPr>
            <w:r>
              <w:rPr>
                <w:color w:val="222222"/>
                <w:sz w:val="19"/>
                <w:szCs w:val="19"/>
              </w:rPr>
              <w:t>40.6%</w:t>
            </w:r>
          </w:p>
        </w:tc>
      </w:tr>
      <w:tr w:rsidR="006D7F91" w14:paraId="6346F878" w14:textId="77777777">
        <w:tblPrEx>
          <w:tblCellMar>
            <w:top w:w="0" w:type="dxa"/>
            <w:bottom w:w="0" w:type="dxa"/>
          </w:tblCellMar>
        </w:tblPrEx>
        <w:tc>
          <w:tcPr>
            <w:tcW w:w="22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137DC85C" w14:textId="77777777" w:rsidR="006D7F91" w:rsidRDefault="0040114C">
            <w:pPr>
              <w:jc w:val="center"/>
            </w:pPr>
            <w:r>
              <w:rPr>
                <w:rFonts w:ascii="Arial" w:eastAsia="Arial" w:hAnsi="Arial" w:cs="Arial"/>
                <w:b/>
                <w:bCs/>
                <w:color w:val="FFFFFF"/>
                <w:sz w:val="19"/>
                <w:szCs w:val="19"/>
              </w:rPr>
              <w:t>Grand Total</w:t>
            </w:r>
          </w:p>
        </w:tc>
        <w:tc>
          <w:tcPr>
            <w:tcW w:w="16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B7C24E5" w14:textId="77777777" w:rsidR="006D7F91" w:rsidRDefault="0040114C">
            <w:pPr>
              <w:jc w:val="center"/>
            </w:pPr>
            <w:r>
              <w:rPr>
                <w:rFonts w:ascii="Arial" w:eastAsia="Arial" w:hAnsi="Arial" w:cs="Arial"/>
                <w:b/>
                <w:bCs/>
                <w:color w:val="FFFFFF"/>
                <w:sz w:val="19"/>
                <w:szCs w:val="19"/>
              </w:rPr>
              <w:t>16,858</w:t>
            </w:r>
          </w:p>
        </w:tc>
        <w:tc>
          <w:tcPr>
            <w:tcW w:w="164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4A05D3A" w14:textId="77777777" w:rsidR="006D7F91" w:rsidRDefault="0040114C">
            <w:pPr>
              <w:jc w:val="center"/>
            </w:pPr>
            <w:r>
              <w:rPr>
                <w:rFonts w:ascii="Arial" w:eastAsia="Arial" w:hAnsi="Arial" w:cs="Arial"/>
                <w:b/>
                <w:bCs/>
                <w:color w:val="FFFFFF"/>
                <w:sz w:val="19"/>
                <w:szCs w:val="19"/>
              </w:rPr>
              <w:t>15,142</w:t>
            </w:r>
          </w:p>
        </w:tc>
        <w:tc>
          <w:tcPr>
            <w:tcW w:w="178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57255375" w14:textId="77777777" w:rsidR="006D7F91" w:rsidRDefault="0040114C">
            <w:pPr>
              <w:jc w:val="center"/>
            </w:pPr>
            <w:r>
              <w:rPr>
                <w:rFonts w:ascii="Arial" w:eastAsia="Arial" w:hAnsi="Arial" w:cs="Arial"/>
                <w:b/>
                <w:bCs/>
                <w:color w:val="FFFFFF"/>
                <w:sz w:val="19"/>
                <w:szCs w:val="19"/>
              </w:rPr>
              <w:t>32,000</w:t>
            </w:r>
          </w:p>
        </w:tc>
        <w:tc>
          <w:tcPr>
            <w:tcW w:w="2100" w:type="dxa"/>
            <w:tcBorders>
              <w:top w:val="single" w:sz="1" w:space="0" w:color="2E5FAC"/>
              <w:left w:val="single" w:sz="1" w:space="0" w:color="2E5FAC"/>
              <w:bottom w:val="single" w:sz="1" w:space="0" w:color="2E5FAC"/>
              <w:right w:val="single" w:sz="1" w:space="0" w:color="2E5FAC"/>
            </w:tcBorders>
            <w:shd w:val="clear" w:color="auto" w:fill="1B3A6B"/>
            <w:tcMar>
              <w:top w:w="100" w:type="dxa"/>
              <w:left w:w="140" w:type="dxa"/>
              <w:bottom w:w="100" w:type="dxa"/>
              <w:right w:w="140" w:type="dxa"/>
            </w:tcMar>
            <w:vAlign w:val="center"/>
          </w:tcPr>
          <w:p w14:paraId="4DFFA418" w14:textId="77777777" w:rsidR="006D7F91" w:rsidRDefault="0040114C">
            <w:pPr>
              <w:jc w:val="center"/>
            </w:pPr>
            <w:r>
              <w:rPr>
                <w:rFonts w:ascii="Arial" w:eastAsia="Arial" w:hAnsi="Arial" w:cs="Arial"/>
                <w:b/>
                <w:bCs/>
                <w:color w:val="FFFFFF"/>
                <w:sz w:val="19"/>
                <w:szCs w:val="19"/>
              </w:rPr>
              <w:t>47.3%</w:t>
            </w:r>
          </w:p>
        </w:tc>
      </w:tr>
    </w:tbl>
    <w:p w14:paraId="34B705EF" w14:textId="77777777" w:rsidR="006D7F91" w:rsidRDefault="006D7F91">
      <w:pPr>
        <w:spacing w:before="100"/>
      </w:pPr>
    </w:p>
    <w:p w14:paraId="6C6B82B4" w14:textId="77777777" w:rsidR="006D7F91" w:rsidRDefault="0040114C">
      <w:pPr>
        <w:spacing w:before="120" w:after="40"/>
      </w:pPr>
      <w:r>
        <w:rPr>
          <w:rFonts w:ascii="Arial" w:eastAsia="Arial" w:hAnsi="Arial" w:cs="Arial"/>
          <w:b/>
          <w:bCs/>
          <w:color w:val="2E5FAC"/>
          <w:sz w:val="20"/>
          <w:szCs w:val="20"/>
        </w:rPr>
        <w:t>Subscription Rate Formula:</w:t>
      </w:r>
    </w:p>
    <w:p w14:paraId="73822E45" w14:textId="77777777" w:rsidR="006D7F91" w:rsidRDefault="0040114C">
      <w:pPr>
        <w:pBdr>
          <w:top w:val="single" w:sz="4" w:space="0" w:color="2E5FAC"/>
          <w:left w:val="single" w:sz="12" w:space="0" w:color="2E5FAC"/>
          <w:bottom w:val="single" w:sz="4" w:space="0" w:color="2E5FAC"/>
          <w:right w:val="single" w:sz="4" w:space="0" w:color="2E5FAC"/>
        </w:pBdr>
        <w:shd w:val="clear" w:color="auto" w:fill="F0F4FF"/>
        <w:spacing w:before="80" w:after="80" w:line="260" w:lineRule="auto"/>
        <w:ind w:left="200" w:right="200"/>
      </w:pPr>
      <w:r>
        <w:rPr>
          <w:rFonts w:ascii="Courier New" w:eastAsia="Courier New" w:hAnsi="Courier New" w:cs="Courier New"/>
          <w:b/>
          <w:bCs/>
          <w:color w:val="1B3A6B"/>
          <w:sz w:val="20"/>
          <w:szCs w:val="20"/>
        </w:rPr>
        <w:t>Subscription Rate (%) = (Yes ÷ Grand Total) × 100</w:t>
      </w:r>
    </w:p>
    <w:p w14:paraId="64360912" w14:textId="77777777" w:rsidR="006D7F91" w:rsidRDefault="0040114C">
      <w:pPr>
        <w:spacing w:before="80" w:after="120" w:line="280" w:lineRule="auto"/>
        <w:jc w:val="both"/>
      </w:pPr>
      <w:r>
        <w:rPr>
          <w:i/>
          <w:iCs/>
          <w:color w:val="555555"/>
        </w:rPr>
        <w:t>Example — Success:  2,764 ÷ 3,027 × 100 = 91.3%</w:t>
      </w:r>
    </w:p>
    <w:p w14:paraId="0806E90F" w14:textId="77777777" w:rsidR="006D7F91" w:rsidRDefault="006D7F91">
      <w:pPr>
        <w:spacing w:before="120"/>
      </w:pPr>
    </w:p>
    <w:p w14:paraId="0C279F0C" w14:textId="77777777" w:rsidR="006D7F91" w:rsidRDefault="0040114C">
      <w:pPr>
        <w:pStyle w:val="Heading2"/>
      </w:pPr>
      <w:r>
        <w:lastRenderedPageBreak/>
        <w:t>16.2  Findings</w:t>
      </w:r>
    </w:p>
    <w:p w14:paraId="670D447B" w14:textId="77777777" w:rsidR="006D7F91" w:rsidRDefault="0040114C">
      <w:pPr>
        <w:spacing w:before="80" w:after="120" w:line="280" w:lineRule="auto"/>
        <w:jc w:val="both"/>
      </w:pPr>
      <w:r>
        <w:rPr>
          <w:color w:val="222222"/>
        </w:rPr>
        <w:t>Customers whose previous campaign outcome was Success achieved a subscription rate of 91.3% — the highest single segment rate in the entire analysis, and the clearest predictive signal identified in the dataset. This means that out of every 10 customers wh</w:t>
      </w:r>
      <w:r>
        <w:rPr>
          <w:color w:val="222222"/>
        </w:rPr>
        <w:t>o had previously responded positively to a bank campaign, more than 9 subscribed again in the current campaign.</w:t>
      </w:r>
    </w:p>
    <w:p w14:paraId="03091A93" w14:textId="77777777" w:rsidR="006D7F91" w:rsidRDefault="006D7F91">
      <w:pPr>
        <w:spacing w:before="80"/>
      </w:pPr>
    </w:p>
    <w:p w14:paraId="0F4D1E7F" w14:textId="77777777" w:rsidR="006D7F91" w:rsidRDefault="0040114C">
      <w:pPr>
        <w:spacing w:before="80" w:after="120" w:line="280" w:lineRule="auto"/>
        <w:jc w:val="both"/>
      </w:pPr>
      <w:r>
        <w:rPr>
          <w:color w:val="222222"/>
        </w:rPr>
        <w:t>The Unknown category, which accounts for 23,983 customers (74.9% of the total dataset), achieved a subscription rate of 40.6% — below the datas</w:t>
      </w:r>
      <w:r>
        <w:rPr>
          <w:color w:val="222222"/>
        </w:rPr>
        <w:t>et average of 47.3%. This underperformance is notable given that Unknown represents the largest segment by far: the sheer volume of customers in this group means that even moderate improvements in their conversion rate would produce substantial gains in to</w:t>
      </w:r>
      <w:r>
        <w:rPr>
          <w:color w:val="222222"/>
        </w:rPr>
        <w:t>tal subscriptions.</w:t>
      </w:r>
    </w:p>
    <w:p w14:paraId="1C979E3F" w14:textId="77777777" w:rsidR="006D7F91" w:rsidRDefault="006D7F91">
      <w:pPr>
        <w:spacing w:before="80"/>
      </w:pPr>
    </w:p>
    <w:p w14:paraId="7F9E9287" w14:textId="77777777" w:rsidR="006D7F91" w:rsidRDefault="0040114C">
      <w:pPr>
        <w:spacing w:before="80" w:after="120" w:line="280" w:lineRule="auto"/>
        <w:jc w:val="both"/>
      </w:pPr>
      <w:r>
        <w:rPr>
          <w:color w:val="222222"/>
        </w:rPr>
        <w:t>Interestingly, even customers categorised as Failure in their previous campaign outcome achieved a 50.8% subscription rate in the current campaign — slightly above the dataset average. This suggests that prior engagement — even unsucces</w:t>
      </w:r>
      <w:r>
        <w:rPr>
          <w:color w:val="222222"/>
        </w:rPr>
        <w:t>sful engagement — may build some level of familiarity and trust that facilitates future conversion.</w:t>
      </w:r>
    </w:p>
    <w:p w14:paraId="0168355D" w14:textId="77777777" w:rsidR="006D7F91" w:rsidRDefault="006D7F91">
      <w:pPr>
        <w:spacing w:before="120"/>
      </w:pPr>
    </w:p>
    <w:p w14:paraId="15D3EF0E" w14:textId="77777777" w:rsidR="006D7F91" w:rsidRDefault="0040114C">
      <w:pPr>
        <w:pStyle w:val="Heading2"/>
      </w:pPr>
      <w:r>
        <w:t>16.3  Business Insight</w:t>
      </w:r>
    </w:p>
    <w:p w14:paraId="7E869D63" w14:textId="77777777" w:rsidR="006D7F91" w:rsidRDefault="0040114C">
      <w:pPr>
        <w:spacing w:before="80" w:after="120" w:line="280" w:lineRule="auto"/>
        <w:jc w:val="both"/>
      </w:pPr>
      <w:r>
        <w:rPr>
          <w:color w:val="222222"/>
        </w:rPr>
        <w:t>Previous campaign success is the strongest individual predictor of term deposit subscription identified in this analysis, surpassing</w:t>
      </w:r>
      <w:r>
        <w:rPr>
          <w:color w:val="222222"/>
        </w:rPr>
        <w:t xml:space="preserve"> balance level, call duration, and all demographic variables. The 91.3% conversion rate among prior successes reflects a well-established marketing principle: past behaviour is the best predictor of future behaviour. Customers who previously demonstrated w</w:t>
      </w:r>
      <w:r>
        <w:rPr>
          <w:color w:val="222222"/>
        </w:rPr>
        <w:t>illingness to engage with and commit to a bank product are significantly more likely to do so again.</w:t>
      </w:r>
    </w:p>
    <w:p w14:paraId="0D50D83D" w14:textId="77777777" w:rsidR="006D7F91" w:rsidRDefault="006D7F91">
      <w:pPr>
        <w:spacing w:before="80"/>
      </w:pPr>
    </w:p>
    <w:p w14:paraId="7184625E" w14:textId="77777777" w:rsidR="006D7F91" w:rsidRDefault="0040114C">
      <w:pPr>
        <w:spacing w:before="80" w:after="120" w:line="280" w:lineRule="auto"/>
        <w:jc w:val="both"/>
      </w:pPr>
      <w:r>
        <w:rPr>
          <w:color w:val="222222"/>
        </w:rPr>
        <w:t xml:space="preserve">The large Unknown segment’s below-average performance further highlights the value of complete historical campaign data. Customers whose prior outcome is </w:t>
      </w:r>
      <w:r>
        <w:rPr>
          <w:color w:val="222222"/>
        </w:rPr>
        <w:t>unknown cannot be effectively targeted using previous engagement signals, making them harder to optimise for. Improving data capture across campaign touchpoints would allow a greater share of the customer base to be assessed and targeted based on their act</w:t>
      </w:r>
      <w:r>
        <w:rPr>
          <w:color w:val="222222"/>
        </w:rPr>
        <w:t>ual engagement history.</w:t>
      </w:r>
    </w:p>
    <w:p w14:paraId="7EBE918D" w14:textId="77777777" w:rsidR="006D7F91" w:rsidRDefault="006D7F91">
      <w:pPr>
        <w:spacing w:before="120"/>
      </w:pPr>
    </w:p>
    <w:p w14:paraId="6FE2D384" w14:textId="77777777" w:rsidR="006D7F91" w:rsidRDefault="0040114C">
      <w:pPr>
        <w:pStyle w:val="Heading2"/>
      </w:pPr>
      <w:r>
        <w:t>16.4  Recommendation</w:t>
      </w:r>
    </w:p>
    <w:p w14:paraId="6BD9748C" w14:textId="77777777" w:rsidR="006D7F91" w:rsidRDefault="0040114C">
      <w:pPr>
        <w:spacing w:before="80" w:after="120" w:line="280" w:lineRule="auto"/>
        <w:jc w:val="both"/>
      </w:pPr>
      <w:r>
        <w:rPr>
          <w:color w:val="222222"/>
        </w:rPr>
        <w:t>The bank should establish and maintain a dedicated re-engagement pipeline for customers classified as previous campaign Successes. This group should receive priority status in campaign contact lists, with tailo</w:t>
      </w:r>
      <w:r>
        <w:rPr>
          <w:color w:val="222222"/>
        </w:rPr>
        <w:t>red messaging that builds on their prior positive experience and offers products consistent with their demonstrated interests. The 91.3% conversion rate means that allocating outreach resources to this segment will consistently deliver the highest campaign</w:t>
      </w:r>
      <w:r>
        <w:rPr>
          <w:color w:val="222222"/>
        </w:rPr>
        <w:t xml:space="preserve"> return on investment.</w:t>
      </w:r>
    </w:p>
    <w:p w14:paraId="105919F8" w14:textId="77777777" w:rsidR="006D7F91" w:rsidRDefault="006D7F91">
      <w:pPr>
        <w:spacing w:before="80"/>
      </w:pPr>
    </w:p>
    <w:p w14:paraId="4546035A" w14:textId="77777777" w:rsidR="006D7F91" w:rsidRDefault="0040114C">
      <w:pPr>
        <w:spacing w:before="80" w:after="120" w:line="280" w:lineRule="auto"/>
        <w:jc w:val="both"/>
      </w:pPr>
      <w:r>
        <w:rPr>
          <w:color w:val="222222"/>
        </w:rPr>
        <w:t>For the Unknown segment — by far the largest in the dataset — the bank should invest in retrospective data enrichment and prospective data capture to reclassify customers based on historical interaction records wherever possible. Ov</w:t>
      </w:r>
      <w:r>
        <w:rPr>
          <w:color w:val="222222"/>
        </w:rPr>
        <w:t>er time, reducing the Unknown proportion of the customer base will enable more precise targeting and measurably improved campaign efficiency.</w:t>
      </w:r>
    </w:p>
    <w:p w14:paraId="29FB7FBE" w14:textId="77777777" w:rsidR="006D7F91" w:rsidRDefault="006D7F91">
      <w:pPr>
        <w:spacing w:before="200"/>
      </w:pPr>
    </w:p>
    <w:p w14:paraId="30607304" w14:textId="77777777" w:rsidR="006D7F91" w:rsidRDefault="0040114C">
      <w:pPr>
        <w:pStyle w:val="Heading1"/>
      </w:pPr>
      <w:r>
        <w:lastRenderedPageBreak/>
        <w:t>17. Conclusion</w:t>
      </w:r>
    </w:p>
    <w:p w14:paraId="7F2935DE" w14:textId="77777777" w:rsidR="006D7F91" w:rsidRDefault="006D7F91">
      <w:pPr>
        <w:pBdr>
          <w:bottom w:val="single" w:sz="6" w:space="1" w:color="2E5FAC"/>
        </w:pBdr>
        <w:spacing w:after="160"/>
      </w:pPr>
    </w:p>
    <w:p w14:paraId="6B04888C" w14:textId="77777777" w:rsidR="006D7F91" w:rsidRDefault="0040114C">
      <w:pPr>
        <w:spacing w:before="80" w:after="120" w:line="280" w:lineRule="auto"/>
        <w:jc w:val="both"/>
      </w:pPr>
      <w:r>
        <w:rPr>
          <w:color w:val="222222"/>
        </w:rPr>
        <w:t>This report has presented a detailed, segment-by-segment analysis of the factors influencing term</w:t>
      </w:r>
      <w:r>
        <w:rPr>
          <w:color w:val="222222"/>
        </w:rPr>
        <w:t xml:space="preserve"> deposit subscription behaviour across 32,000 customer records from a bank’s direct marketing campaign. By consistently applying subscription rate as the primary evaluation metric alongside raw subscription volume, the analysis has revealed patterns that w</w:t>
      </w:r>
      <w:r>
        <w:rPr>
          <w:color w:val="222222"/>
        </w:rPr>
        <w:t>ould not be visible through surface-level reporting alone.</w:t>
      </w:r>
    </w:p>
    <w:p w14:paraId="27F7494A" w14:textId="77777777" w:rsidR="006D7F91" w:rsidRDefault="006D7F91">
      <w:pPr>
        <w:spacing w:before="80"/>
      </w:pPr>
    </w:p>
    <w:p w14:paraId="54C35B0C" w14:textId="77777777" w:rsidR="006D7F91" w:rsidRDefault="0040114C">
      <w:pPr>
        <w:spacing w:before="80" w:after="120" w:line="280" w:lineRule="auto"/>
        <w:jc w:val="both"/>
      </w:pPr>
      <w:r>
        <w:rPr>
          <w:color w:val="222222"/>
        </w:rPr>
        <w:t>Across the fourteen segments examined, several cross-cutting themes emerge. Customers who are financially unencumbered — free of housing and personal loan obligations, with higher account balances</w:t>
      </w:r>
      <w:r>
        <w:rPr>
          <w:color w:val="222222"/>
        </w:rPr>
        <w:t xml:space="preserve"> — are consistently more receptive to term deposits. Customers at the extremes of the age distribution (youth and older age), as well as those in life stages associated with savings orientation (retired, student), demonstrate disproportionately high conver</w:t>
      </w:r>
      <w:r>
        <w:rPr>
          <w:color w:val="222222"/>
        </w:rPr>
        <w:t>sion rates relative to their share of the customer base. Prior campaign engagement is the single most powerful predictor of future subscription. And the quality of the customer contact — as reflected in call duration — has a decisive influence on whether a</w:t>
      </w:r>
      <w:r>
        <w:rPr>
          <w:color w:val="222222"/>
        </w:rPr>
        <w:t xml:space="preserve"> customer commits to a term deposit.</w:t>
      </w:r>
    </w:p>
    <w:p w14:paraId="6588B9EB" w14:textId="77777777" w:rsidR="006D7F91" w:rsidRDefault="006D7F91">
      <w:pPr>
        <w:spacing w:before="80"/>
      </w:pPr>
    </w:p>
    <w:p w14:paraId="49514F0D" w14:textId="77777777" w:rsidR="006D7F91" w:rsidRDefault="0040114C">
      <w:pPr>
        <w:spacing w:before="80" w:after="120" w:line="280" w:lineRule="auto"/>
        <w:jc w:val="both"/>
      </w:pPr>
      <w:r>
        <w:rPr>
          <w:color w:val="222222"/>
        </w:rPr>
        <w:t>Taken together, these findings enable the bank to shift from broad, volume-driven campaign outreach to a more targeted, efficiency-oriented campaign model — one that allocates resources toward the segments, contact win</w:t>
      </w:r>
      <w:r>
        <w:rPr>
          <w:color w:val="222222"/>
        </w:rPr>
        <w:t>dows, and customer profiles most likely to convert. Implementing the recommendations presented in each section of this report is expected to yield measurable improvements in campaign conversion rates, subscriber acquisition costs, and overall campaign retu</w:t>
      </w:r>
      <w:r>
        <w:rPr>
          <w:color w:val="222222"/>
        </w:rPr>
        <w:t>rn on investment in future campaign cycles.</w:t>
      </w:r>
    </w:p>
    <w:p w14:paraId="4F528807" w14:textId="77777777" w:rsidR="006D7F91" w:rsidRDefault="006D7F91">
      <w:pPr>
        <w:spacing w:before="80"/>
      </w:pPr>
    </w:p>
    <w:p w14:paraId="2C395A5F" w14:textId="77777777" w:rsidR="006D7F91" w:rsidRDefault="0040114C">
      <w:pPr>
        <w:spacing w:before="80" w:after="120" w:line="280" w:lineRule="auto"/>
        <w:jc w:val="both"/>
      </w:pPr>
      <w:r>
        <w:rPr>
          <w:i/>
          <w:iCs/>
          <w:color w:val="555555"/>
        </w:rPr>
        <w:t>Further analysis is recommended as new campaign datasets become available, with particular focus on tracking segment-level conversion rate trends over time and conducting deeper cross-variable analysis to separate the independent effects of interrelated fa</w:t>
      </w:r>
      <w:r>
        <w:rPr>
          <w:i/>
          <w:iCs/>
          <w:color w:val="555555"/>
        </w:rPr>
        <w:t>ctors such as age, occupation, and marital status.</w:t>
      </w:r>
    </w:p>
    <w:sectPr w:rsidR="006D7F9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B2E297" w14:textId="77777777" w:rsidR="0040114C" w:rsidRDefault="0040114C">
      <w:r>
        <w:separator/>
      </w:r>
    </w:p>
  </w:endnote>
  <w:endnote w:type="continuationSeparator" w:id="0">
    <w:p w14:paraId="705888B0" w14:textId="77777777" w:rsidR="0040114C" w:rsidRDefault="00401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66A0B" w14:textId="77777777" w:rsidR="006D7F91" w:rsidRDefault="0040114C">
    <w:pPr>
      <w:pBdr>
        <w:top w:val="single" w:sz="6" w:space="1" w:color="2E5FAC"/>
      </w:pBdr>
      <w:tabs>
        <w:tab w:val="right" w:pos="9360"/>
      </w:tabs>
      <w:spacing w:before="80"/>
    </w:pPr>
    <w:r>
      <w:rPr>
        <w:color w:val="555555"/>
        <w:sz w:val="16"/>
        <w:szCs w:val="16"/>
      </w:rPr>
      <w:t>© 2025 Data Analytics Division  |  Confidential</w:t>
    </w:r>
    <w:r>
      <w:rPr>
        <w:color w:val="555555"/>
        <w:sz w:val="16"/>
        <w:szCs w:val="16"/>
      </w:rPr>
      <w:tab/>
      <w:t xml:space="preserve">Page </w:t>
    </w:r>
    <w:r>
      <w:rPr>
        <w:color w:val="2E5FAC"/>
        <w:sz w:val="16"/>
        <w:szCs w:val="16"/>
      </w:rPr>
      <w:fldChar w:fldCharType="begin"/>
    </w:r>
    <w:r>
      <w:rPr>
        <w:color w:val="2E5FAC"/>
        <w:sz w:val="16"/>
        <w:szCs w:val="16"/>
      </w:rPr>
      <w:instrText>PAGE</w:instrText>
    </w:r>
    <w:r>
      <w:rPr>
        <w:color w:val="2E5FAC"/>
        <w:sz w:val="16"/>
        <w:szCs w:val="16"/>
      </w:rPr>
      <w:fldChar w:fldCharType="separate"/>
    </w:r>
    <w:r w:rsidR="00E12240">
      <w:rPr>
        <w:noProof/>
        <w:color w:val="2E5FAC"/>
        <w:sz w:val="16"/>
        <w:szCs w:val="16"/>
      </w:rPr>
      <w:t>1</w:t>
    </w:r>
    <w:r>
      <w:rPr>
        <w:color w:val="2E5FA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811C0" w14:textId="77777777" w:rsidR="0040114C" w:rsidRDefault="0040114C">
      <w:r>
        <w:separator/>
      </w:r>
    </w:p>
  </w:footnote>
  <w:footnote w:type="continuationSeparator" w:id="0">
    <w:p w14:paraId="206B42D5" w14:textId="77777777" w:rsidR="0040114C" w:rsidRDefault="00401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996AB" w14:textId="77777777" w:rsidR="006D7F91" w:rsidRDefault="0040114C">
    <w:pPr>
      <w:pBdr>
        <w:bottom w:val="single" w:sz="6" w:space="1" w:color="2E5FAC"/>
      </w:pBdr>
      <w:tabs>
        <w:tab w:val="right" w:pos="9360"/>
      </w:tabs>
      <w:spacing w:after="80"/>
    </w:pPr>
    <w:r>
      <w:rPr>
        <w:rFonts w:ascii="Arial" w:eastAsia="Arial" w:hAnsi="Arial" w:cs="Arial"/>
        <w:b/>
        <w:bCs/>
        <w:color w:val="1B3A6B"/>
        <w:sz w:val="18"/>
        <w:szCs w:val="18"/>
      </w:rPr>
      <w:t>Bank Marketing Campaign Analysis Report</w:t>
    </w:r>
    <w:r>
      <w:rPr>
        <w:i/>
        <w:iCs/>
        <w:color w:val="555555"/>
        <w:sz w:val="18"/>
        <w:szCs w:val="18"/>
      </w:rPr>
      <w:tab/>
      <w:t>Internal  |  Executive Distribution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D203E"/>
    <w:multiLevelType w:val="hybridMultilevel"/>
    <w:tmpl w:val="4156F1B4"/>
    <w:lvl w:ilvl="0" w:tplc="14A20F06">
      <w:start w:val="1"/>
      <w:numFmt w:val="bullet"/>
      <w:lvlText w:val="●"/>
      <w:lvlJc w:val="left"/>
      <w:pPr>
        <w:ind w:left="720" w:hanging="360"/>
      </w:pPr>
    </w:lvl>
    <w:lvl w:ilvl="1" w:tplc="A686F646">
      <w:start w:val="1"/>
      <w:numFmt w:val="bullet"/>
      <w:lvlText w:val="○"/>
      <w:lvlJc w:val="left"/>
      <w:pPr>
        <w:ind w:left="1440" w:hanging="360"/>
      </w:pPr>
    </w:lvl>
    <w:lvl w:ilvl="2" w:tplc="7526C00C">
      <w:start w:val="1"/>
      <w:numFmt w:val="bullet"/>
      <w:lvlText w:val="■"/>
      <w:lvlJc w:val="left"/>
      <w:pPr>
        <w:ind w:left="2160" w:hanging="360"/>
      </w:pPr>
    </w:lvl>
    <w:lvl w:ilvl="3" w:tplc="04884E9E">
      <w:start w:val="1"/>
      <w:numFmt w:val="bullet"/>
      <w:lvlText w:val="●"/>
      <w:lvlJc w:val="left"/>
      <w:pPr>
        <w:ind w:left="2880" w:hanging="360"/>
      </w:pPr>
    </w:lvl>
    <w:lvl w:ilvl="4" w:tplc="5EC4F2E6">
      <w:start w:val="1"/>
      <w:numFmt w:val="bullet"/>
      <w:lvlText w:val="○"/>
      <w:lvlJc w:val="left"/>
      <w:pPr>
        <w:ind w:left="3600" w:hanging="360"/>
      </w:pPr>
    </w:lvl>
    <w:lvl w:ilvl="5" w:tplc="FDA2ED0C">
      <w:start w:val="1"/>
      <w:numFmt w:val="bullet"/>
      <w:lvlText w:val="■"/>
      <w:lvlJc w:val="left"/>
      <w:pPr>
        <w:ind w:left="4320" w:hanging="360"/>
      </w:pPr>
    </w:lvl>
    <w:lvl w:ilvl="6" w:tplc="ADC4EDB6">
      <w:start w:val="1"/>
      <w:numFmt w:val="bullet"/>
      <w:lvlText w:val="●"/>
      <w:lvlJc w:val="left"/>
      <w:pPr>
        <w:ind w:left="5040" w:hanging="360"/>
      </w:pPr>
    </w:lvl>
    <w:lvl w:ilvl="7" w:tplc="1DFC962E">
      <w:start w:val="1"/>
      <w:numFmt w:val="bullet"/>
      <w:lvlText w:val="●"/>
      <w:lvlJc w:val="left"/>
      <w:pPr>
        <w:ind w:left="5760" w:hanging="360"/>
      </w:pPr>
    </w:lvl>
    <w:lvl w:ilvl="8" w:tplc="D4380144">
      <w:start w:val="1"/>
      <w:numFmt w:val="bullet"/>
      <w:lvlText w:val="●"/>
      <w:lvlJc w:val="left"/>
      <w:pPr>
        <w:ind w:left="6480" w:hanging="360"/>
      </w:pPr>
    </w:lvl>
  </w:abstractNum>
  <w:abstractNum w:abstractNumId="1" w15:restartNumberingAfterBreak="0">
    <w:nsid w:val="76DC2309"/>
    <w:multiLevelType w:val="hybridMultilevel"/>
    <w:tmpl w:val="91C019D0"/>
    <w:lvl w:ilvl="0" w:tplc="BEDC8FE2">
      <w:start w:val="1"/>
      <w:numFmt w:val="bullet"/>
      <w:lvlText w:val="•"/>
      <w:lvlJc w:val="left"/>
      <w:pPr>
        <w:ind w:left="720" w:hanging="360"/>
      </w:pPr>
    </w:lvl>
    <w:lvl w:ilvl="1" w:tplc="5D68BEBE">
      <w:numFmt w:val="decimal"/>
      <w:lvlText w:val=""/>
      <w:lvlJc w:val="left"/>
    </w:lvl>
    <w:lvl w:ilvl="2" w:tplc="18000B4E">
      <w:numFmt w:val="decimal"/>
      <w:lvlText w:val=""/>
      <w:lvlJc w:val="left"/>
    </w:lvl>
    <w:lvl w:ilvl="3" w:tplc="1FAE985E">
      <w:numFmt w:val="decimal"/>
      <w:lvlText w:val=""/>
      <w:lvlJc w:val="left"/>
    </w:lvl>
    <w:lvl w:ilvl="4" w:tplc="C15A3B64">
      <w:numFmt w:val="decimal"/>
      <w:lvlText w:val=""/>
      <w:lvlJc w:val="left"/>
    </w:lvl>
    <w:lvl w:ilvl="5" w:tplc="D5D4B474">
      <w:numFmt w:val="decimal"/>
      <w:lvlText w:val=""/>
      <w:lvlJc w:val="left"/>
    </w:lvl>
    <w:lvl w:ilvl="6" w:tplc="78E8D3EC">
      <w:numFmt w:val="decimal"/>
      <w:lvlText w:val=""/>
      <w:lvlJc w:val="left"/>
    </w:lvl>
    <w:lvl w:ilvl="7" w:tplc="A8A0A31C">
      <w:numFmt w:val="decimal"/>
      <w:lvlText w:val=""/>
      <w:lvlJc w:val="left"/>
    </w:lvl>
    <w:lvl w:ilvl="8" w:tplc="15E44CE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F91"/>
    <w:rsid w:val="0040114C"/>
    <w:rsid w:val="006D7F91"/>
    <w:rsid w:val="00E1224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CC28"/>
  <w15:docId w15:val="{461E510B-1BAF-40E6-B0B9-8C66CD0F7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rFonts w:ascii="Arial" w:eastAsia="Arial" w:hAnsi="Arial" w:cs="Arial"/>
      <w:b/>
      <w:bCs/>
      <w:color w:val="1B3A6B"/>
      <w:sz w:val="30"/>
      <w:szCs w:val="30"/>
    </w:rPr>
  </w:style>
  <w:style w:type="paragraph" w:styleId="Heading2">
    <w:name w:val="heading 2"/>
    <w:uiPriority w:val="9"/>
    <w:unhideWhenUsed/>
    <w:qFormat/>
    <w:pPr>
      <w:spacing w:before="240" w:after="80"/>
      <w:outlineLvl w:val="1"/>
    </w:pPr>
    <w:rPr>
      <w:rFonts w:ascii="Arial" w:eastAsia="Arial" w:hAnsi="Arial" w:cs="Arial"/>
      <w:b/>
      <w:bCs/>
      <w:color w:val="2E5FA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7611</Words>
  <Characters>43387</Characters>
  <Application>Microsoft Office Word</Application>
  <DocSecurity>0</DocSecurity>
  <Lines>361</Lines>
  <Paragraphs>101</Paragraphs>
  <ScaleCrop>false</ScaleCrop>
  <Company/>
  <LinksUpToDate>false</LinksUpToDate>
  <CharactersWithSpaces>50897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Favour</cp:lastModifiedBy>
  <cp:revision>3</cp:revision>
  <dcterms:created xsi:type="dcterms:W3CDTF">2026-06-24T08:20:00Z</dcterms:created>
  <dcterms:modified xsi:type="dcterms:W3CDTF">2026-06-24T08:27:00Z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b1aabe06-4c4c-4431-8c03-6d5bd0c40f70</vt:lpwstr>
  </property>
</Properties>
</file>