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Surface Facilities Design</w:t>
      </w:r>
    </w:p>
    <w:p>
      <w:pPr>
        <w:spacing w:after="120"/>
        <w:jc w:val="center"/>
      </w:pPr>
      <w:r>
        <w:rPr>
          <w:rFonts w:ascii="Arial" w:cs="Arial" w:eastAsia="Arial" w:hAnsi="Arial"/>
          <w:b/>
          <w:bCs/>
          <w:color w:val="2E75B6"/>
          <w:sz w:val="36"/>
          <w:szCs w:val="36"/>
        </w:rPr>
        <w:t xml:space="preserve">District Geothermal Energy System</w:t>
      </w:r>
    </w:p>
    <w:p>
      <w:pPr>
        <w:spacing w:after="120"/>
        <w:jc w:val="center"/>
      </w:pPr>
      <w:r>
        <w:rPr>
          <w:rFonts w:ascii="Arial" w:cs="Arial" w:eastAsia="Arial" w:hAnsi="Arial"/>
          <w:color w:val="555555"/>
          <w:sz w:val="28"/>
          <w:szCs w:val="28"/>
        </w:rPr>
        <w:t xml:space="preserve">Doublet Project — Utrecht, Netherlands</w:t>
      </w:r>
    </w:p>
    <w:p>
      <w:pPr>
        <w:spacing w:after="100"/>
      </w:pPr>
      <w:r>
        <w:t xml:space="preserve"/>
      </w:r>
    </w:p>
    <w:p>
      <w:pPr>
        <w:pBdr>
          <w:top w:val="single" w:color="2E75B6" w:sz="12"/>
          <w:bottom w:val="single" w:color="2E75B6" w:sz="12"/>
        </w:pBdr>
        <w:spacing w:after="80"/>
        <w:jc w:val="center"/>
      </w:pPr>
      <w:r>
        <w:rPr>
          <w:rFonts w:ascii="Arial" w:cs="Arial" w:eastAsia="Arial" w:hAnsi="Arial"/>
          <w:i/>
          <w:iCs/>
          <w:color w:val="444444"/>
          <w:sz w:val="20"/>
          <w:szCs w:val="20"/>
        </w:rPr>
        <w:t xml:space="preserve">Thermal Design | Heat Exchange | ATES Integration | Peak Load Management</w:t>
      </w:r>
    </w:p>
    <w:p>
      <w:pPr>
        <w:spacing w:after="100"/>
      </w:pPr>
      <w:r>
        <w:t xml:space="preserve"/>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Introduction</w:t>
      </w:r>
    </w:p>
    <w:p>
      <w:pPr>
        <w:spacing w:after="120" w:line="276"/>
        <w:jc w:val="both"/>
      </w:pPr>
      <w:r>
        <w:rPr>
          <w:rFonts w:ascii="Arial" w:cs="Arial" w:eastAsia="Arial" w:hAnsi="Arial"/>
          <w:sz w:val="22"/>
          <w:szCs w:val="22"/>
        </w:rPr>
        <w:t xml:space="preserve">The surface facilities design constitutes the critical engineering interface between the geothermal subsurface resource and the district energy distribution network. This section documents the thermal hydraulic design, heat-transfer equipment sizing, auxiliary system integration, and peak-load management strategy for the doublet geothermal project in Utrecht, Netherlands.</w:t>
      </w:r>
    </w:p>
    <w:p>
      <w:pPr>
        <w:spacing w:after="120" w:line="276"/>
        <w:jc w:val="both"/>
      </w:pPr>
      <w:r>
        <w:rPr>
          <w:rFonts w:ascii="Arial" w:cs="Arial" w:eastAsia="Arial" w:hAnsi="Arial"/>
          <w:sz w:val="22"/>
          <w:szCs w:val="22"/>
        </w:rPr>
        <w:t xml:space="preserve">The surface system was engineered to deliver 10.5 MWth of district heating and 5.0 MWth of district cooling, drawing on geothermal brine extracted from two production wells — GLA-01 and BLT-01 — operating as a blended production stream. The design integrates a titanium plate heat exchanger (PHE), a heat pump for thermal upgrading, an Aquifer Thermal Energy Storage (ATES) system, hot and cold buffer tanks, a solar photovoltaic array, and a mechanical compression cooling system.</w:t>
      </w:r>
    </w:p>
    <w:p>
      <w:pPr>
        <w:spacing w:after="120" w:line="276"/>
        <w:jc w:val="both"/>
      </w:pPr>
      <w:r>
        <w:rPr>
          <w:rFonts w:ascii="Arial" w:cs="Arial" w:eastAsia="Arial" w:hAnsi="Arial"/>
          <w:sz w:val="22"/>
          <w:szCs w:val="22"/>
        </w:rPr>
        <w:t xml:space="preserve">System design was conducted under P50 reservoir conditions and conservative thermal assumptions to ensure reliable district energy delivery throughout seasonal demand cycles.</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Design Basis and Assumptions</w:t>
      </w:r>
    </w:p>
    <w:p>
      <w:pPr>
        <w:pStyle w:val="Heading2"/>
        <w:spacing w:after="140" w:before="280"/>
      </w:pPr>
      <w:r>
        <w:rPr>
          <w:rFonts w:ascii="Arial" w:cs="Arial" w:eastAsia="Arial" w:hAnsi="Arial"/>
          <w:b/>
          <w:bCs/>
          <w:color w:val="2E75B6"/>
          <w:sz w:val="26"/>
          <w:szCs w:val="26"/>
        </w:rPr>
        <w:t xml:space="preserve">System Design Objectives</w:t>
      </w:r>
    </w:p>
    <w:p>
      <w:pPr>
        <w:spacing w:after="120" w:line="276"/>
        <w:jc w:val="both"/>
      </w:pPr>
      <w:r>
        <w:rPr>
          <w:rFonts w:ascii="Arial" w:cs="Arial" w:eastAsia="Arial" w:hAnsi="Arial"/>
          <w:sz w:val="22"/>
          <w:szCs w:val="22"/>
        </w:rPr>
        <w:t xml:space="preserve">The surface facility design was governed by the following primary performance targets:</w:t>
      </w:r>
    </w:p>
    <w:p>
      <w:pPr>
        <w:pStyle w:val="ListParagraph"/>
        <w:numPr>
          <w:ilvl w:val="0"/>
          <w:numId w:val="2"/>
        </w:numPr>
        <w:spacing w:after="80"/>
      </w:pPr>
      <w:r>
        <w:rPr>
          <w:rFonts w:ascii="Arial" w:cs="Arial" w:eastAsia="Arial" w:hAnsi="Arial"/>
          <w:sz w:val="22"/>
          <w:szCs w:val="22"/>
        </w:rPr>
        <w:t xml:space="preserve">District heating capacity: 10.5 MWth, with peak delivery of 5.0 MWth sustained for 4 hours</w:t>
      </w:r>
    </w:p>
    <w:p>
      <w:pPr>
        <w:pStyle w:val="ListParagraph"/>
        <w:numPr>
          <w:ilvl w:val="0"/>
          <w:numId w:val="2"/>
        </w:numPr>
        <w:spacing w:after="80"/>
      </w:pPr>
      <w:r>
        <w:rPr>
          <w:rFonts w:ascii="Arial" w:cs="Arial" w:eastAsia="Arial" w:hAnsi="Arial"/>
          <w:sz w:val="22"/>
          <w:szCs w:val="22"/>
        </w:rPr>
        <w:t xml:space="preserve">District cooling capacity: 5.0 MWth, with peak delivery of 2.5 MWth sustained for 4 hours</w:t>
      </w:r>
    </w:p>
    <w:p>
      <w:pPr>
        <w:pStyle w:val="ListParagraph"/>
        <w:numPr>
          <w:ilvl w:val="0"/>
          <w:numId w:val="2"/>
        </w:numPr>
        <w:spacing w:after="80"/>
      </w:pPr>
      <w:r>
        <w:rPr>
          <w:rFonts w:ascii="Arial" w:cs="Arial" w:eastAsia="Arial" w:hAnsi="Arial"/>
          <w:sz w:val="22"/>
          <w:szCs w:val="22"/>
        </w:rPr>
        <w:t xml:space="preserve">Hot supply temperature to district: 70°C</w:t>
      </w:r>
    </w:p>
    <w:p>
      <w:pPr>
        <w:pStyle w:val="ListParagraph"/>
        <w:numPr>
          <w:ilvl w:val="0"/>
          <w:numId w:val="2"/>
        </w:numPr>
        <w:spacing w:after="80"/>
      </w:pPr>
      <w:r>
        <w:rPr>
          <w:rFonts w:ascii="Arial" w:cs="Arial" w:eastAsia="Arial" w:hAnsi="Arial"/>
          <w:sz w:val="22"/>
          <w:szCs w:val="22"/>
        </w:rPr>
        <w:t xml:space="preserve">Cold supply temperature to district: 7°C</w:t>
      </w:r>
    </w:p>
    <w:p>
      <w:pPr>
        <w:pStyle w:val="ListParagraph"/>
        <w:numPr>
          <w:ilvl w:val="0"/>
          <w:numId w:val="2"/>
        </w:numPr>
        <w:spacing w:after="80"/>
      </w:pPr>
      <w:r>
        <w:rPr>
          <w:rFonts w:ascii="Arial" w:cs="Arial" w:eastAsia="Arial" w:hAnsi="Arial"/>
          <w:sz w:val="22"/>
          <w:szCs w:val="22"/>
        </w:rPr>
        <w:t xml:space="preserve">Heating return temperature from district: 40°C</w:t>
      </w:r>
    </w:p>
    <w:p>
      <w:pPr>
        <w:pStyle w:val="ListParagraph"/>
        <w:numPr>
          <w:ilvl w:val="0"/>
          <w:numId w:val="2"/>
        </w:numPr>
        <w:spacing w:after="80"/>
      </w:pPr>
      <w:r>
        <w:rPr>
          <w:rFonts w:ascii="Arial" w:cs="Arial" w:eastAsia="Arial" w:hAnsi="Arial"/>
          <w:sz w:val="22"/>
          <w:szCs w:val="22"/>
        </w:rPr>
        <w:t xml:space="preserve">Cooling return temperature from district: 15°C</w:t>
      </w:r>
    </w:p>
    <w:p>
      <w:pPr>
        <w:spacing w:after="100"/>
      </w:pPr>
      <w:r>
        <w:t xml:space="preserve"/>
      </w:r>
    </w:p>
    <w:p>
      <w:pPr>
        <w:pStyle w:val="Heading2"/>
        <w:spacing w:after="140" w:before="280"/>
      </w:pPr>
      <w:r>
        <w:rPr>
          <w:rFonts w:ascii="Arial" w:cs="Arial" w:eastAsia="Arial" w:hAnsi="Arial"/>
          <w:b/>
          <w:bCs/>
          <w:color w:val="2E75B6"/>
          <w:sz w:val="26"/>
          <w:szCs w:val="26"/>
        </w:rPr>
        <w:t xml:space="preserve">Design Assumptions</w:t>
      </w:r>
    </w:p>
    <w:p>
      <w:pPr>
        <w:spacing w:after="120" w:line="276"/>
        <w:jc w:val="both"/>
      </w:pPr>
      <w:r>
        <w:rPr>
          <w:rFonts w:ascii="Arial" w:cs="Arial" w:eastAsia="Arial" w:hAnsi="Arial"/>
          <w:sz w:val="22"/>
          <w:szCs w:val="22"/>
        </w:rPr>
        <w:t xml:space="preserve">The following engineering assumptions were adopted throughout the surface facilities design:</w:t>
      </w:r>
    </w:p>
    <w:p>
      <w:pPr>
        <w:pStyle w:val="ListParagraph"/>
        <w:numPr>
          <w:ilvl w:val="0"/>
          <w:numId w:val="2"/>
        </w:numPr>
        <w:spacing w:after="80"/>
      </w:pPr>
      <w:r>
        <w:rPr>
          <w:rFonts w:ascii="Arial" w:cs="Arial" w:eastAsia="Arial" w:hAnsi="Arial"/>
          <w:sz w:val="22"/>
          <w:szCs w:val="22"/>
        </w:rPr>
        <w:t xml:space="preserve">The geothermal groundwater is assumed to be pure with negligible mineral contamination, permitting direct heat exchange without pre-treatment filtration.</w:t>
      </w:r>
    </w:p>
    <w:p>
      <w:pPr>
        <w:pStyle w:val="ListParagraph"/>
        <w:numPr>
          <w:ilvl w:val="0"/>
          <w:numId w:val="2"/>
        </w:numPr>
        <w:spacing w:after="80"/>
      </w:pPr>
      <w:r>
        <w:rPr>
          <w:rFonts w:ascii="Arial" w:cs="Arial" w:eastAsia="Arial" w:hAnsi="Arial"/>
          <w:sz w:val="22"/>
          <w:szCs w:val="22"/>
        </w:rPr>
        <w:t xml:space="preserve">Hot brine density: 1,040 kg/m³</w:t>
      </w:r>
    </w:p>
    <w:p>
      <w:pPr>
        <w:pStyle w:val="ListParagraph"/>
        <w:numPr>
          <w:ilvl w:val="0"/>
          <w:numId w:val="2"/>
        </w:numPr>
        <w:spacing w:after="80"/>
      </w:pPr>
      <w:r>
        <w:rPr>
          <w:rFonts w:ascii="Arial" w:cs="Arial" w:eastAsia="Arial" w:hAnsi="Arial"/>
          <w:sz w:val="22"/>
          <w:szCs w:val="22"/>
        </w:rPr>
        <w:t xml:space="preserve">Specific heat capacity of hot brine: 4.0 kJ/kg·K</w:t>
      </w:r>
    </w:p>
    <w:p>
      <w:pPr>
        <w:pStyle w:val="ListParagraph"/>
        <w:numPr>
          <w:ilvl w:val="0"/>
          <w:numId w:val="2"/>
        </w:numPr>
        <w:spacing w:after="80"/>
      </w:pPr>
      <w:r>
        <w:rPr>
          <w:rFonts w:ascii="Arial" w:cs="Arial" w:eastAsia="Arial" w:hAnsi="Arial"/>
          <w:sz w:val="22"/>
          <w:szCs w:val="22"/>
        </w:rPr>
        <w:t xml:space="preserve">The thermodynamic system is treated as closed — no mass losses are assumed across the heat exchange loop.</w:t>
      </w:r>
    </w:p>
    <w:p>
      <w:pPr>
        <w:pStyle w:val="ListParagraph"/>
        <w:numPr>
          <w:ilvl w:val="0"/>
          <w:numId w:val="2"/>
        </w:numPr>
        <w:spacing w:after="80"/>
      </w:pPr>
      <w:r>
        <w:rPr>
          <w:rFonts w:ascii="Arial" w:cs="Arial" w:eastAsia="Arial" w:hAnsi="Arial"/>
          <w:sz w:val="22"/>
          <w:szCs w:val="22"/>
        </w:rPr>
        <w:t xml:space="preserve">Peak demand events are assumed to last a maximum of 4 hours, informing thermal storage sizing.</w:t>
      </w:r>
    </w:p>
    <w:p>
      <w:pPr>
        <w:spacing w:after="100"/>
      </w:pPr>
      <w:r>
        <w:t xml:space="preserve"/>
      </w:r>
    </w:p>
    <w:p>
      <w:pPr>
        <w:pStyle w:val="Heading2"/>
        <w:spacing w:after="140" w:before="280"/>
      </w:pPr>
      <w:r>
        <w:rPr>
          <w:rFonts w:ascii="Arial" w:cs="Arial" w:eastAsia="Arial" w:hAnsi="Arial"/>
          <w:b/>
          <w:bCs/>
          <w:color w:val="2E75B6"/>
          <w:sz w:val="26"/>
          <w:szCs w:val="26"/>
        </w:rPr>
        <w:t xml:space="preserve">Well Inlet Conditions</w:t>
      </w:r>
    </w:p>
    <w:p>
      <w:pPr>
        <w:spacing w:after="120" w:line="276"/>
        <w:jc w:val="left"/>
      </w:pPr>
      <w:r>
        <w:rPr>
          <w:rFonts w:ascii="Arial" w:cs="Arial" w:eastAsia="Arial" w:hAnsi="Arial"/>
          <w:sz w:val="22"/>
          <w:szCs w:val="22"/>
        </w:rPr>
        <w:t xml:space="preserve">The two production wells supply geothermal brine at the following wellhead temperatures: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100"/>
        <w:gridCol w:w="2460"/>
      </w:tblGrid>
      <w:tr>
        <w:trPr>
          <w:tblHeader/>
        </w:trPr>
        <w:tc>
          <w:tcPr>
            <w:tcW w:type="dxa" w:w="22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Well</w:t>
            </w:r>
          </w:p>
        </w:tc>
        <w:tc>
          <w:tcPr>
            <w:tcW w:type="dxa" w:w="26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Wellhead Temperature (°C)</w:t>
            </w:r>
          </w:p>
        </w:tc>
        <w:tc>
          <w:tcPr>
            <w:tcW w:type="dxa" w:w="21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Flow Rate (m³/hr)</w:t>
            </w:r>
          </w:p>
        </w:tc>
        <w:tc>
          <w:tcPr>
            <w:tcW w:type="dxa" w:w="246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Thermal Contribution</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GLA-01</w:t>
            </w:r>
          </w:p>
        </w:tc>
        <w:tc>
          <w:tcPr>
            <w:tcW w:type="dxa" w:w="26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70</w:t>
            </w:r>
          </w:p>
        </w:tc>
        <w:tc>
          <w:tcPr>
            <w:tcW w:type="dxa" w:w="21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160</w:t>
            </w:r>
          </w:p>
        </w:tc>
        <w:tc>
          <w:tcPr>
            <w:tcW w:type="dxa" w:w="24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Primary production well</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BLT-01</w:t>
            </w:r>
          </w:p>
        </w:tc>
        <w:tc>
          <w:tcPr>
            <w:tcW w:type="dxa" w:w="2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77</w:t>
            </w:r>
          </w:p>
        </w:tc>
        <w:tc>
          <w:tcPr>
            <w:tcW w:type="dxa" w:w="2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140</w:t>
            </w:r>
          </w:p>
        </w:tc>
        <w:tc>
          <w:tcPr>
            <w:tcW w:type="dxa" w:w="2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Secondary production well</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Blended Stream</w:t>
            </w:r>
          </w:p>
        </w:tc>
        <w:tc>
          <w:tcPr>
            <w:tcW w:type="dxa" w:w="26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73</w:t>
            </w:r>
          </w:p>
        </w:tc>
        <w:tc>
          <w:tcPr>
            <w:tcW w:type="dxa" w:w="21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300</w:t>
            </w:r>
          </w:p>
        </w:tc>
        <w:tc>
          <w:tcPr>
            <w:tcW w:type="dxa" w:w="24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Combined PHE inlet</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1. Production well inlet conditions and blended stream parameters at the plate heat exchanger inlet.</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Brine Blending and Thermal Design</w:t>
      </w:r>
    </w:p>
    <w:p>
      <w:pPr>
        <w:pStyle w:val="Heading2"/>
        <w:spacing w:after="140" w:before="280"/>
      </w:pPr>
      <w:r>
        <w:rPr>
          <w:rFonts w:ascii="Arial" w:cs="Arial" w:eastAsia="Arial" w:hAnsi="Arial"/>
          <w:b/>
          <w:bCs/>
          <w:color w:val="2E75B6"/>
          <w:sz w:val="26"/>
          <w:szCs w:val="26"/>
        </w:rPr>
        <w:t xml:space="preserve">Blending Calculation</w:t>
      </w:r>
    </w:p>
    <w:p>
      <w:pPr>
        <w:spacing w:after="120" w:line="276"/>
        <w:jc w:val="both"/>
      </w:pPr>
      <w:r>
        <w:rPr>
          <w:rFonts w:ascii="Arial" w:cs="Arial" w:eastAsia="Arial" w:hAnsi="Arial"/>
          <w:sz w:val="22"/>
          <w:szCs w:val="22"/>
        </w:rPr>
        <w:t xml:space="preserve">Geothermal brine from GLA-01 (70°C) and BLT-01 (77°C) is blended at the surface manifold prior to entry into the plate heat exchanger. A blend temperature of 73°C is achieved using a flow-weighted mixing calculation. The blended stream provides a thermally stable and hydraulically adequate inlet condition to the PHE.</w:t>
      </w:r>
    </w:p>
    <w:p>
      <w:pPr>
        <w:spacing w:after="120" w:line="276"/>
        <w:jc w:val="both"/>
      </w:pPr>
      <w:r>
        <w:rPr>
          <w:rFonts w:ascii="Arial" w:cs="Arial" w:eastAsia="Arial" w:hAnsi="Arial"/>
          <w:sz w:val="22"/>
          <w:szCs w:val="22"/>
        </w:rPr>
        <w:t xml:space="preserve">The blend temperature was computed using the energy balance across the mixing manifold:</w:t>
      </w:r>
    </w:p>
    <w:p>
      <w:pPr>
        <w:spacing w:after="120" w:before="80"/>
        <w:jc w:val="center"/>
      </w:pPr>
      <w:r>
        <w:rPr>
          <w:rFonts w:ascii="Courier New" w:cs="Courier New" w:eastAsia="Courier New" w:hAnsi="Courier New"/>
          <w:b/>
          <w:bCs/>
          <w:sz w:val="22"/>
          <w:szCs w:val="22"/>
        </w:rPr>
        <w:t xml:space="preserve">T_blend = (Q_GLA × T_GLA + Q_BLT × T_BLT) / (Q_GLA + Q_BLT)</w:t>
      </w:r>
    </w:p>
    <w:p>
      <w:pPr>
        <w:spacing w:after="120" w:before="40"/>
        <w:jc w:val="center"/>
      </w:pPr>
      <w:r>
        <w:rPr>
          <w:rFonts w:ascii="Courier New" w:cs="Courier New" w:eastAsia="Courier New" w:hAnsi="Courier New"/>
          <w:sz w:val="22"/>
          <w:szCs w:val="22"/>
        </w:rPr>
        <w:t xml:space="preserve">T_blend = (160 × 70 + 140 × 77) / (160 + 140) = 73°C</w:t>
      </w:r>
    </w:p>
    <w:p>
      <w:pPr>
        <w:spacing w:after="120" w:line="276"/>
        <w:jc w:val="both"/>
      </w:pPr>
      <w:r>
        <w:rPr>
          <w:rFonts w:ascii="Arial" w:cs="Arial" w:eastAsia="Arial" w:hAnsi="Arial"/>
          <w:sz w:val="22"/>
          <w:szCs w:val="22"/>
        </w:rPr>
        <w:t xml:space="preserve">The blended flow of 300 m³/hr at 73°C provides the primary thermal input to the plate heat exchanger, enabling efficient transfer of heat to the district hot water loop.</w:t>
      </w:r>
    </w:p>
    <w:p>
      <w:pPr>
        <w:spacing w:after="100"/>
      </w:pPr>
      <w:r>
        <w:t xml:space="preserve"/>
      </w:r>
    </w:p>
    <w:p>
      <w:pPr>
        <w:pStyle w:val="Heading2"/>
        <w:spacing w:after="140" w:before="280"/>
      </w:pPr>
      <w:r>
        <w:rPr>
          <w:rFonts w:ascii="Arial" w:cs="Arial" w:eastAsia="Arial" w:hAnsi="Arial"/>
          <w:b/>
          <w:bCs/>
          <w:color w:val="2E75B6"/>
          <w:sz w:val="26"/>
          <w:szCs w:val="26"/>
        </w:rPr>
        <w:t xml:space="preserve">Heat Transfer Rate — Primary Circuit</w:t>
      </w:r>
    </w:p>
    <w:p>
      <w:pPr>
        <w:spacing w:after="120" w:line="276"/>
        <w:jc w:val="both"/>
      </w:pPr>
      <w:r>
        <w:rPr>
          <w:rFonts w:ascii="Arial" w:cs="Arial" w:eastAsia="Arial" w:hAnsi="Arial"/>
          <w:sz w:val="22"/>
          <w:szCs w:val="22"/>
        </w:rPr>
        <w:t xml:space="preserve">The available thermal power from the blended brine stream was evaluated using:</w:t>
      </w:r>
    </w:p>
    <w:p>
      <w:pPr>
        <w:spacing w:after="120" w:before="80"/>
        <w:jc w:val="center"/>
      </w:pPr>
      <w:r>
        <w:rPr>
          <w:rFonts w:ascii="Courier New" w:cs="Courier New" w:eastAsia="Courier New" w:hAnsi="Courier New"/>
          <w:b/>
          <w:bCs/>
          <w:sz w:val="22"/>
          <w:szCs w:val="22"/>
        </w:rPr>
        <w:t xml:space="preserve">Q = ṁ × Cp × ΔT</w:t>
      </w:r>
    </w:p>
    <w:p>
      <w:pPr>
        <w:spacing w:after="120" w:line="276"/>
        <w:jc w:val="both"/>
      </w:pPr>
      <w:r>
        <w:rPr>
          <w:rFonts w:ascii="Arial" w:cs="Arial" w:eastAsia="Arial" w:hAnsi="Arial"/>
          <w:sz w:val="22"/>
          <w:szCs w:val="22"/>
        </w:rPr>
        <w:t xml:space="preserve">Where the mass flow rate is derived from the volumetric flow and brine density (1,040 kg/m³), Cp = 4.0 kJ/kg·K, and the temperature difference is taken between the blended inlet (73°C) and the reinjection temperature (37.5°C), giving ΔT = 35.5°C.</w:t>
      </w:r>
    </w:p>
    <w:p>
      <w:pPr>
        <w:spacing w:after="120" w:before="40"/>
        <w:jc w:val="center"/>
      </w:pPr>
      <w:r>
        <w:rPr>
          <w:rFonts w:ascii="Courier New" w:cs="Courier New" w:eastAsia="Courier New" w:hAnsi="Courier New"/>
          <w:sz w:val="22"/>
          <w:szCs w:val="22"/>
        </w:rPr>
        <w:t xml:space="preserve">ṁ = (300 / 3600) × 1040 = 86.67 kg/s</w:t>
      </w:r>
    </w:p>
    <w:p>
      <w:pPr>
        <w:spacing w:after="120" w:before="40"/>
        <w:jc w:val="center"/>
      </w:pPr>
      <w:r>
        <w:rPr>
          <w:rFonts w:ascii="Courier New" w:cs="Courier New" w:eastAsia="Courier New" w:hAnsi="Courier New"/>
          <w:sz w:val="22"/>
          <w:szCs w:val="22"/>
        </w:rPr>
        <w:t xml:space="preserve">Q = 86.67 × 4.0 × 35.5 ≈ 12.31 MWth</w:t>
      </w:r>
    </w:p>
    <w:p>
      <w:pPr>
        <w:spacing w:after="120" w:line="276"/>
        <w:jc w:val="both"/>
      </w:pPr>
      <w:r>
        <w:rPr>
          <w:rFonts w:ascii="Arial" w:cs="Arial" w:eastAsia="Arial" w:hAnsi="Arial"/>
          <w:sz w:val="22"/>
          <w:szCs w:val="22"/>
        </w:rPr>
        <w:t xml:space="preserve">The gross thermal power available from the brine circuit is approximately 12.31 MWth, providing adequate thermal margin above the 10.5 MWth district heating requirement.</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Plate Heat Exchanger Design</w:t>
      </w:r>
    </w:p>
    <w:p>
      <w:pPr>
        <w:pStyle w:val="Heading2"/>
        <w:spacing w:after="140" w:before="280"/>
      </w:pPr>
      <w:r>
        <w:rPr>
          <w:rFonts w:ascii="Arial" w:cs="Arial" w:eastAsia="Arial" w:hAnsi="Arial"/>
          <w:b/>
          <w:bCs/>
          <w:color w:val="2E75B6"/>
          <w:sz w:val="26"/>
          <w:szCs w:val="26"/>
        </w:rPr>
        <w:t xml:space="preserve">Equipment Selection and Role</w:t>
      </w:r>
    </w:p>
    <w:p>
      <w:pPr>
        <w:spacing w:after="120" w:line="276"/>
        <w:jc w:val="both"/>
      </w:pPr>
      <w:r>
        <w:rPr>
          <w:rFonts w:ascii="Arial" w:cs="Arial" w:eastAsia="Arial" w:hAnsi="Arial"/>
          <w:sz w:val="22"/>
          <w:szCs w:val="22"/>
        </w:rPr>
        <w:t xml:space="preserve">A titanium plate heat exchanger (PHE) was selected as the primary heat transfer interface between the geothermal brine circuit and the district heating water loop. Titanium construction was specified to ensure resistance to brine corrosion and dissolved mineral species, in line with standard geothermal district heating practice.</w:t>
      </w:r>
    </w:p>
    <w:p>
      <w:pPr>
        <w:spacing w:after="120" w:line="276"/>
        <w:jc w:val="both"/>
      </w:pPr>
      <w:r>
        <w:rPr>
          <w:rFonts w:ascii="Arial" w:cs="Arial" w:eastAsia="Arial" w:hAnsi="Arial"/>
          <w:sz w:val="22"/>
          <w:szCs w:val="22"/>
        </w:rPr>
        <w:t xml:space="preserve">The PHE transfers thermal energy from the hot blended brine stream (73°C inlet, 37.5°C outlet) to the district heating water (40°C return, heated to 68°C hot groundwater delivery temperature). The reinjection temperature of 37.5°C was set to preserve adequate thermal gradient for reinjection into the deep well without thermal breakthrough risk.</w:t>
      </w:r>
    </w:p>
    <w:p>
      <w:pPr>
        <w:spacing w:after="100"/>
      </w:pPr>
      <w:r>
        <w:t xml:space="preserve"/>
      </w:r>
    </w:p>
    <w:p>
      <w:pPr>
        <w:pStyle w:val="Heading2"/>
        <w:spacing w:after="140" w:before="280"/>
      </w:pPr>
      <w:r>
        <w:rPr>
          <w:rFonts w:ascii="Arial" w:cs="Arial" w:eastAsia="Arial" w:hAnsi="Arial"/>
          <w:b/>
          <w:bCs/>
          <w:color w:val="2E75B6"/>
          <w:sz w:val="26"/>
          <w:szCs w:val="26"/>
        </w:rPr>
        <w:t xml:space="preserve">PHE Operating Parameters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31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Hot Side (Brine)</w:t>
            </w:r>
          </w:p>
        </w:tc>
        <w:tc>
          <w:tcPr>
            <w:tcW w:type="dxa" w:w="356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Cold Side (District Water)</w:t>
            </w:r>
          </w:p>
        </w:tc>
      </w:tr>
      <w:tr>
        <w:tc>
          <w:tcPr>
            <w:tcW w:type="dxa" w:w="27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Fluid</w:t>
            </w:r>
          </w:p>
        </w:tc>
        <w:tc>
          <w:tcPr>
            <w:tcW w:type="dxa" w:w="31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Geothermal Brine</w:t>
            </w:r>
          </w:p>
        </w:tc>
        <w:tc>
          <w:tcPr>
            <w:tcW w:type="dxa" w:w="35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District Heating Water</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Inlet Temperature</w:t>
            </w:r>
          </w:p>
        </w:tc>
        <w:tc>
          <w:tcPr>
            <w:tcW w:type="dxa" w:w="3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73°C</w:t>
            </w:r>
          </w:p>
        </w:tc>
        <w:tc>
          <w:tcPr>
            <w:tcW w:type="dxa" w:w="3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40°C (return)</w:t>
            </w:r>
          </w:p>
        </w:tc>
      </w:tr>
      <w:tr>
        <w:tc>
          <w:tcPr>
            <w:tcW w:type="dxa" w:w="27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Outlet Temperature</w:t>
            </w:r>
          </w:p>
        </w:tc>
        <w:tc>
          <w:tcPr>
            <w:tcW w:type="dxa" w:w="31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37.5°C</w:t>
            </w:r>
          </w:p>
        </w:tc>
        <w:tc>
          <w:tcPr>
            <w:tcW w:type="dxa" w:w="35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68°C</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Flow Rate</w:t>
            </w:r>
          </w:p>
        </w:tc>
        <w:tc>
          <w:tcPr>
            <w:tcW w:type="dxa" w:w="3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300 m³/hr</w:t>
            </w:r>
          </w:p>
        </w:tc>
        <w:tc>
          <w:tcPr>
            <w:tcW w:type="dxa" w:w="3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As demanded</w:t>
            </w:r>
          </w:p>
        </w:tc>
      </w:tr>
      <w:tr>
        <w:tc>
          <w:tcPr>
            <w:tcW w:type="dxa" w:w="27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Temperature Difference (ΔT)</w:t>
            </w:r>
          </w:p>
        </w:tc>
        <w:tc>
          <w:tcPr>
            <w:tcW w:type="dxa" w:w="31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35.5°C</w:t>
            </w:r>
          </w:p>
        </w:tc>
        <w:tc>
          <w:tcPr>
            <w:tcW w:type="dxa" w:w="35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28°C</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Heat Transfer</w:t>
            </w:r>
          </w:p>
        </w:tc>
        <w:tc>
          <w:tcPr>
            <w:tcW w:type="dxa" w:w="31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~12.31 MWth available</w:t>
            </w:r>
          </w:p>
        </w:tc>
        <w:tc>
          <w:tcPr>
            <w:tcW w:type="dxa" w:w="3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~10.5 MWth delivered</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2. Plate heat exchanger operating parameters for hot brine and district heating water circuits.</w:t>
      </w:r>
    </w:p>
    <w:p>
      <w:pPr>
        <w:spacing w:after="100"/>
      </w:pPr>
      <w:r>
        <w:t xml:space="preserve"/>
      </w:r>
    </w:p>
    <w:p>
      <w:pPr>
        <w:pStyle w:val="Heading2"/>
        <w:spacing w:after="140" w:before="280"/>
      </w:pPr>
      <w:r>
        <w:rPr>
          <w:rFonts w:ascii="Arial" w:cs="Arial" w:eastAsia="Arial" w:hAnsi="Arial"/>
          <w:b/>
          <w:bCs/>
          <w:color w:val="2E75B6"/>
          <w:sz w:val="26"/>
          <w:szCs w:val="26"/>
        </w:rPr>
        <w:t xml:space="preserve">Thermal Efficiency and Reinjection</w:t>
      </w:r>
    </w:p>
    <w:p>
      <w:pPr>
        <w:spacing w:after="120" w:line="276"/>
        <w:jc w:val="both"/>
      </w:pPr>
      <w:r>
        <w:rPr>
          <w:rFonts w:ascii="Arial" w:cs="Arial" w:eastAsia="Arial" w:hAnsi="Arial"/>
          <w:sz w:val="22"/>
          <w:szCs w:val="22"/>
        </w:rPr>
        <w:t xml:space="preserve">The cooled brine exits the PHE at 37.5°C and is directed to the deep reinjection well. This reinjection temperature was selected to maintain adequate reservoir pressure support while preventing thermal short-circuiting between the production and injection wells. The 37.5°C reinjection temperature preserves a conservative thermal gap with the formation temperature, ensuring long-term sustainability of the geothermal extraction cycle.</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Heat Pump Integration</w:t>
      </w:r>
    </w:p>
    <w:p>
      <w:pPr>
        <w:pStyle w:val="Heading2"/>
        <w:spacing w:after="140" w:before="280"/>
      </w:pPr>
      <w:r>
        <w:rPr>
          <w:rFonts w:ascii="Arial" w:cs="Arial" w:eastAsia="Arial" w:hAnsi="Arial"/>
          <w:b/>
          <w:bCs/>
          <w:color w:val="2E75B6"/>
          <w:sz w:val="26"/>
          <w:szCs w:val="26"/>
        </w:rPr>
        <w:t xml:space="preserve">Thermal Upgrading Requirement</w:t>
      </w:r>
    </w:p>
    <w:p>
      <w:pPr>
        <w:spacing w:after="120" w:line="276"/>
        <w:jc w:val="both"/>
      </w:pPr>
      <w:r>
        <w:rPr>
          <w:rFonts w:ascii="Arial" w:cs="Arial" w:eastAsia="Arial" w:hAnsi="Arial"/>
          <w:sz w:val="22"/>
          <w:szCs w:val="22"/>
        </w:rPr>
        <w:t xml:space="preserve">The district heating supply requires a hot water delivery temperature of 70°C. Following heat exchange across the PHE, the district water exits at approximately 68°C. A heat pump was integrated into the surface system to upgrade this temperature from 68°C to the required 70°C supply temperature, bridging a 2°C thermal gap.</w:t>
      </w:r>
    </w:p>
    <w:p>
      <w:pPr>
        <w:pStyle w:val="Heading2"/>
        <w:spacing w:after="140" w:before="280"/>
      </w:pPr>
      <w:r>
        <w:rPr>
          <w:rFonts w:ascii="Arial" w:cs="Arial" w:eastAsia="Arial" w:hAnsi="Arial"/>
          <w:b/>
          <w:bCs/>
          <w:color w:val="2E75B6"/>
          <w:sz w:val="26"/>
          <w:szCs w:val="26"/>
        </w:rPr>
        <w:t xml:space="preserve">Heat Pump Performance</w:t>
      </w:r>
    </w:p>
    <w:p>
      <w:pPr>
        <w:spacing w:after="120" w:line="276"/>
        <w:jc w:val="both"/>
      </w:pPr>
      <w:r>
        <w:rPr>
          <w:rFonts w:ascii="Arial" w:cs="Arial" w:eastAsia="Arial" w:hAnsi="Arial"/>
          <w:sz w:val="22"/>
          <w:szCs w:val="22"/>
        </w:rPr>
        <w:t xml:space="preserve">The heat pump delivers 0.45 MWth of additional thermal energy to close the 2°C shortfall between the PHE outlet temperature and the district supply specification. The heat pump operates in compression-cycle mode, consuming 0.2 MW of electrical power sourced from the onsite solar PV system.</w:t>
      </w:r>
    </w:p>
    <w:p>
      <w:pPr>
        <w:spacing w:after="120" w:line="276"/>
        <w:jc w:val="both"/>
      </w:pPr>
      <w:r>
        <w:rPr>
          <w:rFonts w:ascii="Arial" w:cs="Arial" w:eastAsia="Arial" w:hAnsi="Arial"/>
          <w:sz w:val="22"/>
          <w:szCs w:val="22"/>
        </w:rPr>
        <w:t xml:space="preserve">The thermal performance of the heat pump is summarised below: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Inlet Temperature (from PHE)</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68°C</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Outlet Temperature (to district)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70°C</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Thermal Upgrade Delivered</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0.45 MWth</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Electrical Power Consumption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0.2 MW</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Power Source</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Solar PV (0.2 MW)</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COP (estimated)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~2.25</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3. Heat pump operational parameters for district supply temperature upgrading.</w:t>
      </w:r>
    </w:p>
    <w:p>
      <w:pPr>
        <w:spacing w:after="100"/>
      </w:pPr>
      <w:r>
        <w:t xml:space="preserve"/>
      </w:r>
    </w:p>
    <w:p>
      <w:pPr>
        <w:pStyle w:val="Heading2"/>
        <w:spacing w:after="140" w:before="280"/>
      </w:pPr>
      <w:r>
        <w:rPr>
          <w:rFonts w:ascii="Arial" w:cs="Arial" w:eastAsia="Arial" w:hAnsi="Arial"/>
          <w:b/>
          <w:bCs/>
          <w:color w:val="2E75B6"/>
          <w:sz w:val="26"/>
          <w:szCs w:val="26"/>
        </w:rPr>
        <w:t xml:space="preserve">System Integration</w:t>
      </w:r>
    </w:p>
    <w:p>
      <w:pPr>
        <w:spacing w:after="120" w:line="276"/>
        <w:jc w:val="both"/>
      </w:pPr>
      <w:r>
        <w:rPr>
          <w:rFonts w:ascii="Arial" w:cs="Arial" w:eastAsia="Arial" w:hAnsi="Arial"/>
          <w:sz w:val="22"/>
          <w:szCs w:val="22"/>
        </w:rPr>
        <w:t xml:space="preserve">The heat pump is positioned downstream of the PHE in the district heating supply loop. During periods of peak solar generation, the heat pump operates continuously. During low-solar periods, supplementary electricity from the grid or hot thermal storage discharge supports heat pump operation to maintain district supply temperature reliability.</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Thermal Storage Systems</w:t>
      </w:r>
    </w:p>
    <w:p>
      <w:pPr>
        <w:pStyle w:val="Heading2"/>
        <w:spacing w:after="140" w:before="280"/>
      </w:pPr>
      <w:r>
        <w:rPr>
          <w:rFonts w:ascii="Arial" w:cs="Arial" w:eastAsia="Arial" w:hAnsi="Arial"/>
          <w:b/>
          <w:bCs/>
          <w:color w:val="2E75B6"/>
          <w:sz w:val="26"/>
          <w:szCs w:val="26"/>
        </w:rPr>
        <w:t xml:space="preserve">System Overview</w:t>
      </w:r>
    </w:p>
    <w:p>
      <w:pPr>
        <w:spacing w:after="120" w:line="276"/>
        <w:jc w:val="both"/>
      </w:pPr>
      <w:r>
        <w:rPr>
          <w:rFonts w:ascii="Arial" w:cs="Arial" w:eastAsia="Arial" w:hAnsi="Arial"/>
          <w:sz w:val="22"/>
          <w:szCs w:val="22"/>
        </w:rPr>
        <w:t xml:space="preserve">Buffer thermal storage tanks were integrated into the surface facility design to decouple peak district demand from instantaneous geothermal production capacity. The storage system enables the district to draw additional thermal power during peak demand events without requiring oversizing of the geothermal well flow rates or heat exchange equipment.</w:t>
      </w:r>
    </w:p>
    <w:p>
      <w:pPr>
        <w:pStyle w:val="Heading2"/>
        <w:spacing w:after="140" w:before="280"/>
      </w:pPr>
      <w:r>
        <w:rPr>
          <w:rFonts w:ascii="Arial" w:cs="Arial" w:eastAsia="Arial" w:hAnsi="Arial"/>
          <w:b/>
          <w:bCs/>
          <w:color w:val="2E75B6"/>
          <w:sz w:val="26"/>
          <w:szCs w:val="26"/>
        </w:rPr>
        <w:t xml:space="preserve">Hot Thermal Storage</w:t>
      </w:r>
    </w:p>
    <w:p>
      <w:pPr>
        <w:spacing w:after="120" w:line="276"/>
        <w:jc w:val="both"/>
      </w:pPr>
      <w:r>
        <w:rPr>
          <w:rFonts w:ascii="Arial" w:cs="Arial" w:eastAsia="Arial" w:hAnsi="Arial"/>
          <w:sz w:val="22"/>
          <w:szCs w:val="22"/>
        </w:rPr>
        <w:t xml:space="preserve">The hot buffer storage tank stores district-temperature hot water at 70°C, providing rapid thermal dispatch capacity during peak heating demand events.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Tank Volume</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575 m³</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Storage Temperature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70°C</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Stored Energy Capacity</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20 MWh</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Design Application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Peak heating demand buffer (4-hour peak delivery)</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Peak Delivery Power</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5 MWth for 4 hours</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4. Hot thermal storage tank design parameters.</w:t>
      </w:r>
    </w:p>
    <w:p>
      <w:pPr>
        <w:spacing w:after="100"/>
      </w:pPr>
      <w:r>
        <w:t xml:space="preserve"/>
      </w:r>
    </w:p>
    <w:p>
      <w:pPr>
        <w:pStyle w:val="Heading2"/>
        <w:spacing w:after="140" w:before="280"/>
      </w:pPr>
      <w:r>
        <w:rPr>
          <w:rFonts w:ascii="Arial" w:cs="Arial" w:eastAsia="Arial" w:hAnsi="Arial"/>
          <w:b/>
          <w:bCs/>
          <w:color w:val="2E75B6"/>
          <w:sz w:val="26"/>
          <w:szCs w:val="26"/>
        </w:rPr>
        <w:t xml:space="preserve">Cold Thermal Storage</w:t>
      </w:r>
    </w:p>
    <w:p>
      <w:pPr>
        <w:spacing w:after="120" w:line="276"/>
        <w:jc w:val="both"/>
      </w:pPr>
      <w:r>
        <w:rPr>
          <w:rFonts w:ascii="Arial" w:cs="Arial" w:eastAsia="Arial" w:hAnsi="Arial"/>
          <w:sz w:val="22"/>
          <w:szCs w:val="22"/>
        </w:rPr>
        <w:t xml:space="preserve">The cold buffer storage tank stores chilled water at 7°C for dispatch during peak cooling demand events, complementing the ATES cold-energy circuit.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Tank Volume</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1,225 m³</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Storage Temperature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7°C</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Stored Energy Capacity</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10 MWh</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Design Application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Peak cooling demand buffer (4-hour peak delivery)</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Peak Delivery Power</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2.5 MWth for 4 hours</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5. Cold thermal storage tank design parameters.</w:t>
      </w:r>
    </w:p>
    <w:p>
      <w:pPr>
        <w:spacing w:after="100"/>
      </w:pPr>
      <w:r>
        <w:t xml:space="preserve"/>
      </w:r>
    </w:p>
    <w:p>
      <w:pPr>
        <w:pStyle w:val="Heading2"/>
        <w:spacing w:after="140" w:before="280"/>
      </w:pPr>
      <w:r>
        <w:rPr>
          <w:rFonts w:ascii="Arial" w:cs="Arial" w:eastAsia="Arial" w:hAnsi="Arial"/>
          <w:b/>
          <w:bCs/>
          <w:color w:val="2E75B6"/>
          <w:sz w:val="26"/>
          <w:szCs w:val="26"/>
        </w:rPr>
        <w:t xml:space="preserve">Peak Load Analysis</w:t>
      </w:r>
    </w:p>
    <w:p>
      <w:pPr>
        <w:spacing w:after="120" w:line="276"/>
        <w:jc w:val="both"/>
      </w:pPr>
      <w:r>
        <w:rPr>
          <w:rFonts w:ascii="Arial" w:cs="Arial" w:eastAsia="Arial" w:hAnsi="Arial"/>
          <w:sz w:val="22"/>
          <w:szCs w:val="22"/>
        </w:rPr>
        <w:t xml:space="preserve">The combined storage capacity was sized to sustain peak delivery for 4 hours, consistent with Assumption 5 (peak demand duration). The energy-to-power ratios confirm that both hot and cold storage tanks are correctly dimensioned to cover the specified peak delivery requirements:</w:t>
      </w:r>
    </w:p>
    <w:p>
      <w:pPr>
        <w:spacing w:after="100" w:before="80"/>
        <w:jc w:val="center"/>
      </w:pPr>
      <w:r>
        <w:rPr>
          <w:rFonts w:ascii="Courier New" w:cs="Courier New" w:eastAsia="Courier New" w:hAnsi="Courier New"/>
          <w:sz w:val="22"/>
          <w:szCs w:val="22"/>
        </w:rPr>
        <w:t xml:space="preserve">Hot storage: 20 MWh ÷ 5 MWth = 4 hours   ✓</w:t>
      </w:r>
    </w:p>
    <w:p>
      <w:pPr>
        <w:spacing w:after="100" w:before="40"/>
        <w:jc w:val="center"/>
      </w:pPr>
      <w:r>
        <w:rPr>
          <w:rFonts w:ascii="Courier New" w:cs="Courier New" w:eastAsia="Courier New" w:hAnsi="Courier New"/>
          <w:sz w:val="22"/>
          <w:szCs w:val="22"/>
        </w:rPr>
        <w:t xml:space="preserve">Cold storage: 10 MWh ÷ 2.5 MWth = 4 hours   ✓</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Aquifer Thermal Energy Storage (ATES)</w:t>
      </w:r>
    </w:p>
    <w:p>
      <w:pPr>
        <w:pStyle w:val="Heading2"/>
        <w:spacing w:after="140" w:before="280"/>
      </w:pPr>
      <w:r>
        <w:rPr>
          <w:rFonts w:ascii="Arial" w:cs="Arial" w:eastAsia="Arial" w:hAnsi="Arial"/>
          <w:b/>
          <w:bCs/>
          <w:color w:val="2E75B6"/>
          <w:sz w:val="26"/>
          <w:szCs w:val="26"/>
        </w:rPr>
        <w:t xml:space="preserve">System Role</w:t>
      </w:r>
    </w:p>
    <w:p>
      <w:pPr>
        <w:spacing w:after="120" w:line="276"/>
        <w:jc w:val="both"/>
      </w:pPr>
      <w:r>
        <w:rPr>
          <w:rFonts w:ascii="Arial" w:cs="Arial" w:eastAsia="Arial" w:hAnsi="Arial"/>
          <w:sz w:val="22"/>
          <w:szCs w:val="22"/>
        </w:rPr>
        <w:t xml:space="preserve">The ATES system serves as the subsurface seasonal thermal energy storage component, complementing the surface buffer tanks. The ATES warm well (15–35°C) and cold well (8–15°C) provide seasonal thermal balancing between heating-dominated winter operation and cooling-dominated summer operation.</w:t>
      </w:r>
    </w:p>
    <w:p>
      <w:pPr>
        <w:spacing w:after="120" w:line="276"/>
        <w:jc w:val="both"/>
      </w:pPr>
      <w:r>
        <w:rPr>
          <w:rFonts w:ascii="Arial" w:cs="Arial" w:eastAsia="Arial" w:hAnsi="Arial"/>
          <w:sz w:val="22"/>
          <w:szCs w:val="22"/>
        </w:rPr>
        <w:t xml:space="preserve">In winter, the ATES warm well supplements geothermal heating capacity during peak demand, while in summer, the ATES cold well discharges chilled water directly into the cooling distribution system.</w:t>
      </w:r>
    </w:p>
    <w:p>
      <w:pPr>
        <w:pStyle w:val="Heading2"/>
        <w:spacing w:after="140" w:before="280"/>
      </w:pPr>
      <w:r>
        <w:rPr>
          <w:rFonts w:ascii="Arial" w:cs="Arial" w:eastAsia="Arial" w:hAnsi="Arial"/>
          <w:b/>
          <w:bCs/>
          <w:color w:val="2E75B6"/>
          <w:sz w:val="26"/>
          <w:szCs w:val="26"/>
        </w:rPr>
        <w:t xml:space="preserve">ATES Cooling Circuit Design</w:t>
      </w:r>
    </w:p>
    <w:p>
      <w:pPr>
        <w:spacing w:after="120" w:line="276"/>
        <w:jc w:val="both"/>
      </w:pPr>
      <w:r>
        <w:rPr>
          <w:rFonts w:ascii="Arial" w:cs="Arial" w:eastAsia="Arial" w:hAnsi="Arial"/>
          <w:sz w:val="22"/>
          <w:szCs w:val="22"/>
        </w:rPr>
        <w:t xml:space="preserve">A flow rate of 540 m³/hr through the ATES system was determined as the design requirement for the cooling circuit. This exceeds the heating circuit flow rate (300 m³/hr) owing to the lower temperature differential available in the cooling cycle (7°C supply, 15°C return, ΔT = 8°C) compared to the heating cycle.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Heating Circuit</w:t>
            </w:r>
          </w:p>
        </w:tc>
        <w:tc>
          <w:tcPr>
            <w:tcW w:type="dxa" w:w="312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Cooling Circuit</w:t>
            </w:r>
          </w:p>
        </w:tc>
      </w:tr>
      <w:tr>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Design Flow Rate</w:t>
            </w:r>
          </w:p>
        </w:tc>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300 m³/hr</w:t>
            </w:r>
          </w:p>
        </w:tc>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540 m³/hr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Supply Temperature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70°C</w:t>
            </w:r>
          </w:p>
        </w:tc>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7°C</w:t>
            </w:r>
          </w:p>
        </w:tc>
      </w:tr>
      <w:tr>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Return Temperature</w:t>
            </w:r>
          </w:p>
        </w:tc>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40°C</w:t>
            </w:r>
          </w:p>
        </w:tc>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15°C</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Temperature Differential (ΔT)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30°C</w:t>
            </w:r>
          </w:p>
        </w:tc>
        <w:tc>
          <w:tcPr>
            <w:tcW w:type="dxa" w:w="312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8°C</w:t>
            </w:r>
          </w:p>
        </w:tc>
      </w:tr>
      <w:tr>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Design Capacity</w:t>
            </w:r>
          </w:p>
        </w:tc>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10.5 MWth</w:t>
            </w:r>
          </w:p>
        </w:tc>
        <w:tc>
          <w:tcPr>
            <w:tcW w:type="dxa" w:w="312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5.0 MWth</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6. Comparative heating and cooling circuit hydraulic and thermal parameters.</w:t>
      </w:r>
    </w:p>
    <w:p>
      <w:pPr>
        <w:spacing w:after="100"/>
      </w:pPr>
      <w:r>
        <w:t xml:space="preserve"/>
      </w:r>
    </w:p>
    <w:p>
      <w:pPr>
        <w:pStyle w:val="Heading2"/>
        <w:spacing w:after="140" w:before="280"/>
      </w:pPr>
      <w:r>
        <w:rPr>
          <w:rFonts w:ascii="Arial" w:cs="Arial" w:eastAsia="Arial" w:hAnsi="Arial"/>
          <w:b/>
          <w:bCs/>
          <w:color w:val="2E75B6"/>
          <w:sz w:val="26"/>
          <w:szCs w:val="26"/>
        </w:rPr>
        <w:t xml:space="preserve">ATES Operational Logic</w:t>
      </w:r>
    </w:p>
    <w:p>
      <w:pPr>
        <w:pStyle w:val="ListParagraph"/>
        <w:numPr>
          <w:ilvl w:val="0"/>
          <w:numId w:val="2"/>
        </w:numPr>
        <w:spacing w:after="80"/>
      </w:pPr>
      <w:r>
        <w:rPr>
          <w:rFonts w:ascii="Arial" w:cs="Arial" w:eastAsia="Arial" w:hAnsi="Arial"/>
          <w:sz w:val="22"/>
          <w:szCs w:val="22"/>
        </w:rPr>
        <w:t xml:space="preserve">Winter (Heating-Dominated): ATES warm well discharges supplementary heat; cold well recharges from district cooling return.</w:t>
      </w:r>
    </w:p>
    <w:p>
      <w:pPr>
        <w:pStyle w:val="ListParagraph"/>
        <w:numPr>
          <w:ilvl w:val="0"/>
          <w:numId w:val="2"/>
        </w:numPr>
        <w:spacing w:after="80"/>
      </w:pPr>
      <w:r>
        <w:rPr>
          <w:rFonts w:ascii="Arial" w:cs="Arial" w:eastAsia="Arial" w:hAnsi="Arial"/>
          <w:sz w:val="22"/>
          <w:szCs w:val="22"/>
        </w:rPr>
        <w:t xml:space="preserve">Summer (Cooling-Dominated): ATES cold well dispatches chilled water to the cooling loop; warm well recharges from district heating return.</w:t>
      </w:r>
    </w:p>
    <w:p>
      <w:pPr>
        <w:pStyle w:val="ListParagraph"/>
        <w:numPr>
          <w:ilvl w:val="0"/>
          <w:numId w:val="2"/>
        </w:numPr>
        <w:spacing w:after="80"/>
      </w:pPr>
      <w:r>
        <w:rPr>
          <w:rFonts w:ascii="Arial" w:cs="Arial" w:eastAsia="Arial" w:hAnsi="Arial"/>
          <w:sz w:val="22"/>
          <w:szCs w:val="22"/>
        </w:rPr>
        <w:t xml:space="preserve">Transitional Seasons: Balanced ATES dispatch with optimised thermal recharging of both wells to maximise seasonal energy recovery.</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Mechanical Compression Cooling System</w:t>
      </w:r>
    </w:p>
    <w:p>
      <w:pPr>
        <w:pStyle w:val="Heading2"/>
        <w:spacing w:after="140" w:before="280"/>
      </w:pPr>
      <w:r>
        <w:rPr>
          <w:rFonts w:ascii="Arial" w:cs="Arial" w:eastAsia="Arial" w:hAnsi="Arial"/>
          <w:b/>
          <w:bCs/>
          <w:color w:val="2E75B6"/>
          <w:sz w:val="26"/>
          <w:szCs w:val="26"/>
        </w:rPr>
        <w:t xml:space="preserve">System Design</w:t>
      </w:r>
    </w:p>
    <w:p>
      <w:pPr>
        <w:spacing w:after="120" w:line="276"/>
        <w:jc w:val="both"/>
      </w:pPr>
      <w:r>
        <w:rPr>
          <w:rFonts w:ascii="Arial" w:cs="Arial" w:eastAsia="Arial" w:hAnsi="Arial"/>
          <w:sz w:val="22"/>
          <w:szCs w:val="22"/>
        </w:rPr>
        <w:t xml:space="preserve">A mechanical compression chiller/evaporator system was incorporated into the surface facility to meet peak cooling demand and provide cooling capacity independent of ATES availability. The chiller system operates using 1.0 MW of electrical power, sourced from the onsite solar PV generation and grid backup supply.</w:t>
      </w:r>
    </w:p>
    <w:p>
      <w:pPr>
        <w:spacing w:after="120" w:line="276"/>
        <w:jc w:val="both"/>
      </w:pPr>
      <w:r>
        <w:rPr>
          <w:rFonts w:ascii="Arial" w:cs="Arial" w:eastAsia="Arial" w:hAnsi="Arial"/>
          <w:sz w:val="22"/>
          <w:szCs w:val="22"/>
        </w:rPr>
        <w:t xml:space="preserve">The mechanical chiller augments ATES cold-energy dispatch during peak summer cooling demand, ensuring the district 5.0 MWth cooling capacity requirement is reliably met.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Cooling Capacity</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5.0 MWth (peak)</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Electrical Power Consumption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 MW</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Chiller Supply Temperature</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7°C</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Chiller Return Temperature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15°C</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Power Source</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Solar PV / Grid backup</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Operational Mode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Chiller/Evaporator (vapour compression)</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7. Mechanical compression cooling system parameters.</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Solar Energy System</w:t>
      </w:r>
    </w:p>
    <w:p>
      <w:pPr>
        <w:pStyle w:val="Heading2"/>
        <w:spacing w:after="140" w:before="280"/>
      </w:pPr>
      <w:r>
        <w:rPr>
          <w:rFonts w:ascii="Arial" w:cs="Arial" w:eastAsia="Arial" w:hAnsi="Arial"/>
          <w:b/>
          <w:bCs/>
          <w:color w:val="2E75B6"/>
          <w:sz w:val="26"/>
          <w:szCs w:val="26"/>
        </w:rPr>
        <w:t xml:space="preserve">System Role and Capacity</w:t>
      </w:r>
    </w:p>
    <w:p>
      <w:pPr>
        <w:spacing w:after="120" w:line="276"/>
        <w:jc w:val="both"/>
      </w:pPr>
      <w:r>
        <w:rPr>
          <w:rFonts w:ascii="Arial" w:cs="Arial" w:eastAsia="Arial" w:hAnsi="Arial"/>
          <w:sz w:val="22"/>
          <w:szCs w:val="22"/>
        </w:rPr>
        <w:t xml:space="preserve">A rooftop or ground-mounted solar photovoltaic (PV) array of 1.5 MW installed capacity provides onsite renewable electricity generation to power the heat pump, mechanical chiller, and auxiliary surface facility loads. Solar generation reduces dependency on grid electricity, improving the renewable energy fraction of the overall district energy system and reducing operational carbon intensity.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Installed Capacity</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1.5 MW</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Primary Loads Supplied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Heat pump (0.2 MW), Mechanical chiller (1.0 MW)</w:t>
            </w:r>
          </w:p>
        </w:tc>
      </w:tr>
      <w:tr>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Total Electrical Demand Served</w:t>
            </w:r>
          </w:p>
        </w:tc>
        <w:tc>
          <w:tcPr>
            <w:tcW w:type="dxa" w:w="468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1.2 MW (combined)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Surplus Generation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0.3 MW available for grid export or ancillary loads</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8. Solar PV system design parameters and load allocation.</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Distribution Manifold and District Interface</w:t>
      </w:r>
    </w:p>
    <w:p>
      <w:pPr>
        <w:pStyle w:val="Heading2"/>
        <w:spacing w:after="140" w:before="280"/>
      </w:pPr>
      <w:r>
        <w:rPr>
          <w:rFonts w:ascii="Arial" w:cs="Arial" w:eastAsia="Arial" w:hAnsi="Arial"/>
          <w:b/>
          <w:bCs/>
          <w:color w:val="2E75B6"/>
          <w:sz w:val="26"/>
          <w:szCs w:val="26"/>
        </w:rPr>
        <w:t xml:space="preserve">Manifold Design</w:t>
      </w:r>
    </w:p>
    <w:p>
      <w:pPr>
        <w:spacing w:after="120" w:line="276"/>
        <w:jc w:val="both"/>
      </w:pPr>
      <w:r>
        <w:rPr>
          <w:rFonts w:ascii="Arial" w:cs="Arial" w:eastAsia="Arial" w:hAnsi="Arial"/>
          <w:sz w:val="22"/>
          <w:szCs w:val="22"/>
        </w:rPr>
        <w:t xml:space="preserve">A central distribution manifold serves as the thermal dispatch hub for the district energy network. The manifold integrates outputs from the PHE, heat pump, hot thermal storage tank, and ATES warm well into a unified district heating supply at 70°C. Similarly, the cooling manifold integrates outputs from the cold thermal storage tank, ATES cold well, and mechanical chiller into the district cooling supply at 7°C.</w:t>
      </w:r>
    </w:p>
    <w:p>
      <w:pPr>
        <w:pStyle w:val="Heading2"/>
        <w:spacing w:after="140" w:before="280"/>
      </w:pPr>
      <w:r>
        <w:rPr>
          <w:rFonts w:ascii="Arial" w:cs="Arial" w:eastAsia="Arial" w:hAnsi="Arial"/>
          <w:b/>
          <w:bCs/>
          <w:color w:val="2E75B6"/>
          <w:sz w:val="26"/>
          <w:szCs w:val="26"/>
        </w:rPr>
        <w:t xml:space="preserve">District Supply and Return Temperatures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Circuit</w:t>
            </w:r>
          </w:p>
        </w:tc>
        <w:tc>
          <w:tcPr>
            <w:tcW w:type="dxa" w:w="234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Supply Temperature</w:t>
            </w:r>
          </w:p>
        </w:tc>
        <w:tc>
          <w:tcPr>
            <w:tcW w:type="dxa" w:w="234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Return Temperature</w:t>
            </w:r>
          </w:p>
        </w:tc>
        <w:tc>
          <w:tcPr>
            <w:tcW w:type="dxa" w:w="234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 Capacity</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District Heating</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70°C</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40°C</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10.5 MWth</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District Cooling</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7°C</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15°C</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5.0 MWth</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Peak Heating Delivery</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70°C</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40°C</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5.0 MWth (4 hrs)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Peak Cooling Delivery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7°C</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15°C</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2.5 MWth (4 hrs)</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9. District heating and cooling supply parameters at the distribution manifold.</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Key Engineering Findings</w:t>
      </w:r>
    </w:p>
    <w:p>
      <w:pPr>
        <w:pStyle w:val="Heading2"/>
        <w:spacing w:after="140" w:before="280"/>
      </w:pPr>
      <w:r>
        <w:rPr>
          <w:rFonts w:ascii="Arial" w:cs="Arial" w:eastAsia="Arial" w:hAnsi="Arial"/>
          <w:b/>
          <w:bCs/>
          <w:color w:val="2E75B6"/>
          <w:sz w:val="26"/>
          <w:szCs w:val="26"/>
        </w:rPr>
        <w:t xml:space="preserve">Summary of Surface Facility Design Outcomes</w:t>
      </w:r>
    </w:p>
    <w:p>
      <w:pPr>
        <w:spacing w:after="120" w:line="276"/>
        <w:jc w:val="both"/>
      </w:pPr>
      <w:r>
        <w:rPr>
          <w:rFonts w:ascii="Arial" w:cs="Arial" w:eastAsia="Arial" w:hAnsi="Arial"/>
          <w:sz w:val="22"/>
          <w:szCs w:val="22"/>
        </w:rPr>
        <w:t xml:space="preserve">The surface facility design successfully integrates geothermal extraction, heat exchange, thermal upgrading, energy storage, and mechanical cooling into a coherent district energy system. The key engineering outcomes of the surface design are summarised below:</w:t>
      </w:r>
    </w:p>
    <w:p>
      <w:pPr>
        <w:spacing w:after="100"/>
      </w:pPr>
      <w:r>
        <w:t xml:space="preserve"/>
      </w:r>
    </w:p>
    <w:p>
      <w:pPr>
        <w:pStyle w:val="ListParagraph"/>
        <w:numPr>
          <w:ilvl w:val="0"/>
          <w:numId w:val="2"/>
        </w:numPr>
        <w:spacing w:after="80"/>
      </w:pPr>
      <w:r>
        <w:rPr>
          <w:rFonts w:ascii="Arial" w:cs="Arial" w:eastAsia="Arial" w:hAnsi="Arial"/>
          <w:b/>
          <w:bCs/>
          <w:sz w:val="22"/>
          <w:szCs w:val="22"/>
        </w:rPr>
        <w:t xml:space="preserve">Blend Temperature: </w:t>
      </w:r>
      <w:r>
        <w:rPr>
          <w:rFonts w:ascii="Arial" w:cs="Arial" w:eastAsia="Arial" w:hAnsi="Arial"/>
          <w:sz w:val="22"/>
          <w:szCs w:val="22"/>
        </w:rPr>
        <w:t xml:space="preserve">73°C achieved through flow-weighted mixing of GLA-01 (70°C) and BLT-01 (77°C) brine streams.</w:t>
      </w:r>
    </w:p>
    <w:p>
      <w:pPr>
        <w:pStyle w:val="ListParagraph"/>
        <w:numPr>
          <w:ilvl w:val="0"/>
          <w:numId w:val="2"/>
        </w:numPr>
        <w:spacing w:after="80"/>
      </w:pPr>
      <w:r>
        <w:rPr>
          <w:rFonts w:ascii="Arial" w:cs="Arial" w:eastAsia="Arial" w:hAnsi="Arial"/>
          <w:b/>
          <w:bCs/>
          <w:sz w:val="22"/>
          <w:szCs w:val="22"/>
        </w:rPr>
        <w:t xml:space="preserve">Heating Circuit Flow Rate: </w:t>
      </w:r>
      <w:r>
        <w:rPr>
          <w:rFonts w:ascii="Arial" w:cs="Arial" w:eastAsia="Arial" w:hAnsi="Arial"/>
          <w:sz w:val="22"/>
          <w:szCs w:val="22"/>
        </w:rPr>
        <w:t xml:space="preserve">300 m³/hr required from the blended production stream at the PHE inlet.</w:t>
      </w:r>
    </w:p>
    <w:p>
      <w:pPr>
        <w:pStyle w:val="ListParagraph"/>
        <w:numPr>
          <w:ilvl w:val="0"/>
          <w:numId w:val="2"/>
        </w:numPr>
        <w:spacing w:after="80"/>
      </w:pPr>
      <w:r>
        <w:rPr>
          <w:rFonts w:ascii="Arial" w:cs="Arial" w:eastAsia="Arial" w:hAnsi="Arial"/>
          <w:b/>
          <w:bCs/>
          <w:sz w:val="22"/>
          <w:szCs w:val="22"/>
        </w:rPr>
        <w:t xml:space="preserve">Heat Pump Contribution: </w:t>
      </w:r>
      <w:r>
        <w:rPr>
          <w:rFonts w:ascii="Arial" w:cs="Arial" w:eastAsia="Arial" w:hAnsi="Arial"/>
          <w:sz w:val="22"/>
          <w:szCs w:val="22"/>
        </w:rPr>
        <w:t xml:space="preserve">0.45 MWth delivered to upgrade district supply temperature from 68°C to 70°C, consuming 0.2 MW of solar electricity.</w:t>
      </w:r>
    </w:p>
    <w:p>
      <w:pPr>
        <w:pStyle w:val="ListParagraph"/>
        <w:numPr>
          <w:ilvl w:val="0"/>
          <w:numId w:val="2"/>
        </w:numPr>
        <w:spacing w:after="80"/>
      </w:pPr>
      <w:r>
        <w:rPr>
          <w:rFonts w:ascii="Arial" w:cs="Arial" w:eastAsia="Arial" w:hAnsi="Arial"/>
          <w:b/>
          <w:bCs/>
          <w:sz w:val="22"/>
          <w:szCs w:val="22"/>
        </w:rPr>
        <w:t xml:space="preserve">District Heating Capacity: </w:t>
      </w:r>
      <w:r>
        <w:rPr>
          <w:rFonts w:ascii="Arial" w:cs="Arial" w:eastAsia="Arial" w:hAnsi="Arial"/>
          <w:sz w:val="22"/>
          <w:szCs w:val="22"/>
        </w:rPr>
        <w:t xml:space="preserve">10.5 MWth delivered to the district heating network, exceeding the 10 MW design target.</w:t>
      </w:r>
    </w:p>
    <w:p>
      <w:pPr>
        <w:pStyle w:val="ListParagraph"/>
        <w:numPr>
          <w:ilvl w:val="0"/>
          <w:numId w:val="2"/>
        </w:numPr>
        <w:spacing w:after="80"/>
      </w:pPr>
      <w:r>
        <w:rPr>
          <w:rFonts w:ascii="Arial" w:cs="Arial" w:eastAsia="Arial" w:hAnsi="Arial"/>
          <w:b/>
          <w:bCs/>
          <w:sz w:val="22"/>
          <w:szCs w:val="22"/>
        </w:rPr>
        <w:t xml:space="preserve">Cooling Circuit Flow Rate: </w:t>
      </w:r>
      <w:r>
        <w:rPr>
          <w:rFonts w:ascii="Arial" w:cs="Arial" w:eastAsia="Arial" w:hAnsi="Arial"/>
          <w:sz w:val="22"/>
          <w:szCs w:val="22"/>
        </w:rPr>
        <w:t xml:space="preserve">540 m³/hr required through the ATES cooling circuit, driven by the lower cooling temperature differential (ΔT = 8°C).</w:t>
      </w:r>
    </w:p>
    <w:p>
      <w:pPr>
        <w:pStyle w:val="ListParagraph"/>
        <w:numPr>
          <w:ilvl w:val="0"/>
          <w:numId w:val="2"/>
        </w:numPr>
        <w:spacing w:after="80"/>
      </w:pPr>
      <w:r>
        <w:rPr>
          <w:rFonts w:ascii="Arial" w:cs="Arial" w:eastAsia="Arial" w:hAnsi="Arial"/>
          <w:b/>
          <w:bCs/>
          <w:sz w:val="22"/>
          <w:szCs w:val="22"/>
        </w:rPr>
        <w:t xml:space="preserve">Peak Heating Storage: </w:t>
      </w:r>
      <w:r>
        <w:rPr>
          <w:rFonts w:ascii="Arial" w:cs="Arial" w:eastAsia="Arial" w:hAnsi="Arial"/>
          <w:sz w:val="22"/>
          <w:szCs w:val="22"/>
        </w:rPr>
        <w:t xml:space="preserve">20 MWh stored at 70°C in a 575 m³ hot buffer tank, sustaining 5 MWth peak delivery for 4 hours.</w:t>
      </w:r>
    </w:p>
    <w:p>
      <w:pPr>
        <w:pStyle w:val="ListParagraph"/>
        <w:numPr>
          <w:ilvl w:val="0"/>
          <w:numId w:val="2"/>
        </w:numPr>
        <w:spacing w:after="80"/>
      </w:pPr>
      <w:r>
        <w:rPr>
          <w:rFonts w:ascii="Arial" w:cs="Arial" w:eastAsia="Arial" w:hAnsi="Arial"/>
          <w:b/>
          <w:bCs/>
          <w:sz w:val="22"/>
          <w:szCs w:val="22"/>
        </w:rPr>
        <w:t xml:space="preserve">Peak Cooling Storage: </w:t>
      </w:r>
      <w:r>
        <w:rPr>
          <w:rFonts w:ascii="Arial" w:cs="Arial" w:eastAsia="Arial" w:hAnsi="Arial"/>
          <w:sz w:val="22"/>
          <w:szCs w:val="22"/>
        </w:rPr>
        <w:t xml:space="preserve">10 MWh stored at 7°C in a 1,225 m³ cold buffer tank, sustaining 2.5 MWth peak delivery for 4 hours.</w:t>
      </w:r>
    </w:p>
    <w:p>
      <w:pPr>
        <w:pStyle w:val="ListParagraph"/>
        <w:numPr>
          <w:ilvl w:val="0"/>
          <w:numId w:val="2"/>
        </w:numPr>
        <w:spacing w:after="80"/>
      </w:pPr>
      <w:r>
        <w:rPr>
          <w:rFonts w:ascii="Arial" w:cs="Arial" w:eastAsia="Arial" w:hAnsi="Arial"/>
          <w:b/>
          <w:bCs/>
          <w:sz w:val="22"/>
          <w:szCs w:val="22"/>
        </w:rPr>
        <w:t xml:space="preserve">Reinjection Temperature: </w:t>
      </w:r>
      <w:r>
        <w:rPr>
          <w:rFonts w:ascii="Arial" w:cs="Arial" w:eastAsia="Arial" w:hAnsi="Arial"/>
          <w:sz w:val="22"/>
          <w:szCs w:val="22"/>
        </w:rPr>
        <w:t xml:space="preserve">37.5°C brine reinjection temperature maintains reservoir pressure support and prevents thermal breakthrough.</w:t>
      </w:r>
    </w:p>
    <w:p>
      <w:pPr>
        <w:pStyle w:val="ListParagraph"/>
        <w:numPr>
          <w:ilvl w:val="0"/>
          <w:numId w:val="2"/>
        </w:numPr>
        <w:spacing w:after="80"/>
      </w:pPr>
      <w:r>
        <w:rPr>
          <w:rFonts w:ascii="Arial" w:cs="Arial" w:eastAsia="Arial" w:hAnsi="Arial"/>
          <w:b/>
          <w:bCs/>
          <w:sz w:val="22"/>
          <w:szCs w:val="22"/>
        </w:rPr>
        <w:t xml:space="preserve">Solar PV Integration: </w:t>
      </w:r>
      <w:r>
        <w:rPr>
          <w:rFonts w:ascii="Arial" w:cs="Arial" w:eastAsia="Arial" w:hAnsi="Arial"/>
          <w:sz w:val="22"/>
          <w:szCs w:val="22"/>
        </w:rPr>
        <w:t xml:space="preserve">1.5 MW installed solar capacity provides sufficient renewable electricity for heat pump and chiller operation with 0.3 MW surplus.</w:t>
      </w:r>
    </w:p>
    <w:p>
      <w:pPr>
        <w:spacing w:after="100"/>
      </w:pPr>
      <w:r>
        <w:t xml:space="preserve"/>
      </w:r>
    </w:p>
    <w:p>
      <w:pPr>
        <w:pStyle w:val="Heading2"/>
        <w:spacing w:after="140" w:before="280"/>
      </w:pPr>
      <w:r>
        <w:rPr>
          <w:rFonts w:ascii="Arial" w:cs="Arial" w:eastAsia="Arial" w:hAnsi="Arial"/>
          <w:b/>
          <w:bCs/>
          <w:color w:val="2E75B6"/>
          <w:sz w:val="26"/>
          <w:szCs w:val="26"/>
        </w:rPr>
        <w:t xml:space="preserve">System Performance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160"/>
        <w:gridCol w:w="2160"/>
      </w:tblGrid>
      <w:tr>
        <w:trPr>
          <w:tblHeader/>
        </w:trPr>
        <w:tc>
          <w:tcPr>
            <w:tcW w:type="dxa" w:w="27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Performance Metric</w:t>
            </w:r>
          </w:p>
        </w:tc>
        <w:tc>
          <w:tcPr>
            <w:tcW w:type="dxa" w:w="234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 Value</w:t>
            </w:r>
          </w:p>
        </w:tc>
        <w:tc>
          <w:tcPr>
            <w:tcW w:type="dxa" w:w="216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 Target</w:t>
            </w:r>
          </w:p>
        </w:tc>
        <w:tc>
          <w:tcPr>
            <w:tcW w:type="dxa" w:w="216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27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District Heating Output</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10.5 MWth</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10.0 MWth</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District Cooling Output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5.0 MWth</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5.0 MWth</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r>
        <w:tc>
          <w:tcPr>
            <w:tcW w:type="dxa" w:w="27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Hot Supply Temperature</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70°C</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70°C</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Cold Supply Temperature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7°C</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7°C</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r>
        <w:tc>
          <w:tcPr>
            <w:tcW w:type="dxa" w:w="27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Peak Heating Duration</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4 hours @ 5 MWth</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4 hours</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Peak Cooling Duration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 hours @ 2.5 MWth</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 hours</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r>
        <w:tc>
          <w:tcPr>
            <w:tcW w:type="dxa" w:w="270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left"/>
            </w:pPr>
            <w:r>
              <w:rPr>
                <w:rFonts w:ascii="Arial" w:cs="Arial" w:eastAsia="Arial" w:hAnsi="Arial"/>
                <w:sz w:val="20"/>
                <w:szCs w:val="20"/>
              </w:rPr>
              <w:t xml:space="preserve">Brine Reinjection Temp.</w:t>
            </w:r>
          </w:p>
        </w:tc>
        <w:tc>
          <w:tcPr>
            <w:tcW w:type="dxa" w:w="234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37.5°C</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&lt; 40°C</w:t>
            </w:r>
          </w:p>
        </w:tc>
        <w:tc>
          <w:tcPr>
            <w:tcW w:type="dxa" w:w="2160"/>
            <w:tcBorders>
              <w:top w:val="single" w:color="AAAAAA" w:sz="4"/>
              <w:left w:val="single" w:color="AAAAAA" w:sz="4"/>
              <w:bottom w:val="single" w:color="AAAAAA" w:sz="4"/>
              <w:right w:val="single" w:color="AAAAAA" w:sz="4"/>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Renewable Electricity Supply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 MW Solar PV</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Self-sufficient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Achieved ✓</w:t>
            </w:r>
          </w:p>
        </w:tc>
      </w:tr>
    </w:tbl>
    <w:p>
      <w:pPr>
        <w:spacing w:after="100"/>
      </w:pPr>
      <w:r>
        <w:t xml:space="preserve"/>
      </w:r>
    </w:p>
    <w:p>
      <w:pPr>
        <w:spacing w:after="200" w:before="80"/>
        <w:jc w:val="center"/>
      </w:pPr>
      <w:r>
        <w:rPr>
          <w:rFonts w:ascii="Arial" w:cs="Arial" w:eastAsia="Arial" w:hAnsi="Arial"/>
          <w:i/>
          <w:iCs/>
          <w:color w:val="555555"/>
          <w:sz w:val="20"/>
          <w:szCs w:val="20"/>
        </w:rPr>
        <w:t xml:space="preserve">Table 10. Surface facility performance summary against design targets.</w:t>
      </w:r>
    </w:p>
    <w:p>
      <w:pPr>
        <w:spacing w:after="100"/>
      </w:pPr>
      <w:r>
        <w:t xml:space="preserve"/>
      </w:r>
    </w:p>
    <w:p>
      <w:pPr>
        <w:pStyle w:val="Heading1"/>
        <w:pBdr>
          <w:bottom w:val="single" w:color="2E75B6" w:sz="6" w:space="4"/>
        </w:pBdr>
        <w:spacing w:after="180" w:before="360"/>
      </w:pPr>
      <w:r>
        <w:rPr>
          <w:rFonts w:ascii="Arial" w:cs="Arial" w:eastAsia="Arial" w:hAnsi="Arial"/>
          <w:b/>
          <w:bCs/>
          <w:color w:val="1F3864"/>
          <w:sz w:val="32"/>
          <w:szCs w:val="32"/>
        </w:rPr>
        <w:t xml:space="preserve">Conclusion</w:t>
      </w:r>
    </w:p>
    <w:p>
      <w:pPr>
        <w:spacing w:after="120" w:line="276"/>
        <w:jc w:val="both"/>
      </w:pPr>
      <w:r>
        <w:rPr>
          <w:rFonts w:ascii="Arial" w:cs="Arial" w:eastAsia="Arial" w:hAnsi="Arial"/>
          <w:sz w:val="22"/>
          <w:szCs w:val="22"/>
        </w:rPr>
        <w:t xml:space="preserve">The surface facilities design for the Utrecht doublet geothermal district energy system achieves all primary thermal and hydraulic performance targets within the adopted design assumptions. The integrated system architecture — combining geothermal heat extraction, titanium plate heat exchange, heat pump thermal upgrading, ATES seasonal storage, surface buffer tanks, and solar-powered mechanical cooling — provides a robust, low-carbon district energy supply capable of meeting both baseload and peak heating and cooling demands.</w:t>
      </w:r>
    </w:p>
    <w:p>
      <w:pPr>
        <w:spacing w:after="120" w:line="276"/>
        <w:jc w:val="both"/>
      </w:pPr>
      <w:r>
        <w:rPr>
          <w:rFonts w:ascii="Arial" w:cs="Arial" w:eastAsia="Arial" w:hAnsi="Arial"/>
          <w:sz w:val="22"/>
          <w:szCs w:val="22"/>
        </w:rPr>
        <w:t xml:space="preserve">The higher cooling circuit flow rate requirement (540 m³/hr versus 300 m³/hr for heating) reflects the fundamentally lower temperature differential available in the cooling cycle. This finding has implications for pump sizing, pipe hydraulics, and ATES well deliverability assessments in detailed engineering design phases.</w:t>
      </w:r>
    </w:p>
    <w:p>
      <w:pPr>
        <w:spacing w:after="120" w:line="276"/>
        <w:jc w:val="both"/>
      </w:pPr>
      <w:r>
        <w:rPr>
          <w:rFonts w:ascii="Arial" w:cs="Arial" w:eastAsia="Arial" w:hAnsi="Arial"/>
          <w:sz w:val="22"/>
          <w:szCs w:val="22"/>
        </w:rPr>
        <w:t xml:space="preserve">The integration of a 1.5 MW solar PV system ensures that heat pump and mechanical chiller electrical loads are met from renewable generation, substantially improving the carbon performance of the district energy system. With a 0.3 MW surplus generation margin, the system also supports potential future electrification of additional surface facility loads.</w:t>
      </w:r>
    </w:p>
    <w:p>
      <w:pPr>
        <w:spacing w:after="120" w:line="276"/>
        <w:jc w:val="both"/>
      </w:pPr>
      <w:r>
        <w:rPr>
          <w:rFonts w:ascii="Arial" w:cs="Arial" w:eastAsia="Arial" w:hAnsi="Arial"/>
          <w:sz w:val="22"/>
          <w:szCs w:val="22"/>
        </w:rPr>
        <w:t xml:space="preserve">The surface facilities design, in combination with the subsurface geothermal doublet configuration and the demand-responsive seasonal modelling framework, provides a technically coherent, economically viable, and operationally realistic integrated district geothermal energy system for the Utrecht project.</w:t>
      </w:r>
    </w:p>
    <w:p>
      <w:pPr>
        <w:spacing w:after="100"/>
      </w:pPr>
      <w:r>
        <w:t xml:space="preserve"/>
      </w:r>
    </w:p>
    <w:p>
      <w:pPr>
        <w:spacing w:after="100"/>
      </w:pPr>
      <w:r>
        <w:t xml:space="preserve"/>
      </w:r>
    </w:p>
    <w:p>
      <w:pPr>
        <w:pBdr>
          <w:top w:val="single" w:color="2E75B6" w:sz="6"/>
        </w:pBdr>
        <w:spacing w:before="200"/>
        <w:jc w:val="center"/>
      </w:pPr>
      <w:r>
        <w:rPr>
          <w:rFonts w:ascii="Arial" w:cs="Arial" w:eastAsia="Arial" w:hAnsi="Arial"/>
          <w:i/>
          <w:iCs/>
          <w:color w:val="888888"/>
          <w:sz w:val="20"/>
          <w:szCs w:val="20"/>
        </w:rPr>
        <w:t xml:space="preserve">— End of Surface Facilities Design Section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8506"/>
      </w:tabs>
      <w:spacing w:before="60"/>
    </w:pPr>
    <w:r>
      <w:rPr>
        <w:rFonts w:ascii="Arial" w:cs="Arial" w:eastAsia="Arial" w:hAnsi="Arial"/>
        <w:color w:val="666666"/>
        <w:sz w:val="18"/>
        <w:szCs w:val="18"/>
      </w:rPr>
      <w:t xml:space="preserve">Geothermal Surface Engineering Design Report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666666"/>
        <w:sz w:val="18"/>
        <w:szCs w:val="18"/>
      </w:rPr>
      <w:t xml:space="preserve">Surface Facilities Design — District Geothermal Energy System, Utrecht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2026-06-03T09:45:15.953Z</dcterms:created>
  <dcterms:modified xsi:type="dcterms:W3CDTF">2026-06-03T09:45:15.953Z</dcterms:modified>
</cp:coreProperties>
</file>

<file path=docProps/custom.xml><?xml version="1.0" encoding="utf-8"?>
<Properties xmlns="http://schemas.openxmlformats.org/officeDocument/2006/custom-properties" xmlns:vt="http://schemas.openxmlformats.org/officeDocument/2006/docPropsVTypes"/>
</file>