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&lt;title&gt;Favour Temitayo Okwute&lt;/title&gt;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#ffffff;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2rem 1rem;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header img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max-width: 300px;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color: #666;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p.tagline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font-style: italic;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margin: 2rem auto;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padding: 0 1rem;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border-bottom: 2px solid #eee;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padding-bottom: 0.5rem;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.links a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margin-right: 1rem;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color: #0073e6;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.links a:hover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text-decoration: underline;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&lt;img src="favour-photo.jpg" alt="Favour Temitayo Okwute"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&lt;h1&gt;Favour Temitayo Okwute&lt;/h1&gt;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&lt;h2&gt;Aspiring Product Manager • Public Speaker • Entrepreneur&lt;/h2&gt;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 class="tagline"&gt;"SHINING MY LIGHT BRIGHTLY."&lt;/p&gt;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&lt;h3&gt;About Me&lt;/h3&gt;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 am a Co-founder of Afrilux Farms LTD, a company that is committed to giving the best services across all agro related fields.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I’m also at the start of my career journey, focused on learning and growing as a Product Manager and Public Speaker.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This website is where I share my progress, my projects, and the lessons I pick up along the way.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My goal is to build meaningful products that improve lives, inspire others through speaking and storytelling,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and ensure that everyone and businesses in the agriculture sector receive the best services.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 may be just starting, but I’m excited for the journey ahead.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&lt;h3&gt;Learning Projects&lt;/h3&gt;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&lt;li&gt;Exploring product management case studies&lt;/li&gt;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&lt;li&gt;Speaking practice through community events&lt;/li&gt;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&lt;li&gt;More coming soon as I grow my career!&lt;/li&gt;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&lt;section class="links"&gt;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&lt;h3&gt;Connect with Me&lt;/h3&gt;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&lt;a href="mailto:okwutefavour10@gmail.com"&gt;Email&lt;/a&gt;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&lt;a href="https://www.linkedin.com/in/favour-temitayo-okwute-9a3774357"&gt;LinkedIn&lt;/a&gt;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&lt;a href="https://www.facebook.com/share/1CBRxYAWEk/"&gt;Facebook&lt;/a&gt;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