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A381B" w14:textId="77777777" w:rsidR="00A6763D" w:rsidRPr="00A6763D" w:rsidRDefault="00A6763D" w:rsidP="00A6763D">
      <w:r w:rsidRPr="00A6763D">
        <w:rPr>
          <w:b/>
          <w:bCs/>
        </w:rPr>
        <w:t>Microsoft Northwind Data Warehouse Project</w:t>
      </w:r>
      <w:r w:rsidRPr="00A6763D">
        <w:t xml:space="preserve"> </w:t>
      </w:r>
      <w:r w:rsidRPr="00A6763D">
        <w:rPr>
          <w:rFonts w:ascii="Segoe UI Emoji" w:hAnsi="Segoe UI Emoji" w:cs="Segoe UI Emoji"/>
        </w:rPr>
        <w:t>🚄</w:t>
      </w:r>
      <w:r w:rsidRPr="00A6763D">
        <w:rPr>
          <w:rFonts w:ascii="Segoe UI Symbol" w:hAnsi="Segoe UI Symbol" w:cs="Segoe UI Symbol"/>
        </w:rPr>
        <w:t>🗎</w:t>
      </w:r>
      <w:r w:rsidRPr="00A6763D">
        <w:br/>
        <w:t>A Data Warehouse initiative developed using the Microsoft Northwind Database.</w:t>
      </w:r>
    </w:p>
    <w:p w14:paraId="02575494" w14:textId="77777777" w:rsidR="00A6763D" w:rsidRDefault="00A6763D" w:rsidP="00A6763D">
      <w:pPr>
        <w:rPr>
          <w:i/>
          <w:iCs/>
        </w:rPr>
      </w:pPr>
      <w:r w:rsidRPr="00A6763D">
        <w:rPr>
          <w:b/>
          <w:bCs/>
        </w:rPr>
        <w:t>Star Schema for Data Warehouse:</w:t>
      </w:r>
      <w:r w:rsidRPr="00A6763D">
        <w:br/>
      </w:r>
      <w:r w:rsidRPr="00A6763D">
        <w:rPr>
          <w:i/>
          <w:iCs/>
        </w:rPr>
        <w:t>Diagram included</w:t>
      </w:r>
    </w:p>
    <w:p w14:paraId="3DCFDB5C" w14:textId="0ECB35A7" w:rsidR="00A6763D" w:rsidRPr="00A6763D" w:rsidRDefault="00A6763D" w:rsidP="00A6763D">
      <w:r>
        <w:rPr>
          <w:noProof/>
        </w:rPr>
        <w:drawing>
          <wp:inline distT="0" distB="0" distL="0" distR="0" wp14:anchorId="552CE4B4" wp14:editId="403D3737">
            <wp:extent cx="5791200" cy="5355771"/>
            <wp:effectExtent l="0" t="0" r="0" b="0"/>
            <wp:docPr id="205252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6913" cy="5370302"/>
                    </a:xfrm>
                    <a:prstGeom prst="rect">
                      <a:avLst/>
                    </a:prstGeom>
                    <a:noFill/>
                  </pic:spPr>
                </pic:pic>
              </a:graphicData>
            </a:graphic>
          </wp:inline>
        </w:drawing>
      </w:r>
    </w:p>
    <w:p w14:paraId="6B547367" w14:textId="77777777" w:rsidR="00A6763D" w:rsidRPr="00A6763D" w:rsidRDefault="00A6763D" w:rsidP="00A6763D">
      <w:r w:rsidRPr="00A6763D">
        <w:rPr>
          <w:b/>
          <w:bCs/>
        </w:rPr>
        <w:t>Business Intelligence Reports:</w:t>
      </w:r>
    </w:p>
    <w:p w14:paraId="21DC14C2" w14:textId="77777777" w:rsidR="00A6763D" w:rsidRDefault="00A6763D" w:rsidP="00A6763D">
      <w:pPr>
        <w:numPr>
          <w:ilvl w:val="0"/>
          <w:numId w:val="1"/>
        </w:numPr>
      </w:pPr>
      <w:r w:rsidRPr="00A6763D">
        <w:rPr>
          <w:b/>
          <w:bCs/>
        </w:rPr>
        <w:t>Report 1: Market Basket Insights</w:t>
      </w:r>
      <w:r w:rsidRPr="00A6763D">
        <w:br/>
        <w:t>Leverages Common Table Expressions (CTEs) and the "WITH" clause for streamlined queries, along with the "CUBE" function for summarized analytics. Users can specify time periods, regions, and product categories (or include all).</w:t>
      </w:r>
      <w:r w:rsidRPr="00A6763D">
        <w:br/>
      </w:r>
      <w:r w:rsidRPr="00A6763D">
        <w:rPr>
          <w:b/>
          <w:bCs/>
        </w:rPr>
        <w:t>Uses:</w:t>
      </w:r>
      <w:r w:rsidRPr="00A6763D">
        <w:t xml:space="preserve"> (1) Identifying cross-selling opportunities and (2) optimizing inventory control.</w:t>
      </w:r>
    </w:p>
    <w:p w14:paraId="3EB40AE9" w14:textId="5D98D99E" w:rsidR="00A6763D" w:rsidRPr="00A6763D" w:rsidRDefault="00A6763D" w:rsidP="00A6763D">
      <w:pPr>
        <w:ind w:left="360"/>
      </w:pPr>
      <w:r>
        <w:rPr>
          <w:noProof/>
        </w:rPr>
        <w:lastRenderedPageBreak/>
        <w:drawing>
          <wp:inline distT="0" distB="0" distL="0" distR="0" wp14:anchorId="776B4317" wp14:editId="34168DDC">
            <wp:extent cx="6043111" cy="3375858"/>
            <wp:effectExtent l="0" t="0" r="0" b="0"/>
            <wp:docPr id="1118165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2005" cy="3380826"/>
                    </a:xfrm>
                    <a:prstGeom prst="rect">
                      <a:avLst/>
                    </a:prstGeom>
                    <a:noFill/>
                  </pic:spPr>
                </pic:pic>
              </a:graphicData>
            </a:graphic>
          </wp:inline>
        </w:drawing>
      </w:r>
    </w:p>
    <w:p w14:paraId="131514E5" w14:textId="77777777" w:rsidR="00A6763D" w:rsidRDefault="00A6763D" w:rsidP="00A6763D">
      <w:pPr>
        <w:numPr>
          <w:ilvl w:val="0"/>
          <w:numId w:val="1"/>
        </w:numPr>
      </w:pPr>
      <w:r w:rsidRPr="00A6763D">
        <w:rPr>
          <w:b/>
          <w:bCs/>
        </w:rPr>
        <w:t>Report 2: Market Reach Analysis</w:t>
      </w:r>
      <w:r w:rsidRPr="00A6763D">
        <w:br/>
        <w:t>Combines CTEs with the "ROLLUP" function for both granular and summarized views of market performance. Customizable for specific periods, regions, and product ranges.</w:t>
      </w:r>
      <w:r w:rsidRPr="00A6763D">
        <w:br/>
      </w:r>
      <w:r w:rsidRPr="00A6763D">
        <w:rPr>
          <w:b/>
          <w:bCs/>
        </w:rPr>
        <w:t>Uses:</w:t>
      </w:r>
      <w:r w:rsidRPr="00A6763D">
        <w:t xml:space="preserve"> (1) Strategic marketing and (2) effective resource distribution.</w:t>
      </w:r>
    </w:p>
    <w:p w14:paraId="5EE678ED" w14:textId="68D9E124" w:rsidR="00A6763D" w:rsidRDefault="00A6763D" w:rsidP="00A6763D">
      <w:r>
        <w:rPr>
          <w:noProof/>
        </w:rPr>
        <w:drawing>
          <wp:inline distT="0" distB="0" distL="0" distR="0" wp14:anchorId="2B252AD8" wp14:editId="26DAD47D">
            <wp:extent cx="6487886" cy="3748168"/>
            <wp:effectExtent l="0" t="0" r="0" b="0"/>
            <wp:docPr id="667530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95068" cy="3752317"/>
                    </a:xfrm>
                    <a:prstGeom prst="rect">
                      <a:avLst/>
                    </a:prstGeom>
                    <a:noFill/>
                  </pic:spPr>
                </pic:pic>
              </a:graphicData>
            </a:graphic>
          </wp:inline>
        </w:drawing>
      </w:r>
    </w:p>
    <w:p w14:paraId="33AB2F94" w14:textId="77777777" w:rsidR="00A6763D" w:rsidRPr="00A6763D" w:rsidRDefault="00A6763D" w:rsidP="00A6763D"/>
    <w:p w14:paraId="2ACF546F" w14:textId="77777777" w:rsidR="00A6763D" w:rsidRDefault="00A6763D" w:rsidP="00A6763D">
      <w:pPr>
        <w:numPr>
          <w:ilvl w:val="0"/>
          <w:numId w:val="1"/>
        </w:numPr>
      </w:pPr>
      <w:r w:rsidRPr="00A6763D">
        <w:rPr>
          <w:b/>
          <w:bCs/>
        </w:rPr>
        <w:t>Report 3: Customer Satisfaction Insights</w:t>
      </w:r>
      <w:r w:rsidRPr="00A6763D">
        <w:br/>
        <w:t>CTEs and "ROLLUP" functions provide detailed to high-level views of customer satisfaction by segment. Users can select a particular year and country for targeted analysis.</w:t>
      </w:r>
      <w:r w:rsidRPr="00A6763D">
        <w:br/>
      </w:r>
      <w:r w:rsidRPr="00A6763D">
        <w:rPr>
          <w:b/>
          <w:bCs/>
        </w:rPr>
        <w:t>Uses:</w:t>
      </w:r>
      <w:r w:rsidRPr="00A6763D">
        <w:t xml:space="preserve"> (1) Customer retention and churn prevention, and (2) personalized marketing strategies.</w:t>
      </w:r>
    </w:p>
    <w:p w14:paraId="5850FC9F" w14:textId="1B76C5BA" w:rsidR="00A6763D" w:rsidRDefault="00A6763D" w:rsidP="00A6763D">
      <w:r>
        <w:rPr>
          <w:noProof/>
        </w:rPr>
        <w:drawing>
          <wp:inline distT="0" distB="0" distL="0" distR="0" wp14:anchorId="26695014" wp14:editId="535CB6BA">
            <wp:extent cx="6477000" cy="3377705"/>
            <wp:effectExtent l="0" t="0" r="0" b="0"/>
            <wp:docPr id="1174844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5456" cy="3392545"/>
                    </a:xfrm>
                    <a:prstGeom prst="rect">
                      <a:avLst/>
                    </a:prstGeom>
                    <a:noFill/>
                  </pic:spPr>
                </pic:pic>
              </a:graphicData>
            </a:graphic>
          </wp:inline>
        </w:drawing>
      </w:r>
    </w:p>
    <w:p w14:paraId="5F303AEA" w14:textId="77777777" w:rsidR="00A6763D" w:rsidRPr="00A6763D" w:rsidRDefault="00A6763D" w:rsidP="00A6763D"/>
    <w:p w14:paraId="6EE6E57C" w14:textId="77777777" w:rsidR="00A6763D" w:rsidRPr="00A6763D" w:rsidRDefault="00A6763D" w:rsidP="00A6763D">
      <w:r w:rsidRPr="00A6763D">
        <w:t>Images included where relevant for visualization.</w:t>
      </w:r>
    </w:p>
    <w:p w14:paraId="61A7F128" w14:textId="77777777" w:rsidR="003271D9" w:rsidRDefault="003271D9"/>
    <w:sectPr w:rsidR="003271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4B2602"/>
    <w:multiLevelType w:val="multilevel"/>
    <w:tmpl w:val="CB26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286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396C"/>
    <w:rsid w:val="003271D9"/>
    <w:rsid w:val="007967C6"/>
    <w:rsid w:val="00901C61"/>
    <w:rsid w:val="009A7484"/>
    <w:rsid w:val="00A6763D"/>
    <w:rsid w:val="00C54BDA"/>
    <w:rsid w:val="00DB3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1EA2F"/>
  <w15:chartTrackingRefBased/>
  <w15:docId w15:val="{FC6A1B15-2759-400D-90D2-9B387CF3C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B396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B396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B396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B396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B396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B39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39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39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39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96C"/>
    <w:rPr>
      <w:rFonts w:asciiTheme="majorHAnsi" w:eastAsiaTheme="majorEastAsia" w:hAnsiTheme="majorHAnsi" w:cstheme="majorBidi"/>
      <w:color w:val="2E74B5" w:themeColor="accent1" w:themeShade="BF"/>
      <w:sz w:val="40"/>
      <w:szCs w:val="40"/>
      <w:lang w:val="en-GB"/>
    </w:rPr>
  </w:style>
  <w:style w:type="character" w:customStyle="1" w:styleId="Heading2Char">
    <w:name w:val="Heading 2 Char"/>
    <w:basedOn w:val="DefaultParagraphFont"/>
    <w:link w:val="Heading2"/>
    <w:uiPriority w:val="9"/>
    <w:semiHidden/>
    <w:rsid w:val="00DB396C"/>
    <w:rPr>
      <w:rFonts w:asciiTheme="majorHAnsi" w:eastAsiaTheme="majorEastAsia" w:hAnsiTheme="majorHAnsi" w:cstheme="majorBidi"/>
      <w:color w:val="2E74B5" w:themeColor="accent1" w:themeShade="BF"/>
      <w:sz w:val="32"/>
      <w:szCs w:val="32"/>
      <w:lang w:val="en-GB"/>
    </w:rPr>
  </w:style>
  <w:style w:type="character" w:customStyle="1" w:styleId="Heading3Char">
    <w:name w:val="Heading 3 Char"/>
    <w:basedOn w:val="DefaultParagraphFont"/>
    <w:link w:val="Heading3"/>
    <w:uiPriority w:val="9"/>
    <w:semiHidden/>
    <w:rsid w:val="00DB396C"/>
    <w:rPr>
      <w:rFonts w:eastAsiaTheme="majorEastAsia" w:cstheme="majorBidi"/>
      <w:color w:val="2E74B5" w:themeColor="accent1" w:themeShade="BF"/>
      <w:sz w:val="28"/>
      <w:szCs w:val="28"/>
      <w:lang w:val="en-GB"/>
    </w:rPr>
  </w:style>
  <w:style w:type="character" w:customStyle="1" w:styleId="Heading4Char">
    <w:name w:val="Heading 4 Char"/>
    <w:basedOn w:val="DefaultParagraphFont"/>
    <w:link w:val="Heading4"/>
    <w:uiPriority w:val="9"/>
    <w:semiHidden/>
    <w:rsid w:val="00DB396C"/>
    <w:rPr>
      <w:rFonts w:eastAsiaTheme="majorEastAsia"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DB396C"/>
    <w:rPr>
      <w:rFonts w:eastAsiaTheme="majorEastAsia" w:cstheme="majorBidi"/>
      <w:color w:val="2E74B5" w:themeColor="accent1" w:themeShade="BF"/>
      <w:lang w:val="en-GB"/>
    </w:rPr>
  </w:style>
  <w:style w:type="character" w:customStyle="1" w:styleId="Heading6Char">
    <w:name w:val="Heading 6 Char"/>
    <w:basedOn w:val="DefaultParagraphFont"/>
    <w:link w:val="Heading6"/>
    <w:uiPriority w:val="9"/>
    <w:semiHidden/>
    <w:rsid w:val="00DB396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B396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B396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B396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B39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96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B39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396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B396C"/>
    <w:pPr>
      <w:spacing w:before="160"/>
      <w:jc w:val="center"/>
    </w:pPr>
    <w:rPr>
      <w:i/>
      <w:iCs/>
      <w:color w:val="404040" w:themeColor="text1" w:themeTint="BF"/>
    </w:rPr>
  </w:style>
  <w:style w:type="character" w:customStyle="1" w:styleId="QuoteChar">
    <w:name w:val="Quote Char"/>
    <w:basedOn w:val="DefaultParagraphFont"/>
    <w:link w:val="Quote"/>
    <w:uiPriority w:val="29"/>
    <w:rsid w:val="00DB396C"/>
    <w:rPr>
      <w:i/>
      <w:iCs/>
      <w:color w:val="404040" w:themeColor="text1" w:themeTint="BF"/>
      <w:lang w:val="en-GB"/>
    </w:rPr>
  </w:style>
  <w:style w:type="paragraph" w:styleId="ListParagraph">
    <w:name w:val="List Paragraph"/>
    <w:basedOn w:val="Normal"/>
    <w:uiPriority w:val="34"/>
    <w:qFormat/>
    <w:rsid w:val="00DB396C"/>
    <w:pPr>
      <w:ind w:left="720"/>
      <w:contextualSpacing/>
    </w:pPr>
  </w:style>
  <w:style w:type="character" w:styleId="IntenseEmphasis">
    <w:name w:val="Intense Emphasis"/>
    <w:basedOn w:val="DefaultParagraphFont"/>
    <w:uiPriority w:val="21"/>
    <w:qFormat/>
    <w:rsid w:val="00DB396C"/>
    <w:rPr>
      <w:i/>
      <w:iCs/>
      <w:color w:val="2E74B5" w:themeColor="accent1" w:themeShade="BF"/>
    </w:rPr>
  </w:style>
  <w:style w:type="paragraph" w:styleId="IntenseQuote">
    <w:name w:val="Intense Quote"/>
    <w:basedOn w:val="Normal"/>
    <w:next w:val="Normal"/>
    <w:link w:val="IntenseQuoteChar"/>
    <w:uiPriority w:val="30"/>
    <w:qFormat/>
    <w:rsid w:val="00DB396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B396C"/>
    <w:rPr>
      <w:i/>
      <w:iCs/>
      <w:color w:val="2E74B5" w:themeColor="accent1" w:themeShade="BF"/>
      <w:lang w:val="en-GB"/>
    </w:rPr>
  </w:style>
  <w:style w:type="character" w:styleId="IntenseReference">
    <w:name w:val="Intense Reference"/>
    <w:basedOn w:val="DefaultParagraphFont"/>
    <w:uiPriority w:val="32"/>
    <w:qFormat/>
    <w:rsid w:val="00DB396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784495">
      <w:bodyDiv w:val="1"/>
      <w:marLeft w:val="0"/>
      <w:marRight w:val="0"/>
      <w:marTop w:val="0"/>
      <w:marBottom w:val="0"/>
      <w:divBdr>
        <w:top w:val="none" w:sz="0" w:space="0" w:color="auto"/>
        <w:left w:val="none" w:sz="0" w:space="0" w:color="auto"/>
        <w:bottom w:val="none" w:sz="0" w:space="0" w:color="auto"/>
        <w:right w:val="none" w:sz="0" w:space="0" w:color="auto"/>
      </w:divBdr>
    </w:div>
    <w:div w:id="182230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178</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Emmanson</dc:creator>
  <cp:keywords/>
  <dc:description/>
  <cp:lastModifiedBy>Favour Emmanson</cp:lastModifiedBy>
  <cp:revision>2</cp:revision>
  <dcterms:created xsi:type="dcterms:W3CDTF">2024-10-26T14:57:00Z</dcterms:created>
  <dcterms:modified xsi:type="dcterms:W3CDTF">2024-10-26T15:26:00Z</dcterms:modified>
</cp:coreProperties>
</file>