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MIT 8103 Advanced Database Systems Portfolio Summary</w:t>
      </w:r>
    </w:p>
    <w:p>
      <w:pPr>
        <w:pStyle w:val="Meta"/>
      </w:pPr>
      <w:r>
        <w:t>Favour Okoh  |  Student ID 301930463  |  September 2026 cohort</w:t>
      </w:r>
    </w:p>
    <w:p>
      <w:r>
        <w:t>VaxTrace NG is a fictional regional vaccine inventory and cold-chain network. A depot supplies clinics with sealed vials tracked by product, lot, expiry and quality status. PostgreSQL holds operational stock and transfers; MongoDB holds temperature observations and lot exposure windows. The dataset is synthetic and the system is a database exercise, not a clinical service.</w:t>
      </w:r>
    </w:p>
    <w:p>
      <w:pPr>
        <w:pStyle w:val="Heading1"/>
      </w:pPr>
      <w:r>
        <w:t>Portfolio 1  Database design and modelling</w:t>
      </w:r>
    </w:p>
    <w:p>
      <w:r>
        <w:t>The relational model separates facilities, products, lots, stock balances, transfer headers and lines, and an append-only movement ledger. Primary and foreign keys, unique business identifiers and checks protect entity identity, references, quantities and transfer states. Stock is counted in sealed vials. The materialised balance is reconciled with ledger movements. Lot expiry and quality are checked during allocation and again at dispatch because eligibility changes with time or review decisions.</w:t>
      </w:r>
    </w:p>
    <w:p>
      <w:r>
        <w:t>The ER model and normalisation explanation are in portfolio-1-database-design/README.md. A clean seed contains 13 facilities, 20 fictional products, 1,000 lots, 3,000 balances and 203,000 movements. Verification checks row counts, balance reconciliation and six rejected invalid writes.</w:t>
      </w:r>
    </w:p>
    <w:p>
      <w:pPr>
        <w:pStyle w:val="Heading1"/>
      </w:pPr>
      <w:r>
        <w:t>Portfolio 2  Query processing and optimisation</w:t>
      </w:r>
    </w:p>
    <w:p>
      <w:r>
        <w:t>Five SQL reports cover eligible depot lots, clinic stock, recent lot movements, recent clinic movements and transfer status counts. Two indexes target the movement history lookups. Repeated EXPLAIN (ANALYZE, BUFFERS) runs show a shift from parallel scans and top-N sorts to ordered index access when scalar ID lookups let the scan stop after 50 rows.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600"/>
            <w:shd w:fill="EAF0F4"/>
            <w:vAlign w:val="center"/>
          </w:tcPr>
          <w:p>
            <w:pPr>
              <w:spacing w:after="40"/>
            </w:pPr>
            <w:r>
              <w:rPr>
                <w:sz w:val="17"/>
              </w:rPr>
              <w:t>Latest 50 movements</w:t>
            </w:r>
          </w:p>
        </w:tc>
        <w:tc>
          <w:tcPr>
            <w:tcW w:type="dxa" w:w="2448"/>
            <w:shd w:fill="EAF0F4"/>
            <w:vAlign w:val="center"/>
          </w:tcPr>
          <w:p>
            <w:pPr>
              <w:spacing w:after="40"/>
            </w:pPr>
            <w:r>
              <w:rPr>
                <w:sz w:val="17"/>
              </w:rPr>
              <w:t>Baseline median</w:t>
            </w:r>
          </w:p>
        </w:tc>
        <w:tc>
          <w:tcPr>
            <w:tcW w:type="dxa" w:w="2736"/>
            <w:shd w:fill="EAF0F4"/>
            <w:vAlign w:val="center"/>
          </w:tcPr>
          <w:p>
            <w:pPr>
              <w:spacing w:after="40"/>
            </w:pPr>
            <w:r>
              <w:rPr>
                <w:sz w:val="17"/>
              </w:rPr>
              <w:t>Indexed query median</w:t>
            </w:r>
          </w:p>
        </w:tc>
      </w:tr>
      <w:tr>
        <w:tc>
          <w:tcPr>
            <w:tcW w:type="dxa" w:w="3600"/>
            <w:vAlign w:val="center"/>
          </w:tcPr>
          <w:p>
            <w:pPr>
              <w:spacing w:after="40"/>
            </w:pPr>
            <w:r>
              <w:rPr>
                <w:sz w:val="17"/>
              </w:rPr>
              <w:t>Named lot</w:t>
            </w:r>
          </w:p>
        </w:tc>
        <w:tc>
          <w:tcPr>
            <w:tcW w:type="dxa" w:w="2448"/>
            <w:vAlign w:val="center"/>
          </w:tcPr>
          <w:p>
            <w:pPr>
              <w:spacing w:after="40"/>
            </w:pPr>
            <w:r>
              <w:rPr>
                <w:sz w:val="17"/>
              </w:rPr>
              <w:t>186.677 ms</w:t>
            </w:r>
          </w:p>
        </w:tc>
        <w:tc>
          <w:tcPr>
            <w:tcW w:type="dxa" w:w="2736"/>
            <w:vAlign w:val="center"/>
          </w:tcPr>
          <w:p>
            <w:pPr>
              <w:spacing w:after="40"/>
            </w:pPr>
            <w:r>
              <w:rPr>
                <w:sz w:val="17"/>
              </w:rPr>
              <w:t>0.298 ms</w:t>
            </w:r>
          </w:p>
        </w:tc>
      </w:tr>
      <w:tr>
        <w:tc>
          <w:tcPr>
            <w:tcW w:type="dxa" w:w="3600"/>
            <w:vAlign w:val="center"/>
          </w:tcPr>
          <w:p>
            <w:pPr>
              <w:spacing w:after="40"/>
            </w:pPr>
            <w:r>
              <w:rPr>
                <w:sz w:val="17"/>
              </w:rPr>
              <w:t>Named clinic</w:t>
            </w:r>
          </w:p>
        </w:tc>
        <w:tc>
          <w:tcPr>
            <w:tcW w:type="dxa" w:w="2448"/>
            <w:vAlign w:val="center"/>
          </w:tcPr>
          <w:p>
            <w:pPr>
              <w:spacing w:after="40"/>
            </w:pPr>
            <w:r>
              <w:rPr>
                <w:sz w:val="17"/>
              </w:rPr>
              <w:t>181.999 ms</w:t>
            </w:r>
          </w:p>
        </w:tc>
        <w:tc>
          <w:tcPr>
            <w:tcW w:type="dxa" w:w="2736"/>
            <w:vAlign w:val="center"/>
          </w:tcPr>
          <w:p>
            <w:pPr>
              <w:spacing w:after="40"/>
            </w:pPr>
            <w:r>
              <w:rPr>
                <w:sz w:val="17"/>
              </w:rPr>
              <w:t>0.294 ms</w:t>
            </w:r>
          </w:p>
        </w:tc>
      </w:tr>
    </w:tbl>
    <w:p>
      <w:pPr>
        <w:spacing w:after="0"/>
      </w:pPr>
    </w:p>
    <w:p>
      <w:r>
        <w:t>Each median uses five local runs on the 203,000-row synthetic movement table. Query results before and after optimisation matched byte for byte. The timings describe this laptop and dataset only; the new indexes also add storage and write cost. Full plans and results are saved in portfolio-2-query-optimisation/evidence/.</w:t>
      </w:r>
    </w:p>
    <w:p>
      <w:r>
        <w:br w:type="page"/>
      </w:r>
    </w:p>
    <w:p>
      <w:pPr>
        <w:pStyle w:val="Heading1"/>
      </w:pPr>
      <w:r>
        <w:t>Portfolio 3  Transactions and concurrency</w:t>
      </w:r>
    </w:p>
    <w:p>
      <w:r>
        <w:t>Reserve, dispatch, receive and cancel are explicit PostgreSQL functions. Each operation changes balances and writes its audit movement atomically. Dispatch and receipt are separate commits because they reflect separate physical events. A demo commits a 10-vial depot-to-clinic transfer and rolls back a separate 30-vial reservation; the rolled-back transfer and movement do not persist.</w:t>
      </w:r>
    </w:p>
    <w:p>
      <w:r>
        <w:t>The reservation uses a conditional UPDATE under READ COMMITTED. Two concurrent sessions each requested 70 of 100 available vials. Exactly one committed while the other failed on insufficient stock, and the winner was cancelled to restore availability. Nine adversarial cases cover quantity, lot quality and expiry, duplicate requests, invalid endpoints and state transitions. Final checks reconcile stock and ledger entries.</w:t>
      </w:r>
    </w:p>
    <w:p>
      <w:pPr>
        <w:pStyle w:val="Heading1"/>
      </w:pPr>
      <w:r>
        <w:t>Portfolio 4  NoSQL document model</w:t>
      </w:r>
    </w:p>
    <w:p>
      <w:r>
        <w:t>MongoDB stores equipment settings, sensor readings and equipment-to-lot exposure windows. It does not own stock. A JSON Schema validator rejects missing or implausible values, and a unique compound index rejects duplicate equipment/timestamp samples while serving ordered history queries. The loader checks equipment references and timestamp order; a separate check confirms both lot references against PostgreSQL.</w:t>
      </w:r>
    </w:p>
    <w:p>
      <w:r>
        <w:t>A clean build has 3 equipment records, 2 exposure windows and 288 readings. An aggregation query finds two depot excursions for VX-001 / LOT-000001. The 06:30 observation arrived at 11:00 but is matched to its exposure by observation time. A control lot has 96 in-range readings. Rejected duplicate, missing-field, invalid-temperature and missing-reference cases leave document counts unchanged. The flagged excursion calls for review; it does not automatically change lot status.</w:t>
      </w:r>
    </w:p>
    <w:p>
      <w:pPr>
        <w:pStyle w:val="Heading1"/>
      </w:pPr>
      <w:r>
        <w:t>Portfolio 5  Distributed database exercise</w:t>
      </w:r>
    </w:p>
    <w:p>
      <w:r>
        <w:t>A separate PostgreSQL streaming standby was created with pg_basebackup -R. It accepted read-only queries, held the same 3,000 stock balances, and rejected an INSERT. Replay was then deliberately paused. A committed probe appeared on the primary but not the standby. After replay resumed, the standby returned the probe and its replay LSN advanced. Two separate base backups reproduced this result.</w:t>
      </w:r>
    </w:p>
    <w:p>
      <w:r>
        <w:t>This controlled pause demonstrates stale replica reads, not ordinary network latency. Stock reservations and quality decisions therefore stay on the primary. Historical reports may use the standby if they tolerate lag. The exercise does not claim cloud deployment, failover or sharding.</w:t>
      </w:r>
    </w:p>
    <w:p>
      <w:r>
        <w:br w:type="page"/>
      </w:r>
    </w:p>
    <w:p>
      <w:pPr>
        <w:pStyle w:val="Heading1"/>
      </w:pPr>
      <w:r>
        <w:t>Technical reflection</w:t>
      </w:r>
    </w:p>
    <w:p>
      <w:r>
        <w:t>The main design choice is to keep stock state and its audit trail in one relational authority while letting telemetry use a separate document model. That boundary avoids making a delayed sensor reading an immediate inventory change. The movement ledger makes balance checks possible, but the materialised balance still needs transaction-safe updates. The concurrency test showed why a check followed by an unprotected write would be insufficient; the conditional update makes the stock limit part of the write itself.</w:t>
      </w:r>
    </w:p>
    <w:p>
      <w:r>
        <w:t>The query experiments also showed that an index alone was not the whole optimisation. The original clinic join still processed many rows before sorting; a scalar ID lookup let PostgreSQL use the timestamp order in the index and stop at 50 rows. In the replication exercise, a paused standby gave a concrete example of why the location of a read matters for decisions that need current stock.</w:t>
      </w:r>
    </w:p>
    <w:p>
      <w:pPr>
        <w:pStyle w:val="Heading1"/>
      </w:pPr>
      <w:r>
        <w:t>Evidence and reproducibility</w:t>
      </w:r>
    </w:p>
    <w:p>
      <w:r>
        <w:t>The repository includes the ER model, SQL schema and seed, query result files, five-run execution plans, transaction and concurrency logs, MongoDB build and query output, cross-store reference checks, and two replication runs. scripts/rebuild_and_verify.ps1 rebuilds and checks Portfolios 1 to 3 against a disposable PostgreSQL database. The Portfolio 4 and 5 READMEs give the commands for their separate local exercises.</w:t>
      </w:r>
    </w:p>
    <w:p>
      <w:r>
        <w:t>Repository: https://github.com/Favourz1/mit8103-vaxtrace-ng</w:t>
      </w:r>
    </w:p>
    <w:p>
      <w:pPr>
        <w:pStyle w:val="Heading1"/>
      </w:pPr>
      <w:r>
        <w:t>References</w:t>
      </w:r>
    </w:p>
    <w:p>
      <w:pPr>
        <w:pStyle w:val="Small"/>
      </w:pPr>
      <w:r>
        <w:t>Miva Open University. MIT 8103 Advanced Database Systems: First Semester Continuous Assessment, September cohort 2026.</w:t>
      </w:r>
    </w:p>
    <w:p>
      <w:pPr>
        <w:pStyle w:val="Small"/>
      </w:pPr>
      <w:r>
        <w:t>Miva Open University. Advanced Database Systems course material, Study Sessions One and Four.</w:t>
      </w:r>
    </w:p>
    <w:p>
      <w:pPr>
        <w:pStyle w:val="Small"/>
      </w:pPr>
      <w:r>
        <w:t>PostgreSQL Global Development Group. PostgreSQL 18 documentation: data definition, transaction isolation, indexes, EXPLAIN and standby servers. https://www.postgresql.org/docs/18/</w:t>
      </w:r>
    </w:p>
    <w:p>
      <w:pPr>
        <w:pStyle w:val="Small"/>
      </w:pPr>
      <w:r>
        <w:t>MongoDB. Database Manual and PyMongo Driver documentation: schema validation, indexes and time series considerations. https://www.mongodb.com/docs/</w:t>
      </w:r>
    </w:p>
    <w:p>
      <w:pPr>
        <w:pStyle w:val="Small"/>
      </w:pPr>
      <w:r>
        <w:t>World Health Organization. Vaccine supply and logistics. https://immunizationdata.who.int/global/wiise-detail-page/vaccine-supply-and-logistics</w:t>
      </w:r>
    </w:p>
    <w:sectPr w:rsidR="00FC693F" w:rsidRPr="0006063C" w:rsidSect="00034616">
      <w:footerReference w:type="default" r:id="rId9"/>
      <w:pgSz w:w="12240" w:h="15840"/>
      <w:pgMar w:top="1008" w:right="1152" w:bottom="936"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MIT 8103  |  Okoh Favour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F2337"/>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0F233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F233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200"/>
    </w:pPr>
    <w:rPr>
      <w:color w:val="464B50"/>
      <w:sz w:val="18"/>
    </w:rPr>
  </w:style>
  <w:style w:type="paragraph" w:customStyle="1" w:styleId="Small">
    <w:name w:val="Small"/>
    <w:basedOn w:val="Normal"/>
    <w:pPr>
      <w:spacing w:after="8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MIT 8103 Advanced Database Systems Portfolio Summary</dc:title>
  <dc:subject/>
  <dc:creator>Favour Okoh</dc:creator>
  <cp:keywords/>
  <dc:description>generated by python-docx</dc:description>
  <cp:lastModifiedBy/>
  <cp:revision>1</cp:revision>
  <dcterms:created xsi:type="dcterms:W3CDTF">2013-12-23T23:15:00Z</dcterms:created>
  <dcterms:modified xsi:type="dcterms:W3CDTF">2013-12-23T23:15:00Z</dcterms:modified>
  <cp:category/>
</cp:coreProperties>
</file>