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E090E" w14:textId="5FF90FDD" w:rsidR="0090236D" w:rsidRDefault="00DE2D1D" w:rsidP="00DE2D1D">
      <w:pPr>
        <w:pStyle w:val="Heading1"/>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BRIEF REPORT ON AN ORANGE DISEASE DETECTION MODEL</w:t>
      </w:r>
    </w:p>
    <w:p w14:paraId="70E279BC" w14:textId="77777777" w:rsidR="00DE2D1D" w:rsidRPr="00DE2D1D" w:rsidRDefault="00DE2D1D" w:rsidP="00DE2D1D">
      <w:pPr>
        <w:jc w:val="both"/>
      </w:pPr>
    </w:p>
    <w:p w14:paraId="1E3E6436" w14:textId="038DE968" w:rsidR="0090236D" w:rsidRDefault="00000000" w:rsidP="00DE2D1D">
      <w:pPr>
        <w:pBdr>
          <w:top w:val="nil"/>
          <w:left w:val="nil"/>
          <w:bottom w:val="nil"/>
          <w:right w:val="nil"/>
          <w:between w:val="nil"/>
        </w:pBdr>
        <w:spacing w:line="275" w:lineRule="auto"/>
        <w:jc w:val="both"/>
        <w:rPr>
          <w:rFonts w:ascii="Google Sans" w:eastAsia="Google Sans" w:hAnsi="Google Sans" w:cs="Google Sans"/>
          <w:b/>
          <w:bCs/>
          <w:color w:val="1F1F1F"/>
        </w:rPr>
      </w:pPr>
      <w:r>
        <w:rPr>
          <w:rFonts w:ascii="Google Sans" w:eastAsia="Google Sans" w:hAnsi="Google Sans" w:cs="Google Sans"/>
          <w:b/>
          <w:bCs/>
          <w:color w:val="1F1F1F"/>
        </w:rPr>
        <w:t>System Architecture, Dataset Engineering, and Performance Evaluation Report</w:t>
      </w:r>
    </w:p>
    <w:p w14:paraId="763FDF0B" w14:textId="77777777" w:rsidR="00DE2D1D" w:rsidRDefault="00DE2D1D" w:rsidP="00DE2D1D">
      <w:pPr>
        <w:pBdr>
          <w:top w:val="nil"/>
          <w:left w:val="nil"/>
          <w:bottom w:val="nil"/>
          <w:right w:val="nil"/>
          <w:between w:val="nil"/>
        </w:pBdr>
        <w:spacing w:line="275" w:lineRule="auto"/>
        <w:jc w:val="both"/>
        <w:rPr>
          <w:rFonts w:ascii="Google Sans" w:eastAsia="Google Sans" w:hAnsi="Google Sans" w:cs="Google Sans"/>
          <w:b/>
          <w:bCs/>
          <w:color w:val="1F1F1F"/>
        </w:rPr>
      </w:pPr>
    </w:p>
    <w:p w14:paraId="5A97247D" w14:textId="621CBD10" w:rsidR="0090236D" w:rsidRDefault="00DE2D1D" w:rsidP="00DE2D1D">
      <w:pPr>
        <w:pStyle w:val="Heading2"/>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Summary</w:t>
      </w:r>
    </w:p>
    <w:p w14:paraId="735FA414" w14:textId="77777777" w:rsidR="0090236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This report details the end-to-end engineering lifecycle of an automated edge-deployable citrus pathology detection system. Built using a data-centric AI approach, the system is designed to identify four distinct categories from localized fruit profile imagery: </w:t>
      </w:r>
      <w:r>
        <w:rPr>
          <w:rFonts w:ascii="Google Sans" w:eastAsia="Google Sans" w:hAnsi="Google Sans" w:cs="Google Sans"/>
          <w:b/>
          <w:bCs/>
          <w:color w:val="1F1F1F"/>
        </w:rPr>
        <w:t>Citrus Greening (</w:t>
      </w:r>
      <w:proofErr w:type="spellStart"/>
      <w:r>
        <w:rPr>
          <w:rFonts w:ascii="Google Sans" w:eastAsia="Google Sans" w:hAnsi="Google Sans" w:cs="Google Sans"/>
          <w:b/>
          <w:bCs/>
          <w:color w:val="1F1F1F"/>
        </w:rPr>
        <w:t>Huanglongbing</w:t>
      </w:r>
      <w:proofErr w:type="spellEnd"/>
      <w:r>
        <w:rPr>
          <w:rFonts w:ascii="Google Sans" w:eastAsia="Google Sans" w:hAnsi="Google Sans" w:cs="Google Sans"/>
          <w:b/>
          <w:bCs/>
          <w:color w:val="1F1F1F"/>
        </w:rPr>
        <w:t xml:space="preserve">), Citrus Canker, </w:t>
      </w:r>
      <w:proofErr w:type="spellStart"/>
      <w:r>
        <w:rPr>
          <w:rFonts w:ascii="Google Sans" w:eastAsia="Google Sans" w:hAnsi="Google Sans" w:cs="Google Sans"/>
          <w:b/>
          <w:bCs/>
          <w:color w:val="1F1F1F"/>
        </w:rPr>
        <w:t>Melanose</w:t>
      </w:r>
      <w:proofErr w:type="spellEnd"/>
      <w:r>
        <w:rPr>
          <w:rFonts w:ascii="Google Sans" w:eastAsia="Google Sans" w:hAnsi="Google Sans" w:cs="Google Sans"/>
          <w:color w:val="1F1F1F"/>
        </w:rPr>
        <w:t xml:space="preserve">, and </w:t>
      </w:r>
      <w:r>
        <w:rPr>
          <w:rFonts w:ascii="Google Sans" w:eastAsia="Google Sans" w:hAnsi="Google Sans" w:cs="Google Sans"/>
          <w:b/>
          <w:bCs/>
          <w:color w:val="1F1F1F"/>
        </w:rPr>
        <w:t>Fresh (Healthy) Fruit</w:t>
      </w:r>
      <w:r>
        <w:rPr>
          <w:rFonts w:ascii="Google Sans" w:eastAsia="Google Sans" w:hAnsi="Google Sans" w:cs="Google Sans"/>
          <w:color w:val="1F1F1F"/>
        </w:rPr>
        <w:t>.</w:t>
      </w:r>
    </w:p>
    <w:p w14:paraId="7275B998" w14:textId="77777777" w:rsidR="00DE2D1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The primary engineering challenge resolved during this cycle was </w:t>
      </w:r>
      <w:r>
        <w:rPr>
          <w:rFonts w:ascii="Google Sans" w:eastAsia="Google Sans" w:hAnsi="Google Sans" w:cs="Google Sans"/>
          <w:b/>
          <w:bCs/>
          <w:color w:val="1F1F1F"/>
        </w:rPr>
        <w:t>domain-shift mitigation</w:t>
      </w:r>
      <w:r>
        <w:rPr>
          <w:rFonts w:ascii="Google Sans" w:eastAsia="Google Sans" w:hAnsi="Google Sans" w:cs="Google Sans"/>
          <w:color w:val="1F1F1F"/>
        </w:rPr>
        <w:t>. Initial versions of the model scored highly on clean validation splits but failed under field conditions because standard color/contrast adjustments distorted the precise biological markings of the target pathogens. By enforcing strict data-integrity constraints at the preprocessing layer and utilizing a cutting-edge, end-to-end, NMS-free architecture (</w:t>
      </w:r>
      <w:r>
        <w:rPr>
          <w:rFonts w:ascii="Google Sans" w:eastAsia="Google Sans" w:hAnsi="Google Sans" w:cs="Google Sans"/>
          <w:b/>
          <w:bCs/>
          <w:color w:val="1F1F1F"/>
        </w:rPr>
        <w:t>YOLO26s</w:t>
      </w:r>
      <w:r>
        <w:rPr>
          <w:rFonts w:ascii="Google Sans" w:eastAsia="Google Sans" w:hAnsi="Google Sans" w:cs="Google Sans"/>
          <w:color w:val="1F1F1F"/>
        </w:rPr>
        <w:t xml:space="preserve">), the system achieved a high overall mean Average Precision </w:t>
      </w:r>
      <w:r w:rsidR="00DE2D1D">
        <w:rPr>
          <w:rFonts w:ascii="Google Sans" w:eastAsia="Google Sans" w:hAnsi="Google Sans" w:cs="Google Sans"/>
          <w:color w:val="1F1F1F"/>
        </w:rPr>
        <w:t>mAP50</w:t>
      </w:r>
      <w:r>
        <w:rPr>
          <w:rFonts w:ascii="Google Sans" w:eastAsia="Google Sans" w:hAnsi="Google Sans" w:cs="Google Sans"/>
          <w:color w:val="1F1F1F"/>
        </w:rPr>
        <w:t xml:space="preserve"> of </w:t>
      </w:r>
      <w:r>
        <w:rPr>
          <w:rFonts w:ascii="Google Sans" w:eastAsia="Google Sans" w:hAnsi="Google Sans" w:cs="Google Sans"/>
          <w:b/>
          <w:bCs/>
          <w:color w:val="1F1F1F"/>
        </w:rPr>
        <w:t>88.7%</w:t>
      </w:r>
      <w:r>
        <w:rPr>
          <w:rFonts w:ascii="Google Sans" w:eastAsia="Google Sans" w:hAnsi="Google Sans" w:cs="Google Sans"/>
          <w:color w:val="1F1F1F"/>
        </w:rPr>
        <w:t>.</w:t>
      </w:r>
    </w:p>
    <w:p w14:paraId="3176E0C3" w14:textId="51ED5024" w:rsidR="0090236D" w:rsidRPr="00DE2D1D" w:rsidRDefault="00000000" w:rsidP="00DE2D1D">
      <w:pPr>
        <w:jc w:val="both"/>
      </w:pPr>
      <w:r w:rsidRPr="00DE2D1D">
        <w:br/>
      </w:r>
    </w:p>
    <w:p w14:paraId="3899560F" w14:textId="77777777"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t>Preprocessing Specifications</w:t>
      </w:r>
    </w:p>
    <w:p w14:paraId="6D874048" w14:textId="77777777" w:rsidR="0090236D" w:rsidRDefault="00000000" w:rsidP="00DE2D1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Auto-Orient:</w:t>
      </w:r>
      <w:r>
        <w:rPr>
          <w:rFonts w:ascii="Google Sans" w:eastAsia="Google Sans" w:hAnsi="Google Sans" w:cs="Google Sans"/>
          <w:color w:val="1F1F1F"/>
        </w:rPr>
        <w:t xml:space="preserve"> Applied to strip orientation metadata from varying mobile sensor baselines.</w:t>
      </w:r>
    </w:p>
    <w:p w14:paraId="78BA0B41" w14:textId="3AA49DB1" w:rsidR="0090236D" w:rsidRPr="00DE2D1D" w:rsidRDefault="00000000" w:rsidP="00DE2D1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Resizing (Fit / Black Edges) to 640x640 pixels:</w:t>
      </w:r>
      <w:r>
        <w:rPr>
          <w:rFonts w:ascii="Google Sans" w:eastAsia="Google Sans" w:hAnsi="Google Sans" w:cs="Google Sans"/>
          <w:color w:val="1F1F1F"/>
        </w:rPr>
        <w:t xml:space="preserve"> To maintain the exact spatial aspect ratio of circular fruits. Standard stretching operations distort circular pathologies into ellipses, which corrupts the regression layer's training data. Letterboxing with black padding preserves true structural dimensions.</w:t>
      </w:r>
    </w:p>
    <w:p w14:paraId="26BDE5E4" w14:textId="77777777" w:rsidR="00DE2D1D" w:rsidRDefault="00DE2D1D" w:rsidP="00DE2D1D">
      <w:pPr>
        <w:pStyle w:val="Heading3"/>
        <w:spacing w:before="0" w:line="275" w:lineRule="auto"/>
        <w:jc w:val="both"/>
        <w:rPr>
          <w:rFonts w:ascii="Google Sans" w:eastAsia="Google Sans" w:hAnsi="Google Sans" w:cs="Google Sans"/>
          <w:color w:val="1F1F1F"/>
        </w:rPr>
      </w:pPr>
    </w:p>
    <w:p w14:paraId="144EBB9F" w14:textId="5E292CF9"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t>The Invariance Augmentation Matrix (3x Multiplication)</w:t>
      </w:r>
    </w:p>
    <w:p w14:paraId="2B8071BE" w14:textId="77777777" w:rsidR="0090236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To ensure the model functions reliably when a farmer handles a smartphone camera under dense canopy shade, all color-distorting configurations were completely disabled. Only safe geometric transformations were applied:</w:t>
      </w:r>
    </w:p>
    <w:p w14:paraId="79985B97" w14:textId="77777777" w:rsidR="0090236D" w:rsidRDefault="00000000" w:rsidP="00DE2D1D">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Horizontal Flip:</w:t>
      </w:r>
      <w:r>
        <w:rPr>
          <w:rFonts w:ascii="Google Sans" w:eastAsia="Google Sans" w:hAnsi="Google Sans" w:cs="Google Sans"/>
          <w:color w:val="1F1F1F"/>
        </w:rPr>
        <w:t xml:space="preserve"> Simulates alternative viewing angles across the tree branch structure without shifting color wavelengths.</w:t>
      </w:r>
    </w:p>
    <w:p w14:paraId="64FE9A54" w14:textId="770FDB90" w:rsidR="0090236D" w:rsidRDefault="00000000" w:rsidP="00DE2D1D">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90° Rotate (Clockwise, Counter-Clockwise, Upside Down):</w:t>
      </w:r>
      <w:r>
        <w:rPr>
          <w:rFonts w:ascii="Google Sans" w:eastAsia="Google Sans" w:hAnsi="Google Sans" w:cs="Google Sans"/>
          <w:color w:val="1F1F1F"/>
        </w:rPr>
        <w:t xml:space="preserve"> Multiplies sample volume </w:t>
      </w:r>
      <w:r w:rsidR="00DE2D1D">
        <w:rPr>
          <w:rFonts w:ascii="Google Sans" w:eastAsia="Google Sans" w:hAnsi="Google Sans" w:cs="Google Sans"/>
          <w:color w:val="1F1F1F"/>
        </w:rPr>
        <w:t>4x</w:t>
      </w:r>
      <w:r>
        <w:rPr>
          <w:rFonts w:ascii="Google Sans" w:eastAsia="Google Sans" w:hAnsi="Google Sans" w:cs="Google Sans"/>
          <w:color w:val="1F1F1F"/>
        </w:rPr>
        <w:t xml:space="preserve"> to remove rotational bias. This teaches the model to isolate lesion profiles regardless of branch sag or camera inversion.</w:t>
      </w:r>
    </w:p>
    <w:p w14:paraId="167366B4" w14:textId="1739BBA1" w:rsidR="0090236D" w:rsidRDefault="00000000" w:rsidP="00DE2D1D">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Rotation:</w:t>
      </w:r>
      <w:r>
        <w:rPr>
          <w:rFonts w:ascii="Google Sans" w:eastAsia="Google Sans" w:hAnsi="Google Sans" w:cs="Google Sans"/>
          <w:color w:val="1F1F1F"/>
        </w:rPr>
        <w:t xml:space="preserve"> Decouples the bounding box regression head from fixed vertical and horizontal </w:t>
      </w:r>
      <w:r>
        <w:rPr>
          <w:rFonts w:ascii="Google Sans" w:eastAsia="Google Sans" w:hAnsi="Google Sans" w:cs="Google Sans"/>
          <w:color w:val="1F1F1F"/>
        </w:rPr>
        <w:lastRenderedPageBreak/>
        <w:t>grid lines, building resilience against tilted hand positions.</w:t>
      </w:r>
    </w:p>
    <w:p w14:paraId="6437C73A" w14:textId="77777777" w:rsidR="0090236D" w:rsidRDefault="00000000" w:rsidP="00DE2D1D">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Crop (0% Minimum, 10% Maximum Zoom):</w:t>
      </w:r>
      <w:r>
        <w:rPr>
          <w:rFonts w:ascii="Google Sans" w:eastAsia="Google Sans" w:hAnsi="Google Sans" w:cs="Google Sans"/>
          <w:color w:val="1F1F1F"/>
        </w:rPr>
        <w:t xml:space="preserve"> Simulates focal distance variances, forcing the network to recognize lesions from distances ranging from 15cm to 50cm.</w:t>
      </w:r>
    </w:p>
    <w:p w14:paraId="4AE2F2FB" w14:textId="77777777" w:rsidR="0090236D" w:rsidRDefault="00000000" w:rsidP="00DE2D1D">
      <w:pPr>
        <w:numPr>
          <w:ilvl w:val="0"/>
          <w:numId w:val="2"/>
        </w:numPr>
        <w:pBdr>
          <w:top w:val="nil"/>
          <w:left w:val="nil"/>
          <w:bottom w:val="nil"/>
          <w:right w:val="nil"/>
          <w:between w:val="nil"/>
        </w:pBdr>
        <w:spacing w:line="275" w:lineRule="auto"/>
        <w:jc w:val="both"/>
      </w:pPr>
      <w:r>
        <w:rPr>
          <w:rFonts w:ascii="Google Sans" w:eastAsia="Google Sans" w:hAnsi="Google Sans" w:cs="Google Sans"/>
          <w:b/>
          <w:bCs/>
          <w:color w:val="1F1F1F"/>
        </w:rPr>
        <w:t>Blur (Up to 1.5px Gaussian Blur):</w:t>
      </w:r>
      <w:r>
        <w:rPr>
          <w:rFonts w:ascii="Google Sans" w:eastAsia="Google Sans" w:hAnsi="Google Sans" w:cs="Google Sans"/>
          <w:color w:val="1F1F1F"/>
        </w:rPr>
        <w:t xml:space="preserve"> Intentionally deconstructs high-frequency pixel perfection to simulate micro-hand tremors and slow shutter speeds common in shadowed orchards. This forces the convolutional layers to rely on macro-shapes rather than edge sharpness.</w:t>
      </w:r>
    </w:p>
    <w:p w14:paraId="7F906B22" w14:textId="77777777"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t>Banned Filters (Data-Integrity Safeguard)</w:t>
      </w:r>
    </w:p>
    <w:p w14:paraId="626B0364" w14:textId="77777777" w:rsidR="0090236D" w:rsidRDefault="00000000" w:rsidP="00DE2D1D">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t>Disabled:</w:t>
      </w:r>
      <w:r>
        <w:rPr>
          <w:rFonts w:ascii="Google Sans" w:eastAsia="Google Sans" w:hAnsi="Google Sans" w:cs="Google Sans"/>
          <w:color w:val="1F1F1F"/>
        </w:rPr>
        <w:t xml:space="preserve"> </w:t>
      </w:r>
      <w:r>
        <w:rPr>
          <w:rFonts w:ascii="Google Sans" w:eastAsia="Google Sans" w:hAnsi="Google Sans" w:cs="Google Sans"/>
          <w:i/>
          <w:iCs/>
          <w:color w:val="1F1F1F"/>
        </w:rPr>
        <w:t>Hue, Saturation, Exposure, Contrast, and Grayscale.</w:t>
      </w:r>
    </w:p>
    <w:p w14:paraId="3E6DFFE6" w14:textId="77777777" w:rsidR="0090236D" w:rsidRDefault="00000000" w:rsidP="00DE2D1D">
      <w:pPr>
        <w:numPr>
          <w:ilvl w:val="0"/>
          <w:numId w:val="3"/>
        </w:numPr>
        <w:pBdr>
          <w:top w:val="nil"/>
          <w:left w:val="nil"/>
          <w:bottom w:val="nil"/>
          <w:right w:val="nil"/>
          <w:between w:val="nil"/>
        </w:pBdr>
        <w:spacing w:line="275" w:lineRule="auto"/>
        <w:jc w:val="both"/>
      </w:pPr>
      <w:r>
        <w:rPr>
          <w:rFonts w:ascii="Google Sans" w:eastAsia="Google Sans" w:hAnsi="Google Sans" w:cs="Google Sans"/>
          <w:b/>
          <w:bCs/>
          <w:color w:val="1F1F1F"/>
        </w:rPr>
        <w:t>Justification:</w:t>
      </w:r>
      <w:r>
        <w:rPr>
          <w:rFonts w:ascii="Google Sans" w:eastAsia="Google Sans" w:hAnsi="Google Sans" w:cs="Google Sans"/>
          <w:color w:val="1F1F1F"/>
        </w:rPr>
        <w:t xml:space="preserve"> Plant pathology depends heavily on specific color vectors. Shifting Hue completely breaks the chlorophyll loss mapping needed for Citrus Greening. Adjusting Saturation or Contrast artificially exaggerates normal skin pores, converting them into dark, high-contrast false positives that the model confuses with Canker halos.</w:t>
      </w:r>
    </w:p>
    <w:p w14:paraId="145F2FE4" w14:textId="77777777" w:rsidR="00DE2D1D" w:rsidRDefault="00DE2D1D" w:rsidP="00DE2D1D">
      <w:pPr>
        <w:pStyle w:val="Heading2"/>
        <w:spacing w:before="0" w:after="0" w:line="275" w:lineRule="auto"/>
        <w:jc w:val="both"/>
        <w:rPr>
          <w:rFonts w:ascii="Google Sans" w:eastAsia="Google Sans" w:hAnsi="Google Sans" w:cs="Google Sans"/>
          <w:color w:val="1F1F1F"/>
        </w:rPr>
      </w:pPr>
    </w:p>
    <w:p w14:paraId="1CFEFBF7" w14:textId="2E9139B2" w:rsidR="0090236D" w:rsidRDefault="00000000" w:rsidP="00DE2D1D">
      <w:pPr>
        <w:pStyle w:val="Heading2"/>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Model Architecture &amp; Training Configuration</w:t>
      </w:r>
    </w:p>
    <w:p w14:paraId="7D14EB4C" w14:textId="77777777" w:rsidR="0090236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The project utilized the </w:t>
      </w:r>
      <w:r>
        <w:rPr>
          <w:rFonts w:ascii="Google Sans" w:eastAsia="Google Sans" w:hAnsi="Google Sans" w:cs="Google Sans"/>
          <w:b/>
          <w:bCs/>
          <w:color w:val="1F1F1F"/>
        </w:rPr>
        <w:t>YOLO26s (Small)</w:t>
      </w:r>
      <w:r>
        <w:rPr>
          <w:rFonts w:ascii="Google Sans" w:eastAsia="Google Sans" w:hAnsi="Google Sans" w:cs="Google Sans"/>
          <w:color w:val="1F1F1F"/>
        </w:rPr>
        <w:t xml:space="preserve"> model family, an advanced edge-first framework optimized for resource-constrained targets.</w:t>
      </w:r>
    </w:p>
    <w:p w14:paraId="2693C822" w14:textId="77777777"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t>Architectural Blueprint</w:t>
      </w:r>
    </w:p>
    <w:p w14:paraId="0E718E35" w14:textId="77777777" w:rsidR="0090236D" w:rsidRDefault="00000000" w:rsidP="00DE2D1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Layers:</w:t>
      </w:r>
      <w:r>
        <w:rPr>
          <w:rFonts w:ascii="Google Sans" w:eastAsia="Google Sans" w:hAnsi="Google Sans" w:cs="Google Sans"/>
          <w:color w:val="1F1F1F"/>
        </w:rPr>
        <w:t xml:space="preserve"> 122 Layers (Fused)</w:t>
      </w:r>
    </w:p>
    <w:p w14:paraId="3569302A" w14:textId="77777777" w:rsidR="0090236D" w:rsidRDefault="00000000" w:rsidP="00DE2D1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Parameter Volume:</w:t>
      </w:r>
      <w:r>
        <w:rPr>
          <w:rFonts w:ascii="Google Sans" w:eastAsia="Google Sans" w:hAnsi="Google Sans" w:cs="Google Sans"/>
          <w:color w:val="1F1F1F"/>
        </w:rPr>
        <w:t xml:space="preserve"> 9,466,728 Parameters (Fully trained)</w:t>
      </w:r>
    </w:p>
    <w:p w14:paraId="1F699BD8" w14:textId="77777777" w:rsidR="0090236D" w:rsidRDefault="00000000" w:rsidP="00DE2D1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Compute Footprint:</w:t>
      </w:r>
      <w:r>
        <w:rPr>
          <w:rFonts w:ascii="Google Sans" w:eastAsia="Google Sans" w:hAnsi="Google Sans" w:cs="Google Sans"/>
          <w:color w:val="1F1F1F"/>
        </w:rPr>
        <w:t xml:space="preserve"> 20.5 GFLOPs</w:t>
      </w:r>
    </w:p>
    <w:p w14:paraId="318C661E" w14:textId="3D30743B" w:rsidR="0090236D" w:rsidRPr="00DE2D1D" w:rsidRDefault="00000000" w:rsidP="00DE2D1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Core Innovations:</w:t>
      </w:r>
      <w:r>
        <w:rPr>
          <w:rFonts w:ascii="Google Sans" w:eastAsia="Google Sans" w:hAnsi="Google Sans" w:cs="Google Sans"/>
          <w:color w:val="1F1F1F"/>
        </w:rPr>
        <w:t xml:space="preserve"> YOLO26s operates as a native </w:t>
      </w:r>
      <w:r>
        <w:rPr>
          <w:rFonts w:ascii="Google Sans" w:eastAsia="Google Sans" w:hAnsi="Google Sans" w:cs="Google Sans"/>
          <w:b/>
          <w:bCs/>
          <w:color w:val="1F1F1F"/>
        </w:rPr>
        <w:t>end-to-end, NMS-free</w:t>
      </w:r>
      <w:r>
        <w:rPr>
          <w:rFonts w:ascii="Google Sans" w:eastAsia="Google Sans" w:hAnsi="Google Sans" w:cs="Google Sans"/>
          <w:color w:val="1F1F1F"/>
        </w:rPr>
        <w:t xml:space="preserve"> architecture. By removing the traditional Non-Maximum Suppression post-processing step and utilizing a one-to-one dual label assignment mechanism, it decreases CPU latency significantly. Additionally, it removes Distribution Focal Loss (DFL) to ensure clean deployment exports for edge microcomputers.</w:t>
      </w:r>
    </w:p>
    <w:p w14:paraId="06E7D5BA" w14:textId="06FEEF54" w:rsidR="00DE2D1D" w:rsidRDefault="00DE2D1D" w:rsidP="00DE2D1D">
      <w:pPr>
        <w:pBdr>
          <w:top w:val="nil"/>
          <w:left w:val="nil"/>
          <w:bottom w:val="nil"/>
          <w:right w:val="nil"/>
          <w:between w:val="nil"/>
        </w:pBdr>
        <w:spacing w:line="275" w:lineRule="auto"/>
        <w:jc w:val="both"/>
      </w:pPr>
    </w:p>
    <w:p w14:paraId="7D302A2D" w14:textId="3BCEF72F" w:rsidR="00DE2D1D" w:rsidRDefault="00DE2D1D" w:rsidP="00DE2D1D">
      <w:pPr>
        <w:pBdr>
          <w:top w:val="nil"/>
          <w:left w:val="nil"/>
          <w:bottom w:val="nil"/>
          <w:right w:val="nil"/>
          <w:between w:val="nil"/>
        </w:pBdr>
        <w:spacing w:line="275" w:lineRule="auto"/>
        <w:jc w:val="both"/>
      </w:pPr>
    </w:p>
    <w:p w14:paraId="0DEDA337" w14:textId="709B1FFD" w:rsidR="00DE2D1D" w:rsidRDefault="00DE2D1D" w:rsidP="00DE2D1D">
      <w:pPr>
        <w:pBdr>
          <w:top w:val="nil"/>
          <w:left w:val="nil"/>
          <w:bottom w:val="nil"/>
          <w:right w:val="nil"/>
          <w:between w:val="nil"/>
        </w:pBdr>
        <w:spacing w:line="275" w:lineRule="auto"/>
        <w:jc w:val="both"/>
      </w:pPr>
    </w:p>
    <w:p w14:paraId="0A2710CB" w14:textId="17BBF42B" w:rsidR="00DE2D1D" w:rsidRDefault="00DE2D1D" w:rsidP="00DE2D1D">
      <w:pPr>
        <w:pBdr>
          <w:top w:val="nil"/>
          <w:left w:val="nil"/>
          <w:bottom w:val="nil"/>
          <w:right w:val="nil"/>
          <w:between w:val="nil"/>
        </w:pBdr>
        <w:spacing w:line="275" w:lineRule="auto"/>
        <w:jc w:val="both"/>
      </w:pPr>
    </w:p>
    <w:p w14:paraId="2092E6D8" w14:textId="3EAEC269" w:rsidR="00DE2D1D" w:rsidRDefault="00DE2D1D" w:rsidP="00DE2D1D">
      <w:pPr>
        <w:pBdr>
          <w:top w:val="nil"/>
          <w:left w:val="nil"/>
          <w:bottom w:val="nil"/>
          <w:right w:val="nil"/>
          <w:between w:val="nil"/>
        </w:pBdr>
        <w:spacing w:line="275" w:lineRule="auto"/>
        <w:jc w:val="both"/>
      </w:pPr>
    </w:p>
    <w:p w14:paraId="51651D18" w14:textId="2F1A1197" w:rsidR="00DE2D1D" w:rsidRDefault="00DE2D1D" w:rsidP="00DE2D1D">
      <w:pPr>
        <w:pBdr>
          <w:top w:val="nil"/>
          <w:left w:val="nil"/>
          <w:bottom w:val="nil"/>
          <w:right w:val="nil"/>
          <w:between w:val="nil"/>
        </w:pBdr>
        <w:spacing w:line="275" w:lineRule="auto"/>
        <w:jc w:val="both"/>
      </w:pPr>
    </w:p>
    <w:p w14:paraId="1621889A" w14:textId="1F823F02" w:rsidR="00DE2D1D" w:rsidRDefault="00DE2D1D" w:rsidP="00DE2D1D">
      <w:pPr>
        <w:pBdr>
          <w:top w:val="nil"/>
          <w:left w:val="nil"/>
          <w:bottom w:val="nil"/>
          <w:right w:val="nil"/>
          <w:between w:val="nil"/>
        </w:pBdr>
        <w:spacing w:line="275" w:lineRule="auto"/>
        <w:jc w:val="both"/>
      </w:pPr>
    </w:p>
    <w:p w14:paraId="62B7F901" w14:textId="46D88DEE" w:rsidR="00DE2D1D" w:rsidRDefault="00DE2D1D" w:rsidP="00DE2D1D">
      <w:pPr>
        <w:pBdr>
          <w:top w:val="nil"/>
          <w:left w:val="nil"/>
          <w:bottom w:val="nil"/>
          <w:right w:val="nil"/>
          <w:between w:val="nil"/>
        </w:pBdr>
        <w:spacing w:line="275" w:lineRule="auto"/>
        <w:jc w:val="both"/>
      </w:pPr>
    </w:p>
    <w:p w14:paraId="7CC9B2E2" w14:textId="60E0769E" w:rsidR="00DE2D1D" w:rsidRDefault="00DE2D1D" w:rsidP="00DE2D1D">
      <w:pPr>
        <w:pBdr>
          <w:top w:val="nil"/>
          <w:left w:val="nil"/>
          <w:bottom w:val="nil"/>
          <w:right w:val="nil"/>
          <w:between w:val="nil"/>
        </w:pBdr>
        <w:spacing w:line="275" w:lineRule="auto"/>
        <w:jc w:val="both"/>
      </w:pPr>
    </w:p>
    <w:p w14:paraId="1E33889B" w14:textId="3A0C69CA" w:rsidR="00DE2D1D" w:rsidRDefault="00DE2D1D" w:rsidP="00DE2D1D">
      <w:pPr>
        <w:pBdr>
          <w:top w:val="nil"/>
          <w:left w:val="nil"/>
          <w:bottom w:val="nil"/>
          <w:right w:val="nil"/>
          <w:between w:val="nil"/>
        </w:pBdr>
        <w:spacing w:line="275" w:lineRule="auto"/>
        <w:jc w:val="both"/>
      </w:pPr>
    </w:p>
    <w:p w14:paraId="09434F2A" w14:textId="7640BD7F" w:rsidR="00DE2D1D" w:rsidRDefault="00DE2D1D" w:rsidP="00DE2D1D">
      <w:pPr>
        <w:pBdr>
          <w:top w:val="nil"/>
          <w:left w:val="nil"/>
          <w:bottom w:val="nil"/>
          <w:right w:val="nil"/>
          <w:between w:val="nil"/>
        </w:pBdr>
        <w:spacing w:line="275" w:lineRule="auto"/>
        <w:jc w:val="both"/>
      </w:pPr>
    </w:p>
    <w:p w14:paraId="2CB296AB" w14:textId="77777777" w:rsidR="00DE2D1D" w:rsidRDefault="00DE2D1D" w:rsidP="00DE2D1D">
      <w:pPr>
        <w:pBdr>
          <w:top w:val="nil"/>
          <w:left w:val="nil"/>
          <w:bottom w:val="nil"/>
          <w:right w:val="nil"/>
          <w:between w:val="nil"/>
        </w:pBdr>
        <w:spacing w:line="275" w:lineRule="auto"/>
        <w:jc w:val="both"/>
      </w:pPr>
    </w:p>
    <w:p w14:paraId="72364CA9" w14:textId="77777777"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Training Configuration Script (Executed on Kaggle Dual T4 GPU Tensor Cores)</w:t>
      </w:r>
    </w:p>
    <w:p w14:paraId="66BB1049" w14:textId="31DFE543" w:rsidR="00DE2D1D" w:rsidRDefault="00DE2D1D" w:rsidP="00DE2D1D">
      <w:pPr>
        <w:pBdr>
          <w:top w:val="nil"/>
          <w:left w:val="nil"/>
          <w:bottom w:val="nil"/>
          <w:right w:val="nil"/>
          <w:between w:val="nil"/>
        </w:pBdr>
        <w:spacing w:line="275" w:lineRule="auto"/>
        <w:ind w:left="480" w:right="165"/>
        <w:jc w:val="both"/>
        <w:rPr>
          <w:rFonts w:ascii="Google Sans" w:eastAsia="Google Sans" w:hAnsi="Google Sans" w:cs="Google Sans"/>
          <w:color w:val="1F1F1F"/>
        </w:rPr>
      </w:pPr>
      <w:r>
        <w:rPr>
          <w:noProof/>
        </w:rPr>
        <w:drawing>
          <wp:inline distT="0" distB="0" distL="0" distR="0" wp14:anchorId="3CCD32D9" wp14:editId="147AEEC8">
            <wp:extent cx="5943600" cy="2945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5765"/>
                    </a:xfrm>
                    <a:prstGeom prst="rect">
                      <a:avLst/>
                    </a:prstGeom>
                  </pic:spPr>
                </pic:pic>
              </a:graphicData>
            </a:graphic>
          </wp:inline>
        </w:drawing>
      </w:r>
      <w:r>
        <w:rPr>
          <w:rFonts w:ascii="Google Sans" w:eastAsia="Google Sans" w:hAnsi="Google Sans" w:cs="Google Sans"/>
          <w:color w:val="1F1F1F"/>
        </w:rPr>
        <w:br/>
      </w:r>
    </w:p>
    <w:p w14:paraId="3FDA19B1" w14:textId="6A3DFA5F" w:rsidR="0090236D" w:rsidRDefault="00000000" w:rsidP="00DE2D1D">
      <w:pPr>
        <w:pStyle w:val="Heading2"/>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Empirical Results &amp; Performance Discussion</w:t>
      </w:r>
    </w:p>
    <w:p w14:paraId="2D18628F" w14:textId="77777777" w:rsidR="0090236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Following a full 150-epoch cycle, the validation phase evaluated 133 images containing 206 distinct pathological and healthy targets.</w:t>
      </w:r>
    </w:p>
    <w:p w14:paraId="1B89D7D3" w14:textId="77777777" w:rsidR="0090236D" w:rsidRDefault="00000000" w:rsidP="00DE2D1D">
      <w:pPr>
        <w:pStyle w:val="Heading3"/>
        <w:spacing w:before="0" w:line="275" w:lineRule="auto"/>
        <w:jc w:val="both"/>
        <w:rPr>
          <w:rFonts w:ascii="Google Sans" w:eastAsia="Google Sans" w:hAnsi="Google Sans" w:cs="Google Sans"/>
          <w:color w:val="1F1F1F"/>
        </w:rPr>
      </w:pPr>
      <w:r>
        <w:rPr>
          <w:rFonts w:ascii="Google Sans" w:eastAsia="Google Sans" w:hAnsi="Google Sans" w:cs="Google Sans"/>
          <w:color w:val="1F1F1F"/>
        </w:rPr>
        <w:t>Performance Breakdown Matrix</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90236D" w14:paraId="455505FC"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2298542"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Target Class</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DE9F304"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Evaluated Instances</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31CC993"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Precision (P)</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26E0689"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Recall (R)</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1FD929B"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mAP50​</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7EE202C"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mAP50−95​</w:t>
            </w:r>
          </w:p>
        </w:tc>
      </w:tr>
      <w:tr w:rsidR="0090236D" w14:paraId="31D6A745"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9D371C1"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Citrus Greening</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6FBFF7D0"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40</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292ECA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99.9%</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98ED4C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95.0%</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786DDD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99.1%</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BFA713A"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93.8%</w:t>
            </w:r>
          </w:p>
        </w:tc>
      </w:tr>
      <w:tr w:rsidR="0090236D" w14:paraId="0A7903E9"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2DBDCC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Fresh (Healthy)</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7B2A367"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36</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B3374B8"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83.3%</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0118991"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94.4%</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BD74787"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95.6%</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CE00DAB"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92.5%</w:t>
            </w:r>
          </w:p>
        </w:tc>
      </w:tr>
      <w:tr w:rsidR="0090236D" w14:paraId="5B2711E0"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F97AA41"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color w:val="1F1F1F"/>
              </w:rPr>
              <w:t xml:space="preserve">🟡 </w:t>
            </w:r>
            <w:proofErr w:type="spellStart"/>
            <w:r>
              <w:rPr>
                <w:rFonts w:ascii="Google Sans" w:eastAsia="Google Sans" w:hAnsi="Google Sans" w:cs="Google Sans"/>
                <w:b/>
                <w:bCs/>
                <w:color w:val="1F1F1F"/>
              </w:rPr>
              <w:t>Melanose</w:t>
            </w:r>
            <w:proofErr w:type="spellEnd"/>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86B6AA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37</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BE8AB12"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86.9%</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7F78FC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73.0%</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F54A981"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75.7%</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DF78145"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68.0%</w:t>
            </w:r>
          </w:p>
        </w:tc>
      </w:tr>
      <w:tr w:rsidR="0090236D" w14:paraId="0AFA0691"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4E5A81A"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color w:val="1F1F1F"/>
              </w:rPr>
              <w:lastRenderedPageBreak/>
              <w:t xml:space="preserve">🔴 </w:t>
            </w:r>
            <w:r>
              <w:rPr>
                <w:rFonts w:ascii="Google Sans" w:eastAsia="Google Sans" w:hAnsi="Google Sans" w:cs="Google Sans"/>
                <w:b/>
                <w:bCs/>
                <w:color w:val="1F1F1F"/>
              </w:rPr>
              <w:t>Citrus Canker</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796EAC3B"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93</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5D25BE1"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82.7%</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121B97BD"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67.0%</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798EEB3"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84.3%</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510A15FA"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51.2%</w:t>
            </w:r>
          </w:p>
        </w:tc>
      </w:tr>
      <w:tr w:rsidR="0090236D" w14:paraId="15999CD1" w14:textId="77777777">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34DAADFC"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System-Wide Mean</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451770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206</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0451647A"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88.2%</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4188509F"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82.4%</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589B55C"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88.7%</w:t>
            </w:r>
          </w:p>
        </w:tc>
        <w:tc>
          <w:tcPr>
            <w:tcW w:w="156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14:paraId="2EFF5CD8" w14:textId="77777777" w:rsidR="0090236D" w:rsidRDefault="00000000" w:rsidP="00DE2D1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76.4%</w:t>
            </w:r>
          </w:p>
        </w:tc>
      </w:tr>
    </w:tbl>
    <w:p w14:paraId="4121C94E" w14:textId="77777777" w:rsidR="0090236D" w:rsidRDefault="00000000" w:rsidP="00DE2D1D">
      <w:pPr>
        <w:pStyle w:val="Heading3"/>
        <w:spacing w:before="480" w:line="275" w:lineRule="auto"/>
        <w:jc w:val="both"/>
        <w:rPr>
          <w:rFonts w:ascii="Google Sans" w:eastAsia="Google Sans" w:hAnsi="Google Sans" w:cs="Google Sans"/>
          <w:color w:val="1F1F1F"/>
        </w:rPr>
      </w:pPr>
      <w:r>
        <w:rPr>
          <w:rFonts w:ascii="Google Sans" w:eastAsia="Google Sans" w:hAnsi="Google Sans" w:cs="Google Sans"/>
          <w:color w:val="1F1F1F"/>
        </w:rPr>
        <w:t>Evaluation Analysis</w:t>
      </w:r>
    </w:p>
    <w:p w14:paraId="483484D6" w14:textId="53325606" w:rsidR="0090236D" w:rsidRDefault="00000000" w:rsidP="00DE2D1D">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The Citrus Greening Triumph:</w:t>
      </w:r>
      <w:r>
        <w:rPr>
          <w:rFonts w:ascii="Google Sans" w:eastAsia="Google Sans" w:hAnsi="Google Sans" w:cs="Google Sans"/>
          <w:color w:val="1F1F1F"/>
        </w:rPr>
        <w:t xml:space="preserve"> Achieving a </w:t>
      </w:r>
      <w:r>
        <w:rPr>
          <w:rFonts w:ascii="Google Sans" w:eastAsia="Google Sans" w:hAnsi="Google Sans" w:cs="Google Sans"/>
          <w:b/>
          <w:bCs/>
          <w:color w:val="1F1F1F"/>
        </w:rPr>
        <w:t xml:space="preserve">99.1% </w:t>
      </w:r>
      <w:r w:rsidR="00DE2D1D">
        <w:rPr>
          <w:rFonts w:ascii="Google Sans" w:eastAsia="Google Sans" w:hAnsi="Google Sans" w:cs="Google Sans"/>
          <w:b/>
          <w:bCs/>
          <w:color w:val="1F1F1F"/>
        </w:rPr>
        <w:t>mAP50</w:t>
      </w:r>
      <w:r>
        <w:rPr>
          <w:rFonts w:ascii="Google Sans" w:eastAsia="Google Sans" w:hAnsi="Google Sans" w:cs="Google Sans"/>
          <w:color w:val="1F1F1F"/>
        </w:rPr>
        <w:t xml:space="preserve"> confirms that protecting the raw color gradients from synthetic modifications allowed the network to map the true biological phenotype of the disease with near-perfect classification accuracy.</w:t>
      </w:r>
    </w:p>
    <w:p w14:paraId="21D8D4DE" w14:textId="2BD7BDE9" w:rsidR="0090236D" w:rsidRDefault="00000000" w:rsidP="00DE2D1D">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The Canker Localization Bottleneck:</w:t>
      </w:r>
      <w:r>
        <w:rPr>
          <w:rFonts w:ascii="Google Sans" w:eastAsia="Google Sans" w:hAnsi="Google Sans" w:cs="Google Sans"/>
          <w:color w:val="1F1F1F"/>
        </w:rPr>
        <w:t xml:space="preserve"> While the model effectively flags general Canker regions (</w:t>
      </w:r>
      <w:r w:rsidR="00DE2D1D">
        <w:rPr>
          <w:rFonts w:ascii="Google Sans" w:eastAsia="Google Sans" w:hAnsi="Google Sans" w:cs="Google Sans"/>
          <w:color w:val="1F1F1F"/>
        </w:rPr>
        <w:t xml:space="preserve">mAP50 </w:t>
      </w:r>
      <w:r>
        <w:rPr>
          <w:rFonts w:ascii="Google Sans" w:eastAsia="Google Sans" w:hAnsi="Google Sans" w:cs="Google Sans"/>
          <w:color w:val="1F1F1F"/>
        </w:rPr>
        <w:t>of 84.3%), the strict localization score (</w:t>
      </w:r>
      <w:proofErr w:type="spellStart"/>
      <w:r>
        <w:rPr>
          <w:rFonts w:ascii="Google Sans" w:eastAsia="Google Sans" w:hAnsi="Google Sans" w:cs="Google Sans"/>
          <w:color w:val="1F1F1F"/>
        </w:rPr>
        <w:t>mAP</w:t>
      </w:r>
      <w:proofErr w:type="spellEnd"/>
      <w:r w:rsidR="00DE2D1D">
        <w:rPr>
          <w:rFonts w:ascii="Google Sans" w:eastAsia="Google Sans" w:hAnsi="Google Sans" w:cs="Google Sans"/>
          <w:color w:val="1F1F1F"/>
        </w:rPr>
        <w:t xml:space="preserve"> </w:t>
      </w:r>
      <w:r>
        <w:rPr>
          <w:rFonts w:ascii="Google Sans" w:eastAsia="Google Sans" w:hAnsi="Google Sans" w:cs="Google Sans"/>
          <w:color w:val="1F1F1F"/>
        </w:rPr>
        <w:t xml:space="preserve">50-95) drops to </w:t>
      </w:r>
      <w:r>
        <w:rPr>
          <w:rFonts w:ascii="Google Sans" w:eastAsia="Google Sans" w:hAnsi="Google Sans" w:cs="Google Sans"/>
          <w:b/>
          <w:bCs/>
          <w:color w:val="1F1F1F"/>
        </w:rPr>
        <w:t>51.2%</w:t>
      </w:r>
      <w:r>
        <w:rPr>
          <w:rFonts w:ascii="Google Sans" w:eastAsia="Google Sans" w:hAnsi="Google Sans" w:cs="Google Sans"/>
          <w:color w:val="1F1F1F"/>
        </w:rPr>
        <w:t xml:space="preserve">. This behavior is directly tied to feature density: the dataset contains </w:t>
      </w:r>
      <w:r>
        <w:rPr>
          <w:rFonts w:ascii="Google Sans" w:eastAsia="Google Sans" w:hAnsi="Google Sans" w:cs="Google Sans"/>
          <w:b/>
          <w:bCs/>
          <w:color w:val="1F1F1F"/>
        </w:rPr>
        <w:t>93 instances packed into only 30 images</w:t>
      </w:r>
      <w:r>
        <w:rPr>
          <w:rFonts w:ascii="Google Sans" w:eastAsia="Google Sans" w:hAnsi="Google Sans" w:cs="Google Sans"/>
          <w:color w:val="1F1F1F"/>
        </w:rPr>
        <w:t>. This high concentration of tiny, overlapping scabs challenges the coordinate regression head of a lightweight edge model, leading to broader, clustered bounding boxes instead of individual, tightly fitting borders.</w:t>
      </w:r>
    </w:p>
    <w:p w14:paraId="166B1B4C" w14:textId="0E9D682B" w:rsidR="0090236D" w:rsidRPr="00DE2D1D" w:rsidRDefault="00000000" w:rsidP="00DE2D1D">
      <w:pPr>
        <w:numPr>
          <w:ilvl w:val="0"/>
          <w:numId w:val="5"/>
        </w:numPr>
        <w:pBdr>
          <w:top w:val="nil"/>
          <w:left w:val="nil"/>
          <w:bottom w:val="nil"/>
          <w:right w:val="nil"/>
          <w:between w:val="nil"/>
        </w:pBdr>
        <w:spacing w:line="275" w:lineRule="auto"/>
        <w:jc w:val="both"/>
      </w:pPr>
      <w:proofErr w:type="spellStart"/>
      <w:r>
        <w:rPr>
          <w:rFonts w:ascii="Google Sans" w:eastAsia="Google Sans" w:hAnsi="Google Sans" w:cs="Google Sans"/>
          <w:b/>
          <w:bCs/>
          <w:color w:val="1F1F1F"/>
        </w:rPr>
        <w:t>Melanose</w:t>
      </w:r>
      <w:proofErr w:type="spellEnd"/>
      <w:r>
        <w:rPr>
          <w:rFonts w:ascii="Google Sans" w:eastAsia="Google Sans" w:hAnsi="Google Sans" w:cs="Google Sans"/>
          <w:b/>
          <w:bCs/>
          <w:color w:val="1F1F1F"/>
        </w:rPr>
        <w:t xml:space="preserve"> Resolution Boundaries:</w:t>
      </w:r>
      <w:r>
        <w:rPr>
          <w:rFonts w:ascii="Google Sans" w:eastAsia="Google Sans" w:hAnsi="Google Sans" w:cs="Google Sans"/>
          <w:color w:val="1F1F1F"/>
        </w:rPr>
        <w:t xml:space="preserve"> The moderate recall (73.0%) reflects the physical nature of </w:t>
      </w:r>
      <w:proofErr w:type="spellStart"/>
      <w:r>
        <w:rPr>
          <w:rFonts w:ascii="Google Sans" w:eastAsia="Google Sans" w:hAnsi="Google Sans" w:cs="Google Sans"/>
          <w:color w:val="1F1F1F"/>
        </w:rPr>
        <w:t>Melanose</w:t>
      </w:r>
      <w:proofErr w:type="spellEnd"/>
      <w:r>
        <w:rPr>
          <w:rFonts w:ascii="Google Sans" w:eastAsia="Google Sans" w:hAnsi="Google Sans" w:cs="Google Sans"/>
          <w:color w:val="1F1F1F"/>
        </w:rPr>
        <w:t>, which manifests as microscopic, sand-paper-like spots. On a 640x640 canvas, these patterns span only a few pixels, testing the limits of a small parameter backbone.</w:t>
      </w:r>
    </w:p>
    <w:p w14:paraId="47B1E8E7" w14:textId="77777777" w:rsidR="00DE2D1D" w:rsidRDefault="00DE2D1D" w:rsidP="00DE2D1D">
      <w:pPr>
        <w:pBdr>
          <w:top w:val="nil"/>
          <w:left w:val="nil"/>
          <w:bottom w:val="nil"/>
          <w:right w:val="nil"/>
          <w:between w:val="nil"/>
        </w:pBdr>
        <w:spacing w:line="275" w:lineRule="auto"/>
        <w:jc w:val="both"/>
      </w:pPr>
    </w:p>
    <w:p w14:paraId="2602F380" w14:textId="1CCBD9BC" w:rsidR="0090236D" w:rsidRDefault="00000000" w:rsidP="00DE2D1D">
      <w:pPr>
        <w:pStyle w:val="Heading2"/>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Software Realization &amp; Deployment Interface</w:t>
      </w:r>
    </w:p>
    <w:p w14:paraId="527AFE53" w14:textId="7E67824B" w:rsidR="0090236D" w:rsidRPr="00DE2D1D" w:rsidRDefault="00000000" w:rsidP="00DE2D1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To translate these network weights into a functional utility, a web interface was engineered using </w:t>
      </w:r>
      <w:proofErr w:type="spellStart"/>
      <w:r>
        <w:rPr>
          <w:rFonts w:ascii="Google Sans" w:eastAsia="Google Sans" w:hAnsi="Google Sans" w:cs="Google Sans"/>
          <w:b/>
          <w:bCs/>
          <w:color w:val="1F1F1F"/>
        </w:rPr>
        <w:t>Streamlit</w:t>
      </w:r>
      <w:proofErr w:type="spellEnd"/>
      <w:r>
        <w:rPr>
          <w:rFonts w:ascii="Google Sans" w:eastAsia="Google Sans" w:hAnsi="Google Sans" w:cs="Google Sans"/>
          <w:color w:val="1F1F1F"/>
        </w:rPr>
        <w:t>. The interface runs pure model inference directly on uploaded images with no additional runtime modifications.</w:t>
      </w:r>
    </w:p>
    <w:p w14:paraId="537B97B5" w14:textId="77777777" w:rsidR="0090236D" w:rsidRPr="00DE2D1D" w:rsidRDefault="0090236D" w:rsidP="00DE2D1D"/>
    <w:p w14:paraId="4777E7A0" w14:textId="04284E38" w:rsidR="0090236D" w:rsidRDefault="00000000" w:rsidP="00DE2D1D">
      <w:pPr>
        <w:rPr>
          <w:color w:val="1F1F1F"/>
          <w:shd w:val="clear" w:color="auto" w:fill="141414"/>
        </w:rPr>
      </w:pPr>
      <w:r w:rsidRPr="00DE2D1D">
        <w:t>[User Image Upload] ──► [Model Predict API with Slider Conf</w:t>
      </w:r>
      <w:r w:rsidR="00DE2D1D">
        <w:t>idence Score]</w:t>
      </w:r>
      <w:r w:rsidRPr="00DE2D1D">
        <w:rPr>
          <w:color w:val="000000" w:themeColor="text1"/>
        </w:rPr>
        <w:t xml:space="preserve"> ──►</w:t>
      </w:r>
      <w:r w:rsidRPr="00DE2D1D">
        <w:t xml:space="preserve"> [Conditional State Logic Printout]</w:t>
      </w:r>
      <w:r>
        <w:rPr>
          <w:color w:val="1F1F1F"/>
          <w:shd w:val="clear" w:color="auto" w:fill="141414"/>
        </w:rPr>
        <w:br/>
      </w:r>
    </w:p>
    <w:p w14:paraId="6A23C072" w14:textId="10D22E64" w:rsidR="0090236D" w:rsidRPr="00DE2D1D" w:rsidRDefault="00000000" w:rsidP="00DE2D1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color w:val="1F1F1F"/>
        </w:rPr>
        <w:t xml:space="preserve">The application provides a dynamic slider enabling real-time adjustments to the confidence score threshold. To prevent user confusion, the backend maps predictions directly to user-friendly status indicators. If the threshold filters out all tentative bounding boxes, the system gracefully triggers a clear notification stating: </w:t>
      </w:r>
      <w:r>
        <w:rPr>
          <w:rFonts w:ascii="Google Sans" w:eastAsia="Google Sans" w:hAnsi="Google Sans" w:cs="Google Sans"/>
          <w:i/>
          <w:iCs/>
          <w:color w:val="1F1F1F"/>
        </w:rPr>
        <w:t>"The model could not identify any disease or healthy fruit signatures at this confidence level."</w:t>
      </w:r>
    </w:p>
    <w:sectPr w:rsidR="0090236D" w:rsidRPr="00DE2D1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7964B9-7AF2-4FA1-A5C2-CE56254B145C}"/>
  </w:font>
  <w:font w:name="Google Sans">
    <w:charset w:val="00"/>
    <w:family w:val="auto"/>
    <w:pitch w:val="default"/>
    <w:embedRegular r:id="rId2" w:fontKey="{E186E959-4BD9-4DE5-92CA-A0F414D4EA0D}"/>
    <w:embedBold r:id="rId3" w:fontKey="{7A786D7B-D40D-4199-9229-0AD97F15715E}"/>
    <w:embedItalic r:id="rId4" w:fontKey="{F134E0E9-1FB9-4899-8E42-DEE2434252BC}"/>
  </w:font>
  <w:font w:name="Calibri">
    <w:panose1 w:val="020F0502020204030204"/>
    <w:charset w:val="00"/>
    <w:family w:val="swiss"/>
    <w:pitch w:val="variable"/>
    <w:sig w:usb0="E4002EFF" w:usb1="C000247B" w:usb2="00000009" w:usb3="00000000" w:csb0="000001FF" w:csb1="00000000"/>
    <w:embedRegular r:id="rId5" w:fontKey="{8C71EAB2-E50D-40A7-BCDF-C584973A40CB}"/>
  </w:font>
  <w:font w:name="Cambria">
    <w:panose1 w:val="02040503050406030204"/>
    <w:charset w:val="00"/>
    <w:family w:val="roman"/>
    <w:pitch w:val="variable"/>
    <w:sig w:usb0="E00006FF" w:usb1="420024FF" w:usb2="02000000" w:usb3="00000000" w:csb0="0000019F" w:csb1="00000000"/>
    <w:embedRegular r:id="rId6" w:fontKey="{9A30999A-3336-4375-9452-F9516F9FA2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32B3"/>
    <w:multiLevelType w:val="multilevel"/>
    <w:tmpl w:val="9AB0DF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FB0C5F"/>
    <w:multiLevelType w:val="multilevel"/>
    <w:tmpl w:val="7812A4D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FB3AB7"/>
    <w:multiLevelType w:val="multilevel"/>
    <w:tmpl w:val="715E7EF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5C47A01"/>
    <w:multiLevelType w:val="multilevel"/>
    <w:tmpl w:val="B6F6AB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C001002"/>
    <w:multiLevelType w:val="multilevel"/>
    <w:tmpl w:val="B06008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42487136">
    <w:abstractNumId w:val="0"/>
  </w:num>
  <w:num w:numId="2" w16cid:durableId="732312734">
    <w:abstractNumId w:val="4"/>
  </w:num>
  <w:num w:numId="3" w16cid:durableId="1248810835">
    <w:abstractNumId w:val="2"/>
  </w:num>
  <w:num w:numId="4" w16cid:durableId="164246460">
    <w:abstractNumId w:val="1"/>
  </w:num>
  <w:num w:numId="5" w16cid:durableId="1801265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36D"/>
    <w:rsid w:val="00237556"/>
    <w:rsid w:val="007D0B0A"/>
    <w:rsid w:val="0090236D"/>
    <w:rsid w:val="00DE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B684"/>
  <w15:docId w15:val="{B105B167-926D-41E2-A2B8-9C4541EF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Favour</cp:lastModifiedBy>
  <cp:revision>3</cp:revision>
  <dcterms:created xsi:type="dcterms:W3CDTF">2026-05-23T13:23:00Z</dcterms:created>
  <dcterms:modified xsi:type="dcterms:W3CDTF">2026-05-23T13:49:00Z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061cac6c-edd2-4fc6-8bb4-66a39c0e26c5</vt:lpwstr>
  </property>
</Properties>
</file>