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666666"/>
          <w:sz w:val="20"/>
          <w:szCs w:val="20"/>
        </w:rPr>
        <w:t xml:space="preserve">MMAI1002 — Machine Learning | Final Project</w:t>
      </w:r>
    </w:p>
    <w:p>
      <w:pPr>
        <w:spacing w:after="80" w:before="0"/>
      </w:pPr>
      <w:r>
        <w:t xml:space="preserve"/>
      </w:r>
    </w:p>
    <w:p>
      <w:pPr>
        <w:spacing w:after="80" w:before="0"/>
        <w:jc w:val="center"/>
      </w:pPr>
      <w:r>
        <w:rPr>
          <w:rFonts w:ascii="Arial" w:cs="Arial" w:eastAsia="Arial" w:hAnsi="Arial"/>
          <w:b/>
          <w:bCs/>
          <w:sz w:val="32"/>
          <w:szCs w:val="32"/>
        </w:rPr>
        <w:t xml:space="preserve">Crop Recommendation System for Aceh/Sumatra Region</w:t>
      </w:r>
    </w:p>
    <w:p>
      <w:pPr>
        <w:spacing w:after="80" w:before="0"/>
        <w:jc w:val="center"/>
      </w:pPr>
      <w:r>
        <w:rPr>
          <w:rFonts w:ascii="Arial" w:cs="Arial" w:eastAsia="Arial" w:hAnsi="Arial"/>
          <w:b/>
          <w:bCs/>
          <w:sz w:val="26"/>
          <w:szCs w:val="26"/>
        </w:rPr>
        <w:t xml:space="preserve">Using Supervised Machine Learning Classification</w:t>
      </w:r>
    </w:p>
    <w:p>
      <w:pPr>
        <w:spacing w:after="80" w:before="0"/>
      </w:pPr>
      <w:r>
        <w:t xml:space="preserve"/>
      </w:r>
    </w:p>
    <w:p>
      <w:pPr>
        <w:spacing w:after="80" w:before="0"/>
        <w:jc w:val="center"/>
      </w:pPr>
      <w:r>
        <w:rPr>
          <w:rFonts w:ascii="Arial" w:cs="Arial" w:eastAsia="Arial" w:hAnsi="Arial"/>
          <w:i/>
          <w:iCs/>
          <w:sz w:val="22"/>
          <w:szCs w:val="22"/>
        </w:rPr>
        <w:t xml:space="preserve">A Machine Learning Approach with Regional Climate Calibration</w:t>
      </w:r>
    </w:p>
    <w:p>
      <w:pPr>
        <w:spacing w:after="80" w:before="0"/>
      </w:pPr>
      <w:r>
        <w:t xml:space="preserve"/>
      </w:r>
    </w:p>
    <w:p>
      <w:pPr>
        <w:spacing w:after="80" w:before="0"/>
      </w:pPr>
      <w:r>
        <w:t xml:space="preserve"/>
      </w:r>
    </w:p>
    <w:p>
      <w:pPr>
        <w:spacing w:after="80" w:before="0"/>
        <w:jc w:val="center"/>
      </w:pPr>
      <w:r>
        <w:rPr>
          <w:rFonts w:ascii="Arial" w:cs="Arial" w:eastAsia="Arial" w:hAnsi="Arial"/>
          <w:b/>
          <w:bCs/>
          <w:sz w:val="22"/>
          <w:szCs w:val="22"/>
        </w:rPr>
        <w:t xml:space="preserve">[Your Full Name]</w:t>
      </w:r>
    </w:p>
    <w:p>
      <w:pPr>
        <w:spacing w:after="80" w:before="0"/>
        <w:jc w:val="center"/>
      </w:pPr>
      <w:r>
        <w:rPr>
          <w:rFonts w:ascii="Arial" w:cs="Arial" w:eastAsia="Arial" w:hAnsi="Arial"/>
          <w:sz w:val="22"/>
          <w:szCs w:val="22"/>
        </w:rPr>
        <w:t xml:space="preserve">[Student ID]</w:t>
      </w:r>
    </w:p>
    <w:p>
      <w:pPr>
        <w:spacing w:after="80" w:before="0"/>
        <w:jc w:val="center"/>
      </w:pPr>
      <w:r>
        <w:rPr>
          <w:rFonts w:ascii="Arial" w:cs="Arial" w:eastAsia="Arial" w:hAnsi="Arial"/>
          <w:sz w:val="22"/>
          <w:szCs w:val="22"/>
        </w:rPr>
        <w:t xml:space="preserve">Faculty of Science and Technology</w:t>
      </w:r>
    </w:p>
    <w:p>
      <w:pPr>
        <w:spacing w:after="80" w:before="0"/>
        <w:jc w:val="center"/>
      </w:pPr>
      <w:r>
        <w:rPr>
          <w:rFonts w:ascii="Arial" w:cs="Arial" w:eastAsia="Arial" w:hAnsi="Arial"/>
          <w:sz w:val="22"/>
          <w:szCs w:val="22"/>
        </w:rPr>
        <w:t xml:space="preserve">Universitas Syiah Kuala (USK), Banda Aceh, Indonesia</w:t>
      </w:r>
    </w:p>
    <w:p>
      <w:pPr>
        <w:spacing w:after="80" w:before="0"/>
        <w:jc w:val="center"/>
      </w:pPr>
      <w:r>
        <w:rPr>
          <w:rFonts w:ascii="Arial" w:cs="Arial" w:eastAsia="Arial" w:hAnsi="Arial"/>
          <w:color w:val="2E75B6"/>
          <w:sz w:val="22"/>
          <w:szCs w:val="22"/>
        </w:rPr>
        <w:t xml:space="preserve">[your.email@usk.ac.id]</w:t>
      </w:r>
    </w:p>
    <w:p>
      <w:pPr>
        <w:spacing w:after="80" w:before="0"/>
      </w:pPr>
      <w:r>
        <w:t xml:space="preserve"/>
      </w:r>
    </w:p>
    <w:p>
      <w:pPr>
        <w:spacing w:after="80" w:before="0"/>
        <w:jc w:val="center"/>
      </w:pPr>
      <w:r>
        <w:rPr>
          <w:rFonts w:ascii="Arial" w:cs="Arial" w:eastAsia="Arial" w:hAnsi="Arial"/>
          <w:color w:val="666666"/>
          <w:sz w:val="20"/>
          <w:szCs w:val="20"/>
        </w:rPr>
        <w:t xml:space="preserve">Course: MMAI1002 | Semester: [Semester, Year]</w:t>
      </w:r>
    </w:p>
    <w:p>
      <w:pPr>
        <w:spacing w:after="80" w:before="0"/>
        <w:jc w:val="center"/>
      </w:pPr>
      <w:r>
        <w:rPr>
          <w:rFonts w:ascii="Arial" w:cs="Arial" w:eastAsia="Arial" w:hAnsi="Arial"/>
          <w:color w:val="666666"/>
          <w:sz w:val="20"/>
          <w:szCs w:val="20"/>
        </w:rPr>
        <w:t xml:space="preserve">Instructors: Prof. Dr. Taufik Fuadi Abidin, Prof. Dr. Hammam Riza, Dr. Rumaisa Kruba</w:t>
      </w:r>
    </w:p>
    <w:p>
      <w:pPr>
        <w:spacing w:after="80" w:before="0"/>
      </w:pPr>
      <w:r>
        <w:t xml:space="preserve"/>
      </w:r>
    </w:p>
    <w:p>
      <w:pPr>
        <w:spacing w:after="80" w:before="0"/>
      </w:pPr>
      <w:r>
        <w:t xml:space="preserve"/>
      </w:r>
    </w:p>
    <w:p>
      <w:pPr>
        <w:spacing w:after="80" w:before="0"/>
      </w:pPr>
      <w:r>
        <w:t xml:space="preserve"/>
      </w:r>
    </w:p>
    <w:p>
      <w:pPr>
        <w:jc w:val="center"/>
      </w:pPr>
      <w:r>
        <w:rPr>
          <w:rFonts w:ascii="Arial" w:cs="Arial" w:eastAsia="Arial" w:hAnsi="Arial"/>
          <w:b/>
          <w:bCs/>
          <w:sz w:val="26"/>
          <w:szCs w:val="26"/>
        </w:rPr>
        <w:t xml:space="preserve">Abstract</w:t>
      </w:r>
    </w:p>
    <w:p>
      <w:pPr>
        <w:spacing w:after="80" w:before="0"/>
      </w:pPr>
      <w:r>
        <w:t xml:space="preserve"/>
      </w:r>
    </w:p>
    <w:p>
      <w:pPr>
        <w:spacing w:after="160" w:before="0"/>
        <w:jc w:val="both"/>
      </w:pPr>
      <w:r>
        <w:rPr>
          <w:rFonts w:ascii="Arial" w:cs="Arial" w:eastAsia="Arial" w:hAnsi="Arial"/>
          <w:sz w:val="22"/>
          <w:szCs w:val="22"/>
        </w:rPr>
        <w:t xml:space="preserve">Agriculture is the backbone of Aceh Province's economy, with rice, oil palm, coffee, rubber, and coconut representing its major commodities. Selecting the appropriate crop for a given set of soil and climate conditions is a critical challenge for smallholder farmers, who often lack access to expert agronomic guidance. This paper presents a supervised machine learning system to recommend the most suitable crop from twelve regionally relevant crop classes, given seven input features: nitrogen (N), phosphorus (P), potassium (K), temperature, humidity, soil pH, and monthly rainfall. Three classifiers were trained and compared: Decision Tree, Random Forest, and K-Nearest Neighbors (KNN). All feature distributions and climate parameters were calibrated to published BMKG (Badan Meteorologi, Klimatologi, dan Geofisika) climate normals for Banda Aceh, including an annual mean temperature of 27-28 degrees Celsius, humidity of 79-81%, and annual rainfall of approximately 2,315 mm. The Random Forest model achieved the highest test accuracy of 90.7% and a weighted F1-score of 90.6%, significantly outperforming the Decision Tree (85.0%) and KNN (87.0%) on the validation set. A prototype web application was developed using Streamlit, enabling farmers and agricultural extension officers to input soil and climate parameters and receive real-time crop recommendations. This work demonstrates that standard supervised learning classifiers, when grounded in regional climate data, can provide actionable and locally relevant agricultural decision support.</w:t>
      </w:r>
    </w:p>
    <w:p>
      <w:pPr>
        <w:spacing w:after="80" w:before="0"/>
      </w:pPr>
      <w:r>
        <w:t xml:space="preserve"/>
      </w:r>
    </w:p>
    <w:p>
      <w:pPr>
        <w:spacing w:after="160" w:before="0"/>
        <w:jc w:val="both"/>
      </w:pPr>
      <w:r>
        <w:rPr>
          <w:rFonts w:ascii="Arial" w:cs="Arial" w:eastAsia="Arial" w:hAnsi="Arial"/>
          <w:sz w:val="22"/>
          <w:szCs w:val="22"/>
        </w:rPr>
        <w:t xml:space="preserve">Keywords: crop recommendation, supervised learning, random forest, decision tree, KNN, Aceh agriculture, BMKG climate data, precision agriculture</w:t>
      </w:r>
    </w:p>
    <w:p>
      <w:r>
        <w:br w:type="page"/>
      </w:r>
    </w:p>
    <w:p>
      <w:pPr>
        <w:pStyle w:val="Heading1"/>
        <w:spacing w:after="120" w:before="360"/>
      </w:pPr>
      <w:r>
        <w:rPr>
          <w:rFonts w:ascii="Arial" w:cs="Arial" w:eastAsia="Arial" w:hAnsi="Arial"/>
          <w:b/>
          <w:bCs/>
          <w:sz w:val="28"/>
          <w:szCs w:val="28"/>
        </w:rPr>
        <w:t xml:space="preserve">1. Introduction</w:t>
      </w:r>
    </w:p>
    <w:p>
      <w:pPr>
        <w:spacing w:after="160" w:before="0"/>
        <w:jc w:val="both"/>
      </w:pPr>
      <w:r>
        <w:rPr>
          <w:rFonts w:ascii="Arial" w:cs="Arial" w:eastAsia="Arial" w:hAnsi="Arial"/>
          <w:sz w:val="22"/>
          <w:szCs w:val="22"/>
        </w:rPr>
        <w:t xml:space="preserve">Aceh Province, located at the northern tip of Sumatra, Indonesia, has an economy deeply rooted in agriculture. According to BPS-Statistics Indonesia's 2023 Agricultural Census, major commodities include rice, oil palm, rubber, coffee (particularly Gayo Arabica coffee, internationally recognised for its quality), coconut, and various horticultural crops. Despite this agricultural wealth, smallholder farmers often struggle with crop selection decisions, as sub-optimal choices directly reduce yield, income, and soil health.</w:t>
      </w:r>
    </w:p>
    <w:p>
      <w:pPr>
        <w:spacing w:after="160" w:before="0"/>
        <w:jc w:val="both"/>
      </w:pPr>
      <w:r>
        <w:rPr>
          <w:rFonts w:ascii="Arial" w:cs="Arial" w:eastAsia="Arial" w:hAnsi="Arial"/>
          <w:sz w:val="22"/>
          <w:szCs w:val="22"/>
        </w:rPr>
        <w:t xml:space="preserve">The province benefits from an equatorial climate, characterised by consistently high rainfall (annual average approximately 2,315 mm in Banda Aceh, per BMKG records), temperatures ranging from 26.7 to 28.2 degrees Celsius throughout the year, and humidity averaging 79-81%. These stable but spatially heterogeneous climate and soil conditions make systematic, data-driven crop recommendation feasible and valuable.</w:t>
      </w:r>
    </w:p>
    <w:p>
      <w:pPr>
        <w:spacing w:after="160" w:before="0"/>
        <w:jc w:val="both"/>
      </w:pPr>
      <w:r>
        <w:rPr>
          <w:rFonts w:ascii="Arial" w:cs="Arial" w:eastAsia="Arial" w:hAnsi="Arial"/>
          <w:sz w:val="22"/>
          <w:szCs w:val="22"/>
        </w:rPr>
        <w:t xml:space="preserve">Machine learning offers a powerful framework for encoding the complex relationships between soil nutrients, climate parameters, and crop suitability. A trained classifier can learn from historical agronomic data and generalise to new input conditions, providing instant, low-cost recommendations that would otherwise require expert consultation. This addresses a critical information gap for the estimated 240,000 oil palm smallholders in Aceh alone (IDH, 2022), and by extension, all smallholder farmers in the region.</w:t>
      </w:r>
    </w:p>
    <w:p>
      <w:pPr>
        <w:spacing w:after="160" w:before="0"/>
        <w:jc w:val="both"/>
      </w:pPr>
      <w:r>
        <w:rPr>
          <w:rFonts w:ascii="Arial" w:cs="Arial" w:eastAsia="Arial" w:hAnsi="Arial"/>
          <w:sz w:val="22"/>
          <w:szCs w:val="22"/>
        </w:rPr>
        <w:t xml:space="preserve">This paper makes the following contributions:</w:t>
      </w:r>
    </w:p>
    <w:p>
      <w:pPr>
        <w:pStyle w:val="ListParagraph"/>
        <w:numPr>
          <w:ilvl w:val="0"/>
          <w:numId w:val="2"/>
        </w:numPr>
        <w:spacing w:after="80" w:before="0"/>
      </w:pPr>
      <w:r>
        <w:rPr>
          <w:rFonts w:ascii="Arial" w:cs="Arial" w:eastAsia="Arial" w:hAnsi="Arial"/>
          <w:sz w:val="22"/>
          <w:szCs w:val="22"/>
        </w:rPr>
        <w:t xml:space="preserve">A regional crop recommendation dataset for Aceh/Sumatra, with feature distributions calibrated to BMKG climate normals for Banda Aceh.</w:t>
      </w:r>
    </w:p>
    <w:p>
      <w:pPr>
        <w:pStyle w:val="ListParagraph"/>
        <w:numPr>
          <w:ilvl w:val="0"/>
          <w:numId w:val="2"/>
        </w:numPr>
        <w:spacing w:after="80" w:before="0"/>
      </w:pPr>
      <w:r>
        <w:rPr>
          <w:rFonts w:ascii="Arial" w:cs="Arial" w:eastAsia="Arial" w:hAnsi="Arial"/>
          <w:sz w:val="22"/>
          <w:szCs w:val="22"/>
        </w:rPr>
        <w:t xml:space="preserve">A comparative evaluation of three supervised classification algorithms (Decision Tree, Random Forest, KNN) on the crop recommendation task.</w:t>
      </w:r>
    </w:p>
    <w:p>
      <w:pPr>
        <w:pStyle w:val="ListParagraph"/>
        <w:numPr>
          <w:ilvl w:val="0"/>
          <w:numId w:val="2"/>
        </w:numPr>
        <w:spacing w:after="80" w:before="0"/>
      </w:pPr>
      <w:r>
        <w:rPr>
          <w:rFonts w:ascii="Arial" w:cs="Arial" w:eastAsia="Arial" w:hAnsi="Arial"/>
          <w:sz w:val="22"/>
          <w:szCs w:val="22"/>
        </w:rPr>
        <w:t xml:space="preserve">A deployed Streamlit prototype enabling real-time, interactive crop recommendations with Aceh climate context embedded in the interface.</w:t>
      </w:r>
    </w:p>
    <w:p>
      <w:pPr>
        <w:pStyle w:val="ListParagraph"/>
        <w:numPr>
          <w:ilvl w:val="0"/>
          <w:numId w:val="2"/>
        </w:numPr>
        <w:spacing w:after="80" w:before="0"/>
      </w:pPr>
      <w:r>
        <w:rPr>
          <w:rFonts w:ascii="Arial" w:cs="Arial" w:eastAsia="Arial" w:hAnsi="Arial"/>
          <w:sz w:val="22"/>
          <w:szCs w:val="22"/>
        </w:rPr>
        <w:t xml:space="preserve">A detailed analysis of feature importance, revealing which soil and climate factors most strongly determine crop suitability in the region.</w:t>
      </w:r>
    </w:p>
    <w:p>
      <w:pPr>
        <w:spacing w:after="80" w:before="0"/>
      </w:pPr>
      <w:r>
        <w:t xml:space="preserve"/>
      </w:r>
    </w:p>
    <w:p>
      <w:pPr>
        <w:pStyle w:val="Heading1"/>
        <w:spacing w:after="120" w:before="360"/>
      </w:pPr>
      <w:r>
        <w:rPr>
          <w:rFonts w:ascii="Arial" w:cs="Arial" w:eastAsia="Arial" w:hAnsi="Arial"/>
          <w:b/>
          <w:bCs/>
          <w:sz w:val="28"/>
          <w:szCs w:val="28"/>
        </w:rPr>
        <w:t xml:space="preserve">2. Related Work</w:t>
      </w:r>
    </w:p>
    <w:p>
      <w:pPr>
        <w:spacing w:after="160" w:before="0"/>
        <w:jc w:val="both"/>
      </w:pPr>
      <w:r>
        <w:rPr>
          <w:rFonts w:ascii="Arial" w:cs="Arial" w:eastAsia="Arial" w:hAnsi="Arial"/>
          <w:sz w:val="22"/>
          <w:szCs w:val="22"/>
        </w:rPr>
        <w:t xml:space="preserve">Crop recommendation and precision agriculture have attracted significant machine learning research. Savla et al. (2017) demonstrated that Random Forests and Support Vector Machines can predict crop suitability with high accuracy using soil nutrient and climate features. Pudumalar et al. (2017) applied ensemble methods to crop recommendation and reported that Random Forest consistently outperformed individual decision trees, attributing this to variance reduction through bootstrap aggregation.</w:t>
      </w:r>
    </w:p>
    <w:p>
      <w:pPr>
        <w:spacing w:after="160" w:before="0"/>
        <w:jc w:val="both"/>
      </w:pPr>
      <w:r>
        <w:rPr>
          <w:rFonts w:ascii="Arial" w:cs="Arial" w:eastAsia="Arial" w:hAnsi="Arial"/>
          <w:sz w:val="22"/>
          <w:szCs w:val="22"/>
        </w:rPr>
        <w:t xml:space="preserve">Doshi et al. (2018) proposed a broader crop recommendation system incorporating weather API data, a methodology closely related to the present work. Archana et al. (2021) specifically evaluated the Kaggle Crop Recommendation Dataset across multiple classifiers, finding Random Forest to achieve accuracy above 99% on that balanced benchmark dataset.</w:t>
      </w:r>
    </w:p>
    <w:p>
      <w:pPr>
        <w:spacing w:after="160" w:before="0"/>
        <w:jc w:val="both"/>
      </w:pPr>
      <w:r>
        <w:rPr>
          <w:rFonts w:ascii="Arial" w:cs="Arial" w:eastAsia="Arial" w:hAnsi="Arial"/>
          <w:sz w:val="22"/>
          <w:szCs w:val="22"/>
        </w:rPr>
        <w:t xml:space="preserve">For Southeast Asian and Indonesian contexts, Jamidi et al. (2025) studied agroclimatic suitability for oil palm in North Aceh Regency using BMKG climate data from 2014-2023, providing a recent empirical grounding for regional crop-climate modelling. Their finding that rising temperatures and shifting rainfall patterns are altering oil palm suitability in northern Aceh directly motivates the present system's focus on temperature and rainfall as critical input features.</w:t>
      </w:r>
    </w:p>
    <w:p>
      <w:pPr>
        <w:spacing w:after="160" w:before="0"/>
        <w:jc w:val="both"/>
      </w:pPr>
      <w:r>
        <w:rPr>
          <w:rFonts w:ascii="Arial" w:cs="Arial" w:eastAsia="Arial" w:hAnsi="Arial"/>
          <w:sz w:val="22"/>
          <w:szCs w:val="22"/>
        </w:rPr>
        <w:t xml:space="preserve">The present work distinguishes itself from prior research by (1) grounding the dataset specifically in BMKG Aceh/Sumatra climate norms rather than using generic Kaggle benchmark distributions, (2) selecting crop classes with direct regional relevance (including oil palm, Gayo coffee, rubber, and coconut), and (3) delivering a deployable prototype tailored to the Acehnese agricultural context.</w:t>
      </w:r>
    </w:p>
    <w:p>
      <w:pPr>
        <w:spacing w:after="80" w:before="0"/>
      </w:pPr>
      <w:r>
        <w:t xml:space="preserve"/>
      </w:r>
    </w:p>
    <w:p>
      <w:pPr>
        <w:pStyle w:val="Heading1"/>
        <w:spacing w:after="120" w:before="360"/>
      </w:pPr>
      <w:r>
        <w:rPr>
          <w:rFonts w:ascii="Arial" w:cs="Arial" w:eastAsia="Arial" w:hAnsi="Arial"/>
          <w:b/>
          <w:bCs/>
          <w:sz w:val="28"/>
          <w:szCs w:val="28"/>
        </w:rPr>
        <w:t xml:space="preserve">3. Dataset and Features</w:t>
      </w:r>
    </w:p>
    <w:p>
      <w:pPr>
        <w:pStyle w:val="Heading2"/>
        <w:spacing w:after="80" w:before="240"/>
      </w:pPr>
      <w:r>
        <w:rPr>
          <w:rFonts w:ascii="Arial" w:cs="Arial" w:eastAsia="Arial" w:hAnsi="Arial"/>
          <w:b/>
          <w:bCs/>
          <w:sz w:val="24"/>
          <w:szCs w:val="24"/>
        </w:rPr>
        <w:t xml:space="preserve">3.1 Data Source and Construction</w:t>
      </w:r>
    </w:p>
    <w:p>
      <w:pPr>
        <w:spacing w:after="160" w:before="0"/>
        <w:jc w:val="both"/>
      </w:pPr>
      <w:r>
        <w:rPr>
          <w:rFonts w:ascii="Arial" w:cs="Arial" w:eastAsia="Arial" w:hAnsi="Arial"/>
          <w:sz w:val="22"/>
          <w:szCs w:val="22"/>
        </w:rPr>
        <w:t xml:space="preserve">A dataset of 2,000 samples across 12 regionally relevant crop classes was constructed for this study. The dataset was not drawn from an external repository; instead, feature distributions were parameterised using published agronomic literature and BMKG climate normals for Banda Aceh (Aceh Province, Indonesia). This approach ensures that all feature values are physically realistic for the Aceh/Sumatra agricultural context, as opposed to generic global benchmarks.</w:t>
      </w:r>
    </w:p>
    <w:p>
      <w:pPr>
        <w:spacing w:after="160" w:before="0"/>
        <w:jc w:val="both"/>
      </w:pPr>
      <w:r>
        <w:rPr>
          <w:rFonts w:ascii="Arial" w:cs="Arial" w:eastAsia="Arial" w:hAnsi="Arial"/>
          <w:sz w:val="22"/>
          <w:szCs w:val="22"/>
        </w:rPr>
        <w:t xml:space="preserve">The twelve crop classes were selected based on their documented importance to Aceh's agricultural economy: rice, maize, coconut, coffee (Arabica), oil palm, rubber, banana, mango, papaya, sugarcane, groundnut, and jute.</w:t>
      </w:r>
    </w:p>
    <w:p>
      <w:pPr>
        <w:pStyle w:val="Heading2"/>
        <w:spacing w:after="80" w:before="240"/>
      </w:pPr>
      <w:r>
        <w:rPr>
          <w:rFonts w:ascii="Arial" w:cs="Arial" w:eastAsia="Arial" w:hAnsi="Arial"/>
          <w:b/>
          <w:bCs/>
          <w:sz w:val="24"/>
          <w:szCs w:val="24"/>
        </w:rPr>
        <w:t xml:space="preserve">3.2 Features</w:t>
      </w:r>
    </w:p>
    <w:p>
      <w:pPr>
        <w:spacing w:after="160" w:before="0"/>
        <w:jc w:val="both"/>
      </w:pPr>
      <w:r>
        <w:rPr>
          <w:rFonts w:ascii="Arial" w:cs="Arial" w:eastAsia="Arial" w:hAnsi="Arial"/>
          <w:sz w:val="22"/>
          <w:szCs w:val="22"/>
        </w:rPr>
        <w:t xml:space="preserve">Each sample contains seven numeric input features and one class label. Table 1 describes each feature, along with its valid range and agronomic significance.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1800"/>
        <w:gridCol w:w="3860"/>
      </w:tblGrid>
      <w:tr>
        <w:tc>
          <w:tcPr>
            <w:tcW w:type="dxa" w:w="130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Range (dataset)</w:t>
            </w:r>
          </w:p>
        </w:tc>
        <w:tc>
          <w:tcPr>
            <w:tcW w:type="dxa" w:w="386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Regional relevance (Aceh/Sumatra)</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Soil nitrogen (mg/kg)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 – 140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Critical for rice and maize yields in Aceh lowlands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Soil phosphorus (mg/kg)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 – 145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Key for oil palm and coffee root development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Soil potassium (mg/kg)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 – 205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Important for fruit crops (banana, mango, papaya)</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Temperature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Mean air temp. (°C)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 – 35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Banda Aceh annual mean: 26.7-28.2 °C (BMKG)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Humidity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Relative humidity (%)</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 – 100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Banda Aceh annual avg: 79-81% (BMKG)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Soil acidity/alkalinity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3.5 – 9.0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Sumatra soils commonly acidic (pH 4.5-6.5) due to tropical leaching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Rainfall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Monthly rainfall (mm)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 – 380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Banda Aceh: 95 mm (Jul) to 362 mm (Nov) (BMKG)</w:t>
            </w:r>
          </w:p>
        </w:tc>
      </w:tr>
    </w:tbl>
    <w:p>
      <w:pPr>
        <w:spacing w:after="160" w:before="0"/>
        <w:jc w:val="both"/>
      </w:pPr>
      <w:r>
        <w:rPr>
          <w:rFonts w:ascii="Arial" w:cs="Arial" w:eastAsia="Arial" w:hAnsi="Arial"/>
          <w:sz w:val="22"/>
          <w:szCs w:val="22"/>
        </w:rPr>
        <w:t xml:space="preserve">Table 1. Input feature descriptions and regional relevance to Aceh/Sumatra agriculture.</w:t>
      </w:r>
    </w:p>
    <w:p>
      <w:pPr>
        <w:spacing w:after="80" w:before="0"/>
      </w:pPr>
      <w:r>
        <w:t xml:space="preserve"/>
      </w:r>
    </w:p>
    <w:p>
      <w:pPr>
        <w:pStyle w:val="Heading2"/>
        <w:spacing w:after="80" w:before="240"/>
      </w:pPr>
      <w:r>
        <w:rPr>
          <w:rFonts w:ascii="Arial" w:cs="Arial" w:eastAsia="Arial" w:hAnsi="Arial"/>
          <w:b/>
          <w:bCs/>
          <w:sz w:val="24"/>
          <w:szCs w:val="24"/>
        </w:rPr>
        <w:t xml:space="preserve">3.3 Aceh Climate Context (BMKG)</w:t>
      </w:r>
    </w:p>
    <w:p>
      <w:pPr>
        <w:spacing w:after="160" w:before="0"/>
        <w:jc w:val="both"/>
      </w:pPr>
      <w:r>
        <w:rPr>
          <w:rFonts w:ascii="Arial" w:cs="Arial" w:eastAsia="Arial" w:hAnsi="Arial"/>
          <w:sz w:val="22"/>
          <w:szCs w:val="22"/>
        </w:rPr>
        <w:t xml:space="preserve">All climate features (temperature, humidity, rainfall) were parameterised using BMKG climate normals for Banda Aceh (dataonline.bmkg.go.id). Banda Aceh experiences an equatorial climate (Köppen Af) with no true dry season, although two relatively drier periods occur in February-March and June-August. The wettest month is November (362 mm), driven by the northeast monsoon. This strong seasonal rainfall pattern directly influences which crops are viable in which months, motivating the use of monthly rainfall as a key model input.</w:t>
      </w:r>
    </w:p>
    <w:p>
      <w:pPr>
        <w:spacing w:after="160" w:before="0"/>
        <w:jc w:val="both"/>
      </w:pPr>
      <w:r>
        <w:rPr>
          <w:rFonts w:ascii="Arial" w:cs="Arial" w:eastAsia="Arial" w:hAnsi="Arial"/>
          <w:sz w:val="22"/>
          <w:szCs w:val="22"/>
        </w:rPr>
        <w:t xml:space="preserve">Sumatra as a whole has an annual mean temperature of approximately 27 degrees Celsius (worlddata.info), consistent with the Banda Aceh data. The feature distributions in the dataset reflect these tropical norms: temperature ranges are constrained to 20-35 degrees Celsius, and most samples fall in the 26-29 degree range, corresponding to BMKG normals.</w:t>
      </w:r>
    </w:p>
    <w:p>
      <w:pPr>
        <w:spacing w:after="160" w:before="0"/>
        <w:jc w:val="both"/>
      </w:pPr>
      <w:r>
        <w:rPr>
          <w:rFonts w:ascii="Arial" w:cs="Arial" w:eastAsia="Arial" w:hAnsi="Arial"/>
          <w:sz w:val="22"/>
          <w:szCs w:val="22"/>
        </w:rPr>
        <w:t xml:space="preserve">[Insert Figure 4 — Banda Aceh monthly climate chart here]</w:t>
      </w:r>
    </w:p>
    <w:p>
      <w:pPr>
        <w:pStyle w:val="Heading2"/>
        <w:spacing w:after="80" w:before="240"/>
      </w:pPr>
      <w:r>
        <w:rPr>
          <w:rFonts w:ascii="Arial" w:cs="Arial" w:eastAsia="Arial" w:hAnsi="Arial"/>
          <w:b/>
          <w:bCs/>
          <w:sz w:val="24"/>
          <w:szCs w:val="24"/>
        </w:rPr>
        <w:t xml:space="preserve">3.4 Class Distribution</w:t>
      </w:r>
    </w:p>
    <w:p>
      <w:pPr>
        <w:spacing w:after="160" w:before="0"/>
        <w:jc w:val="both"/>
      </w:pPr>
      <w:r>
        <w:rPr>
          <w:rFonts w:ascii="Arial" w:cs="Arial" w:eastAsia="Arial" w:hAnsi="Arial"/>
          <w:sz w:val="22"/>
          <w:szCs w:val="22"/>
        </w:rPr>
        <w:t xml:space="preserve">The dataset contains 2,000 samples distributed across 12 classes. Sample sizes range from 140 (minority classes: mango, papaya, sugarcane, groundnut, jute) to 220 (rice). The mild class imbalance (ratio approximately 1.6:1) was deemed acceptable for this study; no oversampling technique (e.g., SMOTE) was applied, as the imbalance does not reach the threshold where it would significantly distort classifier training.</w:t>
      </w:r>
    </w:p>
    <w:p>
      <w:pPr>
        <w:spacing w:after="160" w:before="0"/>
        <w:jc w:val="both"/>
      </w:pPr>
      <w:r>
        <w:rPr>
          <w:rFonts w:ascii="Arial" w:cs="Arial" w:eastAsia="Arial" w:hAnsi="Arial"/>
          <w:sz w:val="22"/>
          <w:szCs w:val="22"/>
        </w:rPr>
        <w:t xml:space="preserve">[Insert Figure 1 — Class distribution bar chart here]</w:t>
      </w:r>
    </w:p>
    <w:p>
      <w:pPr>
        <w:spacing w:after="80" w:before="0"/>
      </w:pPr>
      <w:r>
        <w:t xml:space="preserve"/>
      </w:r>
    </w:p>
    <w:p>
      <w:pPr>
        <w:pStyle w:val="Heading1"/>
        <w:spacing w:after="120" w:before="360"/>
      </w:pPr>
      <w:r>
        <w:rPr>
          <w:rFonts w:ascii="Arial" w:cs="Arial" w:eastAsia="Arial" w:hAnsi="Arial"/>
          <w:b/>
          <w:bCs/>
          <w:sz w:val="28"/>
          <w:szCs w:val="28"/>
        </w:rPr>
        <w:t xml:space="preserve">4. Methodology</w:t>
      </w:r>
    </w:p>
    <w:p>
      <w:pPr>
        <w:pStyle w:val="Heading2"/>
        <w:spacing w:after="80" w:before="240"/>
      </w:pPr>
      <w:r>
        <w:rPr>
          <w:rFonts w:ascii="Arial" w:cs="Arial" w:eastAsia="Arial" w:hAnsi="Arial"/>
          <w:b/>
          <w:bCs/>
          <w:sz w:val="24"/>
          <w:szCs w:val="24"/>
        </w:rPr>
        <w:t xml:space="preserve">4.1 Preprocessing</w:t>
      </w:r>
    </w:p>
    <w:p>
      <w:pPr>
        <w:spacing w:after="160" w:before="0"/>
        <w:jc w:val="both"/>
      </w:pPr>
      <w:r>
        <w:rPr>
          <w:rFonts w:ascii="Arial" w:cs="Arial" w:eastAsia="Arial" w:hAnsi="Arial"/>
          <w:sz w:val="22"/>
          <w:szCs w:val="22"/>
        </w:rPr>
        <w:t xml:space="preserve">The dataset was split into training (70%), validation (15%), and test (15%) subsets using stratified sampling to preserve class proportions across all splits. Stratification is critical given the mild class imbalance, ensuring that minority classes are adequately represented in the validation and test sets.</w:t>
      </w:r>
    </w:p>
    <w:p>
      <w:pPr>
        <w:spacing w:after="160" w:before="0"/>
        <w:jc w:val="both"/>
      </w:pPr>
      <w:r>
        <w:rPr>
          <w:rFonts w:ascii="Arial" w:cs="Arial" w:eastAsia="Arial" w:hAnsi="Arial"/>
          <w:sz w:val="22"/>
          <w:szCs w:val="22"/>
        </w:rPr>
        <w:t xml:space="preserve">Feature scaling was performed using StandardScaler, which standardises each feature to zero mean and unit variance. Scaling is fitted exclusively on the training set and then applied to the validation and test sets, strictly preventing data leakage. While tree-based methods (Decision Tree, Random Forest) are invariant to monotonic feature transformations, scaling was applied uniformly so that KNN — a distance-based method highly sensitive to feature magnitude — is evaluated on a fair basis.</w:t>
      </w:r>
    </w:p>
    <w:p>
      <w:pPr>
        <w:pStyle w:val="Heading2"/>
        <w:spacing w:after="80" w:before="240"/>
      </w:pPr>
      <w:r>
        <w:rPr>
          <w:rFonts w:ascii="Arial" w:cs="Arial" w:eastAsia="Arial" w:hAnsi="Arial"/>
          <w:b/>
          <w:bCs/>
          <w:sz w:val="24"/>
          <w:szCs w:val="24"/>
        </w:rPr>
        <w:t xml:space="preserve">4.2 Classification Models</w:t>
      </w:r>
    </w:p>
    <w:p>
      <w:pPr>
        <w:spacing w:after="160" w:before="0"/>
        <w:jc w:val="both"/>
      </w:pPr>
      <w:r>
        <w:rPr>
          <w:rFonts w:ascii="Arial" w:cs="Arial" w:eastAsia="Arial" w:hAnsi="Arial"/>
          <w:sz w:val="22"/>
          <w:szCs w:val="22"/>
        </w:rPr>
        <w:t xml:space="preserve">Three supervised classification algorithms from the course syllabus were selected for comparison:</w:t>
      </w:r>
    </w:p>
    <w:p>
      <w:pPr>
        <w:spacing w:after="160" w:before="0"/>
        <w:jc w:val="both"/>
      </w:pPr>
      <w:r>
        <w:rPr>
          <w:rFonts w:ascii="Arial" w:cs="Arial" w:eastAsia="Arial" w:hAnsi="Arial"/>
          <w:b/>
          <w:bCs/>
          <w:sz w:val="22"/>
          <w:szCs w:val="22"/>
        </w:rPr>
        <w:t xml:space="preserve">Decision Tree (DT): </w:t>
      </w:r>
      <w:r>
        <w:rPr>
          <w:rFonts w:ascii="Arial" w:cs="Arial" w:eastAsia="Arial" w:hAnsi="Arial"/>
          <w:sz w:val="22"/>
          <w:szCs w:val="22"/>
        </w:rPr>
        <w:t xml:space="preserve">A non-parametric model that recursively partitions the feature space based on the feature-threshold pair that maximises class purity at each node. Hyperparameters: max_depth=12, min_samples_leaf=4. The DT serves as an interpretable baseline, and its learned rules can be directly inspected by agronomists.</w:t>
      </w:r>
    </w:p>
    <w:p>
      <w:pPr>
        <w:spacing w:after="160" w:before="0"/>
        <w:jc w:val="both"/>
      </w:pPr>
      <w:r>
        <w:rPr>
          <w:rFonts w:ascii="Arial" w:cs="Arial" w:eastAsia="Arial" w:hAnsi="Arial"/>
          <w:b/>
          <w:bCs/>
          <w:sz w:val="22"/>
          <w:szCs w:val="22"/>
        </w:rPr>
        <w:t xml:space="preserve">Random Forest (RF): </w:t>
      </w:r>
      <w:r>
        <w:rPr>
          <w:rFonts w:ascii="Arial" w:cs="Arial" w:eastAsia="Arial" w:hAnsi="Arial"/>
          <w:sz w:val="22"/>
          <w:szCs w:val="22"/>
        </w:rPr>
        <w:t xml:space="preserve">An ensemble of 150 decision trees trained on bootstrap samples of the training data, with predictions made by majority vote. Hyperparameters: n_estimators=150, min_samples_leaf=2. RF reduces the variance of individual trees and typically achieves substantially higher generalisation accuracy.</w:t>
      </w:r>
    </w:p>
    <w:p>
      <w:pPr>
        <w:spacing w:after="160" w:before="0"/>
        <w:jc w:val="both"/>
      </w:pPr>
      <w:r>
        <w:rPr>
          <w:rFonts w:ascii="Arial" w:cs="Arial" w:eastAsia="Arial" w:hAnsi="Arial"/>
          <w:b/>
          <w:bCs/>
          <w:sz w:val="22"/>
          <w:szCs w:val="22"/>
        </w:rPr>
        <w:t xml:space="preserve">K-Nearest Neighbors (KNN): </w:t>
      </w:r>
      <w:r>
        <w:rPr>
          <w:rFonts w:ascii="Arial" w:cs="Arial" w:eastAsia="Arial" w:hAnsi="Arial"/>
          <w:sz w:val="22"/>
          <w:szCs w:val="22"/>
        </w:rPr>
        <w:t xml:space="preserve">A non-parametric, instance-based classifier that assigns the class of the majority of the k nearest training samples in the scaled feature space. Hyperparameters: k=5, Euclidean distance. KNN requires no explicit training phase but is sensitive to the curse of dimensionality with many irrelevant features.</w:t>
      </w:r>
    </w:p>
    <w:p>
      <w:pPr>
        <w:pStyle w:val="Heading2"/>
        <w:spacing w:after="80" w:before="240"/>
      </w:pPr>
      <w:r>
        <w:rPr>
          <w:rFonts w:ascii="Arial" w:cs="Arial" w:eastAsia="Arial" w:hAnsi="Arial"/>
          <w:b/>
          <w:bCs/>
          <w:sz w:val="24"/>
          <w:szCs w:val="24"/>
        </w:rPr>
        <w:t xml:space="preserve">4.3 Evaluation Protocol</w:t>
      </w:r>
    </w:p>
    <w:p>
      <w:pPr>
        <w:spacing w:after="160" w:before="0"/>
        <w:jc w:val="both"/>
      </w:pPr>
      <w:r>
        <w:rPr>
          <w:rFonts w:ascii="Arial" w:cs="Arial" w:eastAsia="Arial" w:hAnsi="Arial"/>
          <w:sz w:val="22"/>
          <w:szCs w:val="22"/>
        </w:rPr>
        <w:t xml:space="preserve">Model selection was performed using validation accuracy. Final performance is reported on the held-out test set, which was not used during model selection. The following metrics are reported: (1) Accuracy, (2) Weighted F1-score, (3) Per-class Precision, Recall, and F1-score, and (4) 5-fold stratified cross-validation accuracy on the training set.</w:t>
      </w:r>
    </w:p>
    <w:p>
      <w:pPr>
        <w:spacing w:after="160" w:before="0"/>
        <w:jc w:val="both"/>
      </w:pPr>
      <w:r>
        <w:rPr>
          <w:rFonts w:ascii="Arial" w:cs="Arial" w:eastAsia="Arial" w:hAnsi="Arial"/>
          <w:sz w:val="22"/>
          <w:szCs w:val="22"/>
        </w:rPr>
        <w:t xml:space="preserve">[Insert Figure 6 — Model comparison bar chart here]</w:t>
      </w:r>
    </w:p>
    <w:p>
      <w:pPr>
        <w:spacing w:after="80" w:before="0"/>
      </w:pPr>
      <w:r>
        <w:t xml:space="preserve"/>
      </w:r>
    </w:p>
    <w:p>
      <w:pPr>
        <w:pStyle w:val="Heading1"/>
        <w:spacing w:after="120" w:before="360"/>
      </w:pPr>
      <w:r>
        <w:rPr>
          <w:rFonts w:ascii="Arial" w:cs="Arial" w:eastAsia="Arial" w:hAnsi="Arial"/>
          <w:b/>
          <w:bCs/>
          <w:sz w:val="28"/>
          <w:szCs w:val="28"/>
        </w:rPr>
        <w:t xml:space="preserve">5. Results</w:t>
      </w:r>
    </w:p>
    <w:p>
      <w:pPr>
        <w:pStyle w:val="Heading2"/>
        <w:spacing w:after="80" w:before="240"/>
      </w:pPr>
      <w:r>
        <w:rPr>
          <w:rFonts w:ascii="Arial" w:cs="Arial" w:eastAsia="Arial" w:hAnsi="Arial"/>
          <w:b/>
          <w:bCs/>
          <w:sz w:val="24"/>
          <w:szCs w:val="24"/>
        </w:rPr>
        <w:t xml:space="preserve">5.1 Model Comparison</w:t>
      </w:r>
    </w:p>
    <w:p>
      <w:pPr>
        <w:spacing w:after="160" w:before="0"/>
        <w:jc w:val="both"/>
      </w:pPr>
      <w:r>
        <w:rPr>
          <w:rFonts w:ascii="Arial" w:cs="Arial" w:eastAsia="Arial" w:hAnsi="Arial"/>
          <w:sz w:val="22"/>
          <w:szCs w:val="22"/>
        </w:rPr>
        <w:t xml:space="preserve">Table 2 summarises the validation accuracy, weighted F1-score, and 5-fold cross-validation accuracy for all three models.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80"/>
        <w:gridCol w:w="1980"/>
        <w:gridCol w:w="1500"/>
      </w:tblGrid>
      <w:tr>
        <w:tc>
          <w:tcPr>
            <w:tcW w:type="dxa" w:w="240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 Accuracy</w:t>
            </w:r>
          </w:p>
        </w:tc>
        <w:tc>
          <w:tcPr>
            <w:tcW w:type="dxa" w:w="168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 F1 (wtd)</w:t>
            </w:r>
          </w:p>
        </w:tc>
        <w:tc>
          <w:tcPr>
            <w:tcW w:type="dxa" w:w="198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CV Accuracy (mean)</w:t>
            </w:r>
          </w:p>
        </w:tc>
        <w:tc>
          <w:tcPr>
            <w:tcW w:type="dxa" w:w="150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CV Std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Decision Tree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85.0%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85.0%</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Random Forest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89.7%</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89.4%</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88.6%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KNN (k=5)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87.0%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86.6%</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88.4%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±1.05%</w:t>
            </w:r>
          </w:p>
        </w:tc>
      </w:tr>
    </w:tbl>
    <w:p>
      <w:pPr>
        <w:spacing w:after="160" w:before="0"/>
        <w:jc w:val="both"/>
      </w:pPr>
      <w:r>
        <w:rPr>
          <w:rFonts w:ascii="Arial" w:cs="Arial" w:eastAsia="Arial" w:hAnsi="Arial"/>
          <w:sz w:val="22"/>
          <w:szCs w:val="22"/>
        </w:rPr>
        <w:t xml:space="preserve">Table 2. Validation and cross-validation performance of all three classifiers.</w:t>
      </w:r>
    </w:p>
    <w:p>
      <w:pPr>
        <w:spacing w:after="80" w:before="0"/>
      </w:pPr>
      <w:r>
        <w:t xml:space="preserve"/>
      </w:r>
    </w:p>
    <w:p>
      <w:pPr>
        <w:spacing w:after="160" w:before="0"/>
        <w:jc w:val="both"/>
      </w:pPr>
      <w:r>
        <w:rPr>
          <w:rFonts w:ascii="Arial" w:cs="Arial" w:eastAsia="Arial" w:hAnsi="Arial"/>
          <w:sz w:val="22"/>
          <w:szCs w:val="22"/>
        </w:rPr>
        <w:t xml:space="preserve">Random Forest achieved the highest validation accuracy (89.7%) and was selected as the best model. On the held-out test set, Random Forest achieved a test accuracy of 90.7% and a weighted F1-score of 90.6%. The KNN model showed competitive cross-validation performance (88.4%), suggesting it generalises well with appropriate feature scaling, but slightly underperformed Random Forest on the validation partition. The Decision Tree was most interpretable but showed the weakest generalisation, with a cross-validation accuracy of 81.5%.</w:t>
      </w:r>
    </w:p>
    <w:p>
      <w:pPr>
        <w:pStyle w:val="Heading2"/>
        <w:spacing w:after="80" w:before="240"/>
      </w:pPr>
      <w:r>
        <w:rPr>
          <w:rFonts w:ascii="Arial" w:cs="Arial" w:eastAsia="Arial" w:hAnsi="Arial"/>
          <w:b/>
          <w:bCs/>
          <w:sz w:val="24"/>
          <w:szCs w:val="24"/>
        </w:rPr>
        <w:t xml:space="preserve">5.2 Per-Class Performance</w:t>
      </w:r>
    </w:p>
    <w:p>
      <w:pPr>
        <w:spacing w:after="160" w:before="0"/>
        <w:jc w:val="both"/>
      </w:pPr>
      <w:r>
        <w:rPr>
          <w:rFonts w:ascii="Arial" w:cs="Arial" w:eastAsia="Arial" w:hAnsi="Arial"/>
          <w:sz w:val="22"/>
          <w:szCs w:val="22"/>
        </w:rPr>
        <w:t xml:space="preserve">Table 3 shows per-class Precision, Recall, and F1-score for the Random Forest model on the test set.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40"/>
        <w:gridCol w:w="1640"/>
        <w:gridCol w:w="1640"/>
        <w:gridCol w:w="2240"/>
      </w:tblGrid>
      <w:tr>
        <w:tc>
          <w:tcPr>
            <w:tcW w:type="dxa" w:w="220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Crop</w:t>
            </w:r>
          </w:p>
        </w:tc>
        <w:tc>
          <w:tcPr>
            <w:tcW w:type="dxa" w:w="164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dxa" w:w="164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64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c>
          <w:tcPr>
            <w:tcW w:type="dxa" w:w="224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banana</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Perfectly separated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coconut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0.83</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0.93</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0.88</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Minor confusion with oil palm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coffee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0.96</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0.98</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 importance in Aceh (Gayo)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groundnut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Perfectly separated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jute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0.89</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0.81</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0.85</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Some confusion with rice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maize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0.84</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0.92</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 recall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mango</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0.95</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0.98</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Dry-season crop; well separated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oil palm</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0.85</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0.77</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0.81</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Hardest to distinguish (similar soil reqs)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papaya</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Perfectly separated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rice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0.97</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0.88</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0.92</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Slight confusion with jute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rubber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0.65</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0.63</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0.64</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Most challenging class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sugarcane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0.95</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0.98</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 precision</w:t>
            </w:r>
          </w:p>
        </w:tc>
      </w:tr>
    </w:tbl>
    <w:p>
      <w:pPr>
        <w:spacing w:after="160" w:before="0"/>
        <w:jc w:val="both"/>
      </w:pPr>
      <w:r>
        <w:rPr>
          <w:rFonts w:ascii="Arial" w:cs="Arial" w:eastAsia="Arial" w:hAnsi="Arial"/>
          <w:sz w:val="22"/>
          <w:szCs w:val="22"/>
        </w:rPr>
        <w:t xml:space="preserve">Table 3. Per-class precision, recall, and F1-score for Random Forest on the test set.</w:t>
      </w:r>
    </w:p>
    <w:p>
      <w:pPr>
        <w:spacing w:after="80" w:before="0"/>
      </w:pPr>
      <w:r>
        <w:t xml:space="preserve"/>
      </w:r>
    </w:p>
    <w:p>
      <w:pPr>
        <w:spacing w:after="160" w:before="0"/>
        <w:jc w:val="both"/>
      </w:pPr>
      <w:r>
        <w:rPr>
          <w:rFonts w:ascii="Arial" w:cs="Arial" w:eastAsia="Arial" w:hAnsi="Arial"/>
          <w:sz w:val="22"/>
          <w:szCs w:val="22"/>
        </w:rPr>
        <w:t xml:space="preserve">The model achieves perfect classification for banana, groundnut, and papaya, reflecting the highly distinctive soil nutrient profiles of these crops. Rubber is the most challenging class (F1=0.64), likely because its soil requirements (moderate N, P, K; acidic pH; high humidity) overlap substantially with those of oil palm and coconut — all three are plantation crops common to Sumatra's tropical forest margins.</w:t>
      </w:r>
    </w:p>
    <w:p>
      <w:pPr>
        <w:spacing w:after="160" w:before="0"/>
        <w:jc w:val="both"/>
      </w:pPr>
      <w:r>
        <w:rPr>
          <w:rFonts w:ascii="Arial" w:cs="Arial" w:eastAsia="Arial" w:hAnsi="Arial"/>
          <w:sz w:val="22"/>
          <w:szCs w:val="22"/>
        </w:rPr>
        <w:t xml:space="preserve">[Insert Figure 7 — Confusion matrix here]</w:t>
      </w:r>
    </w:p>
    <w:p>
      <w:pPr>
        <w:spacing w:after="160" w:before="0"/>
        <w:jc w:val="both"/>
      </w:pPr>
      <w:r>
        <w:rPr>
          <w:rFonts w:ascii="Arial" w:cs="Arial" w:eastAsia="Arial" w:hAnsi="Arial"/>
          <w:sz w:val="22"/>
          <w:szCs w:val="22"/>
        </w:rPr>
        <w:t xml:space="preserve">[Insert Figure 9 — Per-class precision/recall/F1 chart here]</w:t>
      </w:r>
    </w:p>
    <w:p>
      <w:pPr>
        <w:pStyle w:val="Heading2"/>
        <w:spacing w:after="80" w:before="240"/>
      </w:pPr>
      <w:r>
        <w:rPr>
          <w:rFonts w:ascii="Arial" w:cs="Arial" w:eastAsia="Arial" w:hAnsi="Arial"/>
          <w:b/>
          <w:bCs/>
          <w:sz w:val="24"/>
          <w:szCs w:val="24"/>
        </w:rPr>
        <w:t xml:space="preserve">5.3 Feature Importance</w:t>
      </w:r>
    </w:p>
    <w:p>
      <w:pPr>
        <w:spacing w:after="160" w:before="0"/>
        <w:jc w:val="both"/>
      </w:pPr>
      <w:r>
        <w:rPr>
          <w:rFonts w:ascii="Arial" w:cs="Arial" w:eastAsia="Arial" w:hAnsi="Arial"/>
          <w:sz w:val="22"/>
          <w:szCs w:val="22"/>
        </w:rPr>
        <w:t xml:space="preserve">Figure 8 shows the feature importances extracted from the Random Forest model using mean decrease in impurity (Gini importance). Rainfall (31.2%) and humidity (22.8%) emerge as the most discriminative features, followed by soil pH (18.4%). Nitrogen and temperature contribute moderately (approximately 9-11% each), while phosphorus and potassium are less important individually.</w:t>
      </w:r>
    </w:p>
    <w:p>
      <w:pPr>
        <w:spacing w:after="160" w:before="0"/>
        <w:jc w:val="both"/>
      </w:pPr>
      <w:r>
        <w:rPr>
          <w:rFonts w:ascii="Arial" w:cs="Arial" w:eastAsia="Arial" w:hAnsi="Arial"/>
          <w:sz w:val="22"/>
          <w:szCs w:val="22"/>
        </w:rPr>
        <w:t xml:space="preserve">This finding is consistent with Aceh's climatic reality: because temperature varies little throughout the year (a range of less than 2 degrees Celsius), it provides limited discriminative signal between crops. By contrast, the strong seasonal variation in rainfall — from 95 mm in July to 362 mm in November — makes it the single most powerful predictor of which crops will flourish in a given month.</w:t>
      </w:r>
    </w:p>
    <w:p>
      <w:pPr>
        <w:spacing w:after="160" w:before="0"/>
        <w:jc w:val="both"/>
      </w:pPr>
      <w:r>
        <w:rPr>
          <w:rFonts w:ascii="Arial" w:cs="Arial" w:eastAsia="Arial" w:hAnsi="Arial"/>
          <w:sz w:val="22"/>
          <w:szCs w:val="22"/>
        </w:rPr>
        <w:t xml:space="preserve">[Insert Figure 8 — Feature importance chart here]</w:t>
      </w:r>
    </w:p>
    <w:p>
      <w:pPr>
        <w:spacing w:after="80" w:before="0"/>
      </w:pPr>
      <w:r>
        <w:t xml:space="preserve"/>
      </w:r>
    </w:p>
    <w:p>
      <w:pPr>
        <w:pStyle w:val="Heading1"/>
        <w:spacing w:after="120" w:before="360"/>
      </w:pPr>
      <w:r>
        <w:rPr>
          <w:rFonts w:ascii="Arial" w:cs="Arial" w:eastAsia="Arial" w:hAnsi="Arial"/>
          <w:b/>
          <w:bCs/>
          <w:sz w:val="28"/>
          <w:szCs w:val="28"/>
        </w:rPr>
        <w:t xml:space="preserve">6. Discussion</w:t>
      </w:r>
    </w:p>
    <w:p>
      <w:pPr>
        <w:pStyle w:val="Heading2"/>
        <w:spacing w:after="80" w:before="240"/>
      </w:pPr>
      <w:r>
        <w:rPr>
          <w:rFonts w:ascii="Arial" w:cs="Arial" w:eastAsia="Arial" w:hAnsi="Arial"/>
          <w:b/>
          <w:bCs/>
          <w:sz w:val="24"/>
          <w:szCs w:val="24"/>
        </w:rPr>
        <w:t xml:space="preserve">6.1 Model Selection Justification</w:t>
      </w:r>
    </w:p>
    <w:p>
      <w:pPr>
        <w:spacing w:after="160" w:before="0"/>
        <w:jc w:val="both"/>
      </w:pPr>
      <w:r>
        <w:rPr>
          <w:rFonts w:ascii="Arial" w:cs="Arial" w:eastAsia="Arial" w:hAnsi="Arial"/>
          <w:sz w:val="22"/>
          <w:szCs w:val="22"/>
        </w:rPr>
        <w:t xml:space="preserve">Random Forest outperformed both Decision Tree and KNN on the validation set, and this advantage held on the test set. The superiority of Random Forest over the single Decision Tree is well-explained by ensemble theory: by averaging over 150 independently trained trees, Random Forest substantially reduces variance without increasing bias, resulting in better generalisation from training data.</w:t>
      </w:r>
    </w:p>
    <w:p>
      <w:pPr>
        <w:spacing w:after="160" w:before="0"/>
        <w:jc w:val="both"/>
      </w:pPr>
      <w:r>
        <w:rPr>
          <w:rFonts w:ascii="Arial" w:cs="Arial" w:eastAsia="Arial" w:hAnsi="Arial"/>
          <w:sz w:val="22"/>
          <w:szCs w:val="22"/>
        </w:rPr>
        <w:t xml:space="preserve">KNN's competitive cross-validation performance (88.4%) suggests that the feature space has meaningful local structure — similar soil-climate combinations do tend to favour the same crops. However, KNN's instance-based inference makes it less interpretable and slower at prediction time for large inputs.</w:t>
      </w:r>
    </w:p>
    <w:p>
      <w:pPr>
        <w:spacing w:after="160" w:before="0"/>
        <w:jc w:val="both"/>
      </w:pPr>
      <w:r>
        <w:rPr>
          <w:rFonts w:ascii="Arial" w:cs="Arial" w:eastAsia="Arial" w:hAnsi="Arial"/>
          <w:sz w:val="22"/>
          <w:szCs w:val="22"/>
        </w:rPr>
        <w:t xml:space="preserve">The Decision Tree, while the least accurate, offers a practical advantage: its rules can be directly extracted (export_text from scikit-learn) and presented to agricultural extension officers as a decision guide that requires no technical understanding of machine learning.</w:t>
      </w:r>
    </w:p>
    <w:p>
      <w:pPr>
        <w:pStyle w:val="Heading2"/>
        <w:spacing w:after="80" w:before="240"/>
      </w:pPr>
      <w:r>
        <w:rPr>
          <w:rFonts w:ascii="Arial" w:cs="Arial" w:eastAsia="Arial" w:hAnsi="Arial"/>
          <w:b/>
          <w:bCs/>
          <w:sz w:val="24"/>
          <w:szCs w:val="24"/>
        </w:rPr>
        <w:t xml:space="preserve">6.2 Regional Relevance and Limitations</w:t>
      </w:r>
    </w:p>
    <w:p>
      <w:pPr>
        <w:spacing w:after="160" w:before="0"/>
        <w:jc w:val="both"/>
      </w:pPr>
      <w:r>
        <w:rPr>
          <w:rFonts w:ascii="Arial" w:cs="Arial" w:eastAsia="Arial" w:hAnsi="Arial"/>
          <w:sz w:val="22"/>
          <w:szCs w:val="22"/>
        </w:rPr>
        <w:t xml:space="preserve">The deliberate calibration of all feature distributions to BMKG Aceh/Sumatra climate data is the key differentiator of this work from studies using generic benchmark datasets. The Banda Aceh climate context embedded in the Streamlit app — showing BMKG monthly rainfall and temperature norms — helps farmers and extension officers interpret the model's recommendations in terms they can relate to their own experience.</w:t>
      </w:r>
    </w:p>
    <w:p>
      <w:pPr>
        <w:spacing w:after="160" w:before="0"/>
        <w:jc w:val="both"/>
      </w:pPr>
      <w:r>
        <w:rPr>
          <w:rFonts w:ascii="Arial" w:cs="Arial" w:eastAsia="Arial" w:hAnsi="Arial"/>
          <w:sz w:val="22"/>
          <w:szCs w:val="22"/>
        </w:rPr>
        <w:t xml:space="preserve">Several limitations should be acknowledged. First, the dataset was synthetically generated from parameterised Gaussian distributions; while the parameters were grounded in published data, real soil surveys across Aceh districts would yield more spatially accurate training data. Second, the model does not account for land elevation, which strongly influences Gayo Arabica coffee cultivation in Aceh Tengah highland areas (1,200 m+). Third, the current feature set does not include soil texture, drainage class, or economic factors such as market price.</w:t>
      </w:r>
    </w:p>
    <w:p>
      <w:pPr>
        <w:spacing w:after="160" w:before="0"/>
        <w:jc w:val="both"/>
      </w:pPr>
      <w:r>
        <w:rPr>
          <w:rFonts w:ascii="Arial" w:cs="Arial" w:eastAsia="Arial" w:hAnsi="Arial"/>
          <w:sz w:val="22"/>
          <w:szCs w:val="22"/>
        </w:rPr>
        <w:t xml:space="preserve">Future work should incorporate real soil survey data from Badan Pertanahan Nasional (BPN) or the Indonesian Center for Agricultural Land Resources Research and Development (ICALRRD), add elevation as a feature, and extend the prototype to a mobile application accessible via smartphone for rural farmers.</w:t>
      </w:r>
    </w:p>
    <w:p>
      <w:pPr>
        <w:pStyle w:val="Heading2"/>
        <w:spacing w:after="80" w:before="240"/>
      </w:pPr>
      <w:r>
        <w:rPr>
          <w:rFonts w:ascii="Arial" w:cs="Arial" w:eastAsia="Arial" w:hAnsi="Arial"/>
          <w:b/>
          <w:bCs/>
          <w:sz w:val="24"/>
          <w:szCs w:val="24"/>
        </w:rPr>
        <w:t xml:space="preserve">6.3 Prototype Deployment</w:t>
      </w:r>
    </w:p>
    <w:p>
      <w:pPr>
        <w:spacing w:after="160" w:before="0"/>
        <w:jc w:val="both"/>
      </w:pPr>
      <w:r>
        <w:rPr>
          <w:rFonts w:ascii="Arial" w:cs="Arial" w:eastAsia="Arial" w:hAnsi="Arial"/>
          <w:sz w:val="22"/>
          <w:szCs w:val="22"/>
        </w:rPr>
        <w:t xml:space="preserve">The Streamlit web application allows users to input soil nutrient levels and local climate parameters via interactive sliders, and receive an instantaneous crop recommendation with top-5 probability breakdown. The app also displays the Banda Aceh BMKG monthly climate chart, contextualising the rainfall and temperature inputs in terms of local seasonal patterns. This is designed to be usable by agricultural extension officers (penyuluh pertanian) who can operate the system on behalf of smallholder farmers.</w:t>
      </w:r>
    </w:p>
    <w:p>
      <w:pPr>
        <w:spacing w:after="80" w:before="0"/>
      </w:pPr>
      <w:r>
        <w:t xml:space="preserve"/>
      </w:r>
    </w:p>
    <w:p>
      <w:pPr>
        <w:pStyle w:val="Heading1"/>
        <w:spacing w:after="120" w:before="360"/>
      </w:pPr>
      <w:r>
        <w:rPr>
          <w:rFonts w:ascii="Arial" w:cs="Arial" w:eastAsia="Arial" w:hAnsi="Arial"/>
          <w:b/>
          <w:bCs/>
          <w:sz w:val="28"/>
          <w:szCs w:val="28"/>
        </w:rPr>
        <w:t xml:space="preserve">7. Conclusion</w:t>
      </w:r>
    </w:p>
    <w:p>
      <w:pPr>
        <w:spacing w:after="160" w:before="0"/>
        <w:jc w:val="both"/>
      </w:pPr>
      <w:r>
        <w:rPr>
          <w:rFonts w:ascii="Arial" w:cs="Arial" w:eastAsia="Arial" w:hAnsi="Arial"/>
          <w:sz w:val="22"/>
          <w:szCs w:val="22"/>
        </w:rPr>
        <w:t xml:space="preserve">This study presented a supervised machine learning crop recommendation system grounded in BMKG climate data for Aceh/Sumatra, Indonesia. Three classifiers — Decision Tree, Random Forest, and KNN — were trained on a regionally calibrated dataset of 2,000 samples across 12 economically important crop classes. Random Forest achieved the best performance with a test accuracy of 90.7% and weighted F1-score of 90.6%. Feature importance analysis revealed that rainfall and humidity are the most discriminative features for crop classification in the Aceh region, consistent with the province's equatorial climate where seasonal rainfall variation (95-362 mm/month, BMKG) is the primary agricultural differentiator.</w:t>
      </w:r>
    </w:p>
    <w:p>
      <w:pPr>
        <w:spacing w:after="160" w:before="0"/>
        <w:jc w:val="both"/>
      </w:pPr>
      <w:r>
        <w:rPr>
          <w:rFonts w:ascii="Arial" w:cs="Arial" w:eastAsia="Arial" w:hAnsi="Arial"/>
          <w:sz w:val="22"/>
          <w:szCs w:val="22"/>
        </w:rPr>
        <w:t xml:space="preserve">A Streamlit prototype was deployed, providing an interactive, regionally contextualised tool for crop recommendation. This work demonstrates that accessible, well-grounded machine learning systems can deliver practical agricultural decision support in the Aceh/Sumatra context.</w:t>
      </w:r>
    </w:p>
    <w:p>
      <w:pPr>
        <w:spacing w:after="160" w:before="0"/>
        <w:jc w:val="both"/>
      </w:pPr>
      <w:r>
        <w:rPr>
          <w:rFonts w:ascii="Arial" w:cs="Arial" w:eastAsia="Arial" w:hAnsi="Arial"/>
          <w:sz w:val="22"/>
          <w:szCs w:val="22"/>
        </w:rPr>
        <w:t xml:space="preserve">Future work will incorporate real BPN soil survey data, add elevation as a feature, expand to more crop classes including Gayo coffee varieties, and deploy the system as a mobile application for rural farmer access.</w:t>
      </w:r>
    </w:p>
    <w:p>
      <w:pPr>
        <w:spacing w:after="80" w:before="0"/>
      </w:pPr>
      <w:r>
        <w:t xml:space="preserve"/>
      </w:r>
    </w:p>
    <w:p>
      <w:pPr>
        <w:pStyle w:val="Heading1"/>
        <w:spacing w:after="120" w:before="360"/>
      </w:pPr>
      <w:r>
        <w:rPr>
          <w:rFonts w:ascii="Arial" w:cs="Arial" w:eastAsia="Arial" w:hAnsi="Arial"/>
          <w:b/>
          <w:bCs/>
          <w:sz w:val="28"/>
          <w:szCs w:val="28"/>
        </w:rPr>
        <w:t xml:space="preserve">References</w:t>
      </w:r>
    </w:p>
    <w:p>
      <w:pPr>
        <w:spacing w:after="160" w:before="0"/>
        <w:jc w:val="both"/>
      </w:pPr>
      <w:r>
        <w:rPr>
          <w:rFonts w:ascii="Arial" w:cs="Arial" w:eastAsia="Arial" w:hAnsi="Arial"/>
          <w:sz w:val="22"/>
          <w:szCs w:val="22"/>
        </w:rPr>
        <w:t xml:space="preserve">[1] Savla, A., Dhir, L., Mahajan, P., Peter, S. J., &amp; Rane, N. (2017). Machine intelligence and real-time internet of things based system for forecasting weather and predicting crop appropriateness. Int. J. Appl. Eng. Res., 12(16), 5919-5924.</w:t>
      </w:r>
    </w:p>
    <w:p>
      <w:pPr>
        <w:spacing w:after="160" w:before="0"/>
        <w:jc w:val="both"/>
      </w:pPr>
      <w:r>
        <w:rPr>
          <w:rFonts w:ascii="Arial" w:cs="Arial" w:eastAsia="Arial" w:hAnsi="Arial"/>
          <w:sz w:val="22"/>
          <w:szCs w:val="22"/>
        </w:rPr>
        <w:t xml:space="preserve">[2] Pudumalar, S., Ramanujam, E., Rajashree, R. H., Kavya, C., Kiruthika, T., &amp; Nisha, J. (2017). Crop recommendation system for precision agriculture. Eighth International Conference on Advanced Computing (ICoAC). IEEE.</w:t>
      </w:r>
    </w:p>
    <w:p>
      <w:pPr>
        <w:spacing w:after="160" w:before="0"/>
        <w:jc w:val="both"/>
      </w:pPr>
      <w:r>
        <w:rPr>
          <w:rFonts w:ascii="Arial" w:cs="Arial" w:eastAsia="Arial" w:hAnsi="Arial"/>
          <w:sz w:val="22"/>
          <w:szCs w:val="22"/>
        </w:rPr>
        <w:t xml:space="preserve">[3] Doshi, Z., Nadkarni, S., Agrawal, R., &amp; Shah, N. (2018). AgroConsultant: Intelligent crop recommendation system using machine learning algorithms. Fourth International Conference on Computing Communication Control and Automation. IEEE.</w:t>
      </w:r>
    </w:p>
    <w:p>
      <w:pPr>
        <w:spacing w:after="160" w:before="0"/>
        <w:jc w:val="both"/>
      </w:pPr>
      <w:r>
        <w:rPr>
          <w:rFonts w:ascii="Arial" w:cs="Arial" w:eastAsia="Arial" w:hAnsi="Arial"/>
          <w:sz w:val="22"/>
          <w:szCs w:val="22"/>
        </w:rPr>
        <w:t xml:space="preserve">[4] Archana, C. M., &amp; Thilagavathi, G. (2021). Smart farming: Crop recommendation using machine learning approach. Int. J. Adv. Res. Comput. Sci., 12(3), 1-6.</w:t>
      </w:r>
    </w:p>
    <w:p>
      <w:pPr>
        <w:spacing w:after="160" w:before="0"/>
        <w:jc w:val="both"/>
      </w:pPr>
      <w:r>
        <w:rPr>
          <w:rFonts w:ascii="Arial" w:cs="Arial" w:eastAsia="Arial" w:hAnsi="Arial"/>
          <w:sz w:val="22"/>
          <w:szCs w:val="22"/>
        </w:rPr>
        <w:t xml:space="preserve">[5] Jamidi, M. I., Nasruddin, Ismadi, &amp; Baidhawi. (2025). Agroclimatic suitability analysis for oil palm under projected climate in North Aceh Regency, Indonesia. Journal of Agrometeorology, 27(2), 177-183.</w:t>
      </w:r>
    </w:p>
    <w:p>
      <w:pPr>
        <w:spacing w:after="160" w:before="0"/>
        <w:jc w:val="both"/>
      </w:pPr>
      <w:r>
        <w:rPr>
          <w:rFonts w:ascii="Arial" w:cs="Arial" w:eastAsia="Arial" w:hAnsi="Arial"/>
          <w:sz w:val="22"/>
          <w:szCs w:val="22"/>
        </w:rPr>
        <w:t xml:space="preserve">[6] BPS-Statistics Indonesia Aceh Province. (2024). Agricultural Potential of Aceh Province: Analysis of Rice Commodities and Oil Palm Plantations (2023 Agricultural Census).</w:t>
      </w:r>
    </w:p>
    <w:p>
      <w:pPr>
        <w:spacing w:after="160" w:before="0"/>
        <w:jc w:val="both"/>
      </w:pPr>
      <w:r>
        <w:rPr>
          <w:rFonts w:ascii="Arial" w:cs="Arial" w:eastAsia="Arial" w:hAnsi="Arial"/>
          <w:sz w:val="22"/>
          <w:szCs w:val="22"/>
        </w:rPr>
        <w:t xml:space="preserve">[7] IDH — The Sustainable Trade Initiative. (2022). Convening a Sustainable Palm Oil Landscape in Aceh, Indonesia. idh.org.</w:t>
      </w:r>
    </w:p>
    <w:p>
      <w:pPr>
        <w:spacing w:after="160" w:before="0"/>
        <w:jc w:val="both"/>
      </w:pPr>
      <w:r>
        <w:rPr>
          <w:rFonts w:ascii="Arial" w:cs="Arial" w:eastAsia="Arial" w:hAnsi="Arial"/>
          <w:sz w:val="22"/>
          <w:szCs w:val="22"/>
        </w:rPr>
        <w:t xml:space="preserve">[8] BMKG (Badan Meteorologi, Klimatologi, dan Geofisika). Climate data for Banda Aceh. Available: dataonline.bmkg.go.id.</w:t>
      </w:r>
    </w:p>
    <w:p>
      <w:pPr>
        <w:spacing w:after="160" w:before="0"/>
        <w:jc w:val="both"/>
      </w:pPr>
      <w:r>
        <w:rPr>
          <w:rFonts w:ascii="Arial" w:cs="Arial" w:eastAsia="Arial" w:hAnsi="Arial"/>
          <w:sz w:val="22"/>
          <w:szCs w:val="22"/>
        </w:rPr>
        <w:t xml:space="preserve">[9] Bishop, C. M. (2006). Pattern Recognition and Machine Learning. Springer.</w:t>
      </w:r>
    </w:p>
    <w:p>
      <w:pPr>
        <w:spacing w:after="160" w:before="0"/>
        <w:jc w:val="both"/>
      </w:pPr>
      <w:r>
        <w:rPr>
          <w:rFonts w:ascii="Arial" w:cs="Arial" w:eastAsia="Arial" w:hAnsi="Arial"/>
          <w:sz w:val="22"/>
          <w:szCs w:val="22"/>
        </w:rPr>
        <w:t xml:space="preserve">[10] Breiman, L. (2001). Random forests. Machine Learning, 45(1), 5-32.</w:t>
      </w:r>
    </w:p>
    <w:p>
      <w:pPr>
        <w:spacing w:after="160" w:before="0"/>
        <w:jc w:val="both"/>
      </w:pPr>
      <w:r>
        <w:rPr>
          <w:rFonts w:ascii="Arial" w:cs="Arial" w:eastAsia="Arial" w:hAnsi="Arial"/>
          <w:sz w:val="22"/>
          <w:szCs w:val="22"/>
        </w:rPr>
        <w:t xml:space="preserve">[11] Scikit-learn developers. (2024). Scikit-learn: Machine Learning in Python (v1.4). sklearn.org.</w:t>
      </w:r>
    </w:p>
    <w:p>
      <w:pPr>
        <w:spacing w:after="160" w:before="0"/>
        <w:jc w:val="both"/>
      </w:pPr>
      <w:r>
        <w:rPr>
          <w:rFonts w:ascii="Arial" w:cs="Arial" w:eastAsia="Arial" w:hAnsi="Arial"/>
          <w:sz w:val="22"/>
          <w:szCs w:val="22"/>
        </w:rPr>
        <w:t xml:space="preserve">[12] Goodfellow, I., Bengio, Y., &amp; Courville, A. (2016). Deep Learning. MIT Press.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D6F42"/>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2026-06-08T07:59:49.148Z</dcterms:created>
  <dcterms:modified xsi:type="dcterms:W3CDTF">2026-06-08T07:59:49.149Z</dcterms:modified>
</cp:coreProperties>
</file>

<file path=docProps/custom.xml><?xml version="1.0" encoding="utf-8"?>
<Properties xmlns="http://schemas.openxmlformats.org/officeDocument/2006/custom-properties" xmlns:vt="http://schemas.openxmlformats.org/officeDocument/2006/docPropsVTypes"/>
</file>