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smallCaps/>
          <w:color w:val="000000" w:themeColor="text1"/>
          <w:sz w:val="24"/>
          <w:szCs w:val="24"/>
        </w:rPr>
        <w:t>BetweeN</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{companyName}</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{startDateFormatted}</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AA3B61" w:rsidRPr="00BF1B62" w:rsidRDefault="00AA3B61" w:rsidP="004C1024">
      <w:pPr>
        <w:jc w:val="center"/>
        <w:rPr>
          <w:rFonts w:ascii="Century Gothic" w:hAnsi="Century Gothic" w:cstheme="minorHAnsi"/>
          <w:b/>
          <w:smallCaps/>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r w:rsidR="00583173">
        <w:rPr>
          <w:rFonts w:ascii="Century Gothic" w:hAnsi="Century Gothic" w:cstheme="minorHAnsi"/>
        </w:rPr>
        <w:t xml:space="preserve">                                           </w:t>
      </w:r>
      <w:r w:rsidRPr="00BF1B62">
        <w:rPr>
          <w:rFonts w:ascii="Century Gothic" w:hAnsi="Century Gothic" w:cstheme="minorHAnsi"/>
        </w:rPr>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Obligations and Warranties of Leadway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Non Covered Services</w:t>
      </w:r>
      <w:r w:rsidR="00583173">
        <w:rPr>
          <w:rFonts w:ascii="Century Gothic" w:hAnsi="Century Gothic" w:cstheme="minorHAnsi"/>
        </w:rPr>
        <w:t xml:space="preserve">                                                                      </w:t>
      </w:r>
      <w:r w:rsidRPr="00BF1B62">
        <w:rPr>
          <w:rFonts w:ascii="Century Gothic" w:hAnsi="Century Gothic" w:cstheme="minorHAnsi"/>
        </w:rPr>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r w:rsidR="00583173">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r w:rsidR="00583173">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r w:rsidR="00583173">
        <w:rPr>
          <w:rFonts w:ascii="Century Gothic" w:hAnsi="Century Gothic" w:cstheme="minorHAnsi"/>
        </w:rPr>
        <w:t xml:space="preserve">                                                                                         </w:t>
      </w:r>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r w:rsidR="00583173">
        <w:rPr>
          <w:rFonts w:ascii="Century Gothic" w:hAnsi="Century Gothic" w:cstheme="minorHAnsi"/>
        </w:rPr>
        <w:t xml:space="preserve">                                                                   </w:t>
      </w:r>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{startDateFormatted}</w:t>
      </w:r>
      <w:r>
        <w:rPr>
          <w:rFonts w:ascii="Century Gothic" w:hAnsi="Century Gothic" w:cstheme="minorHAnsi"/>
          <w:b/>
        </w:rPr>
        <w:t xml:space="preserve"> </w:t>
      </w:r>
      <w:r>
        <w:rPr>
          <w:rFonts w:ascii="Century Gothic" w:hAnsi="Century Gothic" w:cstheme="minorHAnsi"/>
          <w:b/>
          <w:smallCaps/>
        </w:rPr>
        <w:t>(EFFECTIVE DATE)</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r w:rsidRPr="00AB54ED">
        <w:rPr>
          <w:rFonts w:ascii="Century Gothic" w:hAnsi="Century Gothic" w:cstheme="minorHAnsi"/>
        </w:rPr>
        <w:t>Leadway House, 121/123, Funsho Williams Avenue, Iponri,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{companyName}</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r w:rsidRPr="00BF1B62">
        <w:rPr>
          <w:rFonts w:ascii="Century Gothic" w:hAnsi="Century Gothic" w:cstheme="minorHAnsi"/>
          <w:b/>
        </w:rPr>
        <w:t xml:space="preserve">Leadway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Leadway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has approached Leadway to provide the necessary healthcare services and Leadway has agreed to provide same for the benefit of the Company’s Enrolees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Enrolee,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Leadway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Enrolee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The overall cover limit refers to the maximum annual reimbursement by Leadway to cater for the care and treatment of the Enrolee. These limits are plan specific. Specific monetary or benefit limits may apply for specific services such as optical, dental, surgical procedures, cancer care. In addition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Enrolee, with or without any eligible dependants,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means healthcare services that are not covered under Schedule 1 hereto but which may be provided to a beneficiary with the approval of the Company and Leadway.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means a duly licensed healthcare provider that has entered into an agreement with Leadway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Leadway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In the event of a life-threatening medical emergency or critical illness where the necessary care is unavailable locally but accessible in another country within the defined geographic coverage area of the health plan, Leadway Health may facilitate overseas treatment. This shall be subject to the stipulated benefit limit(s) for the required care and our case management protocol. The insured individual shall be responsible for travel cost to the treatment location and other incidental expenses, while Leadway Health assumes sole responsibility for direct medical expenses. Should the estimated cost of treatment exceed the available limit, the insured individual shall be required to settle the difference in advance to Leadway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New-borns:</w:t>
      </w:r>
      <w:r w:rsidRPr="00BF1B62">
        <w:rPr>
          <w:rFonts w:ascii="Century Gothic" w:hAnsi="Century Gothic" w:cstheme="minorHAnsi"/>
        </w:rPr>
        <w:t xml:space="preserve"> All new-borns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in a case of non-disclosure, Leadway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means the agreed annual consideration paid by the Company to Leadway per Plan Member per annum for all Covered Services rendered under the Medical Scheme, as stipulated in the Covered Services Schedule, except the Excluded Services which shall be paid for separately.</w:t>
      </w:r>
    </w:p>
    <w:p w:rsidR="00AA3B61" w:rsidRDefault="00AA3B61" w:rsidP="00CF0389">
      <w:pPr>
        <w:pStyle w:val="ListParagraph"/>
        <w:rPr>
          <w:rFonts w:ascii="Century Gothic" w:hAnsi="Century Gothic" w:cstheme="minorHAnsi"/>
        </w:rPr>
      </w:pPr>
    </w:p>
    <w:p w:rsidR="00AA3B61" w:rsidRDefault="00AA3B61" w:rsidP="00AA3B61">
      <w:pPr>
        <w:widowControl w:val="0"/>
        <w:jc w:val="both"/>
        <w:rPr>
          <w:rFonts w:ascii="Century Gothic" w:hAnsi="Century Gothic" w:cstheme="minorHAnsi"/>
        </w:rPr>
      </w:pPr>
    </w:p>
    <w:p w:rsidR="00AA3B61" w:rsidRDefault="00AA3B61" w:rsidP="00CF0389">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Leadway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Medical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Utilisation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r w:rsidR="00040982" w:rsidRPr="00DD6E5C">
        <w:rPr>
          <w:rFonts w:ascii="Century Gothic" w:hAnsi="Century Gothic" w:cstheme="minorHAnsi"/>
          <w:b/>
          <w:smallCaps/>
          <w:color w:val="000000" w:themeColor="text1"/>
        </w:rPr>
        <w:t>startDateFormatted</w:t>
      </w:r>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renewal shall be subject to review based on utilization report. The addendum shall where necessary incorporate such schedules and annexure recognised or contemplated by this Agreement to give full effect to this Agreement and the addendum. Enrolee change of plan shall be effected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utilisation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Leadway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All specialist consultations for members on the Plus and Pro plans and/ or its variants, will be referred to designated centres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Leadway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A Plan Member shall notify Leadway within 7days by presenting bills, prescription, doctor’s report and receipts of all expenses incurred and shall be entitled to a refund of medical bills within one month, from Leadway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In all cases, Leadway decides what re-imbursable is; usually what it would have cost Leadway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Leadway shall automatically suspend coveror all the Plan members listed on the </w:t>
      </w:r>
      <w:r w:rsidRPr="00BF1B62">
        <w:rPr>
          <w:rFonts w:ascii="Century Gothic" w:hAnsi="Century Gothic" w:cstheme="minorHAnsi"/>
        </w:rPr>
        <w:lastRenderedPageBreak/>
        <w:t>Company’s Schedule of Insured Persons if premium is not paid on or before the due date, or at most, 30 days after due date. Leadway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Leadway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endeavour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Leadway shall use its best endeavour to ensure that it and each of its </w:t>
      </w:r>
      <w:r w:rsidRPr="00BF1B62">
        <w:rPr>
          <w:rFonts w:ascii="Century Gothic" w:hAnsi="Century Gothic" w:cstheme="minorHAnsi"/>
        </w:rPr>
        <w:lastRenderedPageBreak/>
        <w:t>physicians and medical staff and personnel shall not differentiate or discriminate in the provision of the Covered Services or meet their obligation hereto as a result of race, colour,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notify the Company of requests to access services which comes under Exclusions or Non-covered services, to seek approval for non-life threatening cases. However, Leadway shall treat first and do a recourse to the company for all emergencies or life threatening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will collaborate and cooperate with the Company in the exercise of the Quality Management and Utilisation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licences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hereby undertakes to maintain proper records of all the Company’s enrolees that receive treatment and such records shall be kept by Leadway for a period of five (5) years after conclusion of treatment. Leadway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in good faith refer Enrolees to competent centres of excellence for specialised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Leadway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rsidP="00CF0389">
      <w:pPr>
        <w:pStyle w:val="ListParagraph"/>
        <w:rPr>
          <w:rFonts w:ascii="Century Gothic" w:hAnsi="Century Gothic" w:cstheme="minorHAnsi"/>
        </w:rPr>
      </w:pPr>
    </w:p>
    <w:p w:rsidR="00AA3B61" w:rsidRDefault="00AA3B61" w:rsidP="00AA3B61">
      <w:pPr>
        <w:widowControl w:val="0"/>
        <w:jc w:val="both"/>
        <w:rPr>
          <w:rFonts w:ascii="Century Gothic" w:hAnsi="Century Gothic" w:cstheme="minorHAnsi"/>
        </w:rPr>
      </w:pPr>
    </w:p>
    <w:p w:rsidR="002900AA" w:rsidRPr="00BF1B62" w:rsidRDefault="002900AA" w:rsidP="00CF0389">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lastRenderedPageBreak/>
        <w:t xml:space="preserve">NON COVERED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Leadway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r w:rsidRPr="00BF1B62">
        <w:rPr>
          <w:rFonts w:ascii="Century Gothic" w:hAnsi="Century Gothic" w:cstheme="minorHAnsi"/>
        </w:rPr>
        <w:t xml:space="preserve">Leadway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r w:rsidRPr="00BF1B62">
        <w:rPr>
          <w:rFonts w:ascii="Century Gothic" w:hAnsi="Century Gothic" w:cstheme="minorHAnsi"/>
        </w:rPr>
        <w:t>Leadway shall not cover or pay for antenatal care and delivery services for non-spouse dependents or children of registered Principals. Leadway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r w:rsidRPr="00BF1B62">
        <w:rPr>
          <w:rFonts w:ascii="Century Gothic" w:hAnsi="Century Gothic" w:cstheme="minorHAnsi"/>
        </w:rPr>
        <w:t>Leadway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r w:rsidRPr="00BF1B62">
        <w:rPr>
          <w:rFonts w:ascii="Century Gothic" w:hAnsi="Century Gothic" w:cstheme="minorHAnsi"/>
        </w:rPr>
        <w:t>Leadway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r w:rsidRPr="00BF1B62">
        <w:rPr>
          <w:rFonts w:ascii="Century Gothic" w:hAnsi="Century Gothic" w:cstheme="minorHAnsi"/>
        </w:rPr>
        <w:t>Leadway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t xml:space="preserve">Leadway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Leadway shall, however, pay for a surgical operation to restore the Enrollee’s appearance after an accident, or after surgery for breast cancer, provided the accident and/or breast surgery occurred after the Enrolee’s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r w:rsidRPr="00BF1B62">
        <w:rPr>
          <w:rFonts w:ascii="Century Gothic" w:hAnsi="Century Gothic" w:cstheme="minorHAnsi"/>
        </w:rPr>
        <w:t>Leadway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r w:rsidRPr="00BF1B62">
        <w:rPr>
          <w:rFonts w:ascii="Century Gothic" w:hAnsi="Century Gothic" w:cstheme="minorHAnsi"/>
        </w:rPr>
        <w:t>Leadway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r w:rsidRPr="00581368">
        <w:rPr>
          <w:rFonts w:ascii="Century Gothic" w:hAnsi="Century Gothic" w:cstheme="minorHAnsi"/>
        </w:rPr>
        <w:t>Leadway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r w:rsidRPr="00BF1B62">
        <w:rPr>
          <w:rFonts w:ascii="Century Gothic" w:hAnsi="Century Gothic" w:cstheme="minorHAnsi"/>
        </w:rPr>
        <w:t>Le</w:t>
      </w:r>
      <w:r>
        <w:rPr>
          <w:rFonts w:ascii="Century Gothic" w:hAnsi="Century Gothic" w:cstheme="minorHAnsi"/>
        </w:rPr>
        <w:t xml:space="preserve">adway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Leadway shall not cover or pay for the use of health spas, hydros,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r w:rsidRPr="00BF1B62">
        <w:rPr>
          <w:rFonts w:ascii="Century Gothic" w:hAnsi="Century Gothic" w:cstheme="minorHAnsi"/>
        </w:rPr>
        <w:t>Leadway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r w:rsidRPr="00BF1B62">
        <w:rPr>
          <w:rFonts w:ascii="Century Gothic" w:hAnsi="Century Gothic" w:cstheme="minorHAnsi"/>
        </w:rPr>
        <w:t>Leadway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r w:rsidRPr="00BF1B62">
        <w:rPr>
          <w:rFonts w:ascii="Century Gothic" w:hAnsi="Century Gothic" w:cstheme="minorHAnsi"/>
        </w:rPr>
        <w:t xml:space="preserve">Leadway shall not cover or pay for the long term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r w:rsidRPr="00BF1B62">
        <w:rPr>
          <w:rFonts w:ascii="Century Gothic" w:hAnsi="Century Gothic" w:cstheme="minorHAnsi"/>
        </w:rPr>
        <w:t>Leadway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r>
        <w:rPr>
          <w:rFonts w:ascii="Century Gothic" w:hAnsi="Century Gothic" w:cstheme="minorHAnsi"/>
        </w:rPr>
        <w:t xml:space="preserve">Leadway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r w:rsidRPr="00BF1B62">
        <w:rPr>
          <w:rFonts w:ascii="Century Gothic" w:hAnsi="Century Gothic" w:cstheme="minorHAnsi"/>
        </w:rPr>
        <w:t>Leadway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r w:rsidRPr="00E603B5">
        <w:rPr>
          <w:rFonts w:ascii="Century Gothic" w:hAnsi="Century Gothic" w:cstheme="minorHAnsi"/>
        </w:rPr>
        <w:t>Leadway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r w:rsidRPr="00BF1B62">
        <w:rPr>
          <w:rFonts w:ascii="Century Gothic" w:hAnsi="Century Gothic" w:cstheme="minorHAnsi"/>
        </w:rPr>
        <w:t>Leadway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r w:rsidRPr="00BF1B62">
        <w:rPr>
          <w:rFonts w:ascii="Century Gothic" w:hAnsi="Century Gothic" w:cstheme="minorHAnsi"/>
        </w:rPr>
        <w:t>Leadway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Treatment for learning disorders, educational problems, behavioral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r w:rsidRPr="00BF1B62">
        <w:rPr>
          <w:rFonts w:ascii="Century Gothic" w:hAnsi="Century Gothic" w:cstheme="minorHAnsi"/>
        </w:rPr>
        <w:t>Leadway shall not cover or pay for any treatment that was given before an Enrolee’s date of commencement or after cancellation/termination of cover or during any period for which Leadway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r w:rsidRPr="00BF1B62">
        <w:rPr>
          <w:rFonts w:ascii="Century Gothic" w:hAnsi="Century Gothic" w:cstheme="minorHAnsi"/>
        </w:rPr>
        <w:t>Leadway shall not cover or pay for any treatment that is not specifically covered under the Benefit Schedule of the Policy. However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Treatment of any person who is not covered by Leadway -</w:t>
      </w:r>
      <w:r w:rsidRPr="00BF1B62">
        <w:rPr>
          <w:rFonts w:ascii="Century Gothic" w:hAnsi="Century Gothic" w:cstheme="minorHAnsi"/>
        </w:rPr>
        <w:t xml:space="preserve"> Leadway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r w:rsidRPr="00BF1B62">
        <w:rPr>
          <w:rFonts w:ascii="Century Gothic" w:hAnsi="Century Gothic" w:cstheme="minorHAnsi"/>
        </w:rPr>
        <w:t xml:space="preserve">Leadway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r w:rsidRPr="00BF1B62">
        <w:rPr>
          <w:rFonts w:ascii="Century Gothic" w:hAnsi="Century Gothic" w:cstheme="minorHAnsi"/>
        </w:rPr>
        <w:t xml:space="preserve">Leadway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r w:rsidRPr="00BF1B62">
        <w:rPr>
          <w:rFonts w:ascii="Century Gothic" w:hAnsi="Century Gothic" w:cstheme="minorHAnsi"/>
        </w:rPr>
        <w:t>Leadway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r w:rsidRPr="00BF1B62">
        <w:rPr>
          <w:rFonts w:ascii="Century Gothic" w:hAnsi="Century Gothic" w:cstheme="minorHAnsi"/>
        </w:rPr>
        <w:t>Leadway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r w:rsidRPr="00BE5DDB">
        <w:rPr>
          <w:rFonts w:ascii="Century Gothic" w:hAnsi="Century Gothic" w:cstheme="minorHAnsi"/>
          <w:bCs/>
        </w:rPr>
        <w:t>Leadway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r w:rsidRPr="00BF1B62">
        <w:rPr>
          <w:rFonts w:ascii="Century Gothic" w:hAnsi="Century Gothic" w:cstheme="minorHAnsi"/>
        </w:rPr>
        <w:t>Leadway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The Company hereby agrees with Leadway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Leadway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notify Leadway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Leadway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The Company hereby warrants that it shall set up and establish appropriate processes and procedures to facilitate Quality Management review and Utilisation Review as herein defined and furnish Leadway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All confidential data, information and records obtained, created or collected by Leadway relating to the Beneficiaries and or the Company in the course of the performance of this Agreement shall be kept confidential and secret by Leadway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Leadway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r w:rsidRPr="00BF1B62">
        <w:rPr>
          <w:rFonts w:ascii="Century Gothic" w:hAnsi="Century Gothic" w:cstheme="minorHAnsi"/>
        </w:rPr>
        <w:lastRenderedPageBreak/>
        <w:t>Leadway shall use its best endeavour to investigate the grievance, and shall provide the Company with a report on the outcome of its investigation. Where the Beneficiary or the Company is dissatisfied with the report of Leadway,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Each Party shall indemnify and hold the other harmless from and against any and all claims, liabilities, suits, costs, attorney’s fees and other expenses arising from or related to its action or omissions, other than claims caused wholly by the negligence or wilful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Leadway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Where this Agreement is terminated without cause, the Company shall be entitled to a refund of any unutilised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A meeting shall be held within seven (7) days at which all Parties are present or represented by individuals with full decision making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Labour Organization (ILO) principles: (i) refrain from using, or accepting that their own suppliers and sub-contractors make use of child labour (under 15 years of age) or forced labour;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(i) committed to abide by the applicable laws and regulations prohibiting Bribery; and (ii) has implemented and will maintain within its organisation,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(i)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the Parties have implemented and will maintain adequate anti-bribery policies and controls in place to prevent and detect bribery throughout their organisation,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a Party may terminate this Agreement with immediate effect upon written notice- as of right and without any judicial authorisation - if during the term of this Agreement,  the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to the extent permitted by the applicable law, either Party shall indemnify the other, their officers, employees, affiliates, agents, subcontractors, or any other third party acting on  behalf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Nothing in this Agreement is intended to create (nor shall be constructed or deemed to create) any right of the Company to intervene in any manner in the professional methods or means by which Leadway or In-Network Hospital renders health services to Beneficiaries pursuant hereto. Further, nothing herein shall be construed to require Leadway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Leadway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It is expressly agreed that it is not the purpose or intention of this Agreement to create, nor shall the same be construed as creating, any partnership or joint operation between Leadway and the In-Network Hospitals. In performing services and other obligations under this Agreement, the In-Network Hospitals shall be an independent contractor and shall not be deemed or construed as the agents or employees of Leadway.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r w:rsidRPr="00BF1B62">
        <w:rPr>
          <w:rFonts w:ascii="Century Gothic" w:hAnsi="Century Gothic" w:cstheme="minorHAnsi"/>
        </w:rPr>
        <w:t>Leadway warrants its authority to enter into this agreement. In the event that Leadway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Leadway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inure to the benefit of and be binding upon the Parties hereto and their respective legal representatives, successors and assigns and the Company hereby understands and agrees that Leadway shall have the discretion to assign this Agreement and all its obligations thereof to a Health Maintenance Organizations (HMO) by notification to the Company. Provided that Leadway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required,permitted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Leadway</w:t>
      </w:r>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{contactPerson}</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{contactPersonEmail}</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{groupContactPerson</w:t>
      </w:r>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r w:rsidRPr="008774F2">
        <w:t xml:space="preserve"> </w:t>
      </w:r>
      <w:r>
        <w:t xml:space="preserve"> </w:t>
      </w:r>
      <w:r w:rsidRPr="00B70EEE">
        <w:rPr>
          <w:b/>
          <w:bCs/>
        </w:rPr>
        <w:t>{</w:t>
      </w:r>
      <w:r w:rsidRPr="00B70EEE">
        <w:rPr>
          <w:rFonts w:ascii="Century Gothic" w:hAnsi="Century Gothic"/>
          <w:b/>
          <w:bCs/>
        </w:rPr>
        <w:t>groupContactPersonEmail</w:t>
      </w:r>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its schedules and annexures represents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rFonts w:ascii="Century Gothic" w:hAnsi="Century Gothic" w:cstheme="minorHAnsi"/>
          <w:bCs/>
        </w:rPr>
      </w:pPr>
    </w:p>
    <w:p w:rsidR="002900AA" w:rsidRDefault="002900AA" w:rsidP="004C1024">
      <w:pPr>
        <w:spacing w:line="276" w:lineRule="auto"/>
        <w:rPr>
          <w:rFonts w:ascii="Century Gothic" w:hAnsi="Century Gothic" w:cstheme="minorHAnsi"/>
          <w:bCs/>
        </w:rPr>
      </w:pPr>
    </w:p>
    <w:p w:rsidR="002900AA" w:rsidRDefault="002900AA" w:rsidP="004C1024">
      <w:pPr>
        <w:spacing w:line="276" w:lineRule="auto"/>
        <w:rPr>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t>Leadway acknowledges and agrees that all data provided by the Company to Leadway, or to which Leadway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t>Leadway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t>Leadway shall take reasonable steps to identify all reasonably foreseeable internal and external risks posed to data under Leadway’s possession or control and establish and maintain appropriate safeguards against any risks identified. Leadway shall regularly verify that the safeguards are effectively implemented, and keep a record of such verification. The safeguards shall be updated continually in response to new risks or deficiencies in previously implemented safeguards. Leadway shall immediately notify the Company (i) of any risks posed to data that it has identified; (ii) of the safeguards established by Leadway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t>Leadway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t>Leadway shall ensure that upon termination, cancellation, expiration or other conclusion of this Agreement they shall physically or electronically destroy beyond all ability to recover all information/ data provided to them within 30 (Thirty) days. Within such 30-day period, Leadway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t>Leadway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2900AA" w:rsidRDefault="002900AA" w:rsidP="004C1024">
      <w:pPr>
        <w:widowControl w:val="0"/>
        <w:ind w:left="3600" w:firstLine="720"/>
        <w:rPr>
          <w:rFonts w:ascii="Century Gothic" w:eastAsia="MS Mincho" w:hAnsi="Century Gothic" w:cstheme="minorHAnsi"/>
          <w:b/>
          <w:u w:val="single"/>
        </w:rPr>
      </w:pPr>
    </w:p>
    <w:p w:rsidR="002900AA" w:rsidRDefault="002900AA" w:rsidP="004C1024">
      <w:pPr>
        <w:widowControl w:val="0"/>
        <w:ind w:left="3600" w:firstLine="720"/>
        <w:rPr>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{#tableRowsTwo}{col11}</w:t>
            </w:r>
          </w:p>
        </w:tc>
        <w:tc>
          <w:tcPr>
            <w:tcW w:w="4873" w:type="dxa"/>
          </w:tcPr>
          <w:p w:rsidR="00035C66" w:rsidRPr="00947613" w:rsidRDefault="00035C66" w:rsidP="00DE79DE">
            <w:pPr>
              <w:rPr>
                <w:sz w:val="18"/>
                <w:szCs w:val="18"/>
              </w:rPr>
            </w:pPr>
            <w:r w:rsidRPr="00947613">
              <w:rPr>
                <w:sz w:val="18"/>
                <w:szCs w:val="18"/>
              </w:rPr>
              <w:t>{col22}{/tableRowsTwo}</w:t>
            </w:r>
          </w:p>
        </w:tc>
      </w:tr>
    </w:tbl>
    <w:p w:rsidR="00035C66" w:rsidRPr="00947613" w:rsidRDefault="00035C66" w:rsidP="00035C66">
      <w:pPr>
        <w:rPr>
          <w:sz w:val="18"/>
          <w:szCs w:val="18"/>
        </w:rPr>
      </w:pPr>
      <w:r w:rsidRPr="00947613">
        <w:rPr>
          <w:sz w:val="18"/>
          <w:szCs w:val="18"/>
        </w:rPr>
        <w:t>{/show11}</w:t>
      </w: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{#tableRowsTwo}{col11}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{col33}{/tableRowsTwo}</w:t>
            </w:r>
          </w:p>
        </w:tc>
      </w:tr>
    </w:tbl>
    <w:p w:rsidR="00035C66" w:rsidRPr="00947613" w:rsidRDefault="00035C66" w:rsidP="00035C66">
      <w:pPr>
        <w:rPr>
          <w:sz w:val="18"/>
          <w:szCs w:val="18"/>
        </w:rPr>
      </w:pPr>
      <w:r w:rsidRPr="00947613">
        <w:rPr>
          <w:sz w:val="18"/>
          <w:szCs w:val="18"/>
        </w:rPr>
        <w:t>{/show22}</w:t>
      </w: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{#tableRowsTwo}{col11}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{col44}{/tableRowsTwo}</w:t>
            </w:r>
          </w:p>
        </w:tc>
      </w:tr>
    </w:tbl>
    <w:p w:rsidR="00035C66" w:rsidRPr="00947613" w:rsidRDefault="00035C66" w:rsidP="00035C66">
      <w:pPr>
        <w:rPr>
          <w:sz w:val="18"/>
          <w:szCs w:val="18"/>
        </w:rPr>
      </w:pPr>
      <w:r w:rsidRPr="00947613">
        <w:rPr>
          <w:sz w:val="18"/>
          <w:szCs w:val="18"/>
        </w:rPr>
        <w:t>{/show33}</w:t>
      </w: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{#tableRowsTwo}{col11}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{col55}{/tableRowsTwo}</w:t>
            </w:r>
          </w:p>
        </w:tc>
      </w:tr>
    </w:tbl>
    <w:p w:rsidR="00035C66" w:rsidRPr="00947613" w:rsidRDefault="00035C66" w:rsidP="00035C66">
      <w:pPr>
        <w:rPr>
          <w:sz w:val="18"/>
          <w:szCs w:val="18"/>
        </w:rPr>
      </w:pPr>
      <w:r w:rsidRPr="00947613">
        <w:rPr>
          <w:sz w:val="18"/>
          <w:szCs w:val="18"/>
        </w:rPr>
        <w:t>{/show44}</w:t>
      </w: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{#tableRowsTwo}{col11}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{col66}{/tableRowsTwo}</w:t>
            </w:r>
          </w:p>
        </w:tc>
      </w:tr>
    </w:tbl>
    <w:p w:rsidR="00035C66" w:rsidRPr="00947613" w:rsidRDefault="00035C66" w:rsidP="00035C66">
      <w:pPr>
        <w:rPr>
          <w:sz w:val="18"/>
          <w:szCs w:val="18"/>
        </w:rPr>
      </w:pPr>
      <w:r w:rsidRPr="00947613">
        <w:rPr>
          <w:sz w:val="18"/>
          <w:szCs w:val="18"/>
        </w:rPr>
        <w:t>{/show55}</w:t>
      </w: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{#tableRowsTwo}{col11}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{col77}{/tableRowsTwo}</w:t>
            </w:r>
          </w:p>
        </w:tc>
      </w:tr>
    </w:tbl>
    <w:p w:rsidR="00035C66" w:rsidRPr="00947613" w:rsidRDefault="00035C66" w:rsidP="00035C66">
      <w:pPr>
        <w:rPr>
          <w:sz w:val="18"/>
          <w:szCs w:val="18"/>
        </w:rPr>
      </w:pPr>
      <w:r w:rsidRPr="00947613">
        <w:rPr>
          <w:sz w:val="18"/>
          <w:szCs w:val="18"/>
        </w:rPr>
        <w:t>{/show66}</w:t>
      </w: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{#tableRowsTwo}{col11}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{col88}{/tableRowsTwo}</w:t>
            </w:r>
          </w:p>
        </w:tc>
      </w:tr>
    </w:tbl>
    <w:p w:rsidR="00035C66" w:rsidRPr="00947613" w:rsidRDefault="00035C66" w:rsidP="00035C66">
      <w:pPr>
        <w:rPr>
          <w:sz w:val="18"/>
          <w:szCs w:val="18"/>
        </w:rPr>
      </w:pPr>
      <w:r w:rsidRPr="00947613">
        <w:rPr>
          <w:sz w:val="18"/>
          <w:szCs w:val="18"/>
        </w:rPr>
        <w:t>{/show77}</w:t>
      </w: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{#tableRowsTwo}{col11}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{col99}{/tableRowsTwo}</w:t>
            </w:r>
          </w:p>
        </w:tc>
      </w:tr>
    </w:tbl>
    <w:p w:rsidR="004C1024" w:rsidRPr="00BF1B62" w:rsidRDefault="00035C66" w:rsidP="00CF0389">
      <w:pPr>
        <w:rPr>
          <w:rFonts w:ascii="Century Gothic" w:eastAsia="MS Mincho" w:hAnsi="Century Gothic" w:cstheme="minorHAnsi"/>
          <w:b/>
          <w:u w:val="single"/>
        </w:rPr>
      </w:pPr>
      <w:r w:rsidRPr="00947613">
        <w:rPr>
          <w:sz w:val="18"/>
          <w:szCs w:val="18"/>
        </w:rPr>
        <w:t>{/show88}</w:t>
      </w:r>
      <w:r w:rsidR="004C1024">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Default="004C1024" w:rsidP="00CF0389">
      <w:pPr>
        <w:widowControl w:val="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pre-authorisation and will be authorised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Specialists, surgeons, doctors, anaesthetists,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pre-authorisation,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Psychiatric Hospitalisation</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Hospital.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2900AA" w:rsidRDefault="004C1024" w:rsidP="00CF0389">
      <w:pPr>
        <w:numPr>
          <w:ilvl w:val="0"/>
          <w:numId w:val="24"/>
        </w:numPr>
        <w:spacing w:after="160" w:line="259" w:lineRule="auto"/>
        <w:jc w:val="both"/>
        <w:rPr>
          <w:rFonts w:ascii="Century Gothic" w:eastAsiaTheme="minorHAnsi" w:hAnsi="Century Gothic" w:cstheme="minorHAnsi"/>
          <w:b/>
          <w:lang w:val="en-ZA"/>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costs of specialised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This cover provides for treatment that does not require hospitalisation;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Specialist Consultations, subject to pre-authorisation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Curretage/Quadrant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Incision and drainage of dental abcess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cement(gic)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Specialised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specialised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pre-authorised</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pre-authorisation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pre-authorisation and will be authorised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Hospitalisation for in-patient cancer treatment (Independent of hospitalisation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treatment costs for renal (kidney) dialysis irrespective of whether such treatment is received as inpatient or as outpatient at a registered dialysis centre.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Hospitalisation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programme. We would automatically register the enrolee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Where an enrolee is on a plan that covers issuance of chronic condition monitoring devices, the issuance of the devices shall be subject to pre-authorisation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enrolee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Upon request initiated by the enrolee on our mobile app, subject to a pre-authorisation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pre-authorisation,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Maternity Programme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cover the costs of outpatient maternity care, including consultations, basic radiology (such as ultra sounds), blood tests and other diagnostic tests within the standard maternity programme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Maternity Programme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Leadway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Maternity complications are covered up to the overall limit if maternity if accessed within the Leadway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r w:rsidRPr="00BF1B62">
        <w:rPr>
          <w:rFonts w:ascii="Century Gothic" w:eastAsiaTheme="minorHAnsi" w:hAnsi="Century Gothic" w:cstheme="minorHAnsi"/>
          <w:b/>
        </w:rPr>
        <w:t>Leadway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pre-authorisatio</w:t>
      </w:r>
      <w:r>
        <w:rPr>
          <w:rFonts w:ascii="Century Gothic" w:eastAsiaTheme="minorHAnsi" w:hAnsi="Century Gothic" w:cstheme="minorHAnsi"/>
        </w:rPr>
        <w:t>n</w:t>
      </w:r>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Hepatitis B Immunoglobulin will be covered under this policy, provided that Leadway facilitates the vaccine's delivery. Leadway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RDefault="004C1024" w:rsidP="004C1024">
      <w:pPr>
        <w:widowControl w:val="0"/>
        <w:jc w:val="both"/>
        <w:rPr>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{#tableRows}{col1}</w:t>
            </w:r>
          </w:p>
        </w:tc>
        <w:tc>
          <w:tcPr>
            <w:tcW w:w="4873" w:type="dxa"/>
          </w:tcPr>
          <w:p w:rsidR="00035C66" w:rsidRPr="00947613" w:rsidRDefault="00035C66" w:rsidP="00DE79DE">
            <w:pPr>
              <w:rPr>
                <w:sz w:val="18"/>
                <w:szCs w:val="18"/>
              </w:rPr>
            </w:pPr>
            <w:r w:rsidRPr="00947613">
              <w:rPr>
                <w:sz w:val="18"/>
                <w:szCs w:val="18"/>
              </w:rPr>
              <w:t>{col2}{/tableRows}</w:t>
            </w:r>
          </w:p>
        </w:tc>
      </w:tr>
    </w:tbl>
    <w:p w:rsidR="00035C66" w:rsidRPr="00947613" w:rsidRDefault="00035C66" w:rsidP="00035C66">
      <w:pPr>
        <w:rPr>
          <w:sz w:val="18"/>
          <w:szCs w:val="18"/>
        </w:rPr>
      </w:pPr>
      <w:r w:rsidRPr="00947613">
        <w:rPr>
          <w:sz w:val="18"/>
          <w:szCs w:val="18"/>
        </w:rPr>
        <w:t>{/show1}</w:t>
      </w: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{#tableRows}{col1}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{col3}{/tableRows}</w:t>
            </w:r>
          </w:p>
        </w:tc>
      </w:tr>
    </w:tbl>
    <w:p w:rsidR="00035C66" w:rsidRPr="00947613" w:rsidRDefault="00035C66" w:rsidP="00035C66">
      <w:pPr>
        <w:rPr>
          <w:sz w:val="18"/>
          <w:szCs w:val="18"/>
        </w:rPr>
      </w:pPr>
      <w:r w:rsidRPr="00947613">
        <w:rPr>
          <w:sz w:val="18"/>
          <w:szCs w:val="18"/>
        </w:rPr>
        <w:t>{/show2}</w:t>
      </w: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{#tableRows}{col1}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{col4}{/tableRows}</w:t>
            </w:r>
          </w:p>
        </w:tc>
      </w:tr>
    </w:tbl>
    <w:p w:rsidR="00035C66" w:rsidRPr="00947613" w:rsidRDefault="00035C66" w:rsidP="00035C66">
      <w:pPr>
        <w:rPr>
          <w:sz w:val="18"/>
          <w:szCs w:val="18"/>
        </w:rPr>
      </w:pPr>
      <w:r w:rsidRPr="00947613">
        <w:rPr>
          <w:sz w:val="18"/>
          <w:szCs w:val="18"/>
        </w:rPr>
        <w:t>{/show3}</w:t>
      </w: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{#tableRows}{col1}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{col5}{/tableRows}</w:t>
            </w:r>
          </w:p>
        </w:tc>
      </w:tr>
    </w:tbl>
    <w:p w:rsidR="00035C66" w:rsidRPr="00947613" w:rsidRDefault="00035C66" w:rsidP="00035C66">
      <w:pPr>
        <w:rPr>
          <w:sz w:val="18"/>
          <w:szCs w:val="18"/>
        </w:rPr>
      </w:pPr>
      <w:r w:rsidRPr="00947613">
        <w:rPr>
          <w:sz w:val="18"/>
          <w:szCs w:val="18"/>
        </w:rPr>
        <w:t>{/show4}</w:t>
      </w: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{#tableRows}{col1}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{col6}{/tableRows}</w:t>
            </w:r>
          </w:p>
        </w:tc>
      </w:tr>
    </w:tbl>
    <w:p w:rsidR="00035C66" w:rsidRPr="00947613" w:rsidRDefault="00035C66" w:rsidP="00035C66">
      <w:pPr>
        <w:rPr>
          <w:sz w:val="18"/>
          <w:szCs w:val="18"/>
        </w:rPr>
      </w:pPr>
      <w:r w:rsidRPr="00947613">
        <w:rPr>
          <w:sz w:val="18"/>
          <w:szCs w:val="18"/>
        </w:rPr>
        <w:t>{/show5}</w:t>
      </w: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{#tableRows}{col1}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{col7}{/tableRows}</w:t>
            </w:r>
          </w:p>
        </w:tc>
      </w:tr>
    </w:tbl>
    <w:p w:rsidR="00035C66" w:rsidRPr="00947613" w:rsidRDefault="00035C66" w:rsidP="00035C66">
      <w:pPr>
        <w:rPr>
          <w:sz w:val="18"/>
          <w:szCs w:val="18"/>
        </w:rPr>
      </w:pPr>
      <w:r w:rsidRPr="00947613">
        <w:rPr>
          <w:sz w:val="18"/>
          <w:szCs w:val="18"/>
        </w:rPr>
        <w:t>{/show6}</w:t>
      </w: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{#tableRows}{col1}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{col7}{/tableRows}</w:t>
            </w:r>
          </w:p>
        </w:tc>
      </w:tr>
    </w:tbl>
    <w:p w:rsidR="00035C66" w:rsidRPr="00947613" w:rsidRDefault="00035C66" w:rsidP="00035C66">
      <w:pPr>
        <w:rPr>
          <w:sz w:val="18"/>
          <w:szCs w:val="18"/>
        </w:rPr>
      </w:pPr>
      <w:r w:rsidRPr="00947613">
        <w:rPr>
          <w:sz w:val="18"/>
          <w:szCs w:val="18"/>
        </w:rPr>
        <w:t>{/show7}</w:t>
      </w: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{#tableRows}{col1}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{col9}{/tableRows}</w:t>
            </w:r>
          </w:p>
        </w:tc>
      </w:tr>
    </w:tbl>
    <w:p w:rsidR="00035C66" w:rsidRPr="00947613" w:rsidRDefault="00035C66" w:rsidP="00035C66">
      <w:pPr>
        <w:rPr>
          <w:sz w:val="18"/>
          <w:szCs w:val="18"/>
        </w:rPr>
      </w:pPr>
      <w:r w:rsidRPr="00947613">
        <w:rPr>
          <w:sz w:val="18"/>
          <w:szCs w:val="18"/>
        </w:rPr>
        <w:t>{/show8}</w:t>
      </w: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HIV, Tuberculosis and Hepatitis B are only covered at government centres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hydrotubation,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Hexaxim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r w:rsidRPr="00BF1B62">
        <w:rPr>
          <w:rFonts w:ascii="Century Gothic" w:hAnsi="Century Gothic" w:cstheme="minorHAnsi"/>
        </w:rPr>
        <w:t>In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{companyName}</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r w:rsidRPr="00BF1B62">
        <w:rPr>
          <w:rFonts w:ascii="Century Gothic" w:hAnsi="Century Gothic" w:cstheme="minorHAnsi"/>
        </w:rPr>
        <w:t>In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7E69D9" w:rsidP="004C1024">
      <w:pPr>
        <w:widowControl w:val="0"/>
        <w:jc w:val="both"/>
        <w:rPr>
          <w:rFonts w:ascii="Century Gothic" w:hAnsi="Century Gothic"/>
        </w:rPr>
      </w:pPr>
      <w:r w:rsidRPr="007E69D9">
        <w:rPr>
          <w:rFonts w:ascii="Century Gothic" w:hAnsi="Century Gothic"/>
        </w:rPr>
        <w:t>{</w:t>
      </w:r>
      <w:r w:rsidR="00882B0F">
        <w:rPr>
          <w:rFonts w:ascii="Century Gothic" w:hAnsi="Century Gothic"/>
        </w:rPr>
        <w:t>%</w:t>
      </w:r>
      <w:r w:rsidRPr="007E69D9">
        <w:rPr>
          <w:rFonts w:ascii="Century Gothic" w:hAnsi="Century Gothic"/>
        </w:rPr>
        <w:t>signature_left}</w:t>
      </w:r>
      <w:r w:rsidR="004C1024" w:rsidRPr="00BF1B62">
        <w:rPr>
          <w:rFonts w:ascii="Century Gothic" w:hAnsi="Century Gothic"/>
        </w:rPr>
        <w:t xml:space="preserve">              </w:t>
      </w:r>
      <w:r w:rsidR="002900AA">
        <w:rPr>
          <w:rFonts w:ascii="Century Gothic" w:hAnsi="Century Gothic"/>
        </w:rPr>
        <w:t xml:space="preserve">                                    </w:t>
      </w:r>
      <w:r w:rsidR="00763A18" w:rsidRPr="00763A18">
        <w:rPr>
          <w:rFonts w:ascii="Century Gothic" w:hAnsi="Century Gothic"/>
        </w:rPr>
        <w:t>{</w:t>
      </w:r>
      <w:r w:rsidR="00882B0F">
        <w:rPr>
          <w:rFonts w:ascii="Century Gothic" w:hAnsi="Century Gothic"/>
        </w:rPr>
        <w:t>%</w:t>
      </w:r>
      <w:r w:rsidR="00763A18" w:rsidRPr="00763A18">
        <w:rPr>
          <w:rFonts w:ascii="Century Gothic" w:hAnsi="Century Gothic"/>
        </w:rPr>
        <w:t>signature_right}</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A4642" w:rsidRDefault="009A4642">
      <w:r>
        <w:separator/>
      </w:r>
    </w:p>
  </w:endnote>
  <w:endnote w:type="continuationSeparator" w:id="0">
    <w:p w:rsidR="009A4642" w:rsidRDefault="009A46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A4642" w:rsidRDefault="009A4642">
      <w:r>
        <w:separator/>
      </w:r>
    </w:p>
  </w:footnote>
  <w:footnote w:type="continuationSeparator" w:id="0">
    <w:p w:rsidR="009A4642" w:rsidRDefault="009A46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17050"/>
    <w:rsid w:val="00035C66"/>
    <w:rsid w:val="00037A80"/>
    <w:rsid w:val="00040982"/>
    <w:rsid w:val="00041F43"/>
    <w:rsid w:val="0004460A"/>
    <w:rsid w:val="00047CF9"/>
    <w:rsid w:val="00063E36"/>
    <w:rsid w:val="00080C55"/>
    <w:rsid w:val="00087794"/>
    <w:rsid w:val="000946C9"/>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429D9"/>
    <w:rsid w:val="00162BF4"/>
    <w:rsid w:val="00165C88"/>
    <w:rsid w:val="00166AAB"/>
    <w:rsid w:val="001752FA"/>
    <w:rsid w:val="0018030A"/>
    <w:rsid w:val="00182381"/>
    <w:rsid w:val="0018250E"/>
    <w:rsid w:val="00193546"/>
    <w:rsid w:val="001A08ED"/>
    <w:rsid w:val="001A15C5"/>
    <w:rsid w:val="001A5A84"/>
    <w:rsid w:val="001B2EF3"/>
    <w:rsid w:val="001D24CD"/>
    <w:rsid w:val="001F1864"/>
    <w:rsid w:val="001F4DDC"/>
    <w:rsid w:val="00202990"/>
    <w:rsid w:val="00205D92"/>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038E2"/>
    <w:rsid w:val="003165ED"/>
    <w:rsid w:val="0032650F"/>
    <w:rsid w:val="00333C2F"/>
    <w:rsid w:val="0033442D"/>
    <w:rsid w:val="003360B5"/>
    <w:rsid w:val="0034071B"/>
    <w:rsid w:val="0038131B"/>
    <w:rsid w:val="003973A0"/>
    <w:rsid w:val="003A7E3F"/>
    <w:rsid w:val="003E2427"/>
    <w:rsid w:val="003E2732"/>
    <w:rsid w:val="003E58C7"/>
    <w:rsid w:val="00427EF8"/>
    <w:rsid w:val="00437E07"/>
    <w:rsid w:val="00446CA4"/>
    <w:rsid w:val="00447E65"/>
    <w:rsid w:val="00453A2B"/>
    <w:rsid w:val="0046606A"/>
    <w:rsid w:val="00480529"/>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3173"/>
    <w:rsid w:val="005841D4"/>
    <w:rsid w:val="005873D1"/>
    <w:rsid w:val="00593147"/>
    <w:rsid w:val="00593638"/>
    <w:rsid w:val="00593D66"/>
    <w:rsid w:val="005A212B"/>
    <w:rsid w:val="005C0D7C"/>
    <w:rsid w:val="005C3D9F"/>
    <w:rsid w:val="005E30C4"/>
    <w:rsid w:val="005E3FEF"/>
    <w:rsid w:val="005F644F"/>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E3F4B"/>
    <w:rsid w:val="006F4CAE"/>
    <w:rsid w:val="00703FB1"/>
    <w:rsid w:val="0072534B"/>
    <w:rsid w:val="00725384"/>
    <w:rsid w:val="00725A64"/>
    <w:rsid w:val="00732AEA"/>
    <w:rsid w:val="007365DC"/>
    <w:rsid w:val="00737DC0"/>
    <w:rsid w:val="00742E16"/>
    <w:rsid w:val="0074609B"/>
    <w:rsid w:val="00746608"/>
    <w:rsid w:val="00757BCD"/>
    <w:rsid w:val="00763A18"/>
    <w:rsid w:val="00764D20"/>
    <w:rsid w:val="00764E4C"/>
    <w:rsid w:val="00771C80"/>
    <w:rsid w:val="00774D6E"/>
    <w:rsid w:val="0078499C"/>
    <w:rsid w:val="007A2273"/>
    <w:rsid w:val="007B4F29"/>
    <w:rsid w:val="007C0115"/>
    <w:rsid w:val="007C7419"/>
    <w:rsid w:val="007E6078"/>
    <w:rsid w:val="007E69D9"/>
    <w:rsid w:val="00800923"/>
    <w:rsid w:val="00806728"/>
    <w:rsid w:val="008207CB"/>
    <w:rsid w:val="008366EA"/>
    <w:rsid w:val="008615F4"/>
    <w:rsid w:val="008660BF"/>
    <w:rsid w:val="00877655"/>
    <w:rsid w:val="00877689"/>
    <w:rsid w:val="00877722"/>
    <w:rsid w:val="00882B0F"/>
    <w:rsid w:val="0088505C"/>
    <w:rsid w:val="008D361D"/>
    <w:rsid w:val="008E4380"/>
    <w:rsid w:val="008F4CD3"/>
    <w:rsid w:val="008F5A74"/>
    <w:rsid w:val="008F5D2F"/>
    <w:rsid w:val="00902BF0"/>
    <w:rsid w:val="00906F19"/>
    <w:rsid w:val="00907832"/>
    <w:rsid w:val="00935C49"/>
    <w:rsid w:val="009379A5"/>
    <w:rsid w:val="00937CE4"/>
    <w:rsid w:val="00940038"/>
    <w:rsid w:val="009449F6"/>
    <w:rsid w:val="00947613"/>
    <w:rsid w:val="00951BEA"/>
    <w:rsid w:val="00964118"/>
    <w:rsid w:val="00964939"/>
    <w:rsid w:val="00970107"/>
    <w:rsid w:val="00980CAE"/>
    <w:rsid w:val="009933E1"/>
    <w:rsid w:val="009A175D"/>
    <w:rsid w:val="009A4642"/>
    <w:rsid w:val="009A6D1C"/>
    <w:rsid w:val="009A78D3"/>
    <w:rsid w:val="009D082A"/>
    <w:rsid w:val="009D47F4"/>
    <w:rsid w:val="009F750C"/>
    <w:rsid w:val="00A16FA7"/>
    <w:rsid w:val="00A431D6"/>
    <w:rsid w:val="00A62EC0"/>
    <w:rsid w:val="00A715CA"/>
    <w:rsid w:val="00A82777"/>
    <w:rsid w:val="00A93DC1"/>
    <w:rsid w:val="00AA3B61"/>
    <w:rsid w:val="00AA76D3"/>
    <w:rsid w:val="00AC5006"/>
    <w:rsid w:val="00AD26E8"/>
    <w:rsid w:val="00B25155"/>
    <w:rsid w:val="00B42505"/>
    <w:rsid w:val="00B42884"/>
    <w:rsid w:val="00B439B6"/>
    <w:rsid w:val="00B71199"/>
    <w:rsid w:val="00B850A7"/>
    <w:rsid w:val="00B90729"/>
    <w:rsid w:val="00BA3A29"/>
    <w:rsid w:val="00BA53B2"/>
    <w:rsid w:val="00BA75A3"/>
    <w:rsid w:val="00BB0B6D"/>
    <w:rsid w:val="00BB1C46"/>
    <w:rsid w:val="00BC2C65"/>
    <w:rsid w:val="00BC6767"/>
    <w:rsid w:val="00BD7560"/>
    <w:rsid w:val="00BE5D66"/>
    <w:rsid w:val="00C10F8D"/>
    <w:rsid w:val="00C165B3"/>
    <w:rsid w:val="00C4453B"/>
    <w:rsid w:val="00C613C6"/>
    <w:rsid w:val="00C61681"/>
    <w:rsid w:val="00C83E1A"/>
    <w:rsid w:val="00CC12F3"/>
    <w:rsid w:val="00CC2CC1"/>
    <w:rsid w:val="00CD0325"/>
    <w:rsid w:val="00CE671F"/>
    <w:rsid w:val="00CE6D03"/>
    <w:rsid w:val="00CF0389"/>
    <w:rsid w:val="00D11CEA"/>
    <w:rsid w:val="00D144FE"/>
    <w:rsid w:val="00D16A99"/>
    <w:rsid w:val="00D179A0"/>
    <w:rsid w:val="00D23F06"/>
    <w:rsid w:val="00D61697"/>
    <w:rsid w:val="00D87B31"/>
    <w:rsid w:val="00D93231"/>
    <w:rsid w:val="00DC2558"/>
    <w:rsid w:val="00DD4044"/>
    <w:rsid w:val="00DD455B"/>
    <w:rsid w:val="00DD6E5C"/>
    <w:rsid w:val="00DE1EFB"/>
    <w:rsid w:val="00DE50FB"/>
    <w:rsid w:val="00E0306A"/>
    <w:rsid w:val="00E07DF4"/>
    <w:rsid w:val="00E12E0B"/>
    <w:rsid w:val="00E151B4"/>
    <w:rsid w:val="00E163F8"/>
    <w:rsid w:val="00E361DD"/>
    <w:rsid w:val="00E40DFA"/>
    <w:rsid w:val="00E4446F"/>
    <w:rsid w:val="00E55280"/>
    <w:rsid w:val="00E6715F"/>
    <w:rsid w:val="00E713D7"/>
    <w:rsid w:val="00E81464"/>
    <w:rsid w:val="00E84EF6"/>
    <w:rsid w:val="00E8615A"/>
    <w:rsid w:val="00EA361C"/>
    <w:rsid w:val="00EA540A"/>
    <w:rsid w:val="00EA6902"/>
    <w:rsid w:val="00EC0811"/>
    <w:rsid w:val="00EE4931"/>
    <w:rsid w:val="00EE5F69"/>
    <w:rsid w:val="00F00B1F"/>
    <w:rsid w:val="00F05AF4"/>
    <w:rsid w:val="00F17D0D"/>
    <w:rsid w:val="00F23A0B"/>
    <w:rsid w:val="00F41AB9"/>
    <w:rsid w:val="00F41BDC"/>
    <w:rsid w:val="00F520A7"/>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47DCE"/>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2485</TotalTime>
  <Pages>30</Pages>
  <Words>9549</Words>
  <Characters>54431</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236</cp:revision>
  <dcterms:created xsi:type="dcterms:W3CDTF">2025-10-15T16:08:00Z</dcterms:created>
  <dcterms:modified xsi:type="dcterms:W3CDTF">2026-01-15T06:40:00Z</dcterms:modified>
</cp:coreProperties>
</file>