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FROGNET</w:t>
      </w:r>
    </w:p>
    <w:p>
      <w:pPr>
        <w:pStyle w:val="Title"/>
        <w:jc w:val="center"/>
      </w:pPr>
      <w:r>
        <w:t>Network Shared RAM</w:t>
      </w:r>
    </w:p>
    <w:p>
      <w:pPr>
        <w:jc w:val="center"/>
      </w:pPr>
      <w:r>
        <w:rPr>
          <w:sz w:val="28"/>
        </w:rPr>
        <w:t>Architecture, Implementations, Programming Surface, Demonstrated Uses,</w:t>
        <w:br/>
        <w:t>Qualification, Characterization, and Application-Defined Memory</w:t>
      </w:r>
    </w:p>
    <w:p>
      <w:pPr>
        <w:jc w:val="center"/>
      </w:pPr>
      <w:r>
        <w:rPr>
          <w:i/>
        </w:rPr>
        <w:t>Technical reference • 19 September 2026</w:t>
      </w:r>
    </w:p>
    <w:p/>
    <w:tbl>
      <w:tblPr>
        <w:tblStyle w:val="TableGrid"/>
        <w:tblW w:type="auto" w:w="0"/>
        <w:tblLook w:firstColumn="1" w:firstRow="1" w:lastColumn="0" w:lastRow="0" w:noHBand="0" w:noVBand="1" w:val="04A0"/>
      </w:tblPr>
      <w:tblGrid>
        <w:gridCol w:w="10080"/>
      </w:tblGrid>
      <w:tr>
        <w:tc>
          <w:tcPr>
            <w:tcW w:type="dxa" w:w="10080"/>
            <w:shd w:fill="F3F6F8"/>
          </w:tcPr>
          <w:p>
            <w:r>
              <w:rPr>
                <w:b/>
              </w:rPr>
              <w:t xml:space="preserve">Scope: </w:t>
            </w:r>
            <w:r>
              <w:t>This document describes the current FrogNet network-shared-RAM model as developed and tested through 19 September 2026. It deliberately distinguishes architecture from implementation, qualification from characterization, and demonstrated behavior from planned or not-yet-tested behavior.</w:t>
            </w:r>
          </w:p>
        </w:tc>
      </w:tr>
    </w:tbl>
    <w:p/>
    <w:p>
      <w:r>
        <w:br w:type="page"/>
      </w:r>
    </w:p>
    <w:p>
      <w:pPr>
        <w:pStyle w:val="Heading1"/>
      </w:pPr>
      <w:r>
        <w:t>1. Executive summary</w:t>
      </w:r>
    </w:p>
    <w:p>
      <w:r>
        <w:t>FrogNet Network Shared RAM is a distributed programming surface in which programs coordinate by reading and writing shared state rather than by addressing peers and exchanging application-level messages. The application-facing contract is memory: determine the truth known locally, write that truth, read the other truths needed to compute the answer, and continue. The application does not need to know which peer owns a value, how to route to it, whether a remote process is currently running, or which transport moved the bytes.</w:t>
      </w:r>
    </w:p>
    <w:p>
      <w:r>
        <w:t>The important claim is not that network physics disappear. They do not. Latency, bandwidth, queues, CPU, persistence, contention, failure, and topology remain physical constraints. FrogNet moves those concerns out of each application's choreography and into a substrate that can be implemented, measured, qualified, characterized, administered, and eventually planned as infrastructure.</w:t>
      </w:r>
    </w:p>
    <w:p>
      <w:r>
        <w:t>The same logical memory contract can be implemented in materially different ways. Current work includes a transient C++ RAM server for high-rate machine state, a database-backed PHP/MariaDB target for persistent or human-rate state, Python and C++ client libraries that interoperate against the same contract, and a Plane for large or high-rate ephemeral payloads where stale generations should not accumulate. Above those mechanisms, vendors can define application-specific object models and APIs while retaining a common tuple-space contract underneath.</w:t>
      </w:r>
    </w:p>
    <w:p>
      <w:r>
        <w:t>This separation is central. FrogNet RAM is not a claim that every workload should use one server, one storage technology, or one retention policy. It is a claim that applications can share a stable memory-oriented programming model while the implementation beneath that model is selected for the semantics and operating envelope of the workload.</w:t>
      </w:r>
    </w:p>
    <w:p>
      <w:pPr>
        <w:pStyle w:val="Heading1"/>
      </w:pPr>
      <w:r>
        <w:t>2. The programming model: state, not messages</w:t>
      </w:r>
    </w:p>
    <w:p>
      <w:r>
        <w:t>Traditional distributed applications normally expose communication directly in application code: choose an endpoint, serialize a request, send it, wait, retry, reconnect, deduplicate, order replies, and decide what to do when a peer disappears. FrogNet's intended application surface removes that choreography. A producer writes state because it knows that state. A consumer reads state because it needs that state. Neither operation is addressed to the other process.</w:t>
      </w:r>
    </w:p>
    <w:tbl>
      <w:tblPr>
        <w:tblStyle w:val="TableGrid"/>
        <w:tblW w:type="auto" w:w="0"/>
        <w:tblLook w:firstColumn="1" w:firstRow="1" w:lastColumn="0" w:lastRow="0" w:noHBand="0" w:noVBand="1" w:val="04A0"/>
      </w:tblPr>
      <w:tblGrid>
        <w:gridCol w:w="10080"/>
      </w:tblGrid>
      <w:tr>
        <w:tc>
          <w:tcPr>
            <w:tcW w:type="dxa" w:w="10080"/>
            <w:shd w:fill="F3F6F8"/>
          </w:tcPr>
          <w:p>
            <w:r>
              <w:rPr>
                <w:b/>
              </w:rPr>
              <w:t xml:space="preserve">Operational mental model: </w:t>
            </w:r>
            <w:r>
              <w:t>Determine your truth. Write your truth. Read the other truths. Go.</w:t>
            </w:r>
          </w:p>
        </w:tc>
      </w:tr>
    </w:tbl>
    <w:p/>
    <w:p>
      <w:r>
        <w:t>This is closely related to tuple-space systems such as Linda: independent processes coordinate through associative shared state rather than direct correspondence. FrogNet uses a three-coordinate address as its conventional contract. The coordinates are caller-defined indices, not a globally imposed application schema. A value can be structured JSON or another representation appropriate to the implementation.</w:t>
      </w:r>
    </w:p>
    <w:p>
      <w:pPr>
        <w:pStyle w:val="Code"/>
      </w:pPr>
      <w:r>
        <w:t>Memory.Write(index1, index2, index3, value)</w:t>
        <w:br/>
        <w:t>Memory.Read(index1?, index2?, index3?, after=...)</w:t>
        <w:br/>
        <w:t>Memory.Remove(index1?, index2?, index3?)</w:t>
      </w:r>
    </w:p>
    <w:p>
      <w:r>
        <w:t>Reads may use partial indices, allowing an application to ask for a class of state rather than for a particular peer. Blocking reads can wait for state newer than a known generation. The application therefore expresses what state it needs, not who should send it.</w:t>
      </w:r>
    </w:p>
    <w:p>
      <w:pPr>
        <w:pStyle w:val="Heading1"/>
      </w:pPr>
      <w:r>
        <w:t>3. Identity, ordering, and ownership</w:t>
      </w:r>
    </w:p>
    <w:p>
      <w:r>
        <w:t>The tuple address identifies state. It does not identify a network route. A useful application schema may choose coordinates such as application, object type, and object identity; program, variable, and user; condition, location, and sensor; or any other domain-specific indexing convention.</w:t>
      </w:r>
    </w:p>
    <w:p>
      <w:r>
        <w:t>A recurring design rule is that writers own their truths. When possible, each participant writes only the object or tuple representing facts it is authoritative for. Other participants read those facts and compute their own results. Where a single resolved truth is required, an application can introduce a governing writer: participants publish intent, the governor validates or resolves it, and everyone reads the resolved object.</w:t>
      </w:r>
    </w:p>
    <w:p>
      <w:r>
        <w:t>Ordering is part of the contract where it matters. Testing exposed a Python listener defect in which unacknowledged requests from one session could execute out of arrival order. The implementation was changed so requests within a session execute in arrival order, with only a held blocking read allowed to be parked aside. That distinction is important: concurrency is not permission to reorder a session's writes.</w:t>
      </w:r>
    </w:p>
    <w:p>
      <w:pPr>
        <w:pStyle w:val="Heading1"/>
      </w:pPr>
      <w:r>
        <w:t>4. Two state semantics: latest value and every generation</w:t>
      </w:r>
    </w:p>
    <w:p>
      <w:r>
        <w:t>Network shared RAM must distinguish two fundamentally different application requirements. Treating them as one workload produces misleading benchmarks and bad architecture.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Semantic class</w:t>
            </w:r>
          </w:p>
        </w:tc>
        <w:tc>
          <w:tcPr>
            <w:tcW w:type="dxa" w:w="2520"/>
            <w:shd w:fill="D9EAF7"/>
            <w:vAlign w:val="center"/>
          </w:tcPr>
          <w:p>
            <w:r>
              <w:rPr>
                <w:b/>
              </w:rPr>
              <w:t>Meaning</w:t>
            </w:r>
          </w:p>
        </w:tc>
        <w:tc>
          <w:tcPr>
            <w:tcW w:type="dxa" w:w="2520"/>
            <w:shd w:fill="D9EAF7"/>
            <w:vAlign w:val="center"/>
          </w:tcPr>
          <w:p>
            <w:r>
              <w:rPr>
                <w:b/>
              </w:rPr>
              <w:t>Expected overload behavior</w:t>
            </w:r>
          </w:p>
        </w:tc>
        <w:tc>
          <w:tcPr>
            <w:tcW w:type="dxa" w:w="2520"/>
            <w:shd w:fill="D9EAF7"/>
            <w:vAlign w:val="center"/>
          </w:tcPr>
          <w:p>
            <w:r>
              <w:rPr>
                <w:b/>
              </w:rPr>
              <w:t>Typical use</w:t>
            </w:r>
          </w:p>
        </w:tc>
      </w:tr>
      <w:tr>
        <w:tc>
          <w:tcPr>
            <w:tcW w:type="dxa" w:w="2520"/>
            <w:vAlign w:val="top"/>
          </w:tcPr>
          <w:p>
            <w:r>
              <w:t>Latest value</w:t>
            </w:r>
          </w:p>
        </w:tc>
        <w:tc>
          <w:tcPr>
            <w:tcW w:type="dxa" w:w="2520"/>
            <w:vAlign w:val="top"/>
          </w:tcPr>
          <w:p>
            <w:r>
              <w:t>The current truth matters; intermediate generations may be superseded.</w:t>
            </w:r>
          </w:p>
        </w:tc>
        <w:tc>
          <w:tcPr>
            <w:tcW w:type="dxa" w:w="2520"/>
            <w:vAlign w:val="top"/>
          </w:tcPr>
          <w:p>
            <w:r>
              <w:t>Readers may skip intermediate generations while still converging on the newest state.</w:t>
            </w:r>
          </w:p>
        </w:tc>
        <w:tc>
          <w:tcPr>
            <w:tcW w:type="dxa" w:w="2520"/>
            <w:vAlign w:val="top"/>
          </w:tcPr>
          <w:p>
            <w:r>
              <w:t>Position, presence, current sensor state, live control state.</w:t>
            </w:r>
          </w:p>
        </w:tc>
      </w:tr>
      <w:tr>
        <w:tc>
          <w:tcPr>
            <w:tcW w:type="dxa" w:w="2520"/>
            <w:vAlign w:val="top"/>
          </w:tcPr>
          <w:p>
            <w:r>
              <w:t>Distinct state</w:t>
            </w:r>
          </w:p>
        </w:tc>
        <w:tc>
          <w:tcPr>
            <w:tcW w:type="dxa" w:w="2520"/>
            <w:vAlign w:val="top"/>
          </w:tcPr>
          <w:p>
            <w:r>
              <w:t>Every generation matters and must remain independently observable.</w:t>
            </w:r>
          </w:p>
        </w:tc>
        <w:tc>
          <w:tcPr>
            <w:tcW w:type="dxa" w:w="2520"/>
            <w:vAlign w:val="top"/>
          </w:tcPr>
          <w:p>
            <w:r>
              <w:t>Backlog and latency grow when offered load exceeds sustainable service capacity; dropping a generation is a correctness failure.</w:t>
            </w:r>
          </w:p>
        </w:tc>
        <w:tc>
          <w:tcPr>
            <w:tcW w:type="dxa" w:w="2520"/>
            <w:vAlign w:val="top"/>
          </w:tcPr>
          <w:p>
            <w:r>
              <w:t>Transactions, events requiring exact accounting, durable commands, audit-relevant state.</w:t>
            </w:r>
          </w:p>
        </w:tc>
      </w:tr>
    </w:tbl>
    <w:p>
      <w:r>
        <w:t>This distinction is not merely performance tuning. It is part of application semantics. A latest-value cell is allowed to replace its previous contents. A distinct-state workload uses unique cells or identities so replacement cannot hide a missing generation.</w:t>
      </w:r>
    </w:p>
    <w:p>
      <w:pPr>
        <w:pStyle w:val="Heading1"/>
      </w:pPr>
      <w:r>
        <w:t>5. The implementation family</w:t>
      </w:r>
    </w:p>
    <w:p>
      <w:r>
        <w:t>FrogNet RAM is an application contract, not a mandate for one storage engine. Several implementations can present the same memory semantics while making different engineering tradeoffs.</w:t>
      </w:r>
    </w:p>
    <w:p>
      <w:pPr>
        <w:pStyle w:val="Heading2"/>
      </w:pPr>
      <w:r>
        <w:t>5.1 Transient C++ RAM</w:t>
      </w:r>
    </w:p>
    <w:p>
      <w:r>
        <w:t>The C++ RAM implementation is intended for high-rate transient machine state. It holds state directly in memory and uses a compact persistent wire session. A client can maintain a blocking reader while writes proceed independently, avoiding the classic problem in which a held read prevents the same participant from publishing.</w:t>
      </w:r>
    </w:p>
    <w:p>
      <w:r>
        <w:t>Recent contention work found that a naive implementation that linearly scanned hundreds of thousands of cells caused readers and removals to starve writers. The server was changed to index memory by write order so read/remove cost is proportional to returned data rather than total population. This is representative of the qualification process: pathological results are treated as implementation findings, not explained away.</w:t>
      </w:r>
    </w:p>
    <w:p>
      <w:pPr>
        <w:pStyle w:val="Heading2"/>
      </w:pPr>
      <w:r>
        <w:t>5.2 Database-backed RAM</w:t>
      </w:r>
    </w:p>
    <w:p>
      <w:r>
        <w:t>A PHP/MariaDB-backed implementation presents the same broad memory idea while making persistence the primary tradeoff. It is much slower than the C++ transient implementation under machine-rate contention, but it retains state across server restart and is appropriate for workloads where durability matters more than very high update rate.</w:t>
      </w:r>
    </w:p>
    <w:p>
      <w:r>
        <w:t>This is an important architectural point: 'network shared RAM' does not mean volatile storage only. RAM describes the programming surface. A backing store can be used when the application or vendor requires persistence.</w:t>
      </w:r>
    </w:p>
    <w:p>
      <w:pPr>
        <w:pStyle w:val="Heading2"/>
      </w:pPr>
      <w:r>
        <w:t>5.3 Python and C++ client libraries</w:t>
      </w:r>
    </w:p>
    <w:p>
      <w:r>
        <w:t>The application-facing client has been implemented independently in Python and C++. Both speak the same Memory and Plane contracts. Cross-language tests have exchanged Memory messages and Plane publications in both directions. The C++ library supports writes, partial-index reads including blocking reads, removals, and Plane publication/reading. A persistent session uses sequence numbers to associate replies with requests.</w:t>
      </w:r>
    </w:p>
    <w:p>
      <w:r>
        <w:t>FrogChat exists in both Python and C++. In testing, C++ and Python participants shared presence and messages through the same memory, including cross-posting and cleanup of presence cells. The point of this test is not chat as a product; it is that independently implemented applications can share the same state contract without application-level networking code.</w:t>
      </w:r>
    </w:p>
    <w:p>
      <w:pPr>
        <w:pStyle w:val="Heading2"/>
      </w:pPr>
      <w:r>
        <w:t>5.4 The Plane</w:t>
      </w:r>
    </w:p>
    <w:p>
      <w:r>
        <w:t>Some state is too large, too frequent, or too perishable to queue like ordinary Memory. FrogNet therefore has a Plane for ephemeral payloads where current data is useful and stale data may be actively harmful. The current fast-plane design includes a server-side one-to-many reflector: a publisher writes a named current-value stream and the reflector fans it out over kept subscriber connections. Publication is send-or-drop rather than queue-and-replay; if a value cannot be sent now, it is discarded and the next generation supersedes it. Nothing in the reflector needs to retain a history. This bounds staleness instead of allowing overload to become an ever-growing backlog. The existing Plane and Communicator establish the underlying latest-generation/send-or-drop behavior. A standalone reflector server and client have since been implemented and pass an oracle covering one-to-many fan-out, stream isolation, per-publisher order, late-join (nothing stored), unsubscribe, and reflection latency; the public benchmark rendezvous launches this reflector alongside the RAM per session.</w:t>
      </w:r>
    </w:p>
    <w:p>
      <w:r>
        <w:t>The tensor-plane work extends this model to large tensors. A C ABI and ctypes shim reproduce the Python tensor-plane contract, including identity reads, SAME responses based on digest agreement, DATA, GONE reasons, blocking wait/wakeup, and expiration. Python-to-C++, C++-to-Python, Python-to-Python, and C++-to-C++ pairings have passed the interoperation checks described in the development record.</w:t>
      </w:r>
    </w:p>
    <w:p>
      <w:r>
        <w:t>For a 16.9 MB loopback tensor in the one-core sandbox, early measurements showed that verified read cost was dominated by CRC work rather than by the Python/C++ language boundary. Zero-copy publication and optional verification materially changed local cost. Those figures are characterization of that environment, not universal throughput claims.</w:t>
      </w:r>
    </w:p>
    <w:p>
      <w:pPr>
        <w:pStyle w:val="Heading1"/>
      </w:pPr>
      <w:r>
        <w:t>6. Public shared Memory and vendor-defined application Memory</w:t>
      </w:r>
    </w:p>
    <w:p>
      <w:r>
        <w:t>The most useful way to layer the application experience is to separate the common public contract from the domain-specific API a vendor chooses to expose.</w:t>
      </w:r>
    </w:p>
    <w:p>
      <w:pPr>
        <w:pStyle w:val="Heading2"/>
      </w:pPr>
      <w:r>
        <w:t>6.1 The common public contract</w:t>
      </w:r>
    </w:p>
    <w:p>
      <w:r>
        <w:t>At the lowest application-visible level, FrogNet provides a well-known shared-memory service with a small stable contract: write state at an address, read state by full or partial address, optionally wait for newer state, and remove state when the semantics require it. This common contract is what allows generic tools, language libraries, qualification suites, discovery, and administration to work across applications.</w:t>
      </w:r>
    </w:p>
    <w:p>
      <w:r>
        <w:t>The three-coordinate tuple space is strongly recommended because it gives the ecosystem a common addressing model while leaving coordinate meaning to the application. It is a contract, not a universal schema.</w:t>
      </w:r>
    </w:p>
    <w:p>
      <w:pPr>
        <w:pStyle w:val="Heading2"/>
      </w:pPr>
      <w:r>
        <w:t>6.2 Vendor-defined API at a well-known location</w:t>
      </w:r>
    </w:p>
    <w:p>
      <w:r>
        <w:t>A vendor does not have to expose raw tuples to application developers. The vendor can publish an application-specific API at a well-known location, for example a domain-specific service such as databasehost.vendor.example. That API can translate domain queries and objects into the underlying shared-memory operations.</w:t>
      </w:r>
    </w:p>
    <w:p>
      <w:r>
        <w:t>For example, an application may ask for all locations satisfying a condition rather than manually constructing tuple queries. The vendor's API can apply restrictions, read the appropriate memory, and return the domain result. The schema, object hierarchy, classes, containers, indices, and level of indirection are vendor choices.</w:t>
      </w:r>
    </w:p>
    <w:p>
      <w:r>
        <w:t>This means the public experience can remain simple while sophisticated applications expose object-oriented or domain-specific views. A vendor might model a facility containing rooms containing devices, or a simulation containing worlds, karts, and state containers. Those objects can ultimately resolve to shared-memory addresses without forcing every application developer to reason in raw tuples.</w:t>
      </w:r>
    </w:p>
    <w:p>
      <w:pPr>
        <w:pStyle w:val="Heading2"/>
      </w:pPr>
      <w:r>
        <w:t>6.3 Storage and lifetime are also vendor policy</w:t>
      </w:r>
    </w:p>
    <w:p>
      <w:r>
        <w:t>The vendor can choose whether an application's memory is long-term database-backed state, short-term ephemeral RAM, Plane data, or a mixture. The vendor is also responsible for defining minimum requirements, split/merge behavior, disconnected operation, retention, authority, and what happens when Internet connectivity disappears.</w:t>
      </w:r>
    </w:p>
    <w:p>
      <w:r>
        <w:t>That is a major difference from treating FrogNet RAM as a single distributed key/value product. The common substrate supplies addressable shared state. The application vendor defines the domain model and lifecycle appropriate to the application.</w:t>
      </w:r>
    </w:p>
    <w:p>
      <w:pPr>
        <w:pStyle w:val="Heading1"/>
      </w:pPr>
      <w:r>
        <w:t xml:space="preserve">7. Vendor-operated shared memory as an Internet service</w:t>
      </w:r>
    </w:p>
    <w:p>
      <w:r>
        <w:t xml:space="preserve">The vendor-defined API of the previous section is not merely a convenience layer over the tuple space. It is the basis for a distinct deployment: a vendor can operate an application-defined shared memory as a service on the public Internet, owning the object model, schema, authority, persistence, and lifecycle, over a common substrate that remains independently qualifiable and plannable. This is the primary way the model is expected to be used in production, and it is worth stating as its own claim because it is what network shared RAM is for.</w:t>
      </w:r>
    </w:p>
    <w:p>
      <w:r>
        <w:t xml:space="preserve">In this arrangement the vendor stands up their own shared memory at their own well-known location, for example databasehost.vendor.example, and defines what that memory contains and how it behaves. A facility of rooms containing devices, a simulation of worlds containing karts and state containers, a fleet of field sensors, an inventory, a game world: each is published as addressable shared state that the vendor's authorized participants read and write from anywhere, in the terms the vendor chose. The application developer writes no networking. The vendor writes no message protocol. Coordination is reading and writing shared state, and the state lives at a public address the vendor controls.</w:t>
      </w:r>
    </w:p>
    <w:p>
      <w:pPr>
        <w:pStyle w:val="Heading2"/>
      </w:pPr>
      <w:r>
        <w:t xml:space="preserve">7.1 What the vendor owns, and what the substrate provides</w:t>
      </w:r>
    </w:p>
    <w:p>
      <w:r>
        <w:t xml:space="preserve">The division of responsibility is the point. The vendor owns everything domain-specific: the object hierarchy and schema, which participant is authoritative for which state, validation and resolution of conflicting intent, retention and persistence policy, access control, and behavior under partition or disconnection. The substrate provides everything domain-independent: the addressable memory contract, the wire and its compression, the latest-value and distinct-state semantics, the blocking read, the fast-plane reflector for high-rate current-value traffic, and, because it is the same substrate everywhere, qualification, characterization, and capacity planning. A vendor's production shared memory therefore self-describes its operating envelope exactly as any host does: the same frogbench qualifies it, the same envelope rules bound it, and the same planner tests a proposed workload against it.</w:t>
      </w:r>
    </w:p>
    <w:p>
      <w:pPr>
        <w:pStyle w:val="Heading2"/>
      </w:pPr>
      <w:r>
        <w:t xml:space="preserve">7.2 The public demo is the on-ramp to the vendor model</w:t>
      </w:r>
    </w:p>
    <w:p>
      <w:r>
        <w:t xml:space="preserve">The public rendezvous at fawcettinnovations.com and the vendor-operated service are the same mechanism at two lifetimes and two owners. The rendezvous launches transient, unowned, password-gated demo memory keyed by a throwaway word, so that a stranger can prove their own machine can FrogNet against an anonymous scratch memory. The vendor service is the durable, owned, application-defined version of that same launch: a company runs a production shared memory for its application and its customers, at its own address, on its own terms, for as long as it chooses. One is a scratch memory that frees itself on idle; the other is infrastructure. The demo is how a prospective vendor reaches the vendor model, not a separate thing.</w:t>
      </w:r>
    </w:p>
    <w:p>
      <w:pPr>
        <w:pStyle w:val="Heading2"/>
      </w:pPr>
      <w:r>
        <w:t xml:space="preserve">7.3 Interoperability makes it an ecosystem, not a product</w:t>
      </w:r>
    </w:p>
    <w:p>
      <w:r>
        <w:t xml:space="preserve">Because the Python and C++ client libraries agree on the contract byte for byte, a vendor's shared memory is reachable by a client the vendor did not write, in either language, on Linux or Windows. The vendor defines the memory; the ecosystem supplies the clients. This is the difference between a shared-memory service and a proprietary key/value product: the vendor is not shipping a client library and a protocol for customers to integrate against, but publishing an application-defined memory that any conforming client can already read and write. New application behavior is new addresses in that memory, so a vendor ships new capability without a coordinated client and server release, and old and new clients share one memory at once, as demonstrated when the chat gained presence and multi-recipient addressing with no server change at all.</w:t>
      </w:r>
    </w:p>
    <w:p>
      <w:r>
        <w:t xml:space="preserve">The consequence for the objection this document answers is direct. The claim that network shared memory will not work in practice has to contend not only with a running contract and a measurable envelope, but with the specific, ordinary proposition that a vendor can put an application's shared state on the Internet, own its rules, and have it qualified and planned like any other piece of infrastructure. That is not an argument. It is a deployment.</w:t>
      </w:r>
    </w:p>
    <w:p>
      <w:pPr>
        <w:pStyle w:val="Heading1"/>
      </w:pPr>
      <w:r>
        <w:t>8. How this differs from a conventional distributed key/value store</w:t>
      </w:r>
    </w:p>
    <w:p>
      <w:r>
        <w:t>At the storage primitive level, a FrogNet tuple can resemble a key/value entry. The architectural difference is the role assigned to that primitive. A conventional distributed application often uses a key/value database as one component while still retaining application-level peer identities, services, request flows, brokers, RPCs, queues, and topology-aware orchestration. FrogNet's goal is to make shared state itself the coordination surface.</w:t>
      </w:r>
    </w:p>
    <w:p>
      <w:r>
        <w:t>The meaningful comparison is therefore not whether both systems can store a key and value. They can. The question is whether the application is still written as communicating services that happen to use a store, or as independent participants that publish and observe shared truths.</w:t>
      </w:r>
    </w:p>
    <w:tbl>
      <w:tblPr>
        <w:tblStyle w:val="TableGrid"/>
        <w:tblW w:type="auto" w:w="0"/>
        <w:tblLook w:firstColumn="1" w:firstRow="1" w:lastColumn="0" w:lastRow="0" w:noHBand="0" w:noVBand="1" w:val="04A0"/>
      </w:tblPr>
      <w:tblGrid>
        <w:gridCol w:w="10080"/>
      </w:tblGrid>
      <w:tr>
        <w:tc>
          <w:tcPr>
            <w:tcW w:type="dxa" w:w="10080"/>
            <w:shd w:fill="F3F6F8"/>
          </w:tcPr>
          <w:p>
            <w:r>
              <w:rPr>
                <w:b/>
              </w:rPr>
              <w:t xml:space="preserve">Design test: </w:t>
            </w:r>
            <w:r>
              <w:t>If application code needs to ask 'which peer do I send this to?' or 'how do these two parties agree?', the design is probably drifting back toward message choreography rather than using shared Memory as the coordination model.</w:t>
            </w:r>
          </w:p>
        </w:tc>
      </w:tr>
    </w:tbl>
    <w:p/>
    <w:p>
      <w:pPr>
        <w:pStyle w:val="Heading1"/>
      </w:pPr>
      <w:r>
        <w:t>9. Demonstrated application uses</w:t>
      </w:r>
    </w:p>
    <w:p>
      <w:pPr>
        <w:pStyle w:val="Heading2"/>
      </w:pPr>
      <w:r>
        <w:t>8.1 FrogChat</w:t>
      </w:r>
    </w:p>
    <w:p>
      <w:r>
        <w:t>FrogChat is the simplest direct demonstration of the programming model. Presence is shared state. A message is written into shared Memory addressed by application/user semantics. Readers discover and consume state without establishing application-level sessions with one another. Python and C++ versions have interoperated against the same RAM. The chat has also run across the real Internet between AI-Host and the public droplet.</w:t>
      </w:r>
    </w:p>
    <w:p>
      <w:pPr>
        <w:pStyle w:val="Heading2"/>
      </w:pPr>
      <w:r>
        <w:t>8.2 Communicator</w:t>
      </w:r>
    </w:p>
    <w:p>
      <w:r>
        <w:t>The Communicator uses shared Memory for coordination and a fast current-value media path that is the operational precedent for the reflector model. The application has demonstrated geographically distributed operation, including a path involving Seattle and New York and a 900 MHz radio segment. Audio and video are handled according to their semantics; video is sliced, including keyframes, so current or higher-priority data can supersede stale work rather than being trapped behind it. Generalized for an application, the server-side reflector is a named one-to-many fast-plane component: one publisher feeds the current stream and subscribers receive what can be sent now, while unsent stale generations are discarded rather than queued.</w:t>
      </w:r>
    </w:p>
    <w:p>
      <w:r>
        <w:t>This is the same conceptual reason the Plane exists: live data should not necessarily inherit reliable queue semantics. For real-time state, a stale generation can be worse than a dropped one.</w:t>
      </w:r>
    </w:p>
    <w:p>
      <w:pPr>
        <w:pStyle w:val="Heading2"/>
      </w:pPr>
      <w:r>
        <w:t>8.3 Distributed actuation</w:t>
      </w:r>
    </w:p>
    <w:p>
      <w:r>
        <w:t>A physical lamp in New York has been controlled from state originating through Seattle, demonstrating that the shared-state model is not limited to software-only examples. The application-level operation is a state change; the distribution mechanism is the platform's responsibility.</w:t>
      </w:r>
    </w:p>
    <w:p>
      <w:pPr>
        <w:pStyle w:val="Heading2"/>
      </w:pPr>
      <w:r>
        <w:t>8.4 Games and governed Memory</w:t>
      </w:r>
    </w:p>
    <w:p>
      <w:r>
        <w:t>Games demonstrate the case where shared Memory still requires authority. Participants write their own intent. A governing engine validates that intent and becomes the single writer of the resolved game state. Players read the board/state rather than sending moves directly to one another. This preserves an authoritative truth without forcing peer-to-peer application messaging.</w:t>
      </w:r>
    </w:p>
    <w:p>
      <w:pPr>
        <w:pStyle w:val="Heading2"/>
      </w:pPr>
      <w:r>
        <w:t>8.5 SuperTuxKart integration work</w:t>
      </w:r>
    </w:p>
    <w:p>
      <w:r>
        <w:t>The current SuperTuxKart experiment is intended to test how much conventional game-networking code can disappear when the application is re-expressed as shared state. Instrumentation has been built to compare stock and modified runs by tick and kart, recording position, rotation, linear and angular velocity, speed, steering, energy, and finish state.</w:t>
      </w:r>
    </w:p>
    <w:p>
      <w:r>
        <w:t>The intended split is object/control state in Memory and fast kinematics in Plane. The experiment is not yet a completed STK qualification; the validator framework exists, but the full physical-machine integration still requires compilation and execution.</w:t>
      </w:r>
    </w:p>
    <w:p>
      <w:pPr>
        <w:pStyle w:val="Heading2"/>
      </w:pPr>
      <w:r>
        <w:t>8.6 PyTorch / Psychedelic FrogTorch</w:t>
      </w:r>
    </w:p>
    <w:p>
      <w:r>
        <w:t>The PyTorch experiment asks a deeper question: are some apparent constraints of distributed applications intrinsic, or are they artifacts of a message-oriented programming surface? A FrogNet backend implements collective behavior using shared state. A conservative implementation preserves PyTorch choreography; the more aggressive Psychedelic experiment changes what the application asks the network to do.</w:t>
      </w:r>
    </w:p>
    <w:p>
      <w:r>
        <w:t>The demonstrated collectives include all_reduce, barrier, broadcast, all_gather, and reduce. On a heterogeneous three-machine mesh, prior measurements placed Psychedelic all_reduce at roughly 1.47 to 1.77 times Gloo's per-element rate, centered near 1.60 times, while a single-machine baseline exposed a substantial local overhead. The current C++ tensor-plane Experiment A is deliberately isolating implementation cost from choreography: first reproduce the same result and hash, then compare timing.</w:t>
      </w:r>
    </w:p>
    <w:p>
      <w:pPr>
        <w:pStyle w:val="Heading1"/>
      </w:pPr>
      <w:r>
        <w:t>10. Qualification: does the contract work?</w:t>
      </w:r>
    </w:p>
    <w:p>
      <w:r>
        <w:t>Qualification is intentionally separate from performance characterization. Qualification asks whether the implementation satisfies the required semantics under a stated condition. Characterization asks where its limits lie.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Area</w:t>
            </w:r>
          </w:p>
        </w:tc>
        <w:tc>
          <w:tcPr>
            <w:tcW w:type="dxa" w:w="3360"/>
            <w:shd w:fill="D9EAF7"/>
            <w:vAlign w:val="center"/>
          </w:tcPr>
          <w:p>
            <w:r>
              <w:rPr>
                <w:b/>
              </w:rPr>
              <w:t>Current status</w:t>
            </w:r>
          </w:p>
        </w:tc>
        <w:tc>
          <w:tcPr>
            <w:tcW w:type="dxa" w:w="3360"/>
            <w:shd w:fill="D9EAF7"/>
            <w:vAlign w:val="center"/>
          </w:tcPr>
          <w:p>
            <w:r>
              <w:rPr>
                <w:b/>
              </w:rPr>
              <w:t>What it establishes</w:t>
            </w:r>
          </w:p>
        </w:tc>
      </w:tr>
      <w:tr>
        <w:tc>
          <w:tcPr>
            <w:tcW w:type="dxa" w:w="3360"/>
            <w:vAlign w:val="top"/>
          </w:tcPr>
          <w:p>
            <w:r>
              <w:t>Real Internet application use</w:t>
            </w:r>
          </w:p>
        </w:tc>
        <w:tc>
          <w:tcPr>
            <w:tcW w:type="dxa" w:w="3360"/>
            <w:vAlign w:val="top"/>
          </w:tcPr>
          <w:p>
            <w:r>
              <w:t>Tested</w:t>
            </w:r>
          </w:p>
        </w:tc>
        <w:tc>
          <w:tcPr>
            <w:tcW w:type="dxa" w:w="3360"/>
            <w:vAlign w:val="top"/>
          </w:tcPr>
          <w:p>
            <w:r>
              <w:t>FrogChat has operated across the real Internet between AI-Host and the public droplet.</w:t>
            </w:r>
          </w:p>
        </w:tc>
      </w:tr>
      <w:tr>
        <w:tc>
          <w:tcPr>
            <w:tcW w:type="dxa" w:w="3360"/>
            <w:vAlign w:val="top"/>
          </w:tcPr>
          <w:p>
            <w:r>
              <w:t>Latest-value semantics</w:t>
            </w:r>
          </w:p>
        </w:tc>
        <w:tc>
          <w:tcPr>
            <w:tcW w:type="dxa" w:w="3360"/>
            <w:vAlign w:val="top"/>
          </w:tcPr>
          <w:p>
            <w:r>
              <w:t>Tested on loopback under load</w:t>
            </w:r>
          </w:p>
        </w:tc>
        <w:tc>
          <w:tcPr>
            <w:tcW w:type="dxa" w:w="3360"/>
            <w:vAlign w:val="top"/>
          </w:tcPr>
          <w:p>
            <w:r>
              <w:t>Readers preserve required ordering/latest-state behavior while intermediate generations may be superseded by design.</w:t>
            </w:r>
          </w:p>
        </w:tc>
      </w:tr>
      <w:tr>
        <w:tc>
          <w:tcPr>
            <w:tcW w:type="dxa" w:w="3360"/>
            <w:vAlign w:val="top"/>
          </w:tcPr>
          <w:p>
            <w:r>
              <w:t>Distinct-state contention</w:t>
            </w:r>
          </w:p>
        </w:tc>
        <w:tc>
          <w:tcPr>
            <w:tcW w:type="dxa" w:w="3360"/>
            <w:vAlign w:val="top"/>
          </w:tcPr>
          <w:p>
            <w:r>
              <w:t>Tested on loopback</w:t>
            </w:r>
          </w:p>
        </w:tc>
        <w:tc>
          <w:tcPr>
            <w:tcW w:type="dxa" w:w="3360"/>
            <w:vAlign w:val="top"/>
          </w:tcPr>
          <w:p>
            <w:r>
              <w:t>Every generation was independently represented; tests check for missing, duplicate, and out-of-order sequences.</w:t>
            </w:r>
          </w:p>
        </w:tc>
      </w:tr>
      <w:tr>
        <w:tc>
          <w:tcPr>
            <w:tcW w:type="dxa" w:w="3360"/>
            <w:vAlign w:val="top"/>
          </w:tcPr>
          <w:p>
            <w:r>
              <w:t>Python/C++ interop</w:t>
            </w:r>
          </w:p>
        </w:tc>
        <w:tc>
          <w:tcPr>
            <w:tcW w:type="dxa" w:w="3360"/>
            <w:vAlign w:val="top"/>
          </w:tcPr>
          <w:p>
            <w:r>
              <w:t>Tested</w:t>
            </w:r>
          </w:p>
        </w:tc>
        <w:tc>
          <w:tcPr>
            <w:tcW w:type="dxa" w:w="3360"/>
            <w:vAlign w:val="top"/>
          </w:tcPr>
          <w:p>
            <w:r>
              <w:t>Independent client/server implementations agree on Memory and Plane contracts.</w:t>
            </w:r>
          </w:p>
        </w:tc>
      </w:tr>
      <w:tr>
        <w:tc>
          <w:tcPr>
            <w:tcW w:type="dxa" w:w="3360"/>
            <w:vAlign w:val="top"/>
          </w:tcPr>
          <w:p>
            <w:r>
              <w:t>Tensor-plane interop</w:t>
            </w:r>
          </w:p>
        </w:tc>
        <w:tc>
          <w:tcPr>
            <w:tcW w:type="dxa" w:w="3360"/>
            <w:vAlign w:val="top"/>
          </w:tcPr>
          <w:p>
            <w:r>
              <w:t>Tested in sandbox without torch-dependent read path</w:t>
            </w:r>
          </w:p>
        </w:tc>
        <w:tc>
          <w:tcPr>
            <w:tcW w:type="dxa" w:w="3360"/>
            <w:vAlign w:val="top"/>
          </w:tcPr>
          <w:p>
            <w:r>
              <w:t>Four Python/C++ server/client pairings agree on bytes, digest SAME, GONE reasons, wakeup, and expiry.</w:t>
            </w:r>
          </w:p>
        </w:tc>
      </w:tr>
      <w:tr>
        <w:tc>
          <w:tcPr>
            <w:tcW w:type="dxa" w:w="3360"/>
            <w:vAlign w:val="top"/>
          </w:tcPr>
          <w:p>
            <w:r>
              <w:t>Contention across physical network</w:t>
            </w:r>
          </w:p>
        </w:tc>
        <w:tc>
          <w:tcPr>
            <w:tcW w:type="dxa" w:w="3360"/>
            <w:vAlign w:val="top"/>
          </w:tcPr>
          <w:p>
            <w:r>
              <w:t>Not yet run</w:t>
            </w:r>
          </w:p>
        </w:tc>
        <w:tc>
          <w:tcPr>
            <w:tcW w:type="dxa" w:w="3360"/>
            <w:vAlign w:val="top"/>
          </w:tcPr>
          <w:p>
            <w:r>
              <w:t>run_bench.sh is designed to perform this qualification on physical hosts.</w:t>
            </w:r>
          </w:p>
        </w:tc>
      </w:tr>
      <w:tr>
        <w:tc>
          <w:tcPr>
            <w:tcW w:type="dxa" w:w="3360"/>
            <w:vAlign w:val="top"/>
          </w:tcPr>
          <w:p>
            <w:r>
              <w:t>Failure behavior</w:t>
            </w:r>
          </w:p>
        </w:tc>
        <w:tc>
          <w:tcPr>
            <w:tcW w:type="dxa" w:w="3360"/>
            <w:vAlign w:val="top"/>
          </w:tcPr>
          <w:p>
            <w:r>
              <w:t>Not yet qualified</w:t>
            </w:r>
          </w:p>
        </w:tc>
        <w:tc>
          <w:tcPr>
            <w:tcW w:type="dxa" w:w="3360"/>
            <w:vAlign w:val="top"/>
          </w:tcPr>
          <w:p>
            <w:r>
              <w:t>Listener kill, packet loss, restart, and recovery behavior still require explicit failure tests.</w:t>
            </w:r>
          </w:p>
        </w:tc>
      </w:tr>
    </w:tbl>
    <w:p>
      <w:r>
        <w:t>This scope matters. The present receipt supports the statement that network shared Memory works, including transient and database-backed implementation approaches, and that the contract can be exercised under contention. It does not yet claim that the contention qualification has been repeated across a real network path, nor that failure-prone behavior has been qualified.</w:t>
      </w:r>
    </w:p>
    <w:p>
      <w:pPr>
        <w:pStyle w:val="Heading1"/>
      </w:pPr>
      <w:r>
        <w:t>11. Characterization: how well does this host FrogNet?</w:t>
      </w:r>
    </w:p>
    <w:p>
      <w:r>
        <w:t>The characterization suite deliberately avoids publishing one universal FrogNet throughput number. It measures the actual host and workload semantics, then derives an operating envelope under an explicit policy.</w:t>
      </w:r>
    </w:p>
    <w:p>
      <w:pPr>
        <w:pStyle w:val="Heading2"/>
      </w:pPr>
      <w:r>
        <w:t>10.1 Measured dimensions</w:t>
      </w:r>
    </w:p>
    <w:p>
      <w:pPr>
        <w:pStyle w:val="ListBullet"/>
      </w:pPr>
      <w:r>
        <w:t>Distinct-state sustainable write rate where every generation matters.</w:t>
      </w:r>
    </w:p>
    <w:p>
      <w:pPr>
        <w:pStyle w:val="ListBullet"/>
      </w:pPr>
      <w:r>
        <w:t>Latest-value rate at which every generation remains observable.</w:t>
      </w:r>
    </w:p>
    <w:p>
      <w:pPr>
        <w:pStyle w:val="ListBullet"/>
      </w:pPr>
      <w:r>
        <w:t>Latest-value freshness under a p99 latency objective.</w:t>
      </w:r>
    </w:p>
    <w:p>
      <w:pPr>
        <w:pStyle w:val="ListBullet"/>
      </w:pPr>
      <w:r>
        <w:t>Blocking-reader concurrency under write pressure.</w:t>
      </w:r>
    </w:p>
    <w:p>
      <w:pPr>
        <w:pStyle w:val="ListBullet"/>
      </w:pPr>
      <w:r>
        <w:t>Payload size at which Memory should give way to Plane.</w:t>
      </w:r>
    </w:p>
    <w:p>
      <w:pPr>
        <w:pStyle w:val="ListBullet"/>
      </w:pPr>
      <w:r>
        <w:t>CPU, memory, receive-queue growth, retransmission, latency, and service behavior.</w:t>
      </w:r>
    </w:p>
    <w:p>
      <w:pPr>
        <w:pStyle w:val="ListBullet"/>
      </w:pPr>
      <w:r>
        <w:t>Path latency, jitter, timed connects, and bulk bandwidth.</w:t>
      </w:r>
    </w:p>
    <w:p>
      <w:pPr>
        <w:pStyle w:val="Heading2"/>
      </w:pPr>
      <w:r>
        <w:t>10.2 Policy is separate from measurement</w:t>
      </w:r>
    </w:p>
    <w:p>
      <w:r>
        <w:t>The envelope policy defines acceptable p99 delivery, freshness, skip fraction, CPU, receive-queue backlog, payload budget, and headroom. The rule engine finds the highest tested load that remains inside policy, requiring lower rungs to remain inside as well, then applies the configured headroom. The same raw measurements can therefore be reevaluated under a stricter or looser policy without rerunning the hardware.</w:t>
      </w:r>
    </w:p>
    <w:p>
      <w:pPr>
        <w:pStyle w:val="Heading2"/>
      </w:pPr>
      <w:r>
        <w:t>10.3 Sample one-core sandbox envelope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Rule</w:t>
            </w:r>
          </w:p>
        </w:tc>
        <w:tc>
          <w:tcPr>
            <w:tcW w:type="dxa" w:w="3360"/>
            <w:shd w:fill="D9EAF7"/>
            <w:vAlign w:val="center"/>
          </w:tcPr>
          <w:p>
            <w:r>
              <w:rPr>
                <w:b/>
              </w:rPr>
              <w:t>Sample recommendation</w:t>
            </w:r>
          </w:p>
        </w:tc>
        <w:tc>
          <w:tcPr>
            <w:tcW w:type="dxa" w:w="3360"/>
            <w:shd w:fill="D9EAF7"/>
            <w:vAlign w:val="center"/>
          </w:tcPr>
          <w:p>
            <w:r>
              <w:rPr>
                <w:b/>
              </w:rPr>
              <w:t>Interpretation</w:t>
            </w:r>
          </w:p>
        </w:tc>
      </w:tr>
      <w:tr>
        <w:tc>
          <w:tcPr>
            <w:tcW w:type="dxa" w:w="3360"/>
            <w:vAlign w:val="top"/>
          </w:tcPr>
          <w:p>
            <w:r>
              <w:t>Distinct state</w:t>
            </w:r>
          </w:p>
        </w:tc>
        <w:tc>
          <w:tcPr>
            <w:tcW w:type="dxa" w:w="3360"/>
            <w:vAlign w:val="top"/>
          </w:tcPr>
          <w:p>
            <w:r>
              <w:t>≤ 8,999 writes/s sustained</w:t>
            </w:r>
          </w:p>
        </w:tc>
        <w:tc>
          <w:tcPr>
            <w:tcW w:type="dxa" w:w="3360"/>
            <w:vAlign w:val="top"/>
          </w:tcPr>
          <w:p>
            <w:r>
              <w:t>50% of highest tested passing rung; next rung exceeded receive-queue policy.</w:t>
            </w:r>
          </w:p>
        </w:tc>
      </w:tr>
      <w:tr>
        <w:tc>
          <w:tcPr>
            <w:tcW w:type="dxa" w:w="3360"/>
            <w:vAlign w:val="top"/>
          </w:tcPr>
          <w:p>
            <w:r>
              <w:t>Latest value, every generation seen</w:t>
            </w:r>
          </w:p>
        </w:tc>
        <w:tc>
          <w:tcPr>
            <w:tcW w:type="dxa" w:w="3360"/>
            <w:vAlign w:val="top"/>
          </w:tcPr>
          <w:p>
            <w:r>
              <w:t>≤ 250 writes/s per pair</w:t>
            </w:r>
          </w:p>
        </w:tc>
        <w:tc>
          <w:tcPr>
            <w:tcW w:type="dxa" w:w="3360"/>
            <w:vAlign w:val="top"/>
          </w:tcPr>
          <w:p>
            <w:r>
              <w:t>No skips through 500/s; skips appeared at 1,000/s.</w:t>
            </w:r>
          </w:p>
        </w:tc>
      </w:tr>
      <w:tr>
        <w:tc>
          <w:tcPr>
            <w:tcW w:type="dxa" w:w="3360"/>
            <w:vAlign w:val="top"/>
          </w:tcPr>
          <w:p>
            <w:r>
              <w:t>Latest-value freshness</w:t>
            </w:r>
          </w:p>
        </w:tc>
        <w:tc>
          <w:tcPr>
            <w:tcW w:type="dxa" w:w="3360"/>
            <w:vAlign w:val="top"/>
          </w:tcPr>
          <w:p>
            <w:r>
              <w:t>Conservative recommendation from tested range</w:t>
            </w:r>
          </w:p>
        </w:tc>
        <w:tc>
          <w:tcPr>
            <w:tcW w:type="dxa" w:w="3360"/>
            <w:vAlign w:val="top"/>
          </w:tcPr>
          <w:p>
            <w:r>
              <w:t>Boundary was not reached; higher capacity may exist.</w:t>
            </w:r>
          </w:p>
        </w:tc>
      </w:tr>
      <w:tr>
        <w:tc>
          <w:tcPr>
            <w:tcW w:type="dxa" w:w="3360"/>
            <w:vAlign w:val="top"/>
          </w:tcPr>
          <w:p>
            <w:r>
              <w:t>Blocking readers under flat-out writers</w:t>
            </w:r>
          </w:p>
        </w:tc>
        <w:tc>
          <w:tcPr>
            <w:tcW w:type="dxa" w:w="3360"/>
            <w:vAlign w:val="top"/>
          </w:tcPr>
          <w:p>
            <w:r>
              <w:t>5 inside policy</w:t>
            </w:r>
          </w:p>
        </w:tc>
        <w:tc>
          <w:tcPr>
            <w:tcW w:type="dxa" w:w="3360"/>
            <w:vAlign w:val="top"/>
          </w:tcPr>
          <w:p>
            <w:r>
              <w:t>10-reader run exceeded receive-queue limit.</w:t>
            </w:r>
          </w:p>
        </w:tc>
      </w:tr>
      <w:tr>
        <w:tc>
          <w:tcPr>
            <w:tcW w:type="dxa" w:w="3360"/>
            <w:vAlign w:val="top"/>
          </w:tcPr>
          <w:p>
            <w:r>
              <w:t>Payload threshold</w:t>
            </w:r>
          </w:p>
        </w:tc>
        <w:tc>
          <w:tcPr>
            <w:tcW w:type="dxa" w:w="3360"/>
            <w:vAlign w:val="top"/>
          </w:tcPr>
          <w:p>
            <w:r>
              <w:t>&gt; 1.6 MiB use Plane</w:t>
            </w:r>
          </w:p>
        </w:tc>
        <w:tc>
          <w:tcPr>
            <w:tcW w:type="dxa" w:w="3360"/>
            <w:vAlign w:val="top"/>
          </w:tcPr>
          <w:p>
            <w:r>
              <w:t>Derived from measured Memory bandwidth and configured time budget.</w:t>
            </w:r>
          </w:p>
        </w:tc>
      </w:tr>
      <w:tr>
        <w:tc>
          <w:tcPr>
            <w:tcW w:type="dxa" w:w="3360"/>
            <w:vAlign w:val="top"/>
          </w:tcPr>
          <w:p>
            <w:r>
              <w:t>Maximum cell population</w:t>
            </w:r>
          </w:p>
        </w:tc>
        <w:tc>
          <w:tcPr>
            <w:tcW w:type="dxa" w:w="3360"/>
            <w:vAlign w:val="top"/>
          </w:tcPr>
          <w:p>
            <w:r>
              <w:t>Not measured</w:t>
            </w:r>
          </w:p>
        </w:tc>
        <w:tc>
          <w:tcPr>
            <w:tcW w:type="dxa" w:w="3360"/>
            <w:vAlign w:val="top"/>
          </w:tcPr>
          <w:p>
            <w:r>
              <w:t>The tool reports absence rather than estimating.</w:t>
            </w:r>
          </w:p>
        </w:tc>
      </w:tr>
    </w:tbl>
    <w:tbl>
      <w:tblPr>
        <w:tblStyle w:val="TableGrid"/>
        <w:tblW w:type="auto" w:w="0"/>
        <w:tblLook w:firstColumn="1" w:firstRow="1" w:lastColumn="0" w:lastRow="0" w:noHBand="0" w:noVBand="1" w:val="04A0"/>
      </w:tblPr>
      <w:tblGrid>
        <w:gridCol w:w="10080"/>
      </w:tblGrid>
      <w:tr>
        <w:tc>
          <w:tcPr>
            <w:tcW w:type="dxa" w:w="10080"/>
            <w:shd w:fill="F3F6F8"/>
          </w:tcPr>
          <w:p>
            <w:r>
              <w:rPr>
                <w:b/>
              </w:rPr>
              <w:t xml:space="preserve">Important: </w:t>
            </w:r>
            <w:r>
              <w:t>These are one-core sandbox results. They are reference measurements, not portable FrogNet limits. The rules and methodology are intended to carry to other hosts; the absolute values are expected to change.</w:t>
            </w:r>
          </w:p>
        </w:tc>
      </w:tr>
    </w:tbl>
    <w:p/>
    <w:p>
      <w:pPr>
        <w:pStyle w:val="Heading1"/>
      </w:pPr>
      <w:r>
        <w:t>12. The LilyPad planner</w:t>
      </w:r>
    </w:p>
    <w:p>
      <w:r>
        <w:t>The first planner, tools/lilypad_plan.py, consumes a workload specification and measured envelopes. It performs arithmetic against measured limits rather than inventing interpretations. Its three verdicts are Inside, Exceeds, and Not established.</w:t>
      </w:r>
    </w:p>
    <w:p>
      <w:r>
        <w:t>The third verdict is essential. If a workload requires 300 blocking readers but the qualification only established behavior for a much smaller, more hostile all-writers-flat-out case, the planner does not convert that absence of evidence into either a pass or a failure. It says the requirement is not established and identifies the measurement needed to close the gap.</w:t>
      </w:r>
    </w:p>
    <w:p>
      <w:r>
        <w:t>For a 300-device example with 20 current-state updates/s, 2 persistent updates/s, and 50 KB/s bulk per device, the planner can separately evaluate transient Memory, latest-value rate, blocking readers, persistent target capacity, and bulk path capacity. At a larger 3,000-device scale, it can identify that most write load is replaceable current state and recommend moving that class to Plane, or calculate a per-device bulk rate that fits the measured path.</w:t>
      </w:r>
    </w:p>
    <w:p>
      <w:r>
        <w:t>This produces a clean chain: qualification determines whether a contract holds; characterization finds measured limits; policy selects an acceptable operating region; planning tests a proposed workload against that region.</w:t>
      </w:r>
    </w:p>
    <w:p>
      <w:pPr>
        <w:pStyle w:val="Heading1"/>
      </w:pPr>
      <w:r>
        <w:t>13. Toward a self-contained public benchmark and demo</w:t>
      </w:r>
    </w:p>
    <w:p>
      <w:r>
        <w:t>The benchmark can itself become a FrogNet application and demonstration rather than merely a collection of scripts.</w:t>
      </w:r>
    </w:p>
    <w:p>
      <w:pPr>
        <w:pStyle w:val="Heading2"/>
      </w:pPr>
      <w:r>
        <w:t>12.1 Public benchmark RAM launcher</w:t>
      </w:r>
    </w:p>
    <w:p>
      <w:r>
        <w:t>A launcher at fawcettinnovations.com can create a named, password- or credential-protected benchmark session. The current design launches two transient server-side processes for that session: a RAM for structured shared state, discovery, coordination, barriers, and results; and a reflector for high-rate current-value traffic. Participants that create or join the same named session receive the endpoints for both components. The public service is only the rendezvous/launcher: discovery and benchmark coordination occur through the shared RAM being tested, while workloads whose semantics are current-value/send-or-drop use the reflector. The RAM side is represented by the current benchmark machinery, and the rendezvous now launches the paired reflector alongside the RAM per session and returns both endpoints; a live tag returns both ports, and stopping or idle-expiring a session frees both.</w:t>
      </w:r>
    </w:p>
    <w:p>
      <w:pPr>
        <w:pStyle w:val="Code"/>
      </w:pPr>
      <w:r>
        <w:t>frogbench --create &lt;name&gt; [credential]</w:t>
        <w:br/>
        <w:t>frogbench --ram &lt;name&gt; [credential]</w:t>
        <w:br/>
        <w:t>frogbench --ram &lt;name&gt; [credential] --discovery</w:t>
      </w:r>
    </w:p>
    <w:p>
      <w:pPr>
        <w:pStyle w:val="Heading2"/>
      </w:pPr>
      <w:r>
        <w:t>12.2 Standalone mode</w:t>
      </w:r>
    </w:p>
    <w:p>
      <w:r>
        <w:t>Against a single RAM target, the executable can run the qualification and characterization suite and answer the simple question: can this target FrogNet, and how well under the selected policy?</w:t>
      </w:r>
    </w:p>
    <w:p>
      <w:pPr>
        <w:pStyle w:val="Heading2"/>
      </w:pPr>
      <w:r>
        <w:t>12.3 Discovery mode through shared Memory</w:t>
      </w:r>
    </w:p>
    <w:p>
      <w:r>
        <w:t>With discovery enabled, benchmark participants discover one another through the shared Memory itself. There is no separate application discovery protocol. Each participant publishes presence and capabilities into the benchmark RAM and reads the other participants from that same RAM.</w:t>
      </w:r>
    </w:p>
    <w:p>
      <w:r>
        <w:t>The benchmark can then coordinate multi-host tests through the mechanism it is demonstrating: participant-to-RAM behavior, all-participant contention, path measurements, topology-specific workloads, and eventually controlled failure experiments. The benchmark therefore becomes a temporary self-organizing FrogNet application.</w:t>
      </w:r>
    </w:p>
    <w:p>
      <w:pPr>
        <w:pStyle w:val="Heading2"/>
      </w:pPr>
      <w:r>
        <w:t>12.4 Simulator integration</w:t>
      </w:r>
    </w:p>
    <w:p>
      <w:r>
        <w:t>Measured host and path profiles feed the simulator. Rather than selecting a generic 'WAN' or 'slow network' preset, the simulator can model the machines and paths that just participated in the benchmark. This supports the loop: measure, profile, specify workload, simulate, recommend configuration, deploy, and measure again.</w:t>
      </w:r>
    </w:p>
    <w:p>
      <w:pPr>
        <w:pStyle w:val="Heading1"/>
      </w:pPr>
      <w:r>
        <w:t>14. What the administrator should eventually be able to ask</w:t>
      </w:r>
    </w:p>
    <w:p>
      <w:r>
        <w:t>The end state is not a table saying FrogNet supports N users. It is a system that can answer configuration questions from empirical profiles.</w:t>
      </w:r>
    </w:p>
    <w:p>
      <w:pPr>
        <w:pStyle w:val="ListBullet"/>
      </w:pPr>
      <w:r>
        <w:t>This is my current LilyPad. What workloads are safely inside its measured envelope?</w:t>
      </w:r>
    </w:p>
    <w:p>
      <w:pPr>
        <w:pStyle w:val="ListBullet"/>
      </w:pPr>
      <w:r>
        <w:t>I am about to add workload Y. Which measured constraint will it hit first?</w:t>
      </w:r>
    </w:p>
    <w:p>
      <w:pPr>
        <w:pStyle w:val="ListBullet"/>
      </w:pPr>
      <w:r>
        <w:t>Should this state be persistent Memory, transient Memory, latest-value Memory, or Plane?</w:t>
      </w:r>
    </w:p>
    <w:p>
      <w:pPr>
        <w:pStyle w:val="ListBullet"/>
      </w:pPr>
      <w:r>
        <w:t>Where should the RAM or Plane be placed relative to the constrained path?</w:t>
      </w:r>
    </w:p>
    <w:p>
      <w:pPr>
        <w:pStyle w:val="ListBullet"/>
      </w:pPr>
      <w:r>
        <w:t>How much headroom remains under my organization's latency, queue, CPU, and freshness policy?</w:t>
      </w:r>
    </w:p>
    <w:p>
      <w:pPr>
        <w:pStyle w:val="ListBullet"/>
      </w:pPr>
      <w:r>
        <w:t>Which requirement is not established, and what benchmark command will establish it?</w:t>
      </w:r>
    </w:p>
    <w:p>
      <w:pPr>
        <w:pStyle w:val="ListBullet"/>
      </w:pPr>
      <w:r>
        <w:t>Given this workload rather than this hardware, what capabilities must a LilyPad provide?</w:t>
      </w:r>
    </w:p>
    <w:p>
      <w:pPr>
        <w:pStyle w:val="Heading1"/>
      </w:pPr>
      <w:r>
        <w:t>15. Failure semantics: the major qualification gap</w:t>
      </w:r>
    </w:p>
    <w:p>
      <w:r>
        <w:t>Performance and contention do not answer the 'failure-prone network' objection. Explicit failure qualification is still required. Current runs end cleanly. Planned tests need to include killing a listener during a run, packet loss and impairment, server restart, and recovery behavior.</w:t>
      </w:r>
    </w:p>
    <w:p>
      <w:r>
        <w:t>Two expected implementation properties already exist and should be tested rather than assumed: clients raise an error rather than substituting invented state; a transient C++ server restarts empty while a database-backed target retains persisted state. Loopback plus controlled network impairment is the appropriate environment for repeatable failure qualification before repeating selected cases on physical paths.</w:t>
      </w:r>
    </w:p>
    <w:p>
      <w:pPr>
        <w:pStyle w:val="Heading1"/>
      </w:pPr>
      <w:r>
        <w:t>16. What network shared RAM does not mean</w:t>
      </w:r>
    </w:p>
    <w:p>
      <w:pPr>
        <w:pStyle w:val="ListBullet"/>
      </w:pPr>
      <w:r>
        <w:t>It does not mean latency is zero.</w:t>
      </w:r>
    </w:p>
    <w:p>
      <w:pPr>
        <w:pStyle w:val="ListBullet"/>
      </w:pPr>
      <w:r>
        <w:t>It does not mean bandwidth is unlimited.</w:t>
      </w:r>
    </w:p>
    <w:p>
      <w:pPr>
        <w:pStyle w:val="ListBullet"/>
      </w:pPr>
      <w:r>
        <w:t>It does not mean all state should be persistent.</w:t>
      </w:r>
    </w:p>
    <w:p>
      <w:pPr>
        <w:pStyle w:val="ListBullet"/>
      </w:pPr>
      <w:r>
        <w:t>It does not mean all state should be transient.</w:t>
      </w:r>
    </w:p>
    <w:p>
      <w:pPr>
        <w:pStyle w:val="ListBullet"/>
      </w:pPr>
      <w:r>
        <w:t>It does not mean every generation must be delivered for latest-value workloads.</w:t>
      </w:r>
    </w:p>
    <w:p>
      <w:pPr>
        <w:pStyle w:val="ListBullet"/>
      </w:pPr>
      <w:r>
        <w:t>It does not mean failures have already been qualified.</w:t>
      </w:r>
    </w:p>
    <w:p>
      <w:pPr>
        <w:pStyle w:val="ListBullet"/>
      </w:pPr>
      <w:r>
        <w:t>It does not mean applications lose the ability to define authority, validation, schema, or lifecycle.</w:t>
      </w:r>
    </w:p>
    <w:p>
      <w:pPr>
        <w:pStyle w:val="ListBullet"/>
      </w:pPr>
      <w:r>
        <w:t>It does not mean the substrate has no networking. It means application code does not have to express its problem as networking choreography.</w:t>
      </w:r>
    </w:p>
    <w:p>
      <w:pPr>
        <w:pStyle w:val="Heading1"/>
      </w:pPr>
      <w:r>
        <w:t>17. The architectural consequence</w:t>
      </w:r>
    </w:p>
    <w:p>
      <w:r>
        <w:t>The central architectural consequence is a relocation of responsibility. Network reality is not hidden from engineering; it is removed from each application's ad hoc communication logic and concentrated in a substrate that can be tested once, instrumented, profiled, simulated, and administered.</w:t>
      </w:r>
    </w:p>
    <w:p>
      <w:r>
        <w:t>That makes the programming surface smaller while making the operational surface more explicit. An application can be written in terms of truths and domain objects. The administrator can still see queues, latency, CPU, freshness, persistence, and capacity. The planner can refuse to make a claim when a required dimension has not been measured.</w:t>
      </w:r>
    </w:p>
    <w:p>
      <w:r>
        <w:t>This is why the qualification/characterization split matters. Qualification answers whether network shared RAM satisfies its contract under a stated condition. Characterization determines the measured operating envelope of a particular host, path, or backing store. Policy turns that envelope into administrative limits. Planning compares proposed application demand with those limits. None of those steps requires pretending that a network is physically identical to local DRAM.</w:t>
      </w:r>
    </w:p>
    <w:p>
      <w:pPr>
        <w:pStyle w:val="Heading1"/>
      </w:pPr>
      <w:r>
        <w:t>18. Current evidence ledger</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Claim / capability</w:t>
            </w:r>
          </w:p>
        </w:tc>
        <w:tc>
          <w:tcPr>
            <w:tcW w:type="dxa" w:w="5040"/>
            <w:shd w:fill="D9EAF7"/>
            <w:vAlign w:val="center"/>
          </w:tcPr>
          <w:p>
            <w:r>
              <w:rPr>
                <w:b/>
              </w:rPr>
              <w:t>Evidence state</w:t>
            </w:r>
          </w:p>
        </w:tc>
      </w:tr>
      <w:tr>
        <w:tc>
          <w:tcPr>
            <w:tcW w:type="dxa" w:w="5040"/>
            <w:vAlign w:val="top"/>
          </w:tcPr>
          <w:p>
            <w:r>
              <w:t>Shared-state application across real Internet</w:t>
            </w:r>
          </w:p>
        </w:tc>
        <w:tc>
          <w:tcPr>
            <w:tcW w:type="dxa" w:w="5040"/>
            <w:vAlign w:val="top"/>
          </w:tcPr>
          <w:p>
            <w:r>
              <w:t>Demonstrated with FrogChat.</w:t>
            </w:r>
          </w:p>
        </w:tc>
      </w:tr>
      <w:tr>
        <w:tc>
          <w:tcPr>
            <w:tcW w:type="dxa" w:w="5040"/>
            <w:vAlign w:val="top"/>
          </w:tcPr>
          <w:p>
            <w:r>
              <w:t>Transient in-memory implementation</w:t>
            </w:r>
          </w:p>
        </w:tc>
        <w:tc>
          <w:tcPr>
            <w:tcW w:type="dxa" w:w="5040"/>
            <w:vAlign w:val="top"/>
          </w:tcPr>
          <w:p>
            <w:r>
              <w:t>Implemented and exercised under loopback contention.</w:t>
            </w:r>
          </w:p>
        </w:tc>
      </w:tr>
      <w:tr>
        <w:tc>
          <w:tcPr>
            <w:tcW w:type="dxa" w:w="5040"/>
            <w:vAlign w:val="top"/>
          </w:tcPr>
          <w:p>
            <w:r>
              <w:t>Database-backed implementation</w:t>
            </w:r>
          </w:p>
        </w:tc>
        <w:tc>
          <w:tcPr>
            <w:tcW w:type="dxa" w:w="5040"/>
            <w:vAlign w:val="top"/>
          </w:tcPr>
          <w:p>
            <w:r>
              <w:t>Implemented and benchmarked; persistent behavior is an implementation property to include in restart qualification.</w:t>
            </w:r>
          </w:p>
        </w:tc>
      </w:tr>
      <w:tr>
        <w:tc>
          <w:tcPr>
            <w:tcW w:type="dxa" w:w="5040"/>
            <w:vAlign w:val="top"/>
          </w:tcPr>
          <w:p>
            <w:r>
              <w:t>Python/C++ Memory interoperability</w:t>
            </w:r>
          </w:p>
        </w:tc>
        <w:tc>
          <w:tcPr>
            <w:tcW w:type="dxa" w:w="5040"/>
            <w:vAlign w:val="top"/>
          </w:tcPr>
          <w:p>
            <w:r>
              <w:t>Demonstrated.</w:t>
            </w:r>
          </w:p>
        </w:tc>
      </w:tr>
      <w:tr>
        <w:tc>
          <w:tcPr>
            <w:tcW w:type="dxa" w:w="5040"/>
            <w:vAlign w:val="top"/>
          </w:tcPr>
          <w:p>
            <w:r>
              <w:t>Python/C++ Plane interoperability</w:t>
            </w:r>
          </w:p>
        </w:tc>
        <w:tc>
          <w:tcPr>
            <w:tcW w:type="dxa" w:w="5040"/>
            <w:vAlign w:val="top"/>
          </w:tcPr>
          <w:p>
            <w:r>
              <w:t>Demonstrated.</w:t>
            </w:r>
          </w:p>
        </w:tc>
      </w:tr>
      <w:tr>
        <w:tc>
          <w:tcPr>
            <w:tcW w:type="dxa" w:w="5040"/>
            <w:vAlign w:val="top"/>
          </w:tcPr>
          <w:p>
            <w:r>
              <w:t>Tensor-plane Python/C++ wire interoperability</w:t>
            </w:r>
          </w:p>
        </w:tc>
        <w:tc>
          <w:tcPr>
            <w:tcW w:type="dxa" w:w="5040"/>
            <w:vAlign w:val="top"/>
          </w:tcPr>
          <w:p>
            <w:r>
              <w:t>Demonstrated for framing/semantics in sandbox; torch-dependent real read path awaits torch-capable machine.</w:t>
            </w:r>
          </w:p>
        </w:tc>
      </w:tr>
      <w:tr>
        <w:tc>
          <w:tcPr>
            <w:tcW w:type="dxa" w:w="5040"/>
            <w:vAlign w:val="top"/>
          </w:tcPr>
          <w:p>
            <w:r>
              <w:t>Every-generation distinct-state correctness under contention</w:t>
            </w:r>
          </w:p>
        </w:tc>
        <w:tc>
          <w:tcPr>
            <w:tcW w:type="dxa" w:w="5040"/>
            <w:vAlign w:val="top"/>
          </w:tcPr>
          <w:p>
            <w:r>
              <w:t>Demonstrated on loopback; network contention run still pending.</w:t>
            </w:r>
          </w:p>
        </w:tc>
      </w:tr>
      <w:tr>
        <w:tc>
          <w:tcPr>
            <w:tcW w:type="dxa" w:w="5040"/>
            <w:vAlign w:val="top"/>
          </w:tcPr>
          <w:p>
            <w:r>
              <w:t>Latest-value behavior under load</w:t>
            </w:r>
          </w:p>
        </w:tc>
        <w:tc>
          <w:tcPr>
            <w:tcW w:type="dxa" w:w="5040"/>
            <w:vAlign w:val="top"/>
          </w:tcPr>
          <w:p>
            <w:r>
              <w:t>Demonstrated on loopback.</w:t>
            </w:r>
          </w:p>
        </w:tc>
      </w:tr>
      <w:tr>
        <w:tc>
          <w:tcPr>
            <w:tcW w:type="dxa" w:w="5040"/>
            <w:vAlign w:val="top"/>
          </w:tcPr>
          <w:p>
            <w:r>
              <w:t>Policy-derived host envelope</w:t>
            </w:r>
          </w:p>
        </w:tc>
        <w:tc>
          <w:tcPr>
            <w:tcW w:type="dxa" w:w="5040"/>
            <w:vAlign w:val="top"/>
          </w:tcPr>
          <w:p>
            <w:r>
              <w:t>Implemented and demonstrated on one-core sandbox.</w:t>
            </w:r>
          </w:p>
        </w:tc>
      </w:tr>
      <w:tr>
        <w:tc>
          <w:tcPr>
            <w:tcW w:type="dxa" w:w="5040"/>
            <w:vAlign w:val="top"/>
          </w:tcPr>
          <w:p>
            <w:r>
              <w:t>Planner with Inside / Exceeds / Not established</w:t>
            </w:r>
          </w:p>
        </w:tc>
        <w:tc>
          <w:tcPr>
            <w:tcW w:type="dxa" w:w="5040"/>
            <w:vAlign w:val="top"/>
          </w:tcPr>
          <w:p>
            <w:r>
              <w:t>Implemented first cut.</w:t>
            </w:r>
          </w:p>
        </w:tc>
      </w:tr>
      <w:tr>
        <w:tc>
          <w:tcPr>
            <w:tcW w:type="dxa" w:w="5040"/>
            <w:vAlign w:val="top"/>
          </w:tcPr>
          <w:p>
            <w:r>
              <w:t>Failure behavior</w:t>
            </w:r>
          </w:p>
        </w:tc>
        <w:tc>
          <w:tcPr>
            <w:tcW w:type="dxa" w:w="5040"/>
            <w:vAlign w:val="top"/>
          </w:tcPr>
          <w:p>
            <w:r>
              <w:t>Not yet qualified.</w:t>
            </w:r>
          </w:p>
        </w:tc>
      </w:tr>
      <w:tr>
        <w:tc>
          <w:tcPr>
            <w:tcW w:type="dxa" w:w="5040"/>
            <w:vAlign w:val="top"/>
          </w:tcPr>
          <w:p>
            <w:r>
              <w:t>Maximum cell population envelope</w:t>
            </w:r>
          </w:p>
        </w:tc>
        <w:tc>
          <w:tcPr>
            <w:tcW w:type="dxa" w:w="5040"/>
            <w:vAlign w:val="top"/>
          </w:tcPr>
          <w:p>
            <w:r>
              <w:t>Not yet measured in the current envelope tool.</w:t>
            </w:r>
          </w:p>
        </w:tc>
      </w:tr>
      <w:tr>
        <w:tc>
          <w:tcPr>
            <w:tcW w:type="dxa" w:w="5040"/>
            <w:vAlign w:val="top"/>
          </w:tcPr>
          <w:p>
            <w:r>
              <w:t>Multi-host/path composition and inverse planner</w:t>
            </w:r>
          </w:p>
        </w:tc>
        <w:tc>
          <w:tcPr>
            <w:tcW w:type="dxa" w:w="5040"/>
            <w:vAlign w:val="top"/>
          </w:tcPr>
          <w:p>
            <w:r>
              <w:t>Not yet built; requires additional host/path/database profiles.</w:t>
            </w:r>
          </w:p>
        </w:tc>
      </w:tr>
    </w:tbl>
    <w:p>
      <w:pPr>
        <w:pStyle w:val="Heading1"/>
      </w:pPr>
      <w:r>
        <w:t>19. Public reference points</w:t>
      </w:r>
    </w:p>
    <w:p>
      <w:r>
        <w:t>The public FrogNet material provides useful lineage and terminology, but some pages reflect earlier implementation descriptions. The current development record in this document supersedes those pages where the implementation has moved forward.</w:t>
      </w:r>
    </w:p>
    <w:p>
      <w:pPr>
        <w:pStyle w:val="ListBullet"/>
      </w:pPr>
      <w:r>
        <w:rPr>
          <w:b/>
        </w:rPr>
        <w:t xml:space="preserve">FrogNet Specification §10, UnREST — the programming model: </w:t>
      </w:r>
      <w:r>
        <w:t>https://fawcettinnovations.com/spec-10-unrest.html</w:t>
      </w:r>
    </w:p>
    <w:p>
      <w:pPr>
        <w:pStyle w:val="ListBullet"/>
      </w:pPr>
      <w:r>
        <w:rPr>
          <w:b/>
        </w:rPr>
        <w:t xml:space="preserve">FrogNet Specification §1, Scope and terminology: </w:t>
      </w:r>
      <w:r>
        <w:t>https://fawcettinnovations.com/spec-01-scope.html</w:t>
      </w:r>
    </w:p>
    <w:p>
      <w:pPr>
        <w:pStyle w:val="ListBullet"/>
      </w:pPr>
      <w:r>
        <w:rPr>
          <w:b/>
        </w:rPr>
        <w:t xml:space="preserve">UnREST and Its Programming Models: </w:t>
      </w:r>
      <w:r>
        <w:t>https://www.fawcettinnovations.com/unrest-programming-models.html</w:t>
      </w:r>
    </w:p>
    <w:p>
      <w:pPr>
        <w:pStyle w:val="ListBullet"/>
      </w:pPr>
      <w:r>
        <w:rPr>
          <w:b/>
        </w:rPr>
        <w:t xml:space="preserve">UnREST by Example: </w:t>
      </w:r>
      <w:r>
        <w:t>https://fawcettinnovations.com/unrest-examples.html</w:t>
      </w:r>
    </w:p>
    <w:p>
      <w:pPr>
        <w:pStyle w:val="ListBullet"/>
      </w:pPr>
      <w:r>
        <w:rPr>
          <w:b/>
        </w:rPr>
        <w:t xml:space="preserve">FrogNet Product: </w:t>
      </w:r>
      <w:r>
        <w:t>https://fawcettinnovations.com/products.html</w:t>
      </w:r>
    </w:p>
    <w:p>
      <w:pPr>
        <w:pStyle w:val="ListBullet"/>
      </w:pPr>
      <w:r>
        <w:rPr>
          <w:b/>
        </w:rPr>
        <w:t xml:space="preserve">Demonstrations: </w:t>
      </w:r>
      <w:r>
        <w:t>https://fawcettinnovations.com/demonstrations.html</w:t>
      </w:r>
    </w:p>
    <w:p>
      <w:pPr>
        <w:pStyle w:val="ListBullet"/>
      </w:pPr>
      <w:r>
        <w:rPr>
          <w:b/>
        </w:rPr>
        <w:t xml:space="preserve">How FrogNet Works: </w:t>
      </w:r>
      <w:r>
        <w:t>https://www.fawcettinnovations.com/how-it-works.html</w:t>
      </w:r>
    </w:p>
    <w:p>
      <w:pPr>
        <w:pStyle w:val="Heading1"/>
      </w:pPr>
      <w:r>
        <w:t>20. Compact definition</w:t>
      </w:r>
    </w:p>
    <w:tbl>
      <w:tblPr>
        <w:tblStyle w:val="TableGrid"/>
        <w:tblW w:type="auto" w:w="0"/>
        <w:tblLook w:firstColumn="1" w:firstRow="1" w:lastColumn="0" w:lastRow="0" w:noHBand="0" w:noVBand="1" w:val="04A0"/>
      </w:tblPr>
      <w:tblGrid>
        <w:gridCol w:w="10080"/>
      </w:tblGrid>
      <w:tr>
        <w:tc>
          <w:tcPr>
            <w:tcW w:type="dxa" w:w="10080"/>
            <w:shd w:fill="F3F6F8"/>
          </w:tcPr>
          <w:p>
            <w:r>
              <w:rPr>
                <w:b/>
              </w:rPr>
              <w:t xml:space="preserve">Network Shared RAM: </w:t>
            </w:r>
            <w:r>
              <w:t>A FrogNet programming and coordination surface in which independently running programs publish and observe addressable shared state instead of addressing one another with application-level messages. The contract can be backed by transient memory, persistent storage, or specialized ephemeral planes. Application vendors may layer domain-specific schemas, objects, APIs, authority rules, and lifetime policies over the common memory contract. The underlying hosts and paths remain measurable physical systems whose qualification, operating envelopes, and workload fit can be established empirically.</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Fawcett Innovations LLC • FrogNet Network Shared RAM • 19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36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