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1852" w14:textId="509EB850" w:rsidR="00510C3F" w:rsidRPr="00303F6D" w:rsidRDefault="008D63D3" w:rsidP="002C5FBC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b w:val="0"/>
          <w:bCs/>
        </w:rPr>
      </w:pPr>
      <w:r>
        <w:t>CS 305 Vulnerability Assessment Process Flow Diagram Text</w:t>
      </w:r>
      <w:r w:rsidR="000F42A4">
        <w:t>-Only</w:t>
      </w:r>
      <w:r>
        <w:t xml:space="preserve"> Version</w:t>
      </w:r>
      <w:r w:rsidR="002C5FBC">
        <w:br/>
      </w:r>
      <w:r w:rsidR="002C5FBC">
        <w:br/>
      </w:r>
      <w:r w:rsidR="00FE491B" w:rsidRPr="00303F6D">
        <w:rPr>
          <w:bCs/>
        </w:rPr>
        <w:t>Vulnerability Assessment Process Flow</w:t>
      </w:r>
    </w:p>
    <w:p w14:paraId="6437DFBF" w14:textId="77777777" w:rsidR="00FE491B" w:rsidRPr="00303F6D" w:rsidRDefault="00FE491B" w:rsidP="00A660D6">
      <w:pPr>
        <w:suppressAutoHyphens/>
        <w:spacing w:after="0" w:line="240" w:lineRule="auto"/>
        <w:contextualSpacing/>
        <w:rPr>
          <w:sz w:val="22"/>
          <w:szCs w:val="20"/>
        </w:rPr>
      </w:pPr>
    </w:p>
    <w:p w14:paraId="4E8F9A0C" w14:textId="51D92F91" w:rsidR="0035598A" w:rsidRDefault="00C31A3E" w:rsidP="00A660D6">
      <w:pPr>
        <w:suppressAutoHyphens/>
        <w:spacing w:after="0" w:line="240" w:lineRule="auto"/>
        <w:contextualSpacing/>
      </w:pPr>
      <w:r>
        <w:t>A c</w:t>
      </w:r>
      <w:r w:rsidR="00FE491B">
        <w:t xml:space="preserve">ircle filled in </w:t>
      </w:r>
      <w:r>
        <w:t xml:space="preserve">that denotes Start </w:t>
      </w:r>
      <w:r w:rsidR="00FE491B">
        <w:t xml:space="preserve">with </w:t>
      </w:r>
      <w:r>
        <w:t xml:space="preserve">an </w:t>
      </w:r>
      <w:r w:rsidR="00496352">
        <w:t>arrow point</w:t>
      </w:r>
      <w:r w:rsidR="00FE4199">
        <w:t>ing</w:t>
      </w:r>
      <w:r w:rsidR="00FE491B">
        <w:t xml:space="preserve"> toward a box labeled Architecture Review.</w:t>
      </w:r>
    </w:p>
    <w:p w14:paraId="63B5A0A7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75"/>
      </w:tblGrid>
      <w:tr w:rsidR="00FE491B" w14:paraId="35F288E6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76159B44" w14:textId="77777777" w:rsidR="00FE491B" w:rsidRPr="00FE491B" w:rsidRDefault="00FE491B" w:rsidP="0030027D">
            <w:pPr>
              <w:suppressAutoHyphens/>
              <w:contextualSpacing/>
              <w:jc w:val="center"/>
              <w:rPr>
                <w:b/>
              </w:rPr>
            </w:pPr>
            <w:r w:rsidRPr="00FE491B">
              <w:rPr>
                <w:b/>
              </w:rPr>
              <w:t>Architecture Review</w:t>
            </w:r>
          </w:p>
        </w:tc>
      </w:tr>
      <w:tr w:rsidR="00FE491B" w14:paraId="60C5C4C7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347AA983" w14:textId="77777777" w:rsidR="00FE491B" w:rsidRDefault="00FE491B" w:rsidP="0030027D">
            <w:pPr>
              <w:suppressAutoHyphens/>
              <w:contextualSpacing/>
              <w:jc w:val="center"/>
            </w:pPr>
            <w:r>
              <w:t>Analyze application architecture</w:t>
            </w:r>
          </w:p>
        </w:tc>
      </w:tr>
    </w:tbl>
    <w:p w14:paraId="1E1AFD5B" w14:textId="15B11AD1" w:rsidR="00FE491B" w:rsidRDefault="0030027D" w:rsidP="00A660D6">
      <w:pPr>
        <w:suppressAutoHyphens/>
        <w:spacing w:after="0" w:line="240" w:lineRule="auto"/>
        <w:contextualSpacing/>
      </w:pPr>
      <w:r>
        <w:br w:type="textWrapping" w:clear="all"/>
      </w:r>
    </w:p>
    <w:p w14:paraId="0C765797" w14:textId="6DDF77A8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Architecture Review toward a box labeled Input Validation.</w:t>
      </w:r>
    </w:p>
    <w:p w14:paraId="5CC85441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FE491B" w:rsidRPr="00FE491B" w14:paraId="46165B58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330AF2EE" w14:textId="77777777" w:rsidR="00FE491B" w:rsidRPr="00FE491B" w:rsidRDefault="00FE491B" w:rsidP="00A660D6">
            <w:pPr>
              <w:suppressAutoHyphens/>
              <w:contextualSpacing/>
              <w:jc w:val="center"/>
              <w:rPr>
                <w:b/>
              </w:rPr>
            </w:pPr>
            <w:r w:rsidRPr="00FE491B">
              <w:rPr>
                <w:b/>
              </w:rPr>
              <w:t>Input Validation</w:t>
            </w:r>
          </w:p>
        </w:tc>
      </w:tr>
      <w:tr w:rsidR="00FE491B" w14:paraId="3DBC59FE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62BB125D" w14:textId="77777777" w:rsidR="00FE491B" w:rsidRDefault="00FE491B" w:rsidP="00A660D6">
            <w:pPr>
              <w:suppressAutoHyphens/>
              <w:contextualSpacing/>
              <w:jc w:val="center"/>
            </w:pPr>
            <w:r>
              <w:t>Secure Input and Representations</w:t>
            </w:r>
          </w:p>
        </w:tc>
      </w:tr>
    </w:tbl>
    <w:p w14:paraId="7DD547CD" w14:textId="77777777" w:rsidR="00FE491B" w:rsidRDefault="00FE491B" w:rsidP="00A660D6">
      <w:pPr>
        <w:suppressAutoHyphens/>
        <w:spacing w:after="0" w:line="240" w:lineRule="auto"/>
        <w:contextualSpacing/>
      </w:pPr>
    </w:p>
    <w:p w14:paraId="7A307E34" w14:textId="6765343E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Input Validation toward a box labeled APIs.</w:t>
      </w:r>
    </w:p>
    <w:p w14:paraId="37AF06F4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C31A3E" w:rsidRPr="00FE491B" w14:paraId="44273681" w14:textId="77777777" w:rsidTr="008D0DB8">
        <w:trPr>
          <w:cantSplit/>
          <w:tblHeader/>
        </w:trPr>
        <w:tc>
          <w:tcPr>
            <w:tcW w:w="2605" w:type="dxa"/>
            <w:tcMar>
              <w:left w:w="115" w:type="dxa"/>
              <w:right w:w="115" w:type="dxa"/>
            </w:tcMar>
          </w:tcPr>
          <w:p w14:paraId="31667F1D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APIs</w:t>
            </w:r>
          </w:p>
        </w:tc>
      </w:tr>
      <w:tr w:rsidR="00C31A3E" w14:paraId="7C0C0A4B" w14:textId="77777777" w:rsidTr="008D0DB8">
        <w:trPr>
          <w:cantSplit/>
          <w:tblHeader/>
        </w:trPr>
        <w:tc>
          <w:tcPr>
            <w:tcW w:w="2605" w:type="dxa"/>
            <w:tcMar>
              <w:left w:w="115" w:type="dxa"/>
              <w:right w:w="115" w:type="dxa"/>
            </w:tcMar>
          </w:tcPr>
          <w:p w14:paraId="2F62CAD5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API Interactions</w:t>
            </w:r>
          </w:p>
        </w:tc>
      </w:tr>
    </w:tbl>
    <w:p w14:paraId="74F3D2EF" w14:textId="77777777" w:rsidR="00C31A3E" w:rsidRDefault="00C31A3E" w:rsidP="00A660D6">
      <w:pPr>
        <w:suppressAutoHyphens/>
        <w:spacing w:after="0" w:line="240" w:lineRule="auto"/>
        <w:contextualSpacing/>
      </w:pPr>
    </w:p>
    <w:p w14:paraId="48F0060C" w14:textId="309228BC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APIs toward a box labeled Cryptography.</w:t>
      </w:r>
    </w:p>
    <w:p w14:paraId="385B5E61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31A3E" w:rsidRPr="00FE491B" w14:paraId="0E85FEDC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3B24D180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 w:rsidRPr="00C31A3E">
              <w:rPr>
                <w:b/>
              </w:rPr>
              <w:t>Cryptography</w:t>
            </w:r>
          </w:p>
        </w:tc>
      </w:tr>
      <w:tr w:rsidR="00C31A3E" w14:paraId="16FAF14D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458EEBDA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Encryption Use and Vulnerabilities</w:t>
            </w:r>
          </w:p>
        </w:tc>
      </w:tr>
    </w:tbl>
    <w:p w14:paraId="3407C80D" w14:textId="77777777" w:rsidR="00C31A3E" w:rsidRDefault="00C31A3E" w:rsidP="00A660D6">
      <w:pPr>
        <w:suppressAutoHyphens/>
        <w:spacing w:after="0" w:line="240" w:lineRule="auto"/>
        <w:contextualSpacing/>
      </w:pPr>
    </w:p>
    <w:p w14:paraId="29927397" w14:textId="0A66A5FB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Cryptography toward a box labeled Client/Server.</w:t>
      </w:r>
    </w:p>
    <w:p w14:paraId="585F3263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C31A3E" w:rsidRPr="00FE491B" w14:paraId="47BD015C" w14:textId="77777777" w:rsidTr="008D0DB8">
        <w:trPr>
          <w:cantSplit/>
          <w:tblHeader/>
        </w:trPr>
        <w:tc>
          <w:tcPr>
            <w:tcW w:w="3505" w:type="dxa"/>
            <w:tcMar>
              <w:left w:w="115" w:type="dxa"/>
              <w:right w:w="115" w:type="dxa"/>
            </w:tcMar>
          </w:tcPr>
          <w:p w14:paraId="72692BAA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 w:rsidRPr="00C31A3E">
              <w:rPr>
                <w:b/>
              </w:rPr>
              <w:t>C</w:t>
            </w:r>
            <w:r>
              <w:rPr>
                <w:b/>
              </w:rPr>
              <w:t>lient/Server</w:t>
            </w:r>
          </w:p>
        </w:tc>
      </w:tr>
      <w:tr w:rsidR="00C31A3E" w14:paraId="01A07878" w14:textId="77777777" w:rsidTr="008D0DB8">
        <w:trPr>
          <w:cantSplit/>
        </w:trPr>
        <w:tc>
          <w:tcPr>
            <w:tcW w:w="3505" w:type="dxa"/>
            <w:tcMar>
              <w:left w:w="115" w:type="dxa"/>
              <w:right w:w="115" w:type="dxa"/>
            </w:tcMar>
          </w:tcPr>
          <w:p w14:paraId="38E9EFC7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Distributed Composing</w:t>
            </w:r>
          </w:p>
        </w:tc>
      </w:tr>
    </w:tbl>
    <w:p w14:paraId="043A388A" w14:textId="77777777" w:rsidR="00C31A3E" w:rsidRDefault="00C31A3E" w:rsidP="00A660D6">
      <w:pPr>
        <w:suppressAutoHyphens/>
        <w:spacing w:after="0" w:line="240" w:lineRule="auto"/>
        <w:contextualSpacing/>
      </w:pPr>
    </w:p>
    <w:p w14:paraId="4897A84D" w14:textId="1EFA4C27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Client/Server toward a box labeled Code Error.</w:t>
      </w:r>
    </w:p>
    <w:p w14:paraId="0C6E9C63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31A3E" w:rsidRPr="00FE491B" w14:paraId="6090F5C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D2070B6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Error</w:t>
            </w:r>
          </w:p>
        </w:tc>
      </w:tr>
      <w:tr w:rsidR="00C31A3E" w14:paraId="0AC19807" w14:textId="77777777" w:rsidTr="0030027D">
        <w:trPr>
          <w:cantSplit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34325A5E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Code Handling</w:t>
            </w:r>
          </w:p>
        </w:tc>
      </w:tr>
    </w:tbl>
    <w:p w14:paraId="3FF1E9C8" w14:textId="77777777" w:rsidR="00C31A3E" w:rsidRDefault="00C31A3E" w:rsidP="00A660D6">
      <w:pPr>
        <w:suppressAutoHyphens/>
        <w:spacing w:after="0" w:line="240" w:lineRule="auto"/>
        <w:contextualSpacing/>
      </w:pPr>
    </w:p>
    <w:p w14:paraId="3EA28210" w14:textId="03482FF7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Code Error toward a box labeled Code Quality.</w:t>
      </w:r>
    </w:p>
    <w:p w14:paraId="597C0D1A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31A3E" w:rsidRPr="00FE491B" w14:paraId="5526752C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7B646292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Quality</w:t>
            </w:r>
          </w:p>
        </w:tc>
      </w:tr>
      <w:tr w:rsidR="00C31A3E" w14:paraId="5F085526" w14:textId="77777777" w:rsidTr="008D0DB8">
        <w:trPr>
          <w:cantSplit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3F69F5D2" w14:textId="4C63684A" w:rsidR="00C31A3E" w:rsidRDefault="00C31A3E" w:rsidP="00A660D6">
            <w:pPr>
              <w:suppressAutoHyphens/>
              <w:contextualSpacing/>
              <w:jc w:val="center"/>
            </w:pPr>
            <w:r>
              <w:t xml:space="preserve">Secure Coding </w:t>
            </w:r>
            <w:r w:rsidR="008D0DB8">
              <w:t>P</w:t>
            </w:r>
            <w:r>
              <w:t>ractices/Patterns</w:t>
            </w:r>
          </w:p>
        </w:tc>
      </w:tr>
    </w:tbl>
    <w:p w14:paraId="5DB7872B" w14:textId="77777777" w:rsidR="00C31A3E" w:rsidRDefault="00C31A3E" w:rsidP="00A660D6">
      <w:pPr>
        <w:suppressAutoHyphens/>
        <w:spacing w:after="0" w:line="240" w:lineRule="auto"/>
        <w:contextualSpacing/>
      </w:pPr>
    </w:p>
    <w:p w14:paraId="64C959D4" w14:textId="61825226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Code Quality toward a box labeled Encapsulation.</w:t>
      </w:r>
    </w:p>
    <w:p w14:paraId="7A0FFCF6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31A3E" w:rsidRPr="00FE491B" w14:paraId="4F292A9A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B8818B9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Encapsulation</w:t>
            </w:r>
          </w:p>
        </w:tc>
      </w:tr>
      <w:tr w:rsidR="00C31A3E" w14:paraId="2E833AA4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9543507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Data Structures</w:t>
            </w:r>
          </w:p>
        </w:tc>
      </w:tr>
    </w:tbl>
    <w:p w14:paraId="7B6D6B09" w14:textId="77777777" w:rsidR="00C31A3E" w:rsidRDefault="00C31A3E" w:rsidP="00A660D6">
      <w:pPr>
        <w:suppressAutoHyphens/>
        <w:spacing w:after="0" w:line="240" w:lineRule="auto"/>
        <w:contextualSpacing/>
      </w:pPr>
    </w:p>
    <w:p w14:paraId="2FB020B9" w14:textId="53899B64" w:rsidR="00C31A3E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Encapsulation toward a box that </w:t>
      </w:r>
      <w:proofErr w:type="gramStart"/>
      <w:r w:rsidR="00FE491B">
        <w:t>states</w:t>
      </w:r>
      <w:proofErr w:type="gramEnd"/>
      <w:r w:rsidR="00FE491B">
        <w:t xml:space="preserve"> </w:t>
      </w:r>
      <w:r w:rsidR="00C31A3E">
        <w:t>“</w:t>
      </w:r>
      <w:r w:rsidR="00FE491B">
        <w:t xml:space="preserve">Architecture </w:t>
      </w:r>
      <w:r w:rsidR="008D0DB8">
        <w:t>re</w:t>
      </w:r>
      <w:r w:rsidR="00FE491B">
        <w:t>view and optional output from static testing will determine which manual code reviews are necessary</w:t>
      </w:r>
      <w:r w:rsidR="00C31A3E">
        <w:t>.”</w:t>
      </w:r>
    </w:p>
    <w:p w14:paraId="26EFFAA4" w14:textId="77777777" w:rsidR="008D0DB8" w:rsidRDefault="008D0DB8" w:rsidP="00A660D6">
      <w:pPr>
        <w:suppressAutoHyphens/>
        <w:spacing w:after="0" w:line="240" w:lineRule="auto"/>
        <w:contextualSpacing/>
      </w:pPr>
    </w:p>
    <w:p w14:paraId="12E414C7" w14:textId="48B7C842" w:rsidR="00C31A3E" w:rsidRDefault="00496352" w:rsidP="00A660D6">
      <w:pPr>
        <w:suppressAutoHyphens/>
        <w:spacing w:after="0" w:line="240" w:lineRule="auto"/>
        <w:contextualSpacing/>
      </w:pPr>
      <w:r>
        <w:t>Arrows point</w:t>
      </w:r>
      <w:r w:rsidR="00C31A3E">
        <w:t xml:space="preserve"> from the box stating “Architecture </w:t>
      </w:r>
      <w:r w:rsidR="008D0DB8">
        <w:t>r</w:t>
      </w:r>
      <w:r w:rsidR="00C31A3E">
        <w:t>eview and optional output from static testing will determine which manual code reviews are necessary” to each of seven boxes labeled Code Review.</w:t>
      </w:r>
    </w:p>
    <w:p w14:paraId="08FD6AEE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F856177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52FDD947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ED7EE6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AF908EA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Views</w:t>
            </w:r>
          </w:p>
        </w:tc>
      </w:tr>
    </w:tbl>
    <w:p w14:paraId="6CE270FC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3DF5764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461565F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DB342EE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0CC7F29E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Models</w:t>
            </w:r>
          </w:p>
        </w:tc>
      </w:tr>
    </w:tbl>
    <w:p w14:paraId="111B92C2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6337C7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9D9DE5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13D124C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03B6275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Controllers</w:t>
            </w:r>
          </w:p>
        </w:tc>
      </w:tr>
    </w:tbl>
    <w:p w14:paraId="7EF3C7BF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4462B4E1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942D7EE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418999D8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9C1F967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Data Access</w:t>
            </w:r>
          </w:p>
        </w:tc>
      </w:tr>
    </w:tbl>
    <w:p w14:paraId="56DFBA80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0074058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002A1D5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52528B93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13C5340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Services</w:t>
            </w:r>
          </w:p>
        </w:tc>
      </w:tr>
    </w:tbl>
    <w:p w14:paraId="43C171A0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40C8DA30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F30DE30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3772E0C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4673BED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Plug-Ins</w:t>
            </w:r>
          </w:p>
        </w:tc>
      </w:tr>
    </w:tbl>
    <w:p w14:paraId="4D26A296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2F55C206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5E38425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2E1F3166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08011F6C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APIs</w:t>
            </w:r>
          </w:p>
        </w:tc>
      </w:tr>
    </w:tbl>
    <w:p w14:paraId="7DB6F49C" w14:textId="77777777" w:rsidR="00373A9E" w:rsidRDefault="00373A9E" w:rsidP="00A660D6">
      <w:pPr>
        <w:suppressAutoHyphens/>
        <w:spacing w:after="0" w:line="240" w:lineRule="auto"/>
        <w:contextualSpacing/>
      </w:pPr>
    </w:p>
    <w:p w14:paraId="6ED30DB7" w14:textId="6454D1F1" w:rsidR="00C31A3E" w:rsidRDefault="00B00D3A" w:rsidP="00A660D6">
      <w:pPr>
        <w:suppressAutoHyphens/>
        <w:spacing w:after="0" w:line="240" w:lineRule="auto"/>
        <w:contextualSpacing/>
      </w:pPr>
      <w:r>
        <w:t>Arrows point</w:t>
      </w:r>
      <w:r w:rsidR="00C31A3E">
        <w:t xml:space="preserve"> from each of the seven boxes labeled Code Review to a box that </w:t>
      </w:r>
      <w:proofErr w:type="gramStart"/>
      <w:r w:rsidR="00C31A3E">
        <w:t>states</w:t>
      </w:r>
      <w:proofErr w:type="gramEnd"/>
      <w:r w:rsidR="00C31A3E">
        <w:t xml:space="preserve"> “Summary of findings with mitigation plan</w:t>
      </w:r>
      <w:r w:rsidR="00695D68">
        <w:t>.</w:t>
      </w:r>
      <w:r w:rsidR="00C31A3E">
        <w:t>”</w:t>
      </w:r>
    </w:p>
    <w:p w14:paraId="439C0A8F" w14:textId="77777777" w:rsidR="00303F6D" w:rsidRDefault="00303F6D" w:rsidP="00A660D6">
      <w:pPr>
        <w:suppressAutoHyphens/>
        <w:spacing w:after="0" w:line="240" w:lineRule="auto"/>
        <w:contextualSpacing/>
      </w:pPr>
    </w:p>
    <w:p w14:paraId="31C207DD" w14:textId="77777777" w:rsidR="00FE491B" w:rsidRPr="00510C3F" w:rsidRDefault="00B00D3A" w:rsidP="00A660D6">
      <w:pPr>
        <w:suppressAutoHyphens/>
        <w:spacing w:after="0" w:line="240" w:lineRule="auto"/>
        <w:contextualSpacing/>
      </w:pPr>
      <w:r>
        <w:t xml:space="preserve">An arrow points </w:t>
      </w:r>
      <w:r w:rsidR="00C31A3E">
        <w:t>from the box stating “Summary of findings with mitigation plan” to a filled circle that is outlined by a larger circle, which denotes Stop.</w:t>
      </w:r>
    </w:p>
    <w:sectPr w:rsidR="00FE491B" w:rsidRPr="00510C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38EC" w14:textId="77777777" w:rsidR="00043844" w:rsidRDefault="00043844" w:rsidP="0035598A">
      <w:pPr>
        <w:spacing w:after="0" w:line="240" w:lineRule="auto"/>
      </w:pPr>
      <w:r>
        <w:separator/>
      </w:r>
    </w:p>
  </w:endnote>
  <w:endnote w:type="continuationSeparator" w:id="0">
    <w:p w14:paraId="7B768475" w14:textId="77777777" w:rsidR="00043844" w:rsidRDefault="0004384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A2CD4" w14:textId="77777777" w:rsidR="00043844" w:rsidRDefault="00043844" w:rsidP="0035598A">
      <w:pPr>
        <w:spacing w:after="0" w:line="240" w:lineRule="auto"/>
      </w:pPr>
      <w:r>
        <w:separator/>
      </w:r>
    </w:p>
  </w:footnote>
  <w:footnote w:type="continuationSeparator" w:id="0">
    <w:p w14:paraId="3BC0FFF7" w14:textId="77777777" w:rsidR="00043844" w:rsidRDefault="0004384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A3DB" w14:textId="2DB38F71" w:rsidR="0035598A" w:rsidRDefault="00945316" w:rsidP="0094531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3ED517B" wp14:editId="125B9B0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yMTc3NjE2MbNU0lEKTi0uzszPAykwrAUAfYJ0JiwAAAA="/>
  </w:docVars>
  <w:rsids>
    <w:rsidRoot w:val="008D63D3"/>
    <w:rsid w:val="00043844"/>
    <w:rsid w:val="000763C9"/>
    <w:rsid w:val="000859FD"/>
    <w:rsid w:val="000B79B7"/>
    <w:rsid w:val="000F42A4"/>
    <w:rsid w:val="002C5FBC"/>
    <w:rsid w:val="0030027D"/>
    <w:rsid w:val="00303F6D"/>
    <w:rsid w:val="00316B3B"/>
    <w:rsid w:val="0035598A"/>
    <w:rsid w:val="00373A9E"/>
    <w:rsid w:val="003D6C47"/>
    <w:rsid w:val="00411474"/>
    <w:rsid w:val="00496352"/>
    <w:rsid w:val="004B49A4"/>
    <w:rsid w:val="004F5F96"/>
    <w:rsid w:val="00510C3F"/>
    <w:rsid w:val="005927CB"/>
    <w:rsid w:val="005C0980"/>
    <w:rsid w:val="00671FBE"/>
    <w:rsid w:val="00695D68"/>
    <w:rsid w:val="006A51DF"/>
    <w:rsid w:val="00761490"/>
    <w:rsid w:val="008D0DB8"/>
    <w:rsid w:val="008D63D3"/>
    <w:rsid w:val="00945316"/>
    <w:rsid w:val="00973CB0"/>
    <w:rsid w:val="009A01C2"/>
    <w:rsid w:val="009A54A6"/>
    <w:rsid w:val="009B4BA8"/>
    <w:rsid w:val="00A11B04"/>
    <w:rsid w:val="00A216AE"/>
    <w:rsid w:val="00A5236A"/>
    <w:rsid w:val="00A52F1E"/>
    <w:rsid w:val="00A660D6"/>
    <w:rsid w:val="00B00D3A"/>
    <w:rsid w:val="00B019B2"/>
    <w:rsid w:val="00C31A3E"/>
    <w:rsid w:val="00C80714"/>
    <w:rsid w:val="00E46343"/>
    <w:rsid w:val="00E61DA4"/>
    <w:rsid w:val="00FE4199"/>
    <w:rsid w:val="00FE491B"/>
    <w:rsid w:val="5B5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2A5BC"/>
  <w15:chartTrackingRefBased/>
  <w15:docId w15:val="{ED85D285-5395-48F1-BAC6-1C51C87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table" w:styleId="TableGrid">
    <w:name w:val="Table Grid"/>
    <w:basedOn w:val="TableNormal"/>
    <w:uiPriority w:val="39"/>
    <w:rsid w:val="00FE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848E5-1D74-491D-801F-45A64773567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F97AF089-CAFF-4A26-BF64-910AEB6E9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568E9-D6E4-4E9F-9FEE-058B88CB3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Vulnerability Assessment Process Flow Diagram Text Version</vt:lpstr>
    </vt:vector>
  </TitlesOfParts>
  <Company>SNHU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Vulnerability Assessment Process Flow Diagram Text Version</dc:title>
  <dc:subject/>
  <dc:creator>Brown, Tyra</dc:creator>
  <cp:keywords/>
  <dc:description/>
  <cp:lastModifiedBy>Fogg, Daniel</cp:lastModifiedBy>
  <cp:revision>8</cp:revision>
  <dcterms:created xsi:type="dcterms:W3CDTF">2022-05-04T19:09:00Z</dcterms:created>
  <dcterms:modified xsi:type="dcterms:W3CDTF">2024-03-29T19:48:00Z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