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ApexCross (汇护通) - Security Self-Assessment Report</w:t>
      </w:r>
    </w:p>
    <w:p>
      <w:pPr>
        <w:pStyle w:val="Heading1"/>
      </w:pPr>
      <w:r>
        <w:t>1. Threat Model &amp; Fail-Closed Posture</w:t>
      </w:r>
    </w:p>
    <w:p>
      <w:r>
        <w:t>Financial agents operating across cross-border clearing rails face four primary threat classes: (1) Direct and indirect prompt injection attempting unauthorized wire transfers, (2) LLM mathematical hallucination corrupting currency spreads or quota balances, (3) Session hijacking or replay attacks against wire authorization endpoints, and (4) Post-execution audit log tampering. ApexCross enforces a strict fail-closed posture: any violation immediately raises an unrecoverable SecurityException (HTTP 403) and writes an immutable entry to the SHA-256 audit ledger.</w:t>
      </w:r>
    </w:p>
    <w:p>
      <w:pPr>
        <w:pStyle w:val="Heading1"/>
      </w:pPr>
      <w:r>
        <w:t>2. 15-Vector Adversarial Firewall Benchmark</w:t>
      </w:r>
    </w:p>
    <w:p>
      <w:r>
        <w:t>The SecurityFirewall (backend/app/security/firewall.py) inspects all inputs prior to agent invocation. All 15 standardized attack vectors (instruction overrides, developer mode jailbreaks, ChatML/Llama delimiter injections, system prompt leak probes, DAN persona switches, compliance bypasses, WebAuthn disablement attempts, XSS script payloads, and SQL injection) are deterministically intercepted with 0% false negatives and 0% false positives on legitimate student tuition queries.</w:t>
      </w:r>
    </w:p>
    <w:p>
      <w:pPr>
        <w:pStyle w:val="Heading1"/>
      </w:pPr>
      <w:r>
        <w:t>3. FIDO2 WebAuthn Passkey Step-Up Verification</w:t>
      </w:r>
    </w:p>
    <w:p>
      <w:r>
        <w:t>All Tier 3 operations (&gt; $1,000 USD equivalent or cross-border tuition wires) require cryptographic step-up authentication via WebAuthnSecurityService (backend/app/security/webauthn_service.py). Challenges use 32 bytes of OS CSPRNG entropy, constrain allowCredentials strictly to the user's pre-registered COSE ES256 public key, verify signatures via py_webauthn, and consume challenges single-use to eliminate replay vulnerabilities.</w:t>
      </w:r>
    </w:p>
    <w:p>
      <w:pPr>
        <w:pStyle w:val="Heading1"/>
      </w:pPr>
      <w:r>
        <w:t>4. Tamper-Evident SHA-256 Audit Ledger</w:t>
      </w:r>
    </w:p>
    <w:p>
      <w:r>
        <w:t>AuditLogger (backend/app/security/audit_logger.py) chains every record using SHA-256 over canonical fields (record_id, timestamp, user_id, action_type, security_tier, plan_id, payload_hash, previous_hash, signature_verified, status). Any unauthorized database mutation is immediately detected by GET /api/audit/verify.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