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ApexCross (汇护通) - Technical Documentation</w:t>
      </w:r>
    </w:p>
    <w:p>
      <w:r>
        <w:t>Competition: Fintechathon 2026 (Shenzhen International FinTech Competition - WeBank Challenge)</w:t>
        <w:br/>
        <w:t>Track: International Track - Artificial Intelligence Direction (Direction C: Cross-Border / International Student Financial Assistant - APEC Feature)</w:t>
      </w:r>
    </w:p>
    <w:p>
      <w:pPr>
        <w:pStyle w:val="Heading1"/>
      </w:pPr>
      <w:r>
        <w:t>01 Project Overview</w:t>
      </w:r>
    </w:p>
    <w:p>
      <w:r>
        <w:t>Over 6 million international students across APEC economies face opaque foreign exchange markups (averaging 3.80% on standard bank wires), complex annual foreign exchange compliance quotas ($50,000 USD annual limit), and rising tuition wire fraud. ApexCross (汇护通) is an autonomous, compliance-first cross-border financial participant agent built around the core loop: Understand -&gt; Plan -&gt; Execute Securely.</w:t>
      </w:r>
    </w:p>
    <w:p>
      <w:r>
        <w:t>Why Direction C (APEC Feature): Direction C is the sole track badged by organizers with the APEC Feature highlight for Shenzhen hosting the 2026 APEC Summit. Unlike generic personal budgeting bots or repetitive portfolio backtesters, cross-border student remittance naturally exercises multimodal invoice perception, multi-corridor mathematical optimization, regulatory quota enforcement, and hardware-backed biometric step-up authorization.</w:t>
      </w:r>
    </w:p>
    <w:p>
      <w:pPr>
        <w:pStyle w:val="Heading1"/>
      </w:pPr>
      <w:r>
        <w:t>02 System Architecture</w:t>
      </w:r>
    </w:p>
    <w:p>
      <w:r>
        <w:t>ApexCross employs a four-layer decoupled architecture:</w:t>
        <w:br/>
        <w:t>1. Perception Layer: Multimodal invoice ingestion (POST /api/invoice/upload) and conversational intent parsing.</w:t>
        <w:br/>
        <w:t>2. Deterministic Planning Layer: LangGraph acyclic state machine orchestrating deterministic Python tools (FXCalculatorTool, QuotaTrackerTool) with zero LLM floating-point arithmetic.</w:t>
        <w:br/>
        <w:t>3. Security &amp; Biometric Gate: Pre-agent Adversarial Prompt Firewall (15 attack vector benchmark), 3-Tier Permission Evaluator, and FIDO2 WebAuthn ES256 hardware passkey step-up service (py_webauthn).</w:t>
        <w:br/>
        <w:t>4. Clearing &amp; Immutable Audit Layer: Sandbox SWIFT MT103 clearing generator and SQLite WAL-mode SHA-256 hash-chained audit ledger.</w:t>
      </w:r>
    </w:p>
    <w:p>
      <w:pPr>
        <w:pStyle w:val="Heading1"/>
      </w:pPr>
      <w:r>
        <w:t>03 Agent Design</w:t>
      </w:r>
    </w:p>
    <w:p>
      <w:r>
        <w:t>The LangGraph agent state machine compiles every tuition remittance into a finite, deterministic 4-node Directed Acyclic Graph (DAG):</w:t>
        <w:br/>
        <w:t>- Node 1 [ValidateStudent]: Extracts and validates institution name, beneficiary account, SWIFT/BIC code, amount due, currency, and student ID.</w:t>
        <w:br/>
        <w:t>- Node 2 [CheckQuota]: Deterministically evaluates the USD equivalent against the $50,000 USD annual student foreign exchange allowance.</w:t>
        <w:br/>
        <w:t>- Node 3 [CompareCorridors]: Compares Standard SWIFT Bank Wire (380 bps + $45), APEC Direct Clearing (35 bps + $12), and Wise Corridor (55 bps + $18), computing exact USD fee savings ($395.95 USD saved on an 85,000 HKD HKUST tuition payment).</w:t>
        <w:br/>
        <w:t>- Node 4 [AwaitAuthorization]: Enforces the required security tier and awaits explicit confirmation or FIDO2 WebAuthn passkey signature.</w:t>
        <w:br/>
        <w:t>If mandatory wire fields are missing from conversational input, the graph transitions to the interactive Clarification Node and halts execution.</w:t>
      </w:r>
    </w:p>
    <w:p>
      <w:pPr>
        <w:pStyle w:val="Heading1"/>
      </w:pPr>
      <w:r>
        <w:t>04 Security Design</w:t>
      </w:r>
    </w:p>
    <w:p>
      <w:r>
        <w:t>ApexCross implements a defense-in-depth, fail-closed security architecture aligned with the 30% Security &amp; Compliance rubric:</w:t>
        <w:br/>
        <w:t>- Pre-Agent Adversarial Firewall: Blocks 15 standardized jailbreak, prompt override, ChatML delimiter leak, XSS, and SQL injection vectors with HTTP 403.</w:t>
        <w:br/>
        <w:t>- 3-Tier Permission Matrix:</w:t>
        <w:br/>
        <w:t xml:space="preserve">  * Tier 1 (Autonomous): Read-only FX rate queries and corridor comparisons.</w:t>
        <w:br/>
        <w:t xml:space="preserve">  * Tier 2 (Confirmation): Micro-conversions &lt;= $500 USD equivalent requiring explicit 1-click modal confirmation and slippage lock enforcement.</w:t>
        <w:br/>
        <w:t xml:space="preserve">  * Tier 3 (Biometric Passkey): High-value wires (&gt; $1,000 USD) and tuition remittances requiring hardware-backed FIDO2 WebAuthn ECDSA P-256 signature verification.</w:t>
        <w:br/>
        <w:t>- Cryptographic Audit Ledger: Every state transition and security event is recorded in an append-only SQLite WAL database chained with SHA-256 hashes.</w:t>
      </w:r>
    </w:p>
    <w:p>
      <w:pPr>
        <w:pStyle w:val="Heading1"/>
      </w:pPr>
      <w:r>
        <w:t>05 Deployment and Testing</w:t>
      </w:r>
    </w:p>
    <w:p>
      <w:r>
        <w:t>ApexCross is packaged as a containerized dual-runtime monorepo (FastAPI on port 8000, Next.js 15 on port 3000) orchestrated via docker-compose.yml.</w:t>
        <w:br/>
        <w:t>- Launch Command: docker compose up --build</w:t>
        <w:br/>
        <w:t>- Interactive OpenAPI Documentation: http://localhost:8000/docs</w:t>
        <w:br/>
        <w:t>- Automated Verification Suite: 53 unit, security, cryptographic, and API integration tests executed via pytest with 100% pass 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