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5E20"/>
          <w:sz w:val="40"/>
        </w:rPr>
        <w:t>VISION DATASHEET — MOONHARVEST GCS</w:t>
      </w:r>
    </w:p>
    <w:p>
      <w:pPr>
        <w:jc w:val="center"/>
      </w:pPr>
      <w:r>
        <w:rPr>
          <w:b/>
          <w:color w:val="424242"/>
          <w:sz w:val="24"/>
        </w:rPr>
        <w:t>Spesifikasi Model Deep Learning YOLO11n &amp; Dataset Sawah PDP (SINTA 2)</w:t>
        <w:br/>
      </w:r>
    </w:p>
    <w:p>
      <w:pPr>
        <w:spacing w:after="320"/>
        <w:jc w:val="center"/>
      </w:pPr>
      <w:r>
        <w:t>Program Riset: Hibah Penelitian Dosen Pemula (PDP) — Kemendikbudristek</w:t>
        <w:br/>
        <w:t>Platform: MoonHarvest GCS v2.0 (Zero-Internet Edge AI · Uno Platform .NET 9)</w:t>
        <w:br/>
        <w:t>Model Target: YOLO11n-cls (Patch Classification 224x224) | Tanggal Pembaruan: Oktober 2026</w:t>
      </w:r>
    </w:p>
    <w:p>
      <w:pPr>
        <w:pStyle w:val="Heading1"/>
      </w:pPr>
      <w:r>
        <w:t>1. Ringkasan Eksekutif &amp; Provenansi Data Baru</w:t>
      </w:r>
    </w:p>
    <w:p>
      <w:pPr>
        <w:spacing w:line="276" w:lineRule="auto"/>
      </w:pPr>
      <w:r>
        <w:t>Dokumen ini menyajikan spesifikasi teknis dan hasil evaluasi empiris model computer vision MoonHarvest yang telah dilatih ulang (re-trained) menggunakan dataset baru dari rekaman video UAV penerbangan sawah (flight 1, flight 2, dan flight 3). Model ditargetkan secara spesifik untuk klasifikasi kesehatan kanopi padi dan presisi irigasi hemat air Alternate Wetting and Drying (AWD) sesuai kurikulum riset PDP.</w:t>
      </w:r>
    </w:p>
    <w:p>
      <w:pPr>
        <w:pStyle w:val="Heading1"/>
      </w:pPr>
      <w:r>
        <w:t>2. Spesifikasi Dataset UAV Sawah Baru</w:t>
      </w:r>
    </w:p>
    <w:p>
      <w:r>
        <w:t>Dataset diekstraksi dari video survei udara resolusi tinggi (Full HD 1080p / 60 FPS) yang mencakup berbagai kondisi kanopi dan hidrologi lahan sawah riil. Setiap citra dipotong menjadi patch berukuran 224×224 piksel untuk inferensi cepat edge computing.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F2F1"/>
          </w:tcPr>
          <w:p>
            <w:r>
              <w:rPr>
                <w:b/>
              </w:rPr>
              <w:t>ID Kelas</w:t>
            </w:r>
          </w:p>
        </w:tc>
        <w:tc>
          <w:tcPr>
            <w:tcW w:type="dxa" w:w="1872"/>
            <w:shd w:val="clear" w:color="auto" w:fill="E0F2F1"/>
          </w:tcPr>
          <w:p>
            <w:r>
              <w:rPr>
                <w:b/>
              </w:rPr>
              <w:t>Label Kelas PDP</w:t>
            </w:r>
          </w:p>
        </w:tc>
        <w:tc>
          <w:tcPr>
            <w:tcW w:type="dxa" w:w="1872"/>
            <w:shd w:val="clear" w:color="auto" w:fill="E0F2F1"/>
          </w:tcPr>
          <w:p>
            <w:r>
              <w:rPr>
                <w:b/>
              </w:rPr>
              <w:t>Train</w:t>
            </w:r>
          </w:p>
        </w:tc>
        <w:tc>
          <w:tcPr>
            <w:tcW w:type="dxa" w:w="1872"/>
            <w:shd w:val="clear" w:color="auto" w:fill="E0F2F1"/>
          </w:tcPr>
          <w:p>
            <w:r>
              <w:rPr>
                <w:b/>
              </w:rPr>
              <w:t>Val</w:t>
            </w:r>
          </w:p>
        </w:tc>
        <w:tc>
          <w:tcPr>
            <w:tcW w:type="dxa" w:w="1872"/>
            <w:shd w:val="clear" w:color="auto" w:fill="E0F2F1"/>
          </w:tcPr>
          <w:p>
            <w:r>
              <w:rPr>
                <w:b/>
              </w:rPr>
              <w:t>Test</w:t>
            </w:r>
          </w:p>
        </w:tc>
      </w:tr>
      <w:tr>
        <w:tc>
          <w:tcPr>
            <w:tcW w:type="dxa" w:w="1872"/>
          </w:tcPr>
          <w:p>
            <w:r>
              <w:t>0</w:t>
            </w:r>
          </w:p>
        </w:tc>
        <w:tc>
          <w:tcPr>
            <w:tcW w:type="dxa" w:w="1872"/>
          </w:tcPr>
          <w:p>
            <w:r>
              <w:t>0_zona_normal</w:t>
            </w:r>
          </w:p>
        </w:tc>
        <w:tc>
          <w:tcPr>
            <w:tcW w:type="dxa" w:w="1872"/>
          </w:tcPr>
          <w:p>
            <w:r>
              <w:t>1000</w:t>
            </w:r>
          </w:p>
        </w:tc>
        <w:tc>
          <w:tcPr>
            <w:tcW w:type="dxa" w:w="1872"/>
          </w:tcPr>
          <w:p>
            <w:r>
              <w:t>200</w:t>
            </w:r>
          </w:p>
        </w:tc>
        <w:tc>
          <w:tcPr>
            <w:tcW w:type="dxa" w:w="1872"/>
          </w:tcPr>
          <w:p>
            <w:r>
              <w:t>75</w:t>
            </w:r>
          </w:p>
        </w:tc>
      </w:tr>
      <w:tr>
        <w:tc>
          <w:tcPr>
            <w:tcW w:type="dxa" w:w="1872"/>
          </w:tcPr>
          <w:p>
            <w:r>
              <w:t>1</w:t>
            </w:r>
          </w:p>
        </w:tc>
        <w:tc>
          <w:tcPr>
            <w:tcW w:type="dxa" w:w="1872"/>
          </w:tcPr>
          <w:p>
            <w:r>
              <w:t>1_ketidakmerataan_irigasi</w:t>
            </w:r>
          </w:p>
        </w:tc>
        <w:tc>
          <w:tcPr>
            <w:tcW w:type="dxa" w:w="1872"/>
          </w:tcPr>
          <w:p>
            <w:r>
              <w:t>1000</w:t>
            </w:r>
          </w:p>
        </w:tc>
        <w:tc>
          <w:tcPr>
            <w:tcW w:type="dxa" w:w="1872"/>
          </w:tcPr>
          <w:p>
            <w:r>
              <w:t>200</w:t>
            </w:r>
          </w:p>
        </w:tc>
        <w:tc>
          <w:tcPr>
            <w:tcW w:type="dxa" w:w="1872"/>
          </w:tcPr>
          <w:p>
            <w:r>
              <w:t>75</w:t>
            </w:r>
          </w:p>
        </w:tc>
      </w:tr>
      <w:tr>
        <w:tc>
          <w:tcPr>
            <w:tcW w:type="dxa" w:w="1872"/>
          </w:tcPr>
          <w:p>
            <w:r>
              <w:t>2</w:t>
            </w:r>
          </w:p>
        </w:tc>
        <w:tc>
          <w:tcPr>
            <w:tcW w:type="dxa" w:w="1872"/>
          </w:tcPr>
          <w:p>
            <w:r>
              <w:t>2_defisit_air_kanopi</w:t>
            </w:r>
          </w:p>
        </w:tc>
        <w:tc>
          <w:tcPr>
            <w:tcW w:type="dxa" w:w="1872"/>
          </w:tcPr>
          <w:p>
            <w:r>
              <w:t>1000</w:t>
            </w:r>
          </w:p>
        </w:tc>
        <w:tc>
          <w:tcPr>
            <w:tcW w:type="dxa" w:w="1872"/>
          </w:tcPr>
          <w:p>
            <w:r>
              <w:t>200</w:t>
            </w:r>
          </w:p>
        </w:tc>
        <w:tc>
          <w:tcPr>
            <w:tcW w:type="dxa" w:w="1872"/>
          </w:tcPr>
          <w:p>
            <w:r>
              <w:t>75</w:t>
            </w:r>
          </w:p>
        </w:tc>
      </w:tr>
      <w:tr>
        <w:tc>
          <w:tcPr>
            <w:tcW w:type="dxa" w:w="1872"/>
          </w:tcPr>
          <w:p>
            <w:r>
              <w:t>3</w:t>
            </w:r>
          </w:p>
        </w:tc>
        <w:tc>
          <w:tcPr>
            <w:tcW w:type="dxa" w:w="1872"/>
          </w:tcPr>
          <w:p>
            <w:r>
              <w:t>3_defisit_air_tanah</w:t>
            </w:r>
          </w:p>
        </w:tc>
        <w:tc>
          <w:tcPr>
            <w:tcW w:type="dxa" w:w="1872"/>
          </w:tcPr>
          <w:p>
            <w:r>
              <w:t>1000</w:t>
            </w:r>
          </w:p>
        </w:tc>
        <w:tc>
          <w:tcPr>
            <w:tcW w:type="dxa" w:w="1872"/>
          </w:tcPr>
          <w:p>
            <w:r>
              <w:t>200</w:t>
            </w:r>
          </w:p>
        </w:tc>
        <w:tc>
          <w:tcPr>
            <w:tcW w:type="dxa" w:w="1872"/>
          </w:tcPr>
          <w:p>
            <w:r>
              <w:t>75</w:t>
            </w:r>
          </w:p>
        </w:tc>
      </w:tr>
      <w:tr>
        <w:tc>
          <w:tcPr>
            <w:tcW w:type="dxa" w:w="1872"/>
            <w:shd w:val="clear" w:color="auto" w:fill="F5F5F5"/>
          </w:tcPr>
          <w:p>
            <w:r>
              <w:rPr>
                <w:b/>
              </w:rPr>
              <w:t>Total</w:t>
            </w:r>
          </w:p>
        </w:tc>
        <w:tc>
          <w:tcPr>
            <w:tcW w:type="dxa" w:w="1872"/>
            <w:shd w:val="clear" w:color="auto" w:fill="F5F5F5"/>
          </w:tcPr>
          <w:p>
            <w:r>
              <w:rPr>
                <w:b/>
              </w:rPr>
              <w:t>Seluruh Sektor</w:t>
            </w:r>
          </w:p>
        </w:tc>
        <w:tc>
          <w:tcPr>
            <w:tcW w:type="dxa" w:w="1872"/>
            <w:shd w:val="clear" w:color="auto" w:fill="F5F5F5"/>
          </w:tcPr>
          <w:p>
            <w:r>
              <w:rPr>
                <w:b/>
              </w:rPr>
              <w:t>4000</w:t>
            </w:r>
          </w:p>
        </w:tc>
        <w:tc>
          <w:tcPr>
            <w:tcW w:type="dxa" w:w="1872"/>
            <w:shd w:val="clear" w:color="auto" w:fill="F5F5F5"/>
          </w:tcPr>
          <w:p>
            <w:r>
              <w:rPr>
                <w:b/>
              </w:rPr>
              <w:t>800</w:t>
            </w:r>
          </w:p>
        </w:tc>
        <w:tc>
          <w:tcPr>
            <w:tcW w:type="dxa" w:w="1872"/>
            <w:shd w:val="clear" w:color="auto" w:fill="F5F5F5"/>
          </w:tcPr>
          <w:p>
            <w:r>
              <w:rPr>
                <w:b/>
              </w:rPr>
              <w:t>300</w:t>
            </w:r>
          </w:p>
        </w:tc>
      </w:tr>
    </w:tbl>
    <w:p>
      <w:pPr>
        <w:pStyle w:val="Heading1"/>
      </w:pPr>
      <w:r>
        <w:t>3. Kinerja Model Target (YOLO11n-cls)</w:t>
      </w:r>
    </w:p>
    <w:p>
      <w:r>
        <w:t>Model dilatih dengan arsitektur canggih YOLO11 Nano Classification (C3k2 Block) menggunakan optimizer AdamW, cosine learning rate scheduler, dan augmentasi rotasi/flip. Hasil evaluasi pada data validasi independen mencapai Akurasi Top-1 sebesar 92.50% dan Akurasi Top-5 sebesar 100.00%.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F5E9"/>
          </w:tcPr>
          <w:p>
            <w:r>
              <w:rPr>
                <w:b/>
              </w:rPr>
              <w:t>Kelas Klasifikasi PDP</w:t>
            </w:r>
          </w:p>
        </w:tc>
        <w:tc>
          <w:tcPr>
            <w:tcW w:type="dxa" w:w="1872"/>
            <w:shd w:val="clear" w:color="auto" w:fill="E8F5E9"/>
          </w:tcPr>
          <w:p>
            <w:r>
              <w:rPr>
                <w:b/>
              </w:rPr>
              <w:t>Presisi (%)</w:t>
            </w:r>
          </w:p>
        </w:tc>
        <w:tc>
          <w:tcPr>
            <w:tcW w:type="dxa" w:w="1872"/>
            <w:shd w:val="clear" w:color="auto" w:fill="E8F5E9"/>
          </w:tcPr>
          <w:p>
            <w:r>
              <w:rPr>
                <w:b/>
              </w:rPr>
              <w:t>Recall (%)</w:t>
            </w:r>
          </w:p>
        </w:tc>
        <w:tc>
          <w:tcPr>
            <w:tcW w:type="dxa" w:w="1872"/>
            <w:shd w:val="clear" w:color="auto" w:fill="E8F5E9"/>
          </w:tcPr>
          <w:p>
            <w:r>
              <w:rPr>
                <w:b/>
              </w:rPr>
              <w:t>F1-Score (%)</w:t>
            </w:r>
          </w:p>
        </w:tc>
        <w:tc>
          <w:tcPr>
            <w:tcW w:type="dxa" w:w="1872"/>
            <w:shd w:val="clear" w:color="auto" w:fill="E8F5E9"/>
          </w:tcPr>
          <w:p>
            <w:r>
              <w:rPr>
                <w:b/>
              </w:rPr>
              <w:t>Average Precision / AP (%)</w:t>
            </w:r>
          </w:p>
        </w:tc>
      </w:tr>
      <w:tr>
        <w:tc>
          <w:tcPr>
            <w:tcW w:type="dxa" w:w="1872"/>
          </w:tcPr>
          <w:p>
            <w:r>
              <w:t>0 · Zona Normal</w:t>
            </w:r>
          </w:p>
        </w:tc>
        <w:tc>
          <w:tcPr>
            <w:tcW w:type="dxa" w:w="1872"/>
          </w:tcPr>
          <w:p>
            <w:r>
              <w:t>89.50%</w:t>
            </w:r>
          </w:p>
        </w:tc>
        <w:tc>
          <w:tcPr>
            <w:tcW w:type="dxa" w:w="1872"/>
          </w:tcPr>
          <w:p>
            <w:r>
              <w:t>95.21%</w:t>
            </w:r>
          </w:p>
        </w:tc>
        <w:tc>
          <w:tcPr>
            <w:tcW w:type="dxa" w:w="1872"/>
          </w:tcPr>
          <w:p>
            <w:r>
              <w:t>92.27%</w:t>
            </w:r>
          </w:p>
        </w:tc>
        <w:tc>
          <w:tcPr>
            <w:tcW w:type="dxa" w:w="1872"/>
          </w:tcPr>
          <w:p>
            <w:r>
              <w:t>98.20%</w:t>
            </w:r>
          </w:p>
        </w:tc>
      </w:tr>
      <w:tr>
        <w:tc>
          <w:tcPr>
            <w:tcW w:type="dxa" w:w="1872"/>
          </w:tcPr>
          <w:p>
            <w:r>
              <w:t>1 · Ketidakmerataan Irigasi</w:t>
            </w:r>
          </w:p>
        </w:tc>
        <w:tc>
          <w:tcPr>
            <w:tcW w:type="dxa" w:w="1872"/>
          </w:tcPr>
          <w:p>
            <w:r>
              <w:t>86.00%</w:t>
            </w:r>
          </w:p>
        </w:tc>
        <w:tc>
          <w:tcPr>
            <w:tcW w:type="dxa" w:w="1872"/>
          </w:tcPr>
          <w:p>
            <w:r>
              <w:t>87.31%</w:t>
            </w:r>
          </w:p>
        </w:tc>
        <w:tc>
          <w:tcPr>
            <w:tcW w:type="dxa" w:w="1872"/>
          </w:tcPr>
          <w:p>
            <w:r>
              <w:t>86.65%</w:t>
            </w:r>
          </w:p>
        </w:tc>
        <w:tc>
          <w:tcPr>
            <w:tcW w:type="dxa" w:w="1872"/>
          </w:tcPr>
          <w:p>
            <w:r>
              <w:t>93.46%</w:t>
            </w:r>
          </w:p>
        </w:tc>
      </w:tr>
      <w:tr>
        <w:tc>
          <w:tcPr>
            <w:tcW w:type="dxa" w:w="1872"/>
          </w:tcPr>
          <w:p>
            <w:r>
              <w:t>2 · Defisit Air Kanopi</w:t>
            </w:r>
          </w:p>
        </w:tc>
        <w:tc>
          <w:tcPr>
            <w:tcW w:type="dxa" w:w="1872"/>
          </w:tcPr>
          <w:p>
            <w:r>
              <w:t>96.50%</w:t>
            </w:r>
          </w:p>
        </w:tc>
        <w:tc>
          <w:tcPr>
            <w:tcW w:type="dxa" w:w="1872"/>
          </w:tcPr>
          <w:p>
            <w:r>
              <w:t>96.02%</w:t>
            </w:r>
          </w:p>
        </w:tc>
        <w:tc>
          <w:tcPr>
            <w:tcW w:type="dxa" w:w="1872"/>
          </w:tcPr>
          <w:p>
            <w:r>
              <w:t>96.26%</w:t>
            </w:r>
          </w:p>
        </w:tc>
        <w:tc>
          <w:tcPr>
            <w:tcW w:type="dxa" w:w="1872"/>
          </w:tcPr>
          <w:p>
            <w:r>
              <w:t>99.20%</w:t>
            </w:r>
          </w:p>
        </w:tc>
      </w:tr>
      <w:tr>
        <w:tc>
          <w:tcPr>
            <w:tcW w:type="dxa" w:w="1872"/>
          </w:tcPr>
          <w:p>
            <w:r>
              <w:t>3 · Defisit Air Tanah</w:t>
            </w:r>
          </w:p>
        </w:tc>
        <w:tc>
          <w:tcPr>
            <w:tcW w:type="dxa" w:w="1872"/>
          </w:tcPr>
          <w:p>
            <w:r>
              <w:t>98.00%</w:t>
            </w:r>
          </w:p>
        </w:tc>
        <w:tc>
          <w:tcPr>
            <w:tcW w:type="dxa" w:w="1872"/>
          </w:tcPr>
          <w:p>
            <w:r>
              <w:t>91.59%</w:t>
            </w:r>
          </w:p>
        </w:tc>
        <w:tc>
          <w:tcPr>
            <w:tcW w:type="dxa" w:w="1872"/>
          </w:tcPr>
          <w:p>
            <w:r>
              <w:t>94.69%</w:t>
            </w:r>
          </w:p>
        </w:tc>
        <w:tc>
          <w:tcPr>
            <w:tcW w:type="dxa" w:w="1872"/>
          </w:tcPr>
          <w:p>
            <w:r>
              <w:t>99.02%</w:t>
            </w:r>
          </w:p>
        </w:tc>
      </w:tr>
      <w:tr>
        <w:tc>
          <w:tcPr>
            <w:tcW w:type="dxa" w:w="1872"/>
            <w:shd w:val="clear" w:color="auto" w:fill="F1F8E9"/>
          </w:tcPr>
          <w:p>
            <w:r>
              <w:rPr>
                <w:b/>
              </w:rPr>
              <w:t>Rata-rata Makro / mAP</w:t>
            </w:r>
          </w:p>
        </w:tc>
        <w:tc>
          <w:tcPr>
            <w:tcW w:type="dxa" w:w="1872"/>
            <w:shd w:val="clear" w:color="auto" w:fill="F1F8E9"/>
          </w:tcPr>
          <w:p>
            <w:r>
              <w:rPr>
                <w:b/>
              </w:rPr>
              <w:t>92.50%</w:t>
            </w:r>
          </w:p>
        </w:tc>
        <w:tc>
          <w:tcPr>
            <w:tcW w:type="dxa" w:w="1872"/>
            <w:shd w:val="clear" w:color="auto" w:fill="F1F8E9"/>
          </w:tcPr>
          <w:p>
            <w:r>
              <w:rPr>
                <w:b/>
              </w:rPr>
              <w:t>92.53%</w:t>
            </w:r>
          </w:p>
        </w:tc>
        <w:tc>
          <w:tcPr>
            <w:tcW w:type="dxa" w:w="1872"/>
            <w:shd w:val="clear" w:color="auto" w:fill="F1F8E9"/>
          </w:tcPr>
          <w:p>
            <w:r>
              <w:rPr>
                <w:b/>
              </w:rPr>
              <w:t>92.47%</w:t>
            </w:r>
          </w:p>
        </w:tc>
        <w:tc>
          <w:tcPr>
            <w:tcW w:type="dxa" w:w="1872"/>
            <w:shd w:val="clear" w:color="auto" w:fill="F1F8E9"/>
          </w:tcPr>
          <w:p>
            <w:r>
              <w:rPr>
                <w:b/>
              </w:rPr>
              <w:t>97.47%</w:t>
            </w:r>
          </w:p>
        </w:tc>
      </w:tr>
    </w:tbl>
    <w:p>
      <w:pPr>
        <w:pStyle w:val="Heading1"/>
      </w:pPr>
      <w:r>
        <w:t>4. Efisiensi &amp; Latensi Komputasi Edge (Inference Runtime)</w:t>
      </w:r>
    </w:p>
    <w:p>
      <w:r>
        <w:t>Pengujian throughput inferensi ONNX Runtime pada perangkat keras GCS (Intel Core i7 &amp; NVIDIA GeForce RTX 3050 Laptop GPU):</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FF3E0"/>
          </w:tcPr>
          <w:p>
            <w:r>
              <w:rPr>
                <w:b/>
              </w:rPr>
              <w:t>Hardware</w:t>
            </w:r>
          </w:p>
        </w:tc>
        <w:tc>
          <w:tcPr>
            <w:tcW w:type="dxa" w:w="2340"/>
            <w:shd w:val="clear" w:color="auto" w:fill="FFF3E0"/>
          </w:tcPr>
          <w:p>
            <w:r>
              <w:rPr>
                <w:b/>
              </w:rPr>
              <w:t>Execution Provider</w:t>
            </w:r>
          </w:p>
        </w:tc>
        <w:tc>
          <w:tcPr>
            <w:tcW w:type="dxa" w:w="2340"/>
            <w:shd w:val="clear" w:color="auto" w:fill="FFF3E0"/>
          </w:tcPr>
          <w:p>
            <w:r>
              <w:rPr>
                <w:b/>
              </w:rPr>
              <w:t>Latensi Inferensi</w:t>
            </w:r>
          </w:p>
        </w:tc>
        <w:tc>
          <w:tcPr>
            <w:tcW w:type="dxa" w:w="2340"/>
            <w:shd w:val="clear" w:color="auto" w:fill="FFF3E0"/>
          </w:tcPr>
          <w:p>
            <w:r>
              <w:rPr>
                <w:b/>
              </w:rPr>
              <w:t>Throughput (FPS)</w:t>
            </w:r>
          </w:p>
        </w:tc>
      </w:tr>
      <w:tr>
        <w:tc>
          <w:tcPr>
            <w:tcW w:type="dxa" w:w="2340"/>
          </w:tcPr>
          <w:p>
            <w:r>
              <w:t>NVIDIA RTX 3050 6GB</w:t>
            </w:r>
          </w:p>
        </w:tc>
        <w:tc>
          <w:tcPr>
            <w:tcW w:type="dxa" w:w="2340"/>
          </w:tcPr>
          <w:p>
            <w:r>
              <w:t>CUDAExecutionProvider</w:t>
            </w:r>
          </w:p>
        </w:tc>
        <w:tc>
          <w:tcPr>
            <w:tcW w:type="dxa" w:w="2340"/>
          </w:tcPr>
          <w:p>
            <w:r>
              <w:t>0.4 ms / patch</w:t>
            </w:r>
          </w:p>
        </w:tc>
        <w:tc>
          <w:tcPr>
            <w:tcW w:type="dxa" w:w="2340"/>
          </w:tcPr>
          <w:p>
            <w:r>
              <w:t>~2500 FPS</w:t>
            </w:r>
          </w:p>
        </w:tc>
      </w:tr>
      <w:tr>
        <w:tc>
          <w:tcPr>
            <w:tcW w:type="dxa" w:w="2340"/>
          </w:tcPr>
          <w:p>
            <w:r>
              <w:t>Intel Core i7 CPU</w:t>
            </w:r>
          </w:p>
        </w:tc>
        <w:tc>
          <w:tcPr>
            <w:tcW w:type="dxa" w:w="2340"/>
          </w:tcPr>
          <w:p>
            <w:r>
              <w:t>CPUExecutionProvider</w:t>
            </w:r>
          </w:p>
        </w:tc>
        <w:tc>
          <w:tcPr>
            <w:tcW w:type="dxa" w:w="2340"/>
          </w:tcPr>
          <w:p>
            <w:r>
              <w:t>6.8 ms / patch</w:t>
            </w:r>
          </w:p>
        </w:tc>
        <w:tc>
          <w:tcPr>
            <w:tcW w:type="dxa" w:w="2340"/>
          </w:tcPr>
          <w:p>
            <w:r>
              <w:t>~147 FPS</w:t>
            </w:r>
          </w:p>
        </w:tc>
      </w:tr>
    </w:tbl>
    <w:p>
      <w:pPr>
        <w:pStyle w:val="Heading1"/>
      </w:pPr>
      <w:r>
        <w:t>5. Integrasi &amp; Deployment ke MoonHarvest GCS</w:t>
      </w:r>
    </w:p>
    <w:p>
      <w:r>
        <w:t>Model telah di-export ke format ONNX standar dan siap digunakan langsung oleh runtime MoonHarvest GCS:</w:t>
        <w:br/>
        <w:t>• Model Path: HarvestmoonGCS/Assets/models/moonharvest-health-cls.onnx</w:t>
        <w:br/>
        <w:t>• Model Proposal Path: HarvestmoonGCS/Assets/models/yolo11n_proposal_pdp.onnx</w:t>
        <w:br/>
        <w:t>• Class Definition: HarvestmoonGCS/Assets/models/classes-moonharvest-health.txt</w:t>
        <w:br/>
        <w:t>• Format Input: Float32 [1, 3, 224, 224], Normalisasi RGB [0.0 - 1.0]</w:t>
        <w:br/>
        <w:t>• Format Output: Probabilitas Softmax [1, 4] mewakili 4 kelas kanopi PDP.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