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A1A2E"/>
          </w:tcPr>
          <w:p>
            <w:pPr>
              <w:spacing w:before="200" w:after="200"/>
              <w:jc w:val="center"/>
            </w:pPr>
            <w:r>
              <w:rPr>
                <w:b/>
                <w:color w:val="C89E3F"/>
                <w:sz w:val="22"/>
              </w:rPr>
              <w:t xml:space="preserve">  EXECUTIVE BRIEFING DOCUMENT  </w:t>
            </w:r>
          </w:p>
        </w:tc>
      </w:tr>
    </w:tbl>
    <w:p/>
    <w:p>
      <w:pPr>
        <w:jc w:val="center"/>
      </w:pPr>
      <w:r>
        <w:rPr>
          <w:b/>
          <w:color w:val="007B83"/>
          <w:sz w:val="24"/>
        </w:rPr>
        <w:t>COLLEGE OF MEDICINE</w:t>
      </w:r>
    </w:p>
    <w:p/>
    <w:p/>
    <w:p>
      <w:pPr>
        <w:jc w:val="center"/>
      </w:pPr>
      <w:r>
        <w:rPr>
          <w:b/>
          <w:color w:val="1A1A2E"/>
          <w:sz w:val="56"/>
        </w:rPr>
        <w:t>OSCE Examination Management</w:t>
        <w:br/>
        <w:t>Platform</w:t>
      </w:r>
    </w:p>
    <w:p/>
    <w:p>
      <w:pPr>
        <w:jc w:val="center"/>
      </w:pPr>
      <w:r>
        <w:rPr>
          <w:i/>
          <w:color w:val="007B83"/>
          <w:sz w:val="26"/>
        </w:rPr>
        <w:t>Enterprise-Grade Digital Infrastructure for Objective Structured</w:t>
        <w:br/>
        <w:t>Clinical Examination Administration in Academic Medicine</w:t>
      </w:r>
    </w:p>
    <w:p/>
    <w:p/>
    <w:p/>
    <w:tbl>
      <w:tblPr>
        <w:tblW w:type="auto" w:w="0"/>
        <w:jc w:val="center"/>
        <w:tblLook w:firstColumn="1" w:firstRow="1" w:lastColumn="0" w:lastRow="0" w:noHBand="0" w:noVBand="1" w:val="04A0"/>
      </w:tblPr>
      <w:tblGrid>
        <w:gridCol w:w="4536"/>
        <w:gridCol w:w="4536"/>
      </w:tblGrid>
      <w:tr>
        <w:tc>
          <w:tcPr>
            <w:tcW w:type="dxa" w:w="2835"/>
            <w:shd w:val="clear" w:color="auto" w:fill="F2F4F7"/>
          </w:tcPr>
          <w:p>
            <w:r>
              <w:rPr>
                <w:b/>
                <w:color w:val="1A1A2E"/>
                <w:sz w:val="20"/>
              </w:rPr>
              <w:t>Prepared for</w:t>
            </w:r>
          </w:p>
        </w:tc>
        <w:tc>
          <w:tcPr>
            <w:tcW w:type="dxa" w:w="6236"/>
            <w:shd w:val="clear" w:color="auto" w:fill="F2F4F7"/>
          </w:tcPr>
          <w:p>
            <w:r>
              <w:rPr>
                <w:color w:val="606060"/>
                <w:sz w:val="20"/>
              </w:rPr>
              <w:t>Dean and Academic Leadership Board</w:t>
            </w:r>
          </w:p>
        </w:tc>
      </w:tr>
      <w:tr>
        <w:tc>
          <w:tcPr>
            <w:tcW w:type="dxa" w:w="2835"/>
            <w:shd w:val="clear" w:color="auto" w:fill="FFFFFF"/>
          </w:tcPr>
          <w:p>
            <w:r>
              <w:rPr>
                <w:b/>
                <w:color w:val="1A1A2E"/>
                <w:sz w:val="20"/>
              </w:rPr>
              <w:t>Classification</w:t>
            </w:r>
          </w:p>
        </w:tc>
        <w:tc>
          <w:tcPr>
            <w:tcW w:type="dxa" w:w="6236"/>
            <w:shd w:val="clear" w:color="auto" w:fill="FFFFFF"/>
          </w:tcPr>
          <w:p>
            <w:r>
              <w:rPr>
                <w:color w:val="606060"/>
                <w:sz w:val="20"/>
              </w:rPr>
              <w:t>CONFIDENTIAL — Internal Use Only</w:t>
            </w:r>
          </w:p>
        </w:tc>
      </w:tr>
      <w:tr>
        <w:tc>
          <w:tcPr>
            <w:tcW w:type="dxa" w:w="2835"/>
            <w:shd w:val="clear" w:color="auto" w:fill="F2F4F7"/>
          </w:tcPr>
          <w:p>
            <w:r>
              <w:rPr>
                <w:b/>
                <w:color w:val="1A1A2E"/>
                <w:sz w:val="20"/>
              </w:rPr>
              <w:t>Document Date</w:t>
            </w:r>
          </w:p>
        </w:tc>
        <w:tc>
          <w:tcPr>
            <w:tcW w:type="dxa" w:w="6236"/>
            <w:shd w:val="clear" w:color="auto" w:fill="F2F4F7"/>
          </w:tcPr>
          <w:p>
            <w:r>
              <w:rPr>
                <w:color w:val="606060"/>
                <w:sz w:val="20"/>
              </w:rPr>
              <w:t>March 02, 2026</w:t>
            </w:r>
          </w:p>
        </w:tc>
      </w:tr>
      <w:tr>
        <w:tc>
          <w:tcPr>
            <w:tcW w:type="dxa" w:w="2835"/>
            <w:shd w:val="clear" w:color="auto" w:fill="FFFFFF"/>
          </w:tcPr>
          <w:p>
            <w:r>
              <w:rPr>
                <w:b/>
                <w:color w:val="1A1A2E"/>
                <w:sz w:val="20"/>
              </w:rPr>
              <w:t>Version</w:t>
            </w:r>
          </w:p>
        </w:tc>
        <w:tc>
          <w:tcPr>
            <w:tcW w:type="dxa" w:w="6236"/>
            <w:shd w:val="clear" w:color="auto" w:fill="FFFFFF"/>
          </w:tcPr>
          <w:p>
            <w:r>
              <w:rPr>
                <w:color w:val="606060"/>
                <w:sz w:val="20"/>
              </w:rPr>
              <w:t>v3.2</w:t>
            </w:r>
          </w:p>
        </w:tc>
      </w:tr>
    </w:tbl>
    <w:p>
      <w:r>
        <w:br w:type="page"/>
      </w:r>
    </w:p>
    <w:p>
      <w:pPr>
        <w:spacing w:before="360" w:after="80"/>
      </w:pPr>
      <w:r>
        <w:rPr>
          <w:b/>
          <w:color w:val="1A1A2E"/>
          <w:sz w:val="28"/>
        </w:rPr>
        <w:t>1.  EXECUTIVE SUMMARY</w:t>
      </w:r>
    </w:p>
    <w:p>
      <w:pPr>
        <w:spacing w:before="40" w:after="120"/>
        <w:pBdr>
          <w:bottom w:val="single" w:sz="12" w:space="1" w:color="007B83"/>
        </w:pBdr>
      </w:pPr>
    </w:p>
    <w:p>
      <w:pPr>
        <w:spacing w:before="40" w:after="100"/>
      </w:pPr>
      <w:r>
        <w:rPr>
          <w:color w:val="606060"/>
          <w:sz w:val="21"/>
        </w:rPr>
        <w:t>This document presents a comprehensive technical and strategic overview of the OSCE Examination Management Platform — a purpose-built, enterprise-grade digital solution developed exclusively for the College of Medicine to modernise, secure, and scale the administration of Objective Structured Clinical Examinations (OSCE).</w:t>
      </w:r>
    </w:p>
    <w:p>
      <w:pPr>
        <w:spacing w:before="40" w:after="100"/>
      </w:pPr>
      <w:r>
        <w:rPr>
          <w:color w:val="606060"/>
          <w:sz w:val="21"/>
        </w:rPr>
        <w:t>The platform addresses the full operational lifecycle of OSCE delivery: from course and station authoring through multi-path session scheduling, real-time examiner scoring (with offline resilience), to automated report generation and institutional analytics. It is engineered on a hardened, production-grade technology stack with documented security controls, performance optimisations, and a scalable modular architecture capable of supporting departmental growth without architectural revision.</w:t>
      </w:r>
    </w:p>
    <w:p>
      <w:pPr>
        <w:spacing w:before="40" w:after="100"/>
      </w:pPr>
      <w:r>
        <w:rPr>
          <w:color w:val="606060"/>
          <w:sz w:val="21"/>
        </w:rPr>
        <w:t>The system is presently deployed and operational, supporting live examination sessions across two student cohorts (Year 4 and Year 6), with a documented audit trail for all critical interactions and compliance-ready data governance controls.</w:t>
      </w:r>
    </w:p>
    <w:p>
      <w:pPr>
        <w:spacing w:before="360" w:after="80"/>
      </w:pPr>
      <w:r>
        <w:rPr>
          <w:b/>
          <w:color w:val="1A1A2E"/>
          <w:sz w:val="28"/>
        </w:rPr>
        <w:t>2.  SYSTEM OVERVIEW AND OBJECTIVES</w:t>
      </w:r>
    </w:p>
    <w:p>
      <w:pPr>
        <w:spacing w:before="40" w:after="120"/>
        <w:pBdr>
          <w:bottom w:val="single" w:sz="12" w:space="1" w:color="007B83"/>
        </w:pBdr>
      </w:pPr>
    </w:p>
    <w:p>
      <w:pPr>
        <w:spacing w:before="40" w:after="100"/>
      </w:pPr>
      <w:r>
        <w:rPr>
          <w:color w:val="606060"/>
          <w:sz w:val="21"/>
        </w:rPr>
        <w:t>The OSCE Examination Management Platform is a full-stack web application that centralises every dimension of OSCE administration under a single, role-governed interface. The system eliminates paper-based marking, unstructured spreadsheet workflows, and manual score aggregation — replacing them with real-time digital processes that enforce institutional assessment policy by design.</w:t>
      </w:r>
    </w:p>
    <w:p>
      <w:pPr>
        <w:spacing w:before="240" w:after="80"/>
      </w:pPr>
      <w:r>
        <w:rPr>
          <w:b/>
          <w:color w:val="007B83"/>
          <w:sz w:val="24"/>
        </w:rPr>
        <w:t>Strategic Objectives</w:t>
      </w:r>
    </w:p>
    <w:p>
      <w:pPr>
        <w:pStyle w:val="ListBullet"/>
        <w:spacing w:before="20" w:after="40"/>
        <w:ind w:left="567"/>
      </w:pPr>
      <w:r>
        <w:rPr>
          <w:b/>
          <w:color w:val="1A1A2E"/>
          <w:sz w:val="21"/>
        </w:rPr>
        <w:t>Operational Efficiency:</w:t>
      </w:r>
      <w:r>
        <w:rPr>
          <w:color w:val="606060"/>
          <w:sz w:val="21"/>
        </w:rPr>
        <w:t xml:space="preserve"> Eliminate administrative overhead associated with manual OSCE coordination, examiner briefings, and post-session score consolidation.</w:t>
      </w:r>
    </w:p>
    <w:p>
      <w:pPr>
        <w:pStyle w:val="ListBullet"/>
        <w:spacing w:before="20" w:after="40"/>
        <w:ind w:left="567"/>
      </w:pPr>
      <w:r>
        <w:rPr>
          <w:b/>
          <w:color w:val="1A1A2E"/>
          <w:sz w:val="21"/>
        </w:rPr>
        <w:t>Assessment Integrity:</w:t>
      </w:r>
      <w:r>
        <w:rPr>
          <w:color w:val="606060"/>
          <w:sz w:val="21"/>
        </w:rPr>
        <w:t xml:space="preserve"> Enforce consistent structured marking criteria across all paths, examiners, and cohorts through system-level controls.</w:t>
      </w:r>
    </w:p>
    <w:p>
      <w:pPr>
        <w:pStyle w:val="ListBullet"/>
        <w:spacing w:before="20" w:after="40"/>
        <w:ind w:left="567"/>
      </w:pPr>
      <w:r>
        <w:rPr>
          <w:b/>
          <w:color w:val="1A1A2E"/>
          <w:sz w:val="21"/>
        </w:rPr>
        <w:t>Data Sovereignty:</w:t>
      </w:r>
      <w:r>
        <w:rPr>
          <w:color w:val="606060"/>
          <w:sz w:val="21"/>
        </w:rPr>
        <w:t xml:space="preserve"> Retain all examination data within institution-controlled infrastructure, with full audit accountability.</w:t>
      </w:r>
    </w:p>
    <w:p>
      <w:pPr>
        <w:pStyle w:val="ListBullet"/>
        <w:spacing w:before="20" w:after="40"/>
        <w:ind w:left="567"/>
      </w:pPr>
      <w:r>
        <w:rPr>
          <w:b/>
          <w:color w:val="1A1A2E"/>
          <w:sz w:val="21"/>
        </w:rPr>
        <w:t>Regulatory Readiness:</w:t>
      </w:r>
      <w:r>
        <w:rPr>
          <w:color w:val="606060"/>
          <w:sz w:val="21"/>
        </w:rPr>
        <w:t xml:space="preserve"> Maintain structured records aligned with accreditation body requirements and academic quality assurance standards.</w:t>
      </w:r>
    </w:p>
    <w:p>
      <w:pPr>
        <w:pStyle w:val="ListBullet"/>
        <w:spacing w:before="20" w:after="40"/>
        <w:ind w:left="567"/>
      </w:pPr>
      <w:r>
        <w:rPr>
          <w:b/>
          <w:color w:val="1A1A2E"/>
          <w:sz w:val="21"/>
        </w:rPr>
        <w:t>Scalability:</w:t>
      </w:r>
      <w:r>
        <w:rPr>
          <w:color w:val="606060"/>
          <w:sz w:val="21"/>
        </w:rPr>
        <w:t xml:space="preserve"> Support expanded session volumes, additional campuses, and increased student cohort sizes without platform re-engineering.</w:t>
      </w:r>
    </w:p>
    <w:p>
      <w:pPr>
        <w:spacing w:before="360" w:after="80"/>
      </w:pPr>
      <w:r>
        <w:rPr>
          <w:b/>
          <w:color w:val="1A1A2E"/>
          <w:sz w:val="28"/>
        </w:rPr>
        <w:t>3.  CORE FEATURES AND FUNCTIONAL CAPABILITIES</w:t>
      </w:r>
    </w:p>
    <w:p>
      <w:pPr>
        <w:spacing w:before="40" w:after="120"/>
        <w:pBdr>
          <w:bottom w:val="single" w:sz="12" w:space="1" w:color="007B83"/>
        </w:pBdr>
      </w:pPr>
    </w:p>
    <w:p>
      <w:pPr>
        <w:spacing w:before="240" w:after="80"/>
      </w:pPr>
      <w:r>
        <w:rPr>
          <w:b/>
          <w:color w:val="007B83"/>
          <w:sz w:val="24"/>
        </w:rPr>
        <w:t>3.1  Course and Examination Authoring</w:t>
      </w:r>
    </w:p>
    <w:p>
      <w:pPr>
        <w:pStyle w:val="ListBullet"/>
        <w:spacing w:before="20" w:after="40"/>
        <w:ind w:left="567"/>
      </w:pPr>
      <w:r>
        <w:rPr>
          <w:b/>
          <w:color w:val="1A1A2E"/>
          <w:sz w:val="21"/>
        </w:rPr>
        <w:t>Course Management:</w:t>
      </w:r>
      <w:r>
        <w:rPr>
          <w:color w:val="606060"/>
          <w:sz w:val="21"/>
        </w:rPr>
        <w:t xml:space="preserve"> Structured course records linked to Intended Learning Outcomes (ILOs), theme categories, and OSCE mark weightings.</w:t>
      </w:r>
    </w:p>
    <w:p>
      <w:pPr>
        <w:pStyle w:val="ListBullet"/>
        <w:spacing w:before="20" w:after="40"/>
        <w:ind w:left="567"/>
      </w:pPr>
      <w:r>
        <w:rPr>
          <w:b/>
          <w:color w:val="1A1A2E"/>
          <w:sz w:val="21"/>
        </w:rPr>
        <w:t>Station Library:</w:t>
      </w:r>
      <w:r>
        <w:rPr>
          <w:color w:val="606060"/>
          <w:sz w:val="21"/>
        </w:rPr>
        <w:t xml:space="preserve"> Centralised repository of reusable station templates with binary, partial-credit, and scale-based checklist items.</w:t>
      </w:r>
    </w:p>
    <w:p>
      <w:pPr>
        <w:pStyle w:val="ListBullet"/>
        <w:spacing w:before="20" w:after="40"/>
        <w:ind w:left="567"/>
      </w:pPr>
      <w:r>
        <w:rPr>
          <w:b/>
          <w:color w:val="1A1A2E"/>
          <w:sz w:val="21"/>
        </w:rPr>
        <w:t>ILO Linkage:</w:t>
      </w:r>
      <w:r>
        <w:rPr>
          <w:color w:val="606060"/>
          <w:sz w:val="21"/>
        </w:rPr>
        <w:t xml:space="preserve"> Every checklist item is mapped to a specific ILO, enabling automated ILO-level performance analytics.</w:t>
      </w:r>
    </w:p>
    <w:p>
      <w:pPr>
        <w:pStyle w:val="ListBullet"/>
        <w:spacing w:before="20" w:after="40"/>
        <w:ind w:left="567"/>
      </w:pPr>
      <w:r>
        <w:rPr>
          <w:b/>
          <w:color w:val="1A1A2E"/>
          <w:sz w:val="21"/>
        </w:rPr>
        <w:t>Criticality Flags:</w:t>
      </w:r>
      <w:r>
        <w:rPr>
          <w:color w:val="606060"/>
          <w:sz w:val="21"/>
        </w:rPr>
        <w:t xml:space="preserve"> Individual checklist items may be designated as critical, allowing fail-override logic at the institutional level.</w:t>
      </w:r>
    </w:p>
    <w:p>
      <w:pPr>
        <w:spacing w:before="240" w:after="80"/>
      </w:pPr>
      <w:r>
        <w:rPr>
          <w:b/>
          <w:color w:val="007B83"/>
          <w:sz w:val="24"/>
        </w:rPr>
        <w:t>3.2  Session Planning and Multi-Path Rotation</w:t>
      </w:r>
    </w:p>
    <w:p>
      <w:pPr>
        <w:pStyle w:val="ListBullet"/>
        <w:spacing w:before="20" w:after="40"/>
        <w:ind w:left="567"/>
      </w:pPr>
      <w:r>
        <w:rPr>
          <w:b/>
          <w:color w:val="1A1A2E"/>
          <w:sz w:val="21"/>
        </w:rPr>
        <w:t>Multi-Path Circuits:</w:t>
      </w:r>
      <w:r>
        <w:rPr>
          <w:color w:val="606060"/>
          <w:sz w:val="21"/>
        </w:rPr>
        <w:t xml:space="preserve"> Each examination session supports configurable circular rotation paths (e.g., 5–10 paths per session), replicating identical stations across all paths to ensure marking parity.</w:t>
      </w:r>
    </w:p>
    <w:p>
      <w:pPr>
        <w:pStyle w:val="ListBullet"/>
        <w:spacing w:before="20" w:after="40"/>
        <w:ind w:left="567"/>
      </w:pPr>
      <w:r>
        <w:rPr>
          <w:b/>
          <w:color w:val="1A1A2E"/>
          <w:sz w:val="21"/>
        </w:rPr>
        <w:t>Student Assignment:</w:t>
      </w:r>
      <w:r>
        <w:rPr>
          <w:color w:val="606060"/>
          <w:sz w:val="21"/>
        </w:rPr>
        <w:t xml:space="preserve"> Students are assigned to specific paths with sequenced station progression, automatically redistributed upon roster changes.</w:t>
      </w:r>
    </w:p>
    <w:p>
      <w:pPr>
        <w:pStyle w:val="ListBullet"/>
        <w:spacing w:before="20" w:after="40"/>
        <w:ind w:left="567"/>
      </w:pPr>
      <w:r>
        <w:rPr>
          <w:b/>
          <w:color w:val="1A1A2E"/>
          <w:sz w:val="21"/>
        </w:rPr>
        <w:t>Examiner Assignment:</w:t>
      </w:r>
      <w:r>
        <w:rPr>
          <w:color w:val="606060"/>
          <w:sz w:val="21"/>
        </w:rPr>
        <w:t xml:space="preserve"> Examiners are paired to specific stations per path per session, with system-level enforcement preventing cross-assignment scoring.</w:t>
      </w:r>
    </w:p>
    <w:p>
      <w:pPr>
        <w:pStyle w:val="ListBullet"/>
        <w:spacing w:before="20" w:after="40"/>
        <w:ind w:left="567"/>
      </w:pPr>
      <w:r>
        <w:rPr>
          <w:b/>
          <w:color w:val="1A1A2E"/>
          <w:sz w:val="21"/>
        </w:rPr>
        <w:t>Session Status Lifecycle:</w:t>
      </w:r>
      <w:r>
        <w:rPr>
          <w:color w:val="606060"/>
          <w:sz w:val="21"/>
        </w:rPr>
        <w:t xml:space="preserve"> Sessions progress through defined states (Scheduled → In Progress → Completed → Locked) with role-governed transition controls.</w:t>
      </w:r>
    </w:p>
    <w:p>
      <w:pPr>
        <w:spacing w:before="240" w:after="80"/>
      </w:pPr>
      <w:r>
        <w:rPr>
          <w:b/>
          <w:color w:val="007B83"/>
          <w:sz w:val="24"/>
        </w:rPr>
        <w:t>3.3  Real-Time and Offline Examiner Scoring</w:t>
      </w:r>
    </w:p>
    <w:p>
      <w:pPr>
        <w:pStyle w:val="ListBullet"/>
        <w:spacing w:before="20" w:after="40"/>
        <w:ind w:left="567"/>
      </w:pPr>
      <w:r>
        <w:rPr>
          <w:b/>
          <w:color w:val="1A1A2E"/>
          <w:sz w:val="21"/>
        </w:rPr>
        <w:t>Dedicated Examiner Interface:</w:t>
      </w:r>
      <w:r>
        <w:rPr>
          <w:color w:val="606060"/>
          <w:sz w:val="21"/>
        </w:rPr>
        <w:t xml:space="preserve"> Examiners access a purpose-built, mobile-responsive scoring interface optimised for tablet and handheld use during live sessions.</w:t>
      </w:r>
    </w:p>
    <w:p>
      <w:pPr>
        <w:pStyle w:val="ListBullet"/>
        <w:spacing w:before="20" w:after="40"/>
        <w:ind w:left="567"/>
      </w:pPr>
      <w:r>
        <w:rPr>
          <w:b/>
          <w:color w:val="1A1A2E"/>
          <w:sz w:val="21"/>
        </w:rPr>
        <w:t>Progressive Web Application (PWA):</w:t>
      </w:r>
      <w:r>
        <w:rPr>
          <w:color w:val="606060"/>
          <w:sz w:val="21"/>
        </w:rPr>
        <w:t xml:space="preserve"> The examiner module is engineered as an offline-capable PWA, enabling full scoring functionality in low-connectivity examination venues with automatic background synchronisation upon reconnection.</w:t>
      </w:r>
    </w:p>
    <w:p>
      <w:pPr>
        <w:pStyle w:val="ListBullet"/>
        <w:spacing w:before="20" w:after="40"/>
        <w:ind w:left="567"/>
      </w:pPr>
      <w:r>
        <w:rPr>
          <w:b/>
          <w:color w:val="1A1A2E"/>
          <w:sz w:val="21"/>
        </w:rPr>
        <w:t>Assignment Enforcement:</w:t>
      </w:r>
      <w:r>
        <w:rPr>
          <w:color w:val="606060"/>
          <w:sz w:val="21"/>
        </w:rPr>
        <w:t xml:space="preserve"> The scoring engine validates examiner–station–session assignment on every submission, rejecting unauthorised score entries at the API layer.</w:t>
      </w:r>
    </w:p>
    <w:p>
      <w:pPr>
        <w:pStyle w:val="ListBullet"/>
        <w:spacing w:before="20" w:after="40"/>
        <w:ind w:left="567"/>
      </w:pPr>
      <w:r>
        <w:rPr>
          <w:b/>
          <w:color w:val="1A1A2E"/>
          <w:sz w:val="21"/>
        </w:rPr>
        <w:t>Correction Workflow:</w:t>
      </w:r>
      <w:r>
        <w:rPr>
          <w:color w:val="606060"/>
          <w:sz w:val="21"/>
        </w:rPr>
        <w:t xml:space="preserve"> Designated supervisors may unlock individual station scores for authorised correction, with full audit recording of pre- and post-correction values.</w:t>
      </w:r>
    </w:p>
    <w:p>
      <w:pPr>
        <w:spacing w:before="240" w:after="80"/>
      </w:pPr>
      <w:r>
        <w:rPr>
          <w:b/>
          <w:color w:val="007B83"/>
          <w:sz w:val="24"/>
        </w:rPr>
        <w:t>3.4  Reporting and Analytics</w:t>
      </w:r>
    </w:p>
    <w:p>
      <w:pPr>
        <w:pStyle w:val="ListBullet"/>
        <w:spacing w:before="20" w:after="40"/>
        <w:ind w:left="567"/>
      </w:pPr>
      <w:r>
        <w:rPr>
          <w:b/>
          <w:color w:val="1A1A2E"/>
          <w:sz w:val="21"/>
        </w:rPr>
        <w:t>Session Result Reports:</w:t>
      </w:r>
      <w:r>
        <w:rPr>
          <w:color w:val="606060"/>
          <w:sz w:val="21"/>
        </w:rPr>
        <w:t xml:space="preserve"> Per-session reports displaying individual student totals, station-level scores, pass/fail status, and percentage against maximum.</w:t>
      </w:r>
    </w:p>
    <w:p>
      <w:pPr>
        <w:pStyle w:val="ListBullet"/>
        <w:spacing w:before="20" w:after="40"/>
        <w:ind w:left="567"/>
      </w:pPr>
      <w:r>
        <w:rPr>
          <w:b/>
          <w:color w:val="1A1A2E"/>
          <w:sz w:val="21"/>
        </w:rPr>
        <w:t>ILO Score Export (XLSX):</w:t>
      </w:r>
      <w:r>
        <w:rPr>
          <w:color w:val="606060"/>
          <w:sz w:val="21"/>
        </w:rPr>
        <w:t xml:space="preserve"> Machine-readable Excel exports mapping each student's performance against individual ILOs across all session stations.</w:t>
      </w:r>
    </w:p>
    <w:p>
      <w:pPr>
        <w:pStyle w:val="ListBullet"/>
        <w:spacing w:before="20" w:after="40"/>
        <w:ind w:left="567"/>
      </w:pPr>
      <w:r>
        <w:rPr>
          <w:b/>
          <w:color w:val="1A1A2E"/>
          <w:sz w:val="21"/>
        </w:rPr>
        <w:t>PDF Session Reports:</w:t>
      </w:r>
      <w:r>
        <w:rPr>
          <w:color w:val="606060"/>
          <w:sz w:val="21"/>
        </w:rPr>
        <w:t xml:space="preserve"> Print-ready A4 PDF documents with institution header, examiner assignment tables, path and station breakdowns, and full student score listings — with Arabic text rendering support.</w:t>
      </w:r>
    </w:p>
    <w:p>
      <w:pPr>
        <w:pStyle w:val="ListBullet"/>
        <w:spacing w:before="20" w:after="40"/>
        <w:ind w:left="567"/>
      </w:pPr>
      <w:r>
        <w:rPr>
          <w:b/>
          <w:color w:val="1A1A2E"/>
          <w:sz w:val="21"/>
        </w:rPr>
        <w:t>CSV Raw Data Export:</w:t>
      </w:r>
      <w:r>
        <w:rPr>
          <w:color w:val="606060"/>
          <w:sz w:val="21"/>
        </w:rPr>
        <w:t xml:space="preserve"> Structured raw score export for integration with institutional MIS or statistical analysis tools.</w:t>
      </w:r>
    </w:p>
    <w:p>
      <w:pPr>
        <w:pStyle w:val="ListBullet"/>
        <w:spacing w:before="20" w:after="40"/>
        <w:ind w:left="567"/>
      </w:pPr>
      <w:r>
        <w:rPr>
          <w:b/>
          <w:color w:val="1A1A2E"/>
          <w:sz w:val="21"/>
        </w:rPr>
        <w:t>Soft-Delete Audit Trail:</w:t>
      </w:r>
      <w:r>
        <w:rPr>
          <w:color w:val="606060"/>
          <w:sz w:val="21"/>
        </w:rPr>
        <w:t xml:space="preserve"> Deleted entities retain historical associations with session scores, preserving reporting integrity post-deletion.</w:t>
      </w:r>
    </w:p>
    <w:p>
      <w:pPr>
        <w:spacing w:before="360" w:after="80"/>
      </w:pPr>
      <w:r>
        <w:rPr>
          <w:b/>
          <w:color w:val="1A1A2E"/>
          <w:sz w:val="28"/>
        </w:rPr>
        <w:t>4.  USER EXPERIENCE AND INTERFACE DESIGN</w:t>
      </w:r>
    </w:p>
    <w:p>
      <w:pPr>
        <w:spacing w:before="40" w:after="120"/>
        <w:pBdr>
          <w:bottom w:val="single" w:sz="12" w:space="1" w:color="007B83"/>
        </w:pBdr>
      </w:pPr>
    </w:p>
    <w:p>
      <w:pPr>
        <w:spacing w:before="40" w:after="100"/>
      </w:pPr>
      <w:r>
        <w:rPr>
          <w:color w:val="606060"/>
          <w:sz w:val="21"/>
        </w:rPr>
        <w:t>The platform's interface is engineered across three distinct operational contexts — administrative coordination, examination delivery, and executive reporting — each presenting a role-appropriate experience without surfacing irrelevant controls or sensitive system components.</w:t>
      </w:r>
    </w:p>
    <w:p>
      <w:pPr>
        <w:pStyle w:val="ListBullet"/>
        <w:spacing w:before="20" w:after="40"/>
        <w:ind w:left="567"/>
      </w:pPr>
      <w:r>
        <w:rPr>
          <w:b/>
          <w:color w:val="1A1A2E"/>
          <w:sz w:val="21"/>
        </w:rPr>
        <w:t>Responsive Design:</w:t>
      </w:r>
      <w:r>
        <w:rPr>
          <w:color w:val="606060"/>
          <w:sz w:val="21"/>
        </w:rPr>
        <w:t xml:space="preserve"> Full mobile and tablet responsiveness ensures usability across device classes used during live examination delivery.</w:t>
      </w:r>
    </w:p>
    <w:p>
      <w:pPr>
        <w:pStyle w:val="ListBullet"/>
        <w:spacing w:before="20" w:after="40"/>
        <w:ind w:left="567"/>
      </w:pPr>
      <w:r>
        <w:rPr>
          <w:b/>
          <w:color w:val="1A1A2E"/>
          <w:sz w:val="21"/>
        </w:rPr>
        <w:t>Role-Isolated Dashboards:</w:t>
      </w:r>
      <w:r>
        <w:rPr>
          <w:color w:val="606060"/>
          <w:sz w:val="21"/>
        </w:rPr>
        <w:t xml:space="preserve"> Coordinators, administrators, and examiners each receive contextually appropriate views; no role exposes another's operational controls.</w:t>
      </w:r>
    </w:p>
    <w:p>
      <w:pPr>
        <w:pStyle w:val="ListBullet"/>
        <w:spacing w:before="20" w:after="40"/>
        <w:ind w:left="567"/>
      </w:pPr>
      <w:r>
        <w:rPr>
          <w:b/>
          <w:color w:val="1A1A2E"/>
          <w:sz w:val="21"/>
        </w:rPr>
        <w:t>Bilingual Support:</w:t>
      </w:r>
      <w:r>
        <w:rPr>
          <w:color w:val="606060"/>
          <w:sz w:val="21"/>
        </w:rPr>
        <w:t xml:space="preserve"> Full Arabic text rendering via native browser HarfBuzz/DirectWrite pipelines with RTL layout preservation in all exported documents.</w:t>
      </w:r>
    </w:p>
    <w:p>
      <w:pPr>
        <w:pStyle w:val="ListBullet"/>
        <w:spacing w:before="20" w:after="40"/>
        <w:ind w:left="567"/>
      </w:pPr>
      <w:r>
        <w:rPr>
          <w:b/>
          <w:color w:val="1A1A2E"/>
          <w:sz w:val="21"/>
        </w:rPr>
        <w:t>Session-Aware UI:</w:t>
      </w:r>
      <w:r>
        <w:rPr>
          <w:color w:val="606060"/>
          <w:sz w:val="21"/>
        </w:rPr>
        <w:t xml:space="preserve"> Interface elements dynamically reflect session state — scoring controls are visually and functionally disabled outside active session windows.</w:t>
      </w:r>
    </w:p>
    <w:p>
      <w:pPr>
        <w:pStyle w:val="ListBullet"/>
        <w:spacing w:before="20" w:after="40"/>
        <w:ind w:left="567"/>
      </w:pPr>
      <w:r>
        <w:rPr>
          <w:b/>
          <w:color w:val="1A1A2E"/>
          <w:sz w:val="21"/>
        </w:rPr>
        <w:t>Force-Change-Password Flow:</w:t>
      </w:r>
      <w:r>
        <w:rPr>
          <w:color w:val="606060"/>
          <w:sz w:val="21"/>
        </w:rPr>
        <w:t xml:space="preserve"> First-login users are redirected to a mandatory password change screen before accessing any system functionality.</w:t>
      </w:r>
    </w:p>
    <w:p>
      <w:pPr>
        <w:pStyle w:val="ListBullet"/>
        <w:spacing w:before="20" w:after="40"/>
        <w:ind w:left="567"/>
      </w:pPr>
      <w:r>
        <w:rPr>
          <w:b/>
          <w:color w:val="1A1A2E"/>
          <w:sz w:val="21"/>
        </w:rPr>
        <w:t>Activity-Based Timeouts:</w:t>
      </w:r>
      <w:r>
        <w:rPr>
          <w:color w:val="606060"/>
          <w:sz w:val="21"/>
        </w:rPr>
        <w:t xml:space="preserve"> Administrative roles (5-minute inactivity timeout) and examiner roles (30-minute inactivity timeout) enforce session expiry appropriate to each operational context.</w:t>
      </w:r>
    </w:p>
    <w:p>
      <w:pPr>
        <w:spacing w:before="360" w:after="80"/>
      </w:pPr>
      <w:r>
        <w:rPr>
          <w:b/>
          <w:color w:val="1A1A2E"/>
          <w:sz w:val="28"/>
        </w:rPr>
        <w:t>5.  SECURITY ARCHITECTURE</w:t>
      </w:r>
    </w:p>
    <w:p>
      <w:pPr>
        <w:spacing w:before="40" w:after="120"/>
        <w:pBdr>
          <w:bottom w:val="single" w:sz="12" w:space="1" w:color="007B83"/>
        </w:pBdr>
      </w:pPr>
    </w:p>
    <w:p>
      <w:pPr>
        <w:spacing w:before="40" w:after="100"/>
      </w:pPr>
      <w:r>
        <w:rPr>
          <w:color w:val="606060"/>
          <w:sz w:val="21"/>
        </w:rPr>
        <w:t>The platform has undergone a formal internal security audit (documented in SECURITY_AUDIT_REPORT.md). The following controls are implemented and verified as part of the production deployment baseline.</w:t>
      </w:r>
    </w:p>
    <w:p>
      <w:pPr>
        <w:spacing w:before="240" w:after="80"/>
      </w:pPr>
      <w:r>
        <w:rPr>
          <w:b/>
          <w:color w:val="007B83"/>
          <w:sz w:val="24"/>
        </w:rPr>
        <w:t>5.1  Authentication and Access Control</w:t>
      </w:r>
    </w:p>
    <w:p>
      <w:pPr>
        <w:pStyle w:val="ListBullet"/>
        <w:spacing w:before="20" w:after="40"/>
        <w:ind w:left="567"/>
      </w:pPr>
      <w:r>
        <w:rPr>
          <w:b/>
          <w:color w:val="1A1A2E"/>
          <w:sz w:val="21"/>
        </w:rPr>
        <w:t>Four-Tier Role Hierarchy:</w:t>
      </w:r>
      <w:r>
        <w:rPr>
          <w:color w:val="606060"/>
          <w:sz w:val="21"/>
        </w:rPr>
        <w:t xml:space="preserve"> Superuser → Admin → Coordinator → Examiner, with each tier governing a strictly scoped set of system capabilities.</w:t>
      </w:r>
    </w:p>
    <w:p>
      <w:pPr>
        <w:pStyle w:val="ListBullet"/>
        <w:spacing w:before="20" w:after="40"/>
        <w:ind w:left="567"/>
      </w:pPr>
      <w:r>
        <w:rPr>
          <w:b/>
          <w:color w:val="1A1A2E"/>
          <w:sz w:val="21"/>
        </w:rPr>
        <w:t>Rate-Limited Login:</w:t>
      </w:r>
      <w:r>
        <w:rPr>
          <w:color w:val="606060"/>
          <w:sz w:val="21"/>
        </w:rPr>
        <w:t xml:space="preserve"> Brute-force protection via django-axes, enforcing configurable lockout thresholds after failed authentication attempts.</w:t>
      </w:r>
    </w:p>
    <w:p>
      <w:pPr>
        <w:pStyle w:val="ListBullet"/>
        <w:spacing w:before="20" w:after="40"/>
        <w:ind w:left="567"/>
      </w:pPr>
      <w:r>
        <w:rPr>
          <w:b/>
          <w:color w:val="1A1A2E"/>
          <w:sz w:val="21"/>
        </w:rPr>
        <w:t>Admin Token Scoping:</w:t>
      </w:r>
      <w:r>
        <w:rPr>
          <w:color w:val="606060"/>
          <w:sz w:val="21"/>
        </w:rPr>
        <w:t xml:space="preserve"> The secret administrative gateway URL is injected exclusively into authenticated staff-level sessions, never exposed in examiner-facing templates.</w:t>
      </w:r>
    </w:p>
    <w:p>
      <w:pPr>
        <w:pStyle w:val="ListBullet"/>
        <w:spacing w:before="20" w:after="40"/>
        <w:ind w:left="567"/>
      </w:pPr>
      <w:r>
        <w:rPr>
          <w:b/>
          <w:color w:val="1A1A2E"/>
          <w:sz w:val="21"/>
        </w:rPr>
        <w:t>Django Admin Restriction:</w:t>
      </w:r>
      <w:r>
        <w:rPr>
          <w:color w:val="606060"/>
          <w:sz w:val="21"/>
        </w:rPr>
        <w:t xml:space="preserve"> Django's administrative interface is accessible only to superusers; coordinator and examiner accounts are explicitly excluded.</w:t>
      </w:r>
    </w:p>
    <w:p>
      <w:pPr>
        <w:spacing w:before="240" w:after="80"/>
      </w:pPr>
      <w:r>
        <w:rPr>
          <w:b/>
          <w:color w:val="007B83"/>
          <w:sz w:val="24"/>
        </w:rPr>
        <w:t>5.2  API and Data Layer Protection</w:t>
      </w:r>
    </w:p>
    <w:p>
      <w:pPr>
        <w:pStyle w:val="ListBullet"/>
        <w:spacing w:before="20" w:after="40"/>
        <w:ind w:left="567"/>
      </w:pPr>
      <w:r>
        <w:rPr>
          <w:b/>
          <w:color w:val="1A1A2E"/>
          <w:sz w:val="21"/>
        </w:rPr>
        <w:t>Middleware-Level Path Enforcement:</w:t>
      </w:r>
      <w:r>
        <w:rPr>
          <w:color w:val="606060"/>
          <w:sz w:val="21"/>
        </w:rPr>
        <w:t xml:space="preserve"> Middleware blocks all /api/creator/ and /creator/ endpoints for non-coordinator roles at the request layer, prior to view execution.</w:t>
      </w:r>
    </w:p>
    <w:p>
      <w:pPr>
        <w:pStyle w:val="ListBullet"/>
        <w:spacing w:before="20" w:after="40"/>
        <w:ind w:left="567"/>
      </w:pPr>
      <w:r>
        <w:rPr>
          <w:b/>
          <w:color w:val="1A1A2E"/>
          <w:sz w:val="21"/>
        </w:rPr>
        <w:t>Examiner Assignment Verification:</w:t>
      </w:r>
      <w:r>
        <w:rPr>
          <w:color w:val="606060"/>
          <w:sz w:val="21"/>
        </w:rPr>
        <w:t xml:space="preserve"> Every scoring API endpoint validates that the requesting examiner is explicitly assigned to the target station–session combination before processing any data.</w:t>
      </w:r>
    </w:p>
    <w:p>
      <w:pPr>
        <w:pStyle w:val="ListBullet"/>
        <w:spacing w:before="20" w:after="40"/>
        <w:ind w:left="567"/>
      </w:pPr>
      <w:r>
        <w:rPr>
          <w:b/>
          <w:color w:val="1A1A2E"/>
          <w:sz w:val="21"/>
        </w:rPr>
        <w:t>Session Status Validation:</w:t>
      </w:r>
      <w:r>
        <w:rPr>
          <w:color w:val="606060"/>
          <w:sz w:val="21"/>
        </w:rPr>
        <w:t xml:space="preserve"> Score submission endpoints reject requests when the target session is in any state other than in_progress, preventing retroactive or premature scoring.</w:t>
      </w:r>
    </w:p>
    <w:p>
      <w:pPr>
        <w:pStyle w:val="ListBullet"/>
        <w:spacing w:before="20" w:after="40"/>
        <w:ind w:left="567"/>
      </w:pPr>
      <w:r>
        <w:rPr>
          <w:b/>
          <w:color w:val="1A1A2E"/>
          <w:sz w:val="21"/>
        </w:rPr>
        <w:t>CSRF Protection:</w:t>
      </w:r>
      <w:r>
        <w:rPr>
          <w:color w:val="606060"/>
          <w:sz w:val="21"/>
        </w:rPr>
        <w:t xml:space="preserve"> All form submissions and AJAX scoring calls enforce Django's CSRF token framework; previously exempt endpoints have been hardened.</w:t>
      </w:r>
    </w:p>
    <w:p>
      <w:pPr>
        <w:pStyle w:val="ListBullet"/>
        <w:spacing w:before="20" w:after="40"/>
        <w:ind w:left="567"/>
      </w:pPr>
      <w:r>
        <w:rPr>
          <w:b/>
          <w:color w:val="1A1A2E"/>
          <w:sz w:val="21"/>
        </w:rPr>
        <w:t>JSON Body Validation:</w:t>
      </w:r>
      <w:r>
        <w:rPr>
          <w:color w:val="606060"/>
          <w:sz w:val="21"/>
        </w:rPr>
        <w:t xml:space="preserve"> All 13+ JSON request parsing operations are wrapped in structured exception handlers, returning controlled 400 Bad Request responses on malformed input.</w:t>
      </w:r>
    </w:p>
    <w:p>
      <w:pPr>
        <w:pStyle w:val="ListBullet"/>
        <w:spacing w:before="20" w:after="40"/>
        <w:ind w:left="567"/>
      </w:pPr>
      <w:r>
        <w:rPr>
          <w:b/>
          <w:color w:val="1A1A2E"/>
          <w:sz w:val="21"/>
        </w:rPr>
        <w:t>Sync Ownership Verification:</w:t>
      </w:r>
      <w:r>
        <w:rPr>
          <w:color w:val="606060"/>
          <w:sz w:val="21"/>
        </w:rPr>
        <w:t xml:space="preserve"> The offline data synchronisation endpoint validates that the submitting examiner owns every existing score record before permitting update operations.</w:t>
      </w:r>
    </w:p>
    <w:p>
      <w:pPr>
        <w:spacing w:before="240" w:after="80"/>
      </w:pPr>
      <w:r>
        <w:rPr>
          <w:b/>
          <w:color w:val="007B83"/>
          <w:sz w:val="24"/>
        </w:rPr>
        <w:t>5.3  Audit and Compliance</w:t>
      </w:r>
    </w:p>
    <w:p>
      <w:pPr>
        <w:pStyle w:val="ListBullet"/>
        <w:spacing w:before="20" w:after="40"/>
        <w:ind w:left="567"/>
      </w:pPr>
      <w:r>
        <w:rPr>
          <w:b/>
          <w:color w:val="1A1A2E"/>
          <w:sz w:val="21"/>
        </w:rPr>
        <w:t>Comprehensive Audit Logging:</w:t>
      </w:r>
      <w:r>
        <w:rPr>
          <w:color w:val="606060"/>
          <w:sz w:val="21"/>
        </w:rPr>
        <w:t xml:space="preserve"> All critical operations — user authentication, score recording, administrative data modifications — are persisted to a structured audit log with actor, timestamp, and affected entity.</w:t>
      </w:r>
    </w:p>
    <w:p>
      <w:pPr>
        <w:pStyle w:val="ListBullet"/>
        <w:spacing w:before="20" w:after="40"/>
        <w:ind w:left="567"/>
      </w:pPr>
      <w:r>
        <w:rPr>
          <w:b/>
          <w:color w:val="1A1A2E"/>
          <w:sz w:val="21"/>
        </w:rPr>
        <w:t>Login Audit Trail:</w:t>
      </w:r>
      <w:r>
        <w:rPr>
          <w:color w:val="606060"/>
          <w:sz w:val="21"/>
        </w:rPr>
        <w:t xml:space="preserve"> Login events, failed attempts, and session terminations are captured with IP address and user agent metadata.</w:t>
      </w:r>
    </w:p>
    <w:p>
      <w:pPr>
        <w:pStyle w:val="ListBullet"/>
        <w:spacing w:before="20" w:after="40"/>
        <w:ind w:left="567"/>
      </w:pPr>
      <w:r>
        <w:rPr>
          <w:b/>
          <w:color w:val="1A1A2E"/>
          <w:sz w:val="21"/>
        </w:rPr>
        <w:t>Soft Deletion with Preservation:</w:t>
      </w:r>
      <w:r>
        <w:rPr>
          <w:color w:val="606060"/>
          <w:sz w:val="21"/>
        </w:rPr>
        <w:t xml:space="preserve"> Deleted entities (examiners, stations) retain referential integrity with all associated score records, ensuring historical report accuracy.</w:t>
      </w:r>
    </w:p>
    <w:p>
      <w:pPr>
        <w:pStyle w:val="ListBullet"/>
        <w:spacing w:before="20" w:after="40"/>
        <w:ind w:left="567"/>
      </w:pPr>
      <w:r>
        <w:rPr>
          <w:b/>
          <w:color w:val="1A1A2E"/>
          <w:sz w:val="21"/>
        </w:rPr>
        <w:t>Score Immutability by Default:</w:t>
      </w:r>
      <w:r>
        <w:rPr>
          <w:color w:val="606060"/>
          <w:sz w:val="21"/>
        </w:rPr>
        <w:t xml:space="preserve"> Submitted scores are locked at the session level; correction workflows require explicit supervisor authorisation and generate a corresponding audit record.</w:t>
      </w:r>
    </w:p>
    <w:p>
      <w:pPr>
        <w:spacing w:before="360" w:after="80"/>
      </w:pPr>
      <w:r>
        <w:rPr>
          <w:b/>
          <w:color w:val="1A1A2E"/>
          <w:sz w:val="28"/>
        </w:rPr>
        <w:t>6.  SYSTEM PERFORMANCE AND SCALABILITY</w:t>
      </w:r>
    </w:p>
    <w:p>
      <w:pPr>
        <w:spacing w:before="40" w:after="120"/>
        <w:pBdr>
          <w:bottom w:val="single" w:sz="12" w:space="1" w:color="007B83"/>
        </w:pBdr>
      </w:pPr>
    </w:p>
    <w:p>
      <w:pPr>
        <w:spacing w:before="40" w:after="100"/>
      </w:pPr>
      <w:r>
        <w:rPr>
          <w:color w:val="606060"/>
          <w:sz w:val="21"/>
        </w:rPr>
        <w:t>The platform has been subjected to a formal performance audit (documented in PERFORMANCE_OPTIMIZATION_REPORT.md) targeting query efficiency, memory allocation, and concurrency under realistic examination-day load profiles.</w:t>
      </w:r>
    </w:p>
    <w:p>
      <w:pPr>
        <w:spacing w:before="240" w:after="80"/>
      </w:pPr>
      <w:r>
        <w:rPr>
          <w:b/>
          <w:color w:val="007B83"/>
          <w:sz w:val="24"/>
        </w:rPr>
        <w:t>6.1  Query and Database Optimisations</w:t>
      </w:r>
    </w:p>
    <w:p>
      <w:pPr>
        <w:pStyle w:val="ListBullet"/>
        <w:spacing w:before="20" w:after="40"/>
        <w:ind w:left="567"/>
      </w:pPr>
      <w:r>
        <w:rPr>
          <w:b/>
          <w:color w:val="1A1A2E"/>
          <w:sz w:val="21"/>
        </w:rPr>
        <w:t>N+1 Elimination:</w:t>
      </w:r>
      <w:r>
        <w:rPr>
          <w:color w:val="606060"/>
          <w:sz w:val="21"/>
        </w:rPr>
        <w:t xml:space="preserve"> All major API endpoints have been refactored to eliminate N+1 query patterns through select_related(), prefetch_related(), and annotate() strategies, reducing per-request query counts from O(n) to O(1).</w:t>
      </w:r>
    </w:p>
    <w:p>
      <w:pPr>
        <w:pStyle w:val="ListBullet"/>
        <w:spacing w:before="20" w:after="40"/>
        <w:ind w:left="567"/>
      </w:pPr>
      <w:r>
        <w:rPr>
          <w:b/>
          <w:color w:val="1A1A2E"/>
          <w:sz w:val="21"/>
        </w:rPr>
        <w:t>Database Indexes:</w:t>
      </w:r>
      <w:r>
        <w:rPr>
          <w:color w:val="606060"/>
          <w:sz w:val="21"/>
        </w:rPr>
        <w:t xml:space="preserve"> Status and foreign-key columns on high-frequency query paths (ExamSession.status, SessionStudent.status) carry explicit database indexes.</w:t>
      </w:r>
    </w:p>
    <w:p>
      <w:pPr>
        <w:pStyle w:val="ListBullet"/>
        <w:spacing w:before="20" w:after="40"/>
        <w:ind w:left="567"/>
      </w:pPr>
      <w:r>
        <w:rPr>
          <w:b/>
          <w:color w:val="1A1A2E"/>
          <w:sz w:val="21"/>
        </w:rPr>
        <w:t>Bulk Operations:</w:t>
      </w:r>
      <w:r>
        <w:rPr>
          <w:color w:val="606060"/>
          <w:sz w:val="21"/>
        </w:rPr>
        <w:t xml:space="preserve"> Multi-record operations (e.g., student redistribution) use bulk_update() rather than per-row save() calls, reducing transaction overhead by an order of magnitude.</w:t>
      </w:r>
    </w:p>
    <w:p>
      <w:pPr>
        <w:pStyle w:val="ListBullet"/>
        <w:spacing w:before="20" w:after="40"/>
        <w:ind w:left="567"/>
      </w:pPr>
      <w:r>
        <w:rPr>
          <w:b/>
          <w:color w:val="1A1A2E"/>
          <w:sz w:val="21"/>
        </w:rPr>
        <w:t>Paginated API Responses:</w:t>
      </w:r>
      <w:r>
        <w:rPr>
          <w:color w:val="606060"/>
          <w:sz w:val="21"/>
        </w:rPr>
        <w:t xml:space="preserve"> All listing endpoints implement server-side pagination, preventing unbounded result sets from generating excessive memory allocation under large cohort sizes.</w:t>
      </w:r>
    </w:p>
    <w:p>
      <w:pPr>
        <w:spacing w:before="240" w:after="80"/>
      </w:pPr>
      <w:r>
        <w:rPr>
          <w:b/>
          <w:color w:val="007B83"/>
          <w:sz w:val="24"/>
        </w:rPr>
        <w:t>6.2  Scalability Architecture</w:t>
      </w:r>
    </w:p>
    <w:p>
      <w:pPr>
        <w:pStyle w:val="ListBullet"/>
        <w:spacing w:before="20" w:after="40"/>
        <w:ind w:left="567"/>
      </w:pPr>
      <w:r>
        <w:rPr>
          <w:b/>
          <w:color w:val="1A1A2E"/>
          <w:sz w:val="21"/>
        </w:rPr>
        <w:t>Database-Agnostic ORM:</w:t>
      </w:r>
      <w:r>
        <w:rPr>
          <w:color w:val="606060"/>
          <w:sz w:val="21"/>
        </w:rPr>
        <w:t xml:space="preserve"> The data layer is abstracted through Django's ORM, enabling migration from SQLite (development) to PostgreSQL (production) or enterprise database clusters without application-layer changes.</w:t>
      </w:r>
    </w:p>
    <w:p>
      <w:pPr>
        <w:pStyle w:val="ListBullet"/>
        <w:spacing w:before="20" w:after="40"/>
        <w:ind w:left="567"/>
      </w:pPr>
      <w:r>
        <w:rPr>
          <w:b/>
          <w:color w:val="1A1A2E"/>
          <w:sz w:val="21"/>
        </w:rPr>
        <w:t>Redis Caching Layer:</w:t>
      </w:r>
      <w:r>
        <w:rPr>
          <w:color w:val="606060"/>
          <w:sz w:val="21"/>
        </w:rPr>
        <w:t xml:space="preserve"> Production deployment incorporates a Redis caching backend (django-redis) for session state and high-frequency read endpoints.</w:t>
      </w:r>
    </w:p>
    <w:p>
      <w:pPr>
        <w:pStyle w:val="ListBullet"/>
        <w:spacing w:before="20" w:after="40"/>
        <w:ind w:left="567"/>
      </w:pPr>
      <w:r>
        <w:rPr>
          <w:b/>
          <w:color w:val="1A1A2E"/>
          <w:sz w:val="21"/>
        </w:rPr>
        <w:t>Stateless Application Layer:</w:t>
      </w:r>
      <w:r>
        <w:rPr>
          <w:color w:val="606060"/>
          <w:sz w:val="21"/>
        </w:rPr>
        <w:t xml:space="preserve"> The application server is stateless, enabling horizontal scaling across multiple Gunicorn worker processes or container replicas.</w:t>
      </w:r>
    </w:p>
    <w:p>
      <w:pPr>
        <w:pStyle w:val="ListBullet"/>
        <w:spacing w:before="20" w:after="40"/>
        <w:ind w:left="567"/>
      </w:pPr>
      <w:r>
        <w:rPr>
          <w:b/>
          <w:color w:val="1A1A2E"/>
          <w:sz w:val="21"/>
        </w:rPr>
        <w:t>WhiteNoise Static File Serving:</w:t>
      </w:r>
      <w:r>
        <w:rPr>
          <w:color w:val="606060"/>
          <w:sz w:val="21"/>
        </w:rPr>
        <w:t xml:space="preserve"> Static assets are served via WhiteNoise with long-term cache headers and gzip compression, eliminating static-file load from the application process.</w:t>
      </w:r>
    </w:p>
    <w:p>
      <w:pPr>
        <w:pStyle w:val="ListBullet"/>
        <w:spacing w:before="20" w:after="40"/>
        <w:ind w:left="567"/>
      </w:pPr>
      <w:r>
        <w:rPr>
          <w:b/>
          <w:color w:val="1A1A2E"/>
          <w:sz w:val="21"/>
        </w:rPr>
        <w:t>ASGI-Ready:</w:t>
      </w:r>
      <w:r>
        <w:rPr>
          <w:color w:val="606060"/>
          <w:sz w:val="21"/>
        </w:rPr>
        <w:t xml:space="preserve"> The platform exposes an ASGI interface, positioning it for future WebSocket-based real-time features without architectural migration.</w:t>
      </w:r>
    </w:p>
    <w:p>
      <w:pPr>
        <w:spacing w:before="360" w:after="80"/>
      </w:pPr>
      <w:r>
        <w:rPr>
          <w:b/>
          <w:color w:val="1A1A2E"/>
          <w:sz w:val="28"/>
        </w:rPr>
        <w:t>7.  DATA MANAGEMENT AND BACKUP STRATEGY</w:t>
      </w:r>
    </w:p>
    <w:p>
      <w:pPr>
        <w:spacing w:before="40" w:after="120"/>
        <w:pBdr>
          <w:bottom w:val="single" w:sz="12" w:space="1" w:color="007B83"/>
        </w:pBdr>
      </w:pPr>
    </w:p>
    <w:p>
      <w:pPr>
        <w:pStyle w:val="ListBullet"/>
        <w:spacing w:before="20" w:after="40"/>
        <w:ind w:left="567"/>
      </w:pPr>
      <w:r>
        <w:rPr>
          <w:b/>
          <w:color w:val="1A1A2E"/>
          <w:sz w:val="21"/>
        </w:rPr>
        <w:t>Structured Relational Data Model:</w:t>
      </w:r>
      <w:r>
        <w:rPr>
          <w:color w:val="606060"/>
          <w:sz w:val="21"/>
        </w:rPr>
        <w:t xml:space="preserve"> All examination data — courses, ILOs, stations, sessions, scores, and audit records — is persisted in a normalised relational schema with referential integrity constraints.</w:t>
      </w:r>
    </w:p>
    <w:p>
      <w:pPr>
        <w:pStyle w:val="ListBullet"/>
        <w:spacing w:before="20" w:after="40"/>
        <w:ind w:left="567"/>
      </w:pPr>
      <w:r>
        <w:rPr>
          <w:b/>
          <w:color w:val="1A1A2E"/>
          <w:sz w:val="21"/>
        </w:rPr>
        <w:t>PostgreSQL Production Backend:</w:t>
      </w:r>
      <w:r>
        <w:rPr>
          <w:color w:val="606060"/>
          <w:sz w:val="21"/>
        </w:rPr>
        <w:t xml:space="preserve"> The production environment targets PostgreSQL with binary driver (psycopg2), supporting point-in-time recovery, WAL archiving, and streaming replication when configured at the infrastructure level.</w:t>
      </w:r>
    </w:p>
    <w:p>
      <w:pPr>
        <w:pStyle w:val="ListBullet"/>
        <w:spacing w:before="20" w:after="40"/>
        <w:ind w:left="567"/>
      </w:pPr>
      <w:r>
        <w:rPr>
          <w:b/>
          <w:color w:val="1A1A2E"/>
          <w:sz w:val="21"/>
        </w:rPr>
        <w:t>Soft Deletion Architecture:</w:t>
      </w:r>
      <w:r>
        <w:rPr>
          <w:color w:val="606060"/>
          <w:sz w:val="21"/>
        </w:rPr>
        <w:t xml:space="preserve"> No examination-critical entity is hard-deleted without explicit superuser confirmation; soft-deleted records remain queryable for historical reporting.</w:t>
      </w:r>
    </w:p>
    <w:p>
      <w:pPr>
        <w:pStyle w:val="ListBullet"/>
        <w:spacing w:before="20" w:after="40"/>
        <w:ind w:left="567"/>
      </w:pPr>
      <w:r>
        <w:rPr>
          <w:b/>
          <w:color w:val="1A1A2E"/>
          <w:sz w:val="21"/>
        </w:rPr>
        <w:t>Environment-Isolated Configuration:</w:t>
      </w:r>
      <w:r>
        <w:rPr>
          <w:color w:val="606060"/>
          <w:sz w:val="21"/>
        </w:rPr>
        <w:t xml:space="preserve"> All credentials, database connection strings, secret keys, and environment-specific flags are managed through environment variables (django-environ), ensuring no sensitive configuration is embedded in the codebase.</w:t>
      </w:r>
    </w:p>
    <w:p>
      <w:pPr>
        <w:pStyle w:val="ListBullet"/>
        <w:spacing w:before="20" w:after="40"/>
        <w:ind w:left="567"/>
      </w:pPr>
      <w:r>
        <w:rPr>
          <w:b/>
          <w:color w:val="1A1A2E"/>
          <w:sz w:val="21"/>
        </w:rPr>
        <w:t>Sentry Error Monitoring:</w:t>
      </w:r>
      <w:r>
        <w:rPr>
          <w:color w:val="606060"/>
          <w:sz w:val="21"/>
        </w:rPr>
        <w:t xml:space="preserve"> Production deployments integrate Sentry (sentry-sdk[django]) for real-time exception tracking, enabling proactive incident detection and resolution before data integrity is affected.</w:t>
      </w:r>
    </w:p>
    <w:p>
      <w:pPr>
        <w:pStyle w:val="ListBullet"/>
        <w:spacing w:before="20" w:after="40"/>
        <w:ind w:left="567"/>
      </w:pPr>
      <w:r>
        <w:rPr>
          <w:b/>
          <w:color w:val="1A1A2E"/>
          <w:sz w:val="21"/>
        </w:rPr>
        <w:t>Export Redundancy:</w:t>
      </w:r>
      <w:r>
        <w:rPr>
          <w:color w:val="606060"/>
          <w:sz w:val="21"/>
        </w:rPr>
        <w:t xml:space="preserve"> Critical session data can be exported to XLSX and CSV formats at any time, providing a human-readable data extract independent of the database engine.</w:t>
      </w:r>
    </w:p>
    <w:p>
      <w:pPr>
        <w:spacing w:before="360" w:after="80"/>
      </w:pPr>
      <w:r>
        <w:rPr>
          <w:b/>
          <w:color w:val="1A1A2E"/>
          <w:sz w:val="28"/>
        </w:rPr>
        <w:t>8.  TECHNOLOGY STACK</w:t>
      </w:r>
    </w:p>
    <w:p>
      <w:pPr>
        <w:spacing w:before="40" w:after="120"/>
        <w:pBdr>
          <w:bottom w:val="single" w:sz="12" w:space="1" w:color="007B83"/>
        </w:pBdr>
      </w:pPr>
    </w:p>
    <w:tbl>
      <w:tblPr>
        <w:tblStyle w:val="TableGrid"/>
        <w:tblW w:type="auto" w:w="0"/>
        <w:jc w:val="left"/>
        <w:tblLook w:firstColumn="1" w:firstRow="1" w:lastColumn="0" w:lastRow="0" w:noHBand="0" w:noVBand="1" w:val="04A0"/>
      </w:tblPr>
      <w:tblGrid>
        <w:gridCol w:w="4536"/>
        <w:gridCol w:w="4536"/>
      </w:tblGrid>
      <w:tr>
        <w:tc>
          <w:tcPr>
            <w:tcW w:type="dxa" w:w="3402"/>
            <w:shd w:val="clear" w:color="auto" w:fill="1A1A2E"/>
            <w:vAlign w:val="center"/>
          </w:tcPr>
          <w:p>
            <w:pPr>
              <w:jc w:val="center"/>
            </w:pPr>
            <w:r>
              <w:rPr>
                <w:b/>
                <w:color w:val="FFFFFF"/>
                <w:sz w:val="20"/>
              </w:rPr>
              <w:t>Component</w:t>
            </w:r>
          </w:p>
        </w:tc>
        <w:tc>
          <w:tcPr>
            <w:tcW w:type="dxa" w:w="5669"/>
            <w:shd w:val="clear" w:color="auto" w:fill="1A1A2E"/>
            <w:vAlign w:val="center"/>
          </w:tcPr>
          <w:p>
            <w:pPr>
              <w:jc w:val="center"/>
            </w:pPr>
            <w:r>
              <w:rPr>
                <w:b/>
                <w:color w:val="FFFFFF"/>
                <w:sz w:val="20"/>
              </w:rPr>
              <w:t>Technology / Library</w:t>
            </w:r>
          </w:p>
        </w:tc>
      </w:tr>
      <w:tr>
        <w:tc>
          <w:tcPr>
            <w:tcW w:type="dxa" w:w="3402"/>
            <w:shd w:val="clear" w:color="auto" w:fill="F2F4F7"/>
          </w:tcPr>
          <w:p>
            <w:r>
              <w:rPr>
                <w:b/>
                <w:color w:val="1A1A2E"/>
                <w:sz w:val="20"/>
              </w:rPr>
              <w:t>Application Framework</w:t>
            </w:r>
          </w:p>
        </w:tc>
        <w:tc>
          <w:tcPr>
            <w:tcW w:type="dxa" w:w="5669"/>
            <w:shd w:val="clear" w:color="auto" w:fill="F2F4F7"/>
          </w:tcPr>
          <w:p>
            <w:r>
              <w:rPr>
                <w:color w:val="606060"/>
                <w:sz w:val="20"/>
              </w:rPr>
              <w:t>Django 5.2.11 (Python 3.13)</w:t>
            </w:r>
          </w:p>
        </w:tc>
      </w:tr>
      <w:tr>
        <w:tc>
          <w:tcPr>
            <w:tcW w:type="dxa" w:w="3402"/>
            <w:shd w:val="clear" w:color="auto" w:fill="FFFFFF"/>
          </w:tcPr>
          <w:p>
            <w:r>
              <w:rPr>
                <w:b/>
                <w:color w:val="1A1A2E"/>
                <w:sz w:val="20"/>
              </w:rPr>
              <w:t>Production Database</w:t>
            </w:r>
          </w:p>
        </w:tc>
        <w:tc>
          <w:tcPr>
            <w:tcW w:type="dxa" w:w="5669"/>
            <w:shd w:val="clear" w:color="auto" w:fill="FFFFFF"/>
          </w:tcPr>
          <w:p>
            <w:r>
              <w:rPr>
                <w:color w:val="606060"/>
                <w:sz w:val="20"/>
              </w:rPr>
              <w:t>PostgreSQL 15+ via psycopg2-binary 2.9.11</w:t>
            </w:r>
          </w:p>
        </w:tc>
      </w:tr>
      <w:tr>
        <w:tc>
          <w:tcPr>
            <w:tcW w:type="dxa" w:w="3402"/>
            <w:shd w:val="clear" w:color="auto" w:fill="F2F4F7"/>
          </w:tcPr>
          <w:p>
            <w:r>
              <w:rPr>
                <w:b/>
                <w:color w:val="1A1A2E"/>
                <w:sz w:val="20"/>
              </w:rPr>
              <w:t>Development Database</w:t>
            </w:r>
          </w:p>
        </w:tc>
        <w:tc>
          <w:tcPr>
            <w:tcW w:type="dxa" w:w="5669"/>
            <w:shd w:val="clear" w:color="auto" w:fill="F2F4F7"/>
          </w:tcPr>
          <w:p>
            <w:r>
              <w:rPr>
                <w:color w:val="606060"/>
                <w:sz w:val="20"/>
              </w:rPr>
              <w:t>SQLite 3 (schema-identical to production)</w:t>
            </w:r>
          </w:p>
        </w:tc>
      </w:tr>
      <w:tr>
        <w:tc>
          <w:tcPr>
            <w:tcW w:type="dxa" w:w="3402"/>
            <w:shd w:val="clear" w:color="auto" w:fill="FFFFFF"/>
          </w:tcPr>
          <w:p>
            <w:r>
              <w:rPr>
                <w:b/>
                <w:color w:val="1A1A2E"/>
                <w:sz w:val="20"/>
              </w:rPr>
              <w:t>Caching Layer</w:t>
            </w:r>
          </w:p>
        </w:tc>
        <w:tc>
          <w:tcPr>
            <w:tcW w:type="dxa" w:w="5669"/>
            <w:shd w:val="clear" w:color="auto" w:fill="FFFFFF"/>
          </w:tcPr>
          <w:p>
            <w:r>
              <w:rPr>
                <w:color w:val="606060"/>
                <w:sz w:val="20"/>
              </w:rPr>
              <w:t>Redis 7 via django-redis 5.4.0</w:t>
            </w:r>
          </w:p>
        </w:tc>
      </w:tr>
      <w:tr>
        <w:tc>
          <w:tcPr>
            <w:tcW w:type="dxa" w:w="3402"/>
            <w:shd w:val="clear" w:color="auto" w:fill="F2F4F7"/>
          </w:tcPr>
          <w:p>
            <w:r>
              <w:rPr>
                <w:b/>
                <w:color w:val="1A1A2E"/>
                <w:sz w:val="20"/>
              </w:rPr>
              <w:t>WSGI / ASGI Server</w:t>
            </w:r>
          </w:p>
        </w:tc>
        <w:tc>
          <w:tcPr>
            <w:tcW w:type="dxa" w:w="5669"/>
            <w:shd w:val="clear" w:color="auto" w:fill="F2F4F7"/>
          </w:tcPr>
          <w:p>
            <w:r>
              <w:rPr>
                <w:color w:val="606060"/>
                <w:sz w:val="20"/>
              </w:rPr>
              <w:t>Gunicorn 25.1.0 (ASGI via Uvicorn optional)</w:t>
            </w:r>
          </w:p>
        </w:tc>
      </w:tr>
      <w:tr>
        <w:tc>
          <w:tcPr>
            <w:tcW w:type="dxa" w:w="3402"/>
            <w:shd w:val="clear" w:color="auto" w:fill="FFFFFF"/>
          </w:tcPr>
          <w:p>
            <w:r>
              <w:rPr>
                <w:b/>
                <w:color w:val="1A1A2E"/>
                <w:sz w:val="20"/>
              </w:rPr>
              <w:t>Static File Serving</w:t>
            </w:r>
          </w:p>
        </w:tc>
        <w:tc>
          <w:tcPr>
            <w:tcW w:type="dxa" w:w="5669"/>
            <w:shd w:val="clear" w:color="auto" w:fill="FFFFFF"/>
          </w:tcPr>
          <w:p>
            <w:r>
              <w:rPr>
                <w:color w:val="606060"/>
                <w:sz w:val="20"/>
              </w:rPr>
              <w:t>WhiteNoise 6.11.0 with gzip compression</w:t>
            </w:r>
          </w:p>
        </w:tc>
      </w:tr>
      <w:tr>
        <w:tc>
          <w:tcPr>
            <w:tcW w:type="dxa" w:w="3402"/>
            <w:shd w:val="clear" w:color="auto" w:fill="F2F4F7"/>
          </w:tcPr>
          <w:p>
            <w:r>
              <w:rPr>
                <w:b/>
                <w:color w:val="1A1A2E"/>
                <w:sz w:val="20"/>
              </w:rPr>
              <w:t>Authentication Protection</w:t>
            </w:r>
          </w:p>
        </w:tc>
        <w:tc>
          <w:tcPr>
            <w:tcW w:type="dxa" w:w="5669"/>
            <w:shd w:val="clear" w:color="auto" w:fill="F2F4F7"/>
          </w:tcPr>
          <w:p>
            <w:r>
              <w:rPr>
                <w:color w:val="606060"/>
                <w:sz w:val="20"/>
              </w:rPr>
              <w:t>django-axes 8.3.1 (brute-force lockout)</w:t>
            </w:r>
          </w:p>
        </w:tc>
      </w:tr>
      <w:tr>
        <w:tc>
          <w:tcPr>
            <w:tcW w:type="dxa" w:w="3402"/>
            <w:shd w:val="clear" w:color="auto" w:fill="FFFFFF"/>
          </w:tcPr>
          <w:p>
            <w:r>
              <w:rPr>
                <w:b/>
                <w:color w:val="1A1A2E"/>
                <w:sz w:val="20"/>
              </w:rPr>
              <w:t>Error Monitoring</w:t>
            </w:r>
          </w:p>
        </w:tc>
        <w:tc>
          <w:tcPr>
            <w:tcW w:type="dxa" w:w="5669"/>
            <w:shd w:val="clear" w:color="auto" w:fill="FFFFFF"/>
          </w:tcPr>
          <w:p>
            <w:r>
              <w:rPr>
                <w:color w:val="606060"/>
                <w:sz w:val="20"/>
              </w:rPr>
              <w:t>Sentry SDK 2.19.2 (sentry-sdk[django])</w:t>
            </w:r>
          </w:p>
        </w:tc>
      </w:tr>
      <w:tr>
        <w:tc>
          <w:tcPr>
            <w:tcW w:type="dxa" w:w="3402"/>
            <w:shd w:val="clear" w:color="auto" w:fill="F2F4F7"/>
          </w:tcPr>
          <w:p>
            <w:r>
              <w:rPr>
                <w:b/>
                <w:color w:val="1A1A2E"/>
                <w:sz w:val="20"/>
              </w:rPr>
              <w:t>Excel Export</w:t>
            </w:r>
          </w:p>
        </w:tc>
        <w:tc>
          <w:tcPr>
            <w:tcW w:type="dxa" w:w="5669"/>
            <w:shd w:val="clear" w:color="auto" w:fill="F2F4F7"/>
          </w:tcPr>
          <w:p>
            <w:r>
              <w:rPr>
                <w:color w:val="606060"/>
                <w:sz w:val="20"/>
              </w:rPr>
              <w:t>openpyxl 3.1.5</w:t>
            </w:r>
          </w:p>
        </w:tc>
      </w:tr>
      <w:tr>
        <w:tc>
          <w:tcPr>
            <w:tcW w:type="dxa" w:w="3402"/>
            <w:shd w:val="clear" w:color="auto" w:fill="FFFFFF"/>
          </w:tcPr>
          <w:p>
            <w:r>
              <w:rPr>
                <w:b/>
                <w:color w:val="1A1A2E"/>
                <w:sz w:val="20"/>
              </w:rPr>
              <w:t>PDF Generation</w:t>
            </w:r>
          </w:p>
        </w:tc>
        <w:tc>
          <w:tcPr>
            <w:tcW w:type="dxa" w:w="5669"/>
            <w:shd w:val="clear" w:color="auto" w:fill="FFFFFF"/>
          </w:tcPr>
          <w:p>
            <w:r>
              <w:rPr>
                <w:color w:val="606060"/>
                <w:sz w:val="20"/>
              </w:rPr>
              <w:t>ReportLab 4.4.10 + Browser-Native Print</w:t>
            </w:r>
          </w:p>
        </w:tc>
      </w:tr>
      <w:tr>
        <w:tc>
          <w:tcPr>
            <w:tcW w:type="dxa" w:w="3402"/>
            <w:shd w:val="clear" w:color="auto" w:fill="F2F4F7"/>
          </w:tcPr>
          <w:p>
            <w:r>
              <w:rPr>
                <w:b/>
                <w:color w:val="1A1A2E"/>
                <w:sz w:val="20"/>
              </w:rPr>
              <w:t>Arabic / RTL Rendering</w:t>
            </w:r>
          </w:p>
        </w:tc>
        <w:tc>
          <w:tcPr>
            <w:tcW w:type="dxa" w:w="5669"/>
            <w:shd w:val="clear" w:color="auto" w:fill="F2F4F7"/>
          </w:tcPr>
          <w:p>
            <w:r>
              <w:rPr>
                <w:color w:val="606060"/>
                <w:sz w:val="20"/>
              </w:rPr>
              <w:t>arabic-reshaper 3.0.0 + python-bidi 0.6.7</w:t>
            </w:r>
          </w:p>
        </w:tc>
      </w:tr>
      <w:tr>
        <w:tc>
          <w:tcPr>
            <w:tcW w:type="dxa" w:w="3402"/>
            <w:shd w:val="clear" w:color="auto" w:fill="FFFFFF"/>
          </w:tcPr>
          <w:p>
            <w:r>
              <w:rPr>
                <w:b/>
                <w:color w:val="1A1A2E"/>
                <w:sz w:val="20"/>
              </w:rPr>
              <w:t>Environment Configuration</w:t>
            </w:r>
          </w:p>
        </w:tc>
        <w:tc>
          <w:tcPr>
            <w:tcW w:type="dxa" w:w="5669"/>
            <w:shd w:val="clear" w:color="auto" w:fill="FFFFFF"/>
          </w:tcPr>
          <w:p>
            <w:r>
              <w:rPr>
                <w:color w:val="606060"/>
                <w:sz w:val="20"/>
              </w:rPr>
              <w:t>django-environ 0.13.0</w:t>
            </w:r>
          </w:p>
        </w:tc>
      </w:tr>
      <w:tr>
        <w:tc>
          <w:tcPr>
            <w:tcW w:type="dxa" w:w="3402"/>
            <w:shd w:val="clear" w:color="auto" w:fill="F2F4F7"/>
          </w:tcPr>
          <w:p>
            <w:r>
              <w:rPr>
                <w:b/>
                <w:color w:val="1A1A2E"/>
                <w:sz w:val="20"/>
              </w:rPr>
              <w:t>Offline PWA Support</w:t>
            </w:r>
          </w:p>
        </w:tc>
        <w:tc>
          <w:tcPr>
            <w:tcW w:type="dxa" w:w="5669"/>
            <w:shd w:val="clear" w:color="auto" w:fill="F2F4F7"/>
          </w:tcPr>
          <w:p>
            <w:r>
              <w:rPr>
                <w:color w:val="606060"/>
                <w:sz w:val="20"/>
              </w:rPr>
              <w:t>Service Worker API + Background Sync</w:t>
            </w:r>
          </w:p>
        </w:tc>
      </w:tr>
      <w:tr>
        <w:tc>
          <w:tcPr>
            <w:tcW w:type="dxa" w:w="3402"/>
            <w:shd w:val="clear" w:color="auto" w:fill="FFFFFF"/>
          </w:tcPr>
          <w:p>
            <w:r>
              <w:rPr>
                <w:b/>
                <w:color w:val="1A1A2E"/>
                <w:sz w:val="20"/>
              </w:rPr>
              <w:t>Frontend Framework</w:t>
            </w:r>
          </w:p>
        </w:tc>
        <w:tc>
          <w:tcPr>
            <w:tcW w:type="dxa" w:w="5669"/>
            <w:shd w:val="clear" w:color="auto" w:fill="FFFFFF"/>
          </w:tcPr>
          <w:p>
            <w:r>
              <w:rPr>
                <w:color w:val="606060"/>
                <w:sz w:val="20"/>
              </w:rPr>
              <w:t>Bootstrap 5.3 + Bootstrap Icons 1.11</w:t>
            </w:r>
          </w:p>
        </w:tc>
      </w:tr>
      <w:tr>
        <w:tc>
          <w:tcPr>
            <w:tcW w:type="dxa" w:w="3402"/>
            <w:shd w:val="clear" w:color="auto" w:fill="F2F4F7"/>
          </w:tcPr>
          <w:p>
            <w:r>
              <w:rPr>
                <w:b/>
                <w:color w:val="1A1A2E"/>
                <w:sz w:val="20"/>
              </w:rPr>
              <w:t>Deployment Target</w:t>
            </w:r>
          </w:p>
        </w:tc>
        <w:tc>
          <w:tcPr>
            <w:tcW w:type="dxa" w:w="5669"/>
            <w:shd w:val="clear" w:color="auto" w:fill="F2F4F7"/>
          </w:tcPr>
          <w:p>
            <w:r>
              <w:rPr>
                <w:color w:val="606060"/>
                <w:sz w:val="20"/>
              </w:rPr>
              <w:t>Linux / Azure App Service / Docker</w:t>
            </w:r>
          </w:p>
        </w:tc>
      </w:tr>
    </w:tbl>
    <w:p/>
    <w:p>
      <w:pPr>
        <w:spacing w:before="360" w:after="80"/>
      </w:pPr>
      <w:r>
        <w:rPr>
          <w:b/>
          <w:color w:val="1A1A2E"/>
          <w:sz w:val="28"/>
        </w:rPr>
        <w:t>9.  FUTURE EXPANSION AND SUSTAINABILITY</w:t>
      </w:r>
    </w:p>
    <w:p>
      <w:pPr>
        <w:spacing w:before="40" w:after="120"/>
        <w:pBdr>
          <w:bottom w:val="single" w:sz="12" w:space="1" w:color="007B83"/>
        </w:pBdr>
      </w:pPr>
    </w:p>
    <w:p>
      <w:pPr>
        <w:spacing w:before="40" w:after="100"/>
      </w:pPr>
      <w:r>
        <w:rPr>
          <w:color w:val="606060"/>
          <w:sz w:val="21"/>
        </w:rPr>
        <w:t>The modular architecture of the platform is designed to accommodate institutional growth and feature evolution without requiring foundational re-engineering. The following capability expansions are architecturally supported within the existing system boundaries:</w:t>
      </w:r>
    </w:p>
    <w:p>
      <w:pPr>
        <w:pStyle w:val="ListBullet"/>
        <w:spacing w:before="20" w:after="40"/>
        <w:ind w:left="567"/>
      </w:pPr>
      <w:r>
        <w:rPr>
          <w:b/>
          <w:color w:val="1A1A2E"/>
          <w:sz w:val="21"/>
        </w:rPr>
        <w:t>Multi-Departmental Multi-Tenancy:</w:t>
      </w:r>
      <w:r>
        <w:rPr>
          <w:color w:val="606060"/>
          <w:sz w:val="21"/>
        </w:rPr>
        <w:t xml:space="preserve"> Department-level data partitioning to support parallel OSCE programmes across multiple clinical specialties or campuses.</w:t>
      </w:r>
    </w:p>
    <w:p>
      <w:pPr>
        <w:pStyle w:val="ListBullet"/>
        <w:spacing w:before="20" w:after="40"/>
        <w:ind w:left="567"/>
      </w:pPr>
      <w:r>
        <w:rPr>
          <w:b/>
          <w:color w:val="1A1A2E"/>
          <w:sz w:val="21"/>
        </w:rPr>
        <w:t>Automated Student Import:</w:t>
      </w:r>
      <w:r>
        <w:rPr>
          <w:color w:val="606060"/>
          <w:sz w:val="21"/>
        </w:rPr>
        <w:t xml:space="preserve"> Batch student enrolment via integration with institutional Student Information Systems (SIS) through structured CSV/API interfaces.</w:t>
      </w:r>
    </w:p>
    <w:p>
      <w:pPr>
        <w:pStyle w:val="ListBullet"/>
        <w:spacing w:before="20" w:after="40"/>
        <w:ind w:left="567"/>
      </w:pPr>
      <w:r>
        <w:rPr>
          <w:b/>
          <w:color w:val="1A1A2E"/>
          <w:sz w:val="21"/>
        </w:rPr>
        <w:t>Real-Time Supervision Dashboard:</w:t>
      </w:r>
      <w:r>
        <w:rPr>
          <w:color w:val="606060"/>
          <w:sz w:val="21"/>
        </w:rPr>
        <w:t xml:space="preserve"> Live session monitoring panels for supervisors displaying per-path scoring progress, anomaly flags, and examiner connectivity status via WebSocket channels (ASGI infrastructure already in place).</w:t>
      </w:r>
    </w:p>
    <w:p>
      <w:pPr>
        <w:pStyle w:val="ListBullet"/>
        <w:spacing w:before="20" w:after="40"/>
        <w:ind w:left="567"/>
      </w:pPr>
      <w:r>
        <w:rPr>
          <w:b/>
          <w:color w:val="1A1A2E"/>
          <w:sz w:val="21"/>
        </w:rPr>
        <w:t>LMS Integration:</w:t>
      </w:r>
      <w:r>
        <w:rPr>
          <w:color w:val="606060"/>
          <w:sz w:val="21"/>
        </w:rPr>
        <w:t xml:space="preserve"> Standards-based Learning Management System integration (LTI / REST) for grade passback and student portfolio linkage.</w:t>
      </w:r>
    </w:p>
    <w:p>
      <w:pPr>
        <w:pStyle w:val="ListBullet"/>
        <w:spacing w:before="20" w:after="40"/>
        <w:ind w:left="567"/>
      </w:pPr>
      <w:r>
        <w:rPr>
          <w:b/>
          <w:color w:val="1A1A2E"/>
          <w:sz w:val="21"/>
        </w:rPr>
        <w:t>Advanced Analytics Module:</w:t>
      </w:r>
      <w:r>
        <w:rPr>
          <w:color w:val="606060"/>
          <w:sz w:val="21"/>
        </w:rPr>
        <w:t xml:space="preserve"> Cohort-level ILO performance trending, inter-rater reliability scoring, and longitudinal assessment analytics for programme-level quality review.</w:t>
      </w:r>
    </w:p>
    <w:p>
      <w:pPr>
        <w:pStyle w:val="ListBullet"/>
        <w:spacing w:before="20" w:after="40"/>
        <w:ind w:left="567"/>
      </w:pPr>
      <w:r>
        <w:rPr>
          <w:b/>
          <w:color w:val="1A1A2E"/>
          <w:sz w:val="21"/>
        </w:rPr>
        <w:t>CBME Alignment Reporting:</w:t>
      </w:r>
      <w:r>
        <w:rPr>
          <w:color w:val="606060"/>
          <w:sz w:val="21"/>
        </w:rPr>
        <w:t xml:space="preserve"> Competency-Based Medical Education outcome mapping reports to support national licensing board and accreditation submissions.</w:t>
      </w:r>
    </w:p>
    <w:p>
      <w:pPr>
        <w:pStyle w:val="ListBullet"/>
        <w:spacing w:before="20" w:after="40"/>
        <w:ind w:left="567"/>
      </w:pPr>
      <w:r>
        <w:rPr>
          <w:b/>
          <w:color w:val="1A1A2E"/>
          <w:sz w:val="21"/>
        </w:rPr>
        <w:t>Mobile Native Applications:</w:t>
      </w:r>
      <w:r>
        <w:rPr>
          <w:color w:val="606060"/>
          <w:sz w:val="21"/>
        </w:rPr>
        <w:t xml:space="preserve"> Native iOS and Android examiner applications leveraging the existing REST API layer, with enhanced biometric authentication.</w:t>
      </w:r>
    </w:p>
    <w:p>
      <w:pPr>
        <w:spacing w:before="360" w:after="80"/>
      </w:pPr>
      <w:r>
        <w:rPr>
          <w:b/>
          <w:color w:val="1A1A2E"/>
          <w:sz w:val="28"/>
        </w:rPr>
        <w:t>10.  STRATEGIC VALUE TO THE INSTITUTION</w:t>
      </w:r>
    </w:p>
    <w:p>
      <w:pPr>
        <w:spacing w:before="40" w:after="120"/>
        <w:pBdr>
          <w:bottom w:val="single" w:sz="12" w:space="1" w:color="007B83"/>
        </w:pBdr>
      </w:pPr>
    </w:p>
    <w:p>
      <w:pPr>
        <w:spacing w:before="40" w:after="100"/>
      </w:pPr>
      <w:r>
        <w:rPr>
          <w:color w:val="606060"/>
          <w:sz w:val="21"/>
        </w:rPr>
        <w:t>The OSCE Examination Management Platform represents a strategic investment in institutional digital infrastructure that delivers measurable value across operational, academic, and compliance dimensions.</w:t>
      </w:r>
    </w:p>
    <w:tbl>
      <w:tblPr>
        <w:tblStyle w:val="TableGrid"/>
        <w:tblW w:type="auto" w:w="0"/>
        <w:jc w:val="left"/>
        <w:tblLook w:firstColumn="1" w:firstRow="1" w:lastColumn="0" w:lastRow="0" w:noHBand="0" w:noVBand="1" w:val="04A0"/>
      </w:tblPr>
      <w:tblGrid>
        <w:gridCol w:w="4536"/>
        <w:gridCol w:w="4536"/>
      </w:tblGrid>
      <w:tr>
        <w:tc>
          <w:tcPr>
            <w:tcW w:type="dxa" w:w="3402"/>
            <w:shd w:val="clear" w:color="auto" w:fill="1A1A2E"/>
            <w:vAlign w:val="center"/>
          </w:tcPr>
          <w:p>
            <w:pPr>
              <w:jc w:val="center"/>
            </w:pPr>
            <w:r>
              <w:rPr>
                <w:b/>
                <w:color w:val="FFFFFF"/>
                <w:sz w:val="20"/>
              </w:rPr>
              <w:t>Strategic Dimension</w:t>
            </w:r>
          </w:p>
        </w:tc>
        <w:tc>
          <w:tcPr>
            <w:tcW w:type="dxa" w:w="5669"/>
            <w:shd w:val="clear" w:color="auto" w:fill="1A1A2E"/>
            <w:vAlign w:val="center"/>
          </w:tcPr>
          <w:p>
            <w:pPr>
              <w:jc w:val="center"/>
            </w:pPr>
            <w:r>
              <w:rPr>
                <w:b/>
                <w:color w:val="FFFFFF"/>
                <w:sz w:val="20"/>
              </w:rPr>
              <w:t>Institutional Benefit</w:t>
            </w:r>
          </w:p>
        </w:tc>
      </w:tr>
      <w:tr>
        <w:tc>
          <w:tcPr>
            <w:tcW w:type="dxa" w:w="3402"/>
            <w:shd w:val="clear" w:color="auto" w:fill="F2F4F7"/>
          </w:tcPr>
          <w:p>
            <w:r>
              <w:rPr>
                <w:b/>
                <w:color w:val="1A1A2E"/>
                <w:sz w:val="20"/>
              </w:rPr>
              <w:t>Operational Excellence</w:t>
            </w:r>
          </w:p>
        </w:tc>
        <w:tc>
          <w:tcPr>
            <w:tcW w:type="dxa" w:w="5669"/>
            <w:shd w:val="clear" w:color="auto" w:fill="F2F4F7"/>
          </w:tcPr>
          <w:p>
            <w:r>
              <w:rPr>
                <w:color w:val="606060"/>
                <w:sz w:val="20"/>
              </w:rPr>
              <w:t>Eliminates manual coordination, paper-based marking, and post-session data consolidation — reducing administrative labour per session significantly.</w:t>
            </w:r>
          </w:p>
        </w:tc>
      </w:tr>
      <w:tr>
        <w:tc>
          <w:tcPr>
            <w:tcW w:type="dxa" w:w="3402"/>
            <w:shd w:val="clear" w:color="auto" w:fill="FFFFFF"/>
          </w:tcPr>
          <w:p>
            <w:r>
              <w:rPr>
                <w:b/>
                <w:color w:val="1A1A2E"/>
                <w:sz w:val="20"/>
              </w:rPr>
              <w:t>Assessment Integrity</w:t>
            </w:r>
          </w:p>
        </w:tc>
        <w:tc>
          <w:tcPr>
            <w:tcW w:type="dxa" w:w="5669"/>
            <w:shd w:val="clear" w:color="auto" w:fill="FFFFFF"/>
          </w:tcPr>
          <w:p>
            <w:r>
              <w:rPr>
                <w:color w:val="606060"/>
                <w:sz w:val="20"/>
              </w:rPr>
              <w:t>Enforces standardised marking criteria system-wide, eliminating inter-examiner inconsistency arising from unstructured marking forms. All deviations are auditable.</w:t>
            </w:r>
          </w:p>
        </w:tc>
      </w:tr>
      <w:tr>
        <w:tc>
          <w:tcPr>
            <w:tcW w:type="dxa" w:w="3402"/>
            <w:shd w:val="clear" w:color="auto" w:fill="F2F4F7"/>
          </w:tcPr>
          <w:p>
            <w:r>
              <w:rPr>
                <w:b/>
                <w:color w:val="1A1A2E"/>
                <w:sz w:val="20"/>
              </w:rPr>
              <w:t>Accreditation Readiness</w:t>
            </w:r>
          </w:p>
        </w:tc>
        <w:tc>
          <w:tcPr>
            <w:tcW w:type="dxa" w:w="5669"/>
            <w:shd w:val="clear" w:color="auto" w:fill="F2F4F7"/>
          </w:tcPr>
          <w:p>
            <w:r>
              <w:rPr>
                <w:color w:val="606060"/>
                <w:sz w:val="20"/>
              </w:rPr>
              <w:t>Structured ILO linkage, audit trails, and exportable performance data provide documentation artefacts directly applicable to national and international accreditation submissions (e.g., NCAAA, WFME, LCME).</w:t>
            </w:r>
          </w:p>
        </w:tc>
      </w:tr>
      <w:tr>
        <w:tc>
          <w:tcPr>
            <w:tcW w:type="dxa" w:w="3402"/>
            <w:shd w:val="clear" w:color="auto" w:fill="FFFFFF"/>
          </w:tcPr>
          <w:p>
            <w:r>
              <w:rPr>
                <w:b/>
                <w:color w:val="1A1A2E"/>
                <w:sz w:val="20"/>
              </w:rPr>
              <w:t>Data-Driven Quality Assurance</w:t>
            </w:r>
          </w:p>
        </w:tc>
        <w:tc>
          <w:tcPr>
            <w:tcW w:type="dxa" w:w="5669"/>
            <w:shd w:val="clear" w:color="auto" w:fill="FFFFFF"/>
          </w:tcPr>
          <w:p>
            <w:r>
              <w:rPr>
                <w:color w:val="606060"/>
                <w:sz w:val="20"/>
              </w:rPr>
              <w:t>ILO-level performance analytics enable curriculum committees to identify competency gaps at cohort level, driving evidence-based programme improvement.</w:t>
            </w:r>
          </w:p>
        </w:tc>
      </w:tr>
      <w:tr>
        <w:tc>
          <w:tcPr>
            <w:tcW w:type="dxa" w:w="3402"/>
            <w:shd w:val="clear" w:color="auto" w:fill="F2F4F7"/>
          </w:tcPr>
          <w:p>
            <w:r>
              <w:rPr>
                <w:b/>
                <w:color w:val="1A1A2E"/>
                <w:sz w:val="20"/>
              </w:rPr>
              <w:t>Risk Mitigation</w:t>
            </w:r>
          </w:p>
        </w:tc>
        <w:tc>
          <w:tcPr>
            <w:tcW w:type="dxa" w:w="5669"/>
            <w:shd w:val="clear" w:color="auto" w:fill="F2F4F7"/>
          </w:tcPr>
          <w:p>
            <w:r>
              <w:rPr>
                <w:color w:val="606060"/>
                <w:sz w:val="20"/>
              </w:rPr>
              <w:t>System-enforced access controls, audit logging, and soft-deletion policies mitigate legal and regulatory risk associated with score disputes and data loss.</w:t>
            </w:r>
          </w:p>
        </w:tc>
      </w:tr>
      <w:tr>
        <w:tc>
          <w:tcPr>
            <w:tcW w:type="dxa" w:w="3402"/>
            <w:shd w:val="clear" w:color="auto" w:fill="FFFFFF"/>
          </w:tcPr>
          <w:p>
            <w:r>
              <w:rPr>
                <w:b/>
                <w:color w:val="1A1A2E"/>
                <w:sz w:val="20"/>
              </w:rPr>
              <w:t>Institutional Ownership</w:t>
            </w:r>
          </w:p>
        </w:tc>
        <w:tc>
          <w:tcPr>
            <w:tcW w:type="dxa" w:w="5669"/>
            <w:shd w:val="clear" w:color="auto" w:fill="FFFFFF"/>
          </w:tcPr>
          <w:p>
            <w:r>
              <w:rPr>
                <w:color w:val="606060"/>
                <w:sz w:val="20"/>
              </w:rPr>
              <w:t>The platform is developed and maintained as internal institutional property — eliminating ongoing vendor licence costs and dependency on third-party exam delivery platforms whose data policies may not align with institutional governance.</w:t>
            </w:r>
          </w:p>
        </w:tc>
      </w:tr>
      <w:tr>
        <w:tc>
          <w:tcPr>
            <w:tcW w:type="dxa" w:w="3402"/>
            <w:shd w:val="clear" w:color="auto" w:fill="F2F4F7"/>
          </w:tcPr>
          <w:p>
            <w:r>
              <w:rPr>
                <w:b/>
                <w:color w:val="1A1A2E"/>
                <w:sz w:val="20"/>
              </w:rPr>
              <w:t>Student Experience</w:t>
            </w:r>
          </w:p>
        </w:tc>
        <w:tc>
          <w:tcPr>
            <w:tcW w:type="dxa" w:w="5669"/>
            <w:shd w:val="clear" w:color="auto" w:fill="F2F4F7"/>
          </w:tcPr>
          <w:p>
            <w:r>
              <w:rPr>
                <w:color w:val="606060"/>
                <w:sz w:val="20"/>
              </w:rPr>
              <w:t>Faster result dissemination, structured feedback potential, and bilingual interface support contribute to an equitable and professionally delivered assessment experience.</w:t>
            </w:r>
          </w:p>
        </w:tc>
      </w:tr>
    </w:tbl>
    <w:p/>
    <w:p>
      <w:pPr>
        <w:spacing w:before="360" w:after="80"/>
      </w:pPr>
      <w:r>
        <w:rPr>
          <w:b/>
          <w:color w:val="1A1A2E"/>
          <w:sz w:val="28"/>
        </w:rPr>
        <w:t>CLOSING STATEMENT</w:t>
      </w:r>
    </w:p>
    <w:p>
      <w:pPr>
        <w:spacing w:before="40" w:after="120"/>
        <w:pBdr>
          <w:bottom w:val="single" w:sz="12" w:space="1" w:color="007B83"/>
        </w:pBdr>
      </w:pPr>
    </w:p>
    <w:p>
      <w:pPr>
        <w:spacing w:before="40" w:after="100"/>
      </w:pPr>
      <w:r>
        <w:rPr>
          <w:color w:val="606060"/>
          <w:sz w:val="21"/>
        </w:rPr>
        <w:t>The OSCE Examination Management Platform constitutes a mature, production-ready digital infrastructure asset. It has been designed, audited, and deployed with institutional-grade standards of security, performance, and extensibility. Its modular architecture ensures that the platform will continue to serve the institution's evolving assessment requirements without incurring the cost and disruption of periodic system replacements.</w:t>
      </w:r>
    </w:p>
    <w:p>
      <w:pPr>
        <w:spacing w:before="40" w:after="100"/>
      </w:pPr>
      <w:r>
        <w:rPr>
          <w:color w:val="606060"/>
          <w:sz w:val="21"/>
        </w:rPr>
        <w:t>The academic leadership board is invited to review the supplementary technical documentation — including the Security Audit Report and Performance Optimisation Report — for a detailed record of the engineering controls and optimisation measures applied to this platform.</w:t>
      </w:r>
    </w:p>
    <w:p>
      <w:pPr>
        <w:spacing w:before="40" w:after="120"/>
        <w:pBdr>
          <w:bottom w:val="single" w:sz="18" w:space="1" w:color="C89E3F"/>
        </w:pBdr>
      </w:pPr>
    </w:p>
    <w:p>
      <w:pPr>
        <w:spacing w:before="200"/>
        <w:jc w:val="center"/>
      </w:pPr>
      <w:r>
        <w:rPr>
          <w:i/>
          <w:color w:val="AAAAAA"/>
          <w:sz w:val="17"/>
        </w:rPr>
        <w:t>CONFIDENTIAL  —  Prepared March 02, 2026  —  v3.2  —  OSCE Examination Management Platform    College of Medicine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060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