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48"/>
          <w:szCs w:val="48"/>
        </w:rPr>
      </w:pPr>
      <w:bookmarkStart w:id="0" w:name="_GoBack"/>
      <w:bookmarkStart w:id="1" w:name="_GoBack"/>
      <w:bookmarkEnd w:id="1"/>
      <w:r>
        <w:rPr>
          <w:sz w:val="48"/>
          <w:szCs w:val="48"/>
        </w:rPr>
      </w:r>
    </w:p>
    <w:p>
      <w:pPr>
        <w:pStyle w:val="Title"/>
        <w:rPr/>
      </w:pPr>
      <w:r>
        <w:rPr>
          <w:sz w:val="48"/>
          <w:szCs w:val="48"/>
        </w:rPr>
        <w:t xml:space="preserve">Fawzi Yassine </w:t>
      </w:r>
    </w:p>
    <w:p>
      <w:pPr>
        <w:pStyle w:val="Title"/>
        <w:rPr/>
      </w:pPr>
      <w:r>
        <w:rPr>
          <w:sz w:val="48"/>
          <w:szCs w:val="48"/>
        </w:rPr>
        <w:t>August 8, 2017</w:t>
      </w:r>
    </w:p>
    <w:p>
      <w:pPr>
        <w:pStyle w:val="Normal"/>
        <w:rPr>
          <w:sz w:val="48"/>
          <w:szCs w:val="48"/>
        </w:rPr>
      </w:pPr>
      <w:r>
        <w:rPr/>
      </w:r>
    </w:p>
    <w:p>
      <w:pPr>
        <w:pStyle w:val="Title"/>
        <w:jc w:val="center"/>
        <w:rPr>
          <w:sz w:val="48"/>
          <w:szCs w:val="48"/>
        </w:rPr>
      </w:pPr>
      <w:r>
        <w:rPr/>
      </w:r>
    </w:p>
    <w:p>
      <w:pPr>
        <w:pStyle w:val="Title"/>
        <w:jc w:val="center"/>
        <w:rPr>
          <w:sz w:val="48"/>
          <w:szCs w:val="48"/>
        </w:rPr>
      </w:pPr>
      <w:r>
        <w:rPr/>
      </w:r>
    </w:p>
    <w:p>
      <w:pPr>
        <w:pStyle w:val="Title"/>
        <w:jc w:val="center"/>
        <w:rPr/>
      </w:pPr>
      <w:bookmarkStart w:id="2" w:name="__DdeLink__4363_1810163182"/>
      <w:r>
        <w:rPr>
          <w:sz w:val="48"/>
          <w:szCs w:val="48"/>
        </w:rPr>
        <w:br/>
      </w:r>
      <w:bookmarkStart w:id="3" w:name="__DdeLink__4634_1810163182"/>
      <w:r>
        <w:rPr>
          <w:sz w:val="48"/>
          <w:szCs w:val="48"/>
        </w:rPr>
        <w:t>Enrichment</w:t>
      </w:r>
      <w:bookmarkEnd w:id="2"/>
      <w:r>
        <w:rPr>
          <w:sz w:val="48"/>
          <w:szCs w:val="48"/>
        </w:rPr>
        <w:t xml:space="preserve"> Analy</w:t>
      </w:r>
      <w:r>
        <w:rPr>
          <w:sz w:val="48"/>
          <w:szCs w:val="48"/>
        </w:rPr>
        <w:t xml:space="preserve">sis of the Most </w:t>
      </w:r>
      <w:r>
        <w:rPr>
          <w:sz w:val="48"/>
          <w:szCs w:val="48"/>
        </w:rPr>
        <w:t>D</w:t>
      </w:r>
      <w:r>
        <w:rPr>
          <w:sz w:val="48"/>
          <w:szCs w:val="48"/>
        </w:rPr>
        <w:t>ifferent</w:t>
      </w:r>
      <w:r>
        <w:rPr>
          <w:sz w:val="48"/>
          <w:szCs w:val="48"/>
        </w:rPr>
        <w:t>ially Expressed Genes</w:t>
      </w:r>
    </w:p>
    <w:p>
      <w:pPr>
        <w:pStyle w:val="Normal"/>
        <w:jc w:val="center"/>
        <w:rPr/>
      </w:pPr>
      <w:r>
        <w:rPr>
          <w:sz w:val="48"/>
          <w:szCs w:val="48"/>
        </w:rPr>
        <w:t>(</w:t>
      </w:r>
      <w:r>
        <w:rPr>
          <w:sz w:val="48"/>
          <w:szCs w:val="48"/>
        </w:rPr>
        <w:t>using</w:t>
      </w:r>
      <w:r>
        <w:rPr>
          <w:sz w:val="48"/>
          <w:szCs w:val="48"/>
        </w:rPr>
        <w:t xml:space="preserve"> KEGG and GO</w:t>
      </w:r>
      <w:r>
        <w:rPr>
          <w:sz w:val="48"/>
          <w:szCs w:val="48"/>
        </w:rPr>
        <w:t xml:space="preserve"> Databases</w:t>
      </w:r>
      <w:r>
        <w:rPr>
          <w:sz w:val="48"/>
          <w:szCs w:val="48"/>
        </w:rPr>
        <w:t>)</w:t>
      </w:r>
    </w:p>
    <w:p>
      <w:pPr>
        <w:pStyle w:val="Normal"/>
        <w:rPr>
          <w:sz w:val="48"/>
          <w:szCs w:val="48"/>
        </w:rPr>
      </w:pPr>
      <w:bookmarkEnd w:id="3"/>
      <w:r>
        <w:rPr>
          <w:sz w:val="48"/>
          <w:szCs w:val="48"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>Annotations found using GeneSCF (Gene Set Clustering based on Functional annotation)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KEGG Database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>
          <w:rFonts w:eastAsia="Calibri"/>
        </w:rPr>
      </w:pPr>
      <w:r>
        <w:rPr>
          <w:rFonts w:eastAsia="Calibri"/>
        </w:rPr>
        <w:t>mmu04024~cAMP_signaling_pathway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The transcription factor CREB (cAMP response element-binding protein) activates the transcription of PGC-1alpha. PGC-1alpha (PPARGC1A), one of the master regulators of mitochondrial biosynthesis.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Heading3"/>
        <w:numPr>
          <w:ilvl w:val="2"/>
          <w:numId w:val="2"/>
        </w:numPr>
        <w:rPr>
          <w:rFonts w:eastAsia="Calibri"/>
        </w:rPr>
      </w:pPr>
      <w:r>
        <w:rPr>
          <w:rFonts w:eastAsia="Calibri"/>
        </w:rPr>
        <w:t>mmu04152~AMPK_signaling_pathway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>The transcription factor AMPK is the central component of a cellular signaling system that monitors cellular energy change, acting as ‘metabolic master switch’ to regulate ATP concentrations in the face of energy depletion (e.g. fasting, exercise). Energy depletion causes a reduction in ATP and an increase in AMP which activ ates AMPK. AMPK in turn phosphorylates the coactivator PGC-1alpha (PPARGC1A), one of the master regulators of mitochondrial biogenesis.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Heading3"/>
        <w:numPr>
          <w:ilvl w:val="2"/>
          <w:numId w:val="2"/>
        </w:numPr>
        <w:rPr>
          <w:rFonts w:eastAsia="Calibri"/>
        </w:rPr>
      </w:pPr>
      <w:r>
        <w:rPr>
          <w:rFonts w:eastAsia="Calibri"/>
        </w:rPr>
        <w:t>mmu03320~PPAR_signaling_pathway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Calibri" w:cs="Arial" w:ascii="Arial" w:hAnsi="Arial"/>
          <w:sz w:val="24"/>
          <w:szCs w:val="24"/>
        </w:rPr>
        <w:t xml:space="preserve">Please refer to: Gianluca Miglio, Arianna C. Rosa, Lorenza Rattazzi, Massimo Collino, Grazia Lombardi, Roberto Fantozzi, PPARγ stimulation promotes mitochondrial biogenesis and prevents glucose deprivation-induced neuronal cell loss, Neurochemistry International, Volume 55, Issue 7, 2009, Pages 496-504, ISSN 0197-0186, </w:t>
      </w:r>
      <w:hyperlink r:id="rId2">
        <w:r>
          <w:rPr>
            <w:rStyle w:val="InternetLink"/>
            <w:rFonts w:eastAsia="Calibri" w:cs="Arial" w:ascii="Arial" w:hAnsi="Arial"/>
            <w:sz w:val="24"/>
            <w:szCs w:val="24"/>
            <w:u w:val="single"/>
          </w:rPr>
          <w:t>http://dx.doi.org/10.1016/j.neuint.2009.05.001</w:t>
        </w:r>
      </w:hyperlink>
      <w:r>
        <w:rPr>
          <w:rFonts w:eastAsia="Calibri" w:cs="Arial" w:ascii="Arial" w:hAnsi="Arial"/>
          <w:sz w:val="24"/>
          <w:szCs w:val="24"/>
        </w:rPr>
        <w:t>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Heading3"/>
        <w:numPr>
          <w:ilvl w:val="2"/>
          <w:numId w:val="2"/>
        </w:numPr>
        <w:rPr>
          <w:rFonts w:eastAsia="Calibri"/>
        </w:rPr>
      </w:pPr>
      <w:r>
        <w:rPr>
          <w:rFonts w:eastAsia="Calibri"/>
        </w:rPr>
        <w:t>mmu04010~MAPK_signaling_pathway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Calibri" w:cs="Arial" w:ascii="Arial" w:hAnsi="Arial"/>
          <w:sz w:val="24"/>
          <w:szCs w:val="24"/>
        </w:rPr>
        <w:t xml:space="preserve">Please refer to: Minghui Gao, Junjian Wang, Na Lu, Fang Fang, Jinsong Liu, Chi-Wai Wong, Mitogen activated protein kinase kinases promote mitochondrial biogenesis in part through inducing peroxisome proliferator-activated receptor γ coactivator-1β expression, Biochimica et Biophysica Acta (BBA) - Molecular Cell Research, Volume 1813, Issue 6, 2011, Pages 1239-1244, ISSN 0167-4889, </w:t>
      </w:r>
      <w:hyperlink r:id="rId3">
        <w:r>
          <w:rPr>
            <w:rStyle w:val="InternetLink"/>
            <w:rFonts w:eastAsia="Calibri" w:cs="Arial" w:ascii="Arial" w:hAnsi="Arial"/>
            <w:sz w:val="24"/>
            <w:szCs w:val="24"/>
            <w:u w:val="single"/>
          </w:rPr>
          <w:t>http://dx.doi.org/10.1016/j.bbamcr.2011.03.017</w:t>
        </w:r>
      </w:hyperlink>
      <w:r>
        <w:rPr>
          <w:rFonts w:eastAsia="Calibri" w:cs="Arial" w:ascii="Arial" w:hAnsi="Arial"/>
          <w:sz w:val="24"/>
          <w:szCs w:val="24"/>
        </w:rPr>
        <w:t>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Heading3"/>
        <w:numPr>
          <w:ilvl w:val="2"/>
          <w:numId w:val="2"/>
        </w:numPr>
        <w:rPr>
          <w:rFonts w:eastAsia="Calibri"/>
        </w:rPr>
      </w:pPr>
      <w:r>
        <w:rPr>
          <w:rFonts w:eastAsia="Calibri"/>
        </w:rPr>
        <w:t>mmu04020~Calcium_signaling_pathway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It is hypothesized that calcium influx is a signal that initiate changes in gene expression leading to new mitochondrial proteins.. p38 MAPK is activated by muscle contraction (possibly via calcium and CaMKII) and phosphorylates PGC-1alpha. CaMKIV responds to intracellular calcium by phosphorylation </w:t>
      </w:r>
      <w:r>
        <w:rPr>
          <w:rFonts w:eastAsia="Times New Roman" w:cs="Arial" w:ascii="Arial" w:hAnsi="Arial"/>
          <w:b/>
          <w:bCs/>
          <w:sz w:val="24"/>
          <w:szCs w:val="24"/>
        </w:rPr>
        <w:t>CREB</w:t>
      </w:r>
      <w:r>
        <w:rPr>
          <w:rFonts w:eastAsia="Times New Roman" w:cs="Arial" w:ascii="Arial" w:hAnsi="Arial"/>
          <w:sz w:val="24"/>
          <w:szCs w:val="24"/>
        </w:rPr>
        <w:t> (</w:t>
      </w:r>
      <w:r>
        <w:rPr>
          <w:rFonts w:eastAsia="Times New Roman" w:cs="Arial" w:ascii="Arial" w:hAnsi="Arial"/>
          <w:b/>
          <w:bCs/>
          <w:sz w:val="24"/>
          <w:szCs w:val="24"/>
        </w:rPr>
        <w:t>cAMP response element-binding protein</w:t>
      </w:r>
      <w:r>
        <w:rPr>
          <w:rFonts w:eastAsia="Times New Roman" w:cs="Arial" w:ascii="Arial" w:hAnsi="Arial"/>
          <w:sz w:val="24"/>
          <w:szCs w:val="24"/>
        </w:rPr>
        <w:t>)</w:t>
      </w:r>
      <w:r>
        <w:rPr>
          <w:rFonts w:eastAsia="Calibri" w:cs="Arial" w:ascii="Arial" w:hAnsi="Arial"/>
          <w:sz w:val="24"/>
          <w:szCs w:val="24"/>
        </w:rPr>
        <w:t>, which activates expression of PGC-1alpha.  PGC-1alpha is  one of the master regulators of mitochondrial biogenesis.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>Please refer to:  Wright DC. Mechanisms of calcium-induced mitochondrial biogenesis and GLUT4 synthesis. Appl Physiol Nutr Metab. 2007 Oct;32(5):840-5. Review. PubMed PMID:18059607.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Heading3"/>
        <w:numPr>
          <w:ilvl w:val="2"/>
          <w:numId w:val="2"/>
        </w:numPr>
        <w:rPr>
          <w:rFonts w:eastAsia="Calibri"/>
        </w:rPr>
      </w:pPr>
      <w:r>
        <w:rPr>
          <w:rFonts w:eastAsia="Calibri"/>
        </w:rPr>
        <w:t>mmu04022~cGMP-PKG_signaling_pathway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>Please refer to: Whitaker RM, Wills LP, Stallons LJ, Schnellmann RG. cGMP-Selective Phosphodiesterase Inhibitors Stimulate Mitochondrial Biogenesis and Promote Recovery from Acute Kidney Injury. The Journal of Pharmacology and Experimental Therapeutics. 2013;347(3):626-634. doi:10.1124/jpet.113.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Heading3"/>
        <w:numPr>
          <w:ilvl w:val="2"/>
          <w:numId w:val="2"/>
        </w:numPr>
        <w:rPr>
          <w:rFonts w:eastAsia="Calibri"/>
        </w:rPr>
      </w:pPr>
      <w:r>
        <w:rPr>
          <w:rFonts w:eastAsia="Calibri"/>
        </w:rPr>
        <w:t>mmu04068~FoxO_signaling_pathway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>Please refer to:  Olmos Y, Valle I, Borniquel S, Tierrez A, Soria E, Lamas S, Monsalve M. Mutual dependence of Foxo3a and PGC-1alpha in the induction of oxidative stress genes. J Biol Chem. 2009 May 22;284(21):14476-84. doi: 10.1074/jbc.M807397200. Epub 2009 Mar 26. PubMed PMID: 19324885; PubMed Central PMCID: PMC2682896.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Heading2"/>
        <w:numPr>
          <w:ilvl w:val="1"/>
          <w:numId w:val="2"/>
        </w:numPr>
        <w:rPr>
          <w:rFonts w:eastAsia="Calibri"/>
        </w:rPr>
      </w:pPr>
      <w:r>
        <w:rPr>
          <w:rFonts w:eastAsia="Calibri"/>
        </w:rPr>
        <w:t xml:space="preserve">GO Database 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>
          <w:rFonts w:eastAsia="Calibri"/>
        </w:rPr>
      </w:pPr>
      <w:r>
        <w:rPr>
          <w:rFonts w:eastAsia="Calibri"/>
        </w:rPr>
        <w:t>GO:0004383~guanylate cyclase activity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bookmarkStart w:id="4" w:name="P12"/>
      <w:bookmarkEnd w:id="4"/>
      <w:r>
        <w:rPr>
          <w:rFonts w:eastAsia="Calibri" w:cs="Arial" w:ascii="Arial" w:hAnsi="Arial"/>
          <w:sz w:val="24"/>
          <w:szCs w:val="24"/>
        </w:rPr>
        <w:t xml:space="preserve">More recently, NO has been shown to be involved in mitochondrial biogenesis. HeLA cells expressing eNOS (endothelial NO synthase) display an increase in mtDNA content, cytochrome </w:t>
      </w:r>
      <w:r>
        <w:rPr>
          <w:rFonts w:eastAsia="Calibri" w:cs="Arial" w:ascii="Arial" w:hAnsi="Arial"/>
          <w:i/>
          <w:iCs/>
          <w:sz w:val="24"/>
          <w:szCs w:val="24"/>
        </w:rPr>
        <w:t>c</w:t>
      </w:r>
      <w:r>
        <w:rPr>
          <w:rFonts w:eastAsia="Calibri" w:cs="Arial" w:ascii="Arial" w:hAnsi="Arial"/>
          <w:sz w:val="24"/>
          <w:szCs w:val="24"/>
        </w:rPr>
        <w:t xml:space="preserve"> and COX IV protein expression levels, as well as PGC-1α, NRF-1 and Tfam mRNA expression [</w:t>
      </w:r>
      <w:r>
        <w:fldChar w:fldCharType="begin"/>
      </w:r>
      <w:r>
        <w:instrText> HYPERLINK "https://www.ncbi.nlm.nih.gov/pmc/articles/PMC3883043/" \l "R26"</w:instrText>
      </w:r>
      <w:r>
        <w:fldChar w:fldCharType="separate"/>
      </w:r>
      <w:bookmarkStart w:id="5" w:name="__tag_348404060"/>
      <w:bookmarkEnd w:id="5"/>
      <w:r>
        <w:rPr>
          <w:rStyle w:val="InternetLink"/>
          <w:rFonts w:eastAsia="Calibri" w:cs="Arial" w:ascii="Arial" w:hAnsi="Arial"/>
          <w:sz w:val="24"/>
          <w:szCs w:val="24"/>
          <w:u w:val="single"/>
        </w:rPr>
        <w:t>26</w:t>
      </w:r>
      <w:r>
        <w:fldChar w:fldCharType="end"/>
      </w:r>
      <w:r>
        <w:rPr>
          <w:rFonts w:eastAsia="Calibri" w:cs="Arial" w:ascii="Arial" w:hAnsi="Arial"/>
          <w:sz w:val="24"/>
          <w:szCs w:val="24"/>
        </w:rPr>
        <w:t>]. Moreover, the NO produced by eNOS activates guanylate cyclase to increase the amount of cGMP present, which transmits a signal to the nucleus through an unknown mechanism, leading to the induction of PGC-1α gene transcription and mitochondrial biogenesis as a consequence [1].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Heading1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 xml:space="preserve">Annotations found using DAVID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Heading2"/>
        <w:numPr>
          <w:ilvl w:val="1"/>
          <w:numId w:val="2"/>
        </w:numPr>
        <w:rPr>
          <w:rFonts w:eastAsia="Calibri"/>
        </w:rPr>
      </w:pPr>
      <w:r>
        <w:rPr>
          <w:rFonts w:eastAsia="Calibri"/>
        </w:rPr>
        <w:t xml:space="preserve">Endocrine and other factor-regulated calcium reabsorption.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It is hypothesized that calcium influx is a signal that initiate changes in gene expression leading to new mitochondrial proteins. p38 MAPK is activated by muscle contraction (possibly via calcium and CaMKII) and phosphorylates PGC-1alpha. CaMKIV responds to intracellular calcium by phosphorylation </w:t>
      </w:r>
      <w:r>
        <w:rPr>
          <w:rFonts w:eastAsia="Times New Roman" w:cs="Arial" w:ascii="Arial" w:hAnsi="Arial"/>
          <w:b/>
          <w:bCs/>
          <w:sz w:val="24"/>
          <w:szCs w:val="24"/>
        </w:rPr>
        <w:t>CREB</w:t>
      </w:r>
      <w:r>
        <w:rPr>
          <w:rFonts w:eastAsia="Times New Roman" w:cs="Arial" w:ascii="Arial" w:hAnsi="Arial"/>
          <w:sz w:val="24"/>
          <w:szCs w:val="24"/>
        </w:rPr>
        <w:t> (</w:t>
      </w:r>
      <w:r>
        <w:rPr>
          <w:rFonts w:eastAsia="Times New Roman" w:cs="Arial" w:ascii="Arial" w:hAnsi="Arial"/>
          <w:b/>
          <w:bCs/>
          <w:sz w:val="24"/>
          <w:szCs w:val="24"/>
        </w:rPr>
        <w:t>cAMP response element-binding protein</w:t>
      </w:r>
      <w:r>
        <w:rPr>
          <w:rFonts w:eastAsia="Times New Roman" w:cs="Arial" w:ascii="Arial" w:hAnsi="Arial"/>
          <w:sz w:val="24"/>
          <w:szCs w:val="24"/>
        </w:rPr>
        <w:t>)</w:t>
      </w:r>
      <w:r>
        <w:rPr>
          <w:rFonts w:eastAsia="Calibri" w:cs="Arial" w:ascii="Arial" w:hAnsi="Arial"/>
          <w:sz w:val="24"/>
          <w:szCs w:val="24"/>
        </w:rPr>
        <w:t>, which activates expression of PGC-1alpha.  PGC-1alpha is one of the master regulators of mitochondrial biogenesis.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Heading2"/>
        <w:numPr>
          <w:ilvl w:val="1"/>
          <w:numId w:val="2"/>
        </w:numPr>
        <w:rPr>
          <w:rFonts w:eastAsia="Calibri"/>
        </w:rPr>
      </w:pPr>
      <w:r>
        <w:rPr>
          <w:rFonts w:eastAsia="Calibri"/>
        </w:rPr>
        <w:t>mitogen-activated protein kinase kinase kinase kinase 4 (Map4k4)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>Map4k4 was among the first cluster of the most enriched genes (Enrichment Score: 2.08). Calcium signaling modulates mitochondrial biogenesis through the calciualmodulin-dependent protein kinase II (CaMKII), p38 mitogen activated protein kinase (MAPK) and PGC-1</w:t>
      </w:r>
      <w:r>
        <w:rPr>
          <w:rFonts w:eastAsia="Calibri" w:cs="Arial" w:ascii="Arial" w:hAnsi="Arial"/>
          <w:i/>
          <w:sz w:val="24"/>
          <w:szCs w:val="24"/>
        </w:rPr>
        <w:t xml:space="preserve">α </w:t>
      </w:r>
      <w:r>
        <w:rPr>
          <w:rFonts w:eastAsia="Calibri" w:cs="Arial" w:ascii="Arial" w:hAnsi="Arial"/>
          <w:sz w:val="24"/>
          <w:szCs w:val="24"/>
        </w:rPr>
        <w:t>[3]</w:t>
      </w:r>
      <w:r>
        <w:rPr>
          <w:rFonts w:eastAsia="Calibri" w:cs="Arial" w:ascii="Arial" w:hAnsi="Arial"/>
          <w:i/>
          <w:sz w:val="24"/>
          <w:szCs w:val="24"/>
        </w:rPr>
        <w:t>.</w:t>
      </w:r>
      <w:r>
        <w:rPr>
          <w:rFonts w:eastAsia="Calibri" w:cs="Arial" w:ascii="Arial" w:hAnsi="Arial"/>
          <w:sz w:val="24"/>
          <w:szCs w:val="24"/>
        </w:rPr>
        <w:t xml:space="preserve"> MAP4K4 has also been reported to regulate MAPK/ERK1/2 pathway and MAPK/p38 pathway in few biological systems [2].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Heading2"/>
        <w:numPr>
          <w:ilvl w:val="1"/>
          <w:numId w:val="2"/>
        </w:numPr>
        <w:rPr>
          <w:rFonts w:eastAsia="Calibri"/>
        </w:rPr>
      </w:pPr>
      <w:r>
        <w:rPr>
          <w:rFonts w:eastAsia="Calibri"/>
        </w:rPr>
        <w:t xml:space="preserve">GO:0071840 cellular component organization or biogenesis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QuickGO defines the term “A process that results in the </w:t>
      </w:r>
      <w:bookmarkStart w:id="6" w:name="__DdeLink__252_1343767250"/>
      <w:r>
        <w:rPr>
          <w:rFonts w:eastAsia="Calibri" w:cs="Arial" w:ascii="Arial" w:hAnsi="Arial"/>
          <w:sz w:val="24"/>
          <w:szCs w:val="24"/>
        </w:rPr>
        <w:t>biosynthesis of constituent macromolecules</w:t>
      </w:r>
      <w:bookmarkEnd w:id="6"/>
      <w:r>
        <w:rPr>
          <w:rFonts w:eastAsia="Calibri" w:cs="Arial" w:ascii="Arial" w:hAnsi="Arial"/>
          <w:sz w:val="24"/>
          <w:szCs w:val="24"/>
        </w:rPr>
        <w:t>, assembly, arrangement of constituent parts, or disassembly of a cellular component”. I hypothesize that the mitochondria could be such a constituent part that undergoes biogenesis.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Heading1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 xml:space="preserve">References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position w:val="7"/>
          <w:sz w:val="24"/>
          <w:szCs w:val="24"/>
        </w:rPr>
        <w:t xml:space="preserve"> </w:t>
      </w:r>
      <w:r>
        <w:rPr>
          <w:rFonts w:eastAsia="Calibri" w:cs="Arial" w:ascii="Arial" w:hAnsi="Arial"/>
          <w:position w:val="7"/>
          <w:sz w:val="24"/>
          <w:szCs w:val="24"/>
        </w:rPr>
        <w:t>[1] Jornayvaz FR, Shulman GI. Regulation of mitochondrial biogenesis. Essays in biochemistry. 2010;47:10.1042/bse0470069. doi:10.1042/bse0470069.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[2] </w:t>
      </w:r>
      <w:r>
        <w:rPr>
          <w:rFonts w:eastAsia="Calibri" w:cs="Arial" w:ascii="Arial" w:hAnsi="Arial"/>
          <w:position w:val="7"/>
          <w:sz w:val="24"/>
          <w:szCs w:val="24"/>
        </w:rPr>
        <w:t>Xuan Gao et al., “MAP4K4: an emerging therapeutic target in cancer”, Cell Biosci. 2016; doi:  10.1186/s13578016-0121-7.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position w:val="7"/>
          <w:sz w:val="24"/>
          <w:szCs w:val="24"/>
        </w:rPr>
        <w:t xml:space="preserve">[3]  Palikaras,K. et al. RrBalancing mitochondrial biogenesis and mitophagy to maintain energy metabolism homeostasis, Cell Death Differ, 2015 - </w:t>
      </w:r>
      <w:r>
        <w:rPr>
          <w:rFonts w:eastAsia="Calibri" w:cs="Arial" w:ascii="Arial" w:hAnsi="Arial"/>
          <w:sz w:val="24"/>
          <w:szCs w:val="24"/>
        </w:rPr>
        <w:t>GO:0071840 cellular component organization or biogenesis</w:t>
      </w:r>
      <w:r>
        <w:rPr>
          <w:rFonts w:eastAsia="Calibri" w:cs="Arial" w:ascii="Arial" w:hAnsi="Arial"/>
          <w:position w:val="7"/>
          <w:sz w:val="24"/>
          <w:szCs w:val="24"/>
        </w:rPr>
        <w:t xml:space="preserve"> 10.1038/cdd.2015.8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position w:val="7"/>
          <w:sz w:val="24"/>
          <w:szCs w:val="24"/>
        </w:rPr>
        <w:t>[4] Jornayvaz FR, Shulman GI. Regulation of mitochondrial biogenesis. Essays in biochemistry. 2010;47:10.1042/bse0470069. doi:10.1042/bse0470069.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200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200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f2d"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f2d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f2d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f2d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f2d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f2d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f2d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677a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677ac"/>
    <w:rPr/>
  </w:style>
  <w:style w:type="character" w:styleId="TitleChar" w:customStyle="1">
    <w:name w:val="Title Char"/>
    <w:basedOn w:val="DefaultParagraphFont"/>
    <w:link w:val="Title"/>
    <w:uiPriority w:val="10"/>
    <w:qFormat/>
    <w:rsid w:val="00d51200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5120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5120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81f2d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81f2d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81f2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81f2d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81f2d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81f2d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81f2d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677a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677a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d5120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x.doi.org/10.1016/j.neuint.2009.05.001" TargetMode="External"/><Relationship Id="rId3" Type="http://schemas.openxmlformats.org/officeDocument/2006/relationships/hyperlink" Target="http://dx.doi.org/10.1016/j.bbamcr.2011.03.017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LibreOffice/5.1.6.2$Linux_X86_64 LibreOffice_project/10m0$Build-2</Application>
  <Pages>4</Pages>
  <Words>742</Words>
  <Characters>5087</Characters>
  <CharactersWithSpaces>5795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2017-08-08T00:59:00Z</dcterms:created>
  <dc:creator>Fawzi Yassine</dc:creator>
  <dc:description/>
  <dc:language>en-CA</dc:language>
  <cp:lastModifiedBy/>
  <dcterms:modified xsi:type="dcterms:W3CDTF">2017-12-13T17:58:14Z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