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MA’LUMOTLAR BAZASI TO‘LIQ TAHLILI</w:t>
      </w:r>
    </w:p>
    <w:p>
      <w:pPr>
        <w:pStyle w:val="Heading2"/>
      </w:pPr>
      <w:r>
        <w:t>1. Umumiy baza holati</w:t>
      </w:r>
    </w:p>
    <w:p>
      <w:r>
        <w:t>Umumiy tablespace hajmi: 112.91 GB. Quyidagi diagrammada tablespace’larning umumiy bazadagi ulushi ko‘rsatilgan.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space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RADIX_EVENTLOG tablespace tahlili</w:t>
      </w:r>
    </w:p>
    <w:p>
      <w:r>
        <w:t>RADIX_EVENTLOG uchun ajratilgan umumiy hajm: 20.93 GB.</w:t>
        <w:br/>
        <w:t>Band qilingan joy: 19.59 GB.</w:t>
        <w:br/>
        <w:t>Bo‘sh joy: 1.34 GB.</w:t>
        <w:br/>
        <w:t>Foydalanish darajasi: 93.60 %.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x_eventlog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Tablespace’lar jadvali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Tablespace nomi</w:t>
            </w:r>
          </w:p>
        </w:tc>
        <w:tc>
          <w:tcPr>
            <w:tcW w:type="dxa" w:w="1728"/>
          </w:tcPr>
          <w:p>
            <w:r>
              <w:t>Ajratilgan (GB)</w:t>
            </w:r>
          </w:p>
        </w:tc>
        <w:tc>
          <w:tcPr>
            <w:tcW w:type="dxa" w:w="1728"/>
          </w:tcPr>
          <w:p>
            <w:r>
              <w:t>Umumiy ulushi (%)</w:t>
            </w:r>
          </w:p>
        </w:tc>
        <w:tc>
          <w:tcPr>
            <w:tcW w:type="dxa" w:w="1728"/>
          </w:tcPr>
          <w:p>
            <w:r>
              <w:t>Holati</w:t>
            </w:r>
          </w:p>
        </w:tc>
        <w:tc>
          <w:tcPr>
            <w:tcW w:type="dxa" w:w="1728"/>
          </w:tcPr>
          <w:p>
            <w:r>
              <w:t>Izoh</w:t>
            </w:r>
          </w:p>
        </w:tc>
      </w:tr>
      <w:tr>
        <w:tc>
          <w:tcPr>
            <w:tcW w:type="dxa" w:w="1728"/>
          </w:tcPr>
          <w:p>
            <w:r>
              <w:t>RBS_TRAN</w:t>
            </w:r>
          </w:p>
        </w:tc>
        <w:tc>
          <w:tcPr>
            <w:tcW w:type="dxa" w:w="1728"/>
          </w:tcPr>
          <w:p>
            <w:r>
              <w:t>30.39</w:t>
            </w:r>
          </w:p>
        </w:tc>
        <w:tc>
          <w:tcPr>
            <w:tcW w:type="dxa" w:w="1728"/>
          </w:tcPr>
          <w:p>
            <w:r>
              <w:t>26.92 %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RADIX_EVENTLOG</w:t>
            </w:r>
          </w:p>
        </w:tc>
        <w:tc>
          <w:tcPr>
            <w:tcW w:type="dxa" w:w="1728"/>
          </w:tcPr>
          <w:p>
            <w:r>
              <w:t>20.93</w:t>
            </w:r>
          </w:p>
        </w:tc>
        <w:tc>
          <w:tcPr>
            <w:tcW w:type="dxa" w:w="1728"/>
          </w:tcPr>
          <w:p>
            <w:r>
              <w:t>18.54 %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RADIX</w:t>
            </w:r>
          </w:p>
        </w:tc>
        <w:tc>
          <w:tcPr>
            <w:tcW w:type="dxa" w:w="1728"/>
          </w:tcPr>
          <w:p>
            <w:r>
              <w:t>17.69</w:t>
            </w:r>
          </w:p>
        </w:tc>
        <w:tc>
          <w:tcPr>
            <w:tcW w:type="dxa" w:w="1728"/>
          </w:tcPr>
          <w:p>
            <w:r>
              <w:t>15.67 %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RBS_DOER</w:t>
            </w:r>
          </w:p>
        </w:tc>
        <w:tc>
          <w:tcPr>
            <w:tcW w:type="dxa" w:w="1728"/>
          </w:tcPr>
          <w:p>
            <w:r>
              <w:t>17.52</w:t>
            </w:r>
          </w:p>
        </w:tc>
        <w:tc>
          <w:tcPr>
            <w:tcW w:type="dxa" w:w="1728"/>
          </w:tcPr>
          <w:p>
            <w:r>
              <w:t>15.52 %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RBS_ENTRY</w:t>
            </w:r>
          </w:p>
        </w:tc>
        <w:tc>
          <w:tcPr>
            <w:tcW w:type="dxa" w:w="1728"/>
          </w:tcPr>
          <w:p>
            <w:r>
              <w:t>9.37</w:t>
            </w:r>
          </w:p>
        </w:tc>
        <w:tc>
          <w:tcPr>
            <w:tcW w:type="dxa" w:w="1728"/>
          </w:tcPr>
          <w:p>
            <w:r>
              <w:t>8.30 %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TXPG_ACTION</w:t>
            </w:r>
          </w:p>
        </w:tc>
        <w:tc>
          <w:tcPr>
            <w:tcW w:type="dxa" w:w="1728"/>
          </w:tcPr>
          <w:p>
            <w:r>
              <w:t>7.46</w:t>
            </w:r>
          </w:p>
        </w:tc>
        <w:tc>
          <w:tcPr>
            <w:tcW w:type="dxa" w:w="1728"/>
          </w:tcPr>
          <w:p>
            <w:r>
              <w:t>6.61 %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RBS_TRANLINK</w:t>
            </w:r>
          </w:p>
        </w:tc>
        <w:tc>
          <w:tcPr>
            <w:tcW w:type="dxa" w:w="1728"/>
          </w:tcPr>
          <w:p>
            <w:r>
              <w:t>3.94</w:t>
            </w:r>
          </w:p>
        </w:tc>
        <w:tc>
          <w:tcPr>
            <w:tcW w:type="dxa" w:w="1728"/>
          </w:tcPr>
          <w:p>
            <w:r>
              <w:t>3.49 %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TXPG_TRAN</w:t>
            </w:r>
          </w:p>
        </w:tc>
        <w:tc>
          <w:tcPr>
            <w:tcW w:type="dxa" w:w="1728"/>
          </w:tcPr>
          <w:p>
            <w:r>
              <w:t>1.98</w:t>
            </w:r>
          </w:p>
        </w:tc>
        <w:tc>
          <w:tcPr>
            <w:tcW w:type="dxa" w:w="1728"/>
          </w:tcPr>
          <w:p>
            <w:r>
              <w:t>1.75 %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SYSAUX</w:t>
            </w:r>
          </w:p>
        </w:tc>
        <w:tc>
          <w:tcPr>
            <w:tcW w:type="dxa" w:w="1728"/>
          </w:tcPr>
          <w:p>
            <w:r>
              <w:t>1.83</w:t>
            </w:r>
          </w:p>
        </w:tc>
        <w:tc>
          <w:tcPr>
            <w:tcW w:type="dxa" w:w="1728"/>
          </w:tcPr>
          <w:p>
            <w:r>
              <w:t>1.62 %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1.48</w:t>
            </w:r>
          </w:p>
        </w:tc>
        <w:tc>
          <w:tcPr>
            <w:tcW w:type="dxa" w:w="1728"/>
          </w:tcPr>
          <w:p>
            <w:r>
              <w:t>1.31 %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  <w:tr>
        <w:tc>
          <w:tcPr>
            <w:tcW w:type="dxa" w:w="1728"/>
          </w:tcPr>
          <w:p>
            <w:r>
              <w:t>RBS_POSTING</w:t>
            </w:r>
          </w:p>
        </w:tc>
        <w:tc>
          <w:tcPr>
            <w:tcW w:type="dxa" w:w="1728"/>
          </w:tcPr>
          <w:p>
            <w:r>
              <w:t>0.32</w:t>
            </w:r>
          </w:p>
        </w:tc>
        <w:tc>
          <w:tcPr>
            <w:tcW w:type="dxa" w:w="1728"/>
          </w:tcPr>
          <w:p>
            <w:r>
              <w:t>0.28 %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Monitoring talab etiladi</w:t>
            </w:r>
          </w:p>
        </w:tc>
      </w:tr>
    </w:tbl>
    <w:p>
      <w:pPr>
        <w:pStyle w:val="Heading2"/>
      </w:pPr>
      <w:r>
        <w:t>4. Xulosa va tavsiyalar</w:t>
      </w:r>
    </w:p>
    <w:p>
      <w:r>
        <w:t>Tahlil natijalariga ko‘ra RADIX_EVENTLOG tablespace deyarli to‘lib bo‘lgan. Kelajakda tizim barqaror ishlashi uchun eski partitionlarni arxivlash yoki tablespace hajmini oshirish tavsiya etiladi. Qolgan tablespace’lar hozircha normal holatda, ammo doimiy monitoring talab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