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Database Tablespace Tahlili</w:t>
      </w:r>
    </w:p>
    <w:p>
      <w:r>
        <w:t>Umumiy tablespace hajmi: 112.91 GB</w:t>
      </w:r>
    </w:p>
    <w:p>
      <w:r>
        <w:t>RADIX_EVENTLOG ichida band qilingan joy: 19.59 GB</w:t>
      </w:r>
    </w:p>
    <w:p>
      <w:r>
        <w:t>RADIX_EVENTLOG bo‘sh joy: 1.34 GB</w:t>
      </w:r>
    </w:p>
    <w:p>
      <w:r>
        <w:t>Foydalanish foizi: 93.60 %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Tablespace</w:t>
            </w:r>
          </w:p>
        </w:tc>
        <w:tc>
          <w:tcPr>
            <w:tcW w:type="dxa" w:w="2880"/>
          </w:tcPr>
          <w:p>
            <w:r>
              <w:t>Hajmi (GB)</w:t>
            </w:r>
          </w:p>
        </w:tc>
        <w:tc>
          <w:tcPr>
            <w:tcW w:type="dxa" w:w="2880"/>
          </w:tcPr>
          <w:p>
            <w:r>
              <w:t>Umumiy foiz</w:t>
            </w:r>
          </w:p>
        </w:tc>
      </w:tr>
      <w:tr>
        <w:tc>
          <w:tcPr>
            <w:tcW w:type="dxa" w:w="2880"/>
          </w:tcPr>
          <w:p>
            <w:r>
              <w:t>RBS_TRAN</w:t>
            </w:r>
          </w:p>
        </w:tc>
        <w:tc>
          <w:tcPr>
            <w:tcW w:type="dxa" w:w="2880"/>
          </w:tcPr>
          <w:p>
            <w:r>
              <w:t>30.39</w:t>
            </w:r>
          </w:p>
        </w:tc>
        <w:tc>
          <w:tcPr>
            <w:tcW w:type="dxa" w:w="2880"/>
          </w:tcPr>
          <w:p>
            <w:r>
              <w:t>26.92 %</w:t>
            </w:r>
          </w:p>
        </w:tc>
      </w:tr>
      <w:tr>
        <w:tc>
          <w:tcPr>
            <w:tcW w:type="dxa" w:w="2880"/>
          </w:tcPr>
          <w:p>
            <w:r>
              <w:t>RADIX_EVENTLOG</w:t>
            </w:r>
          </w:p>
        </w:tc>
        <w:tc>
          <w:tcPr>
            <w:tcW w:type="dxa" w:w="2880"/>
          </w:tcPr>
          <w:p>
            <w:r>
              <w:t>20.93</w:t>
            </w:r>
          </w:p>
        </w:tc>
        <w:tc>
          <w:tcPr>
            <w:tcW w:type="dxa" w:w="2880"/>
          </w:tcPr>
          <w:p>
            <w:r>
              <w:t>18.54 %</w:t>
            </w:r>
          </w:p>
        </w:tc>
      </w:tr>
      <w:tr>
        <w:tc>
          <w:tcPr>
            <w:tcW w:type="dxa" w:w="2880"/>
          </w:tcPr>
          <w:p>
            <w:r>
              <w:t>RADIX</w:t>
            </w:r>
          </w:p>
        </w:tc>
        <w:tc>
          <w:tcPr>
            <w:tcW w:type="dxa" w:w="2880"/>
          </w:tcPr>
          <w:p>
            <w:r>
              <w:t>17.69</w:t>
            </w:r>
          </w:p>
        </w:tc>
        <w:tc>
          <w:tcPr>
            <w:tcW w:type="dxa" w:w="2880"/>
          </w:tcPr>
          <w:p>
            <w:r>
              <w:t>15.67 %</w:t>
            </w:r>
          </w:p>
        </w:tc>
      </w:tr>
      <w:tr>
        <w:tc>
          <w:tcPr>
            <w:tcW w:type="dxa" w:w="2880"/>
          </w:tcPr>
          <w:p>
            <w:r>
              <w:t>RBS_DOER</w:t>
            </w:r>
          </w:p>
        </w:tc>
        <w:tc>
          <w:tcPr>
            <w:tcW w:type="dxa" w:w="2880"/>
          </w:tcPr>
          <w:p>
            <w:r>
              <w:t>17.52</w:t>
            </w:r>
          </w:p>
        </w:tc>
        <w:tc>
          <w:tcPr>
            <w:tcW w:type="dxa" w:w="2880"/>
          </w:tcPr>
          <w:p>
            <w:r>
              <w:t>15.52 %</w:t>
            </w:r>
          </w:p>
        </w:tc>
      </w:tr>
      <w:tr>
        <w:tc>
          <w:tcPr>
            <w:tcW w:type="dxa" w:w="2880"/>
          </w:tcPr>
          <w:p>
            <w:r>
              <w:t>RBS_ENTRY</w:t>
            </w:r>
          </w:p>
        </w:tc>
        <w:tc>
          <w:tcPr>
            <w:tcW w:type="dxa" w:w="2880"/>
          </w:tcPr>
          <w:p>
            <w:r>
              <w:t>9.37</w:t>
            </w:r>
          </w:p>
        </w:tc>
        <w:tc>
          <w:tcPr>
            <w:tcW w:type="dxa" w:w="2880"/>
          </w:tcPr>
          <w:p>
            <w:r>
              <w:t>8.30 %</w:t>
            </w:r>
          </w:p>
        </w:tc>
      </w:tr>
      <w:tr>
        <w:tc>
          <w:tcPr>
            <w:tcW w:type="dxa" w:w="2880"/>
          </w:tcPr>
          <w:p>
            <w:r>
              <w:t>TXPG_ACTION</w:t>
            </w:r>
          </w:p>
        </w:tc>
        <w:tc>
          <w:tcPr>
            <w:tcW w:type="dxa" w:w="2880"/>
          </w:tcPr>
          <w:p>
            <w:r>
              <w:t>7.46</w:t>
            </w:r>
          </w:p>
        </w:tc>
        <w:tc>
          <w:tcPr>
            <w:tcW w:type="dxa" w:w="2880"/>
          </w:tcPr>
          <w:p>
            <w:r>
              <w:t>6.61 %</w:t>
            </w:r>
          </w:p>
        </w:tc>
      </w:tr>
      <w:tr>
        <w:tc>
          <w:tcPr>
            <w:tcW w:type="dxa" w:w="2880"/>
          </w:tcPr>
          <w:p>
            <w:r>
              <w:t>RBS_TRANLINK</w:t>
            </w:r>
          </w:p>
        </w:tc>
        <w:tc>
          <w:tcPr>
            <w:tcW w:type="dxa" w:w="2880"/>
          </w:tcPr>
          <w:p>
            <w:r>
              <w:t>3.94</w:t>
            </w:r>
          </w:p>
        </w:tc>
        <w:tc>
          <w:tcPr>
            <w:tcW w:type="dxa" w:w="2880"/>
          </w:tcPr>
          <w:p>
            <w:r>
              <w:t>3.49 %</w:t>
            </w:r>
          </w:p>
        </w:tc>
      </w:tr>
      <w:tr>
        <w:tc>
          <w:tcPr>
            <w:tcW w:type="dxa" w:w="2880"/>
          </w:tcPr>
          <w:p>
            <w:r>
              <w:t>TXPG_TRAN</w:t>
            </w:r>
          </w:p>
        </w:tc>
        <w:tc>
          <w:tcPr>
            <w:tcW w:type="dxa" w:w="2880"/>
          </w:tcPr>
          <w:p>
            <w:r>
              <w:t>1.98</w:t>
            </w:r>
          </w:p>
        </w:tc>
        <w:tc>
          <w:tcPr>
            <w:tcW w:type="dxa" w:w="2880"/>
          </w:tcPr>
          <w:p>
            <w:r>
              <w:t>1.75 %</w:t>
            </w:r>
          </w:p>
        </w:tc>
      </w:tr>
      <w:tr>
        <w:tc>
          <w:tcPr>
            <w:tcW w:type="dxa" w:w="2880"/>
          </w:tcPr>
          <w:p>
            <w:r>
              <w:t>SYSAUX</w:t>
            </w:r>
          </w:p>
        </w:tc>
        <w:tc>
          <w:tcPr>
            <w:tcW w:type="dxa" w:w="2880"/>
          </w:tcPr>
          <w:p>
            <w:r>
              <w:t>1.83</w:t>
            </w:r>
          </w:p>
        </w:tc>
        <w:tc>
          <w:tcPr>
            <w:tcW w:type="dxa" w:w="2880"/>
          </w:tcPr>
          <w:p>
            <w:r>
              <w:t>1.62 %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1.48</w:t>
            </w:r>
          </w:p>
        </w:tc>
        <w:tc>
          <w:tcPr>
            <w:tcW w:type="dxa" w:w="2880"/>
          </w:tcPr>
          <w:p>
            <w:r>
              <w:t>1.31 %</w:t>
            </w:r>
          </w:p>
        </w:tc>
      </w:tr>
      <w:tr>
        <w:tc>
          <w:tcPr>
            <w:tcW w:type="dxa" w:w="2880"/>
          </w:tcPr>
          <w:p>
            <w:r>
              <w:t>RBS_POSTING</w:t>
            </w:r>
          </w:p>
        </w:tc>
        <w:tc>
          <w:tcPr>
            <w:tcW w:type="dxa" w:w="2880"/>
          </w:tcPr>
          <w:p>
            <w:r>
              <w:t>0.32</w:t>
            </w:r>
          </w:p>
        </w:tc>
        <w:tc>
          <w:tcPr>
            <w:tcW w:type="dxa" w:w="2880"/>
          </w:tcPr>
          <w:p>
            <w:r>
              <w:t>0.28 %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