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0EDA" w:rsidRDefault="002B1F79">
      <w:pPr>
        <w:spacing w:before="480" w:after="40"/>
        <w:jc w:val="center"/>
      </w:pPr>
      <w:r>
        <w:rPr>
          <w:rFonts w:ascii="Arial" w:hAnsi="Arial"/>
          <w:b/>
          <w:color w:val="1E3D59"/>
          <w:sz w:val="40"/>
        </w:rPr>
        <w:t>Advanced Optimized Machine Learning Modeling</w:t>
      </w:r>
    </w:p>
    <w:p w:rsidR="004C2687" w:rsidRDefault="004C2687">
      <w:pPr>
        <w:spacing w:after="120"/>
        <w:rPr>
          <w:rFonts w:ascii="Arial" w:hAnsi="Arial"/>
          <w:i/>
          <w:color w:val="777777"/>
        </w:rPr>
      </w:pPr>
    </w:p>
    <w:p w:rsidR="00780EDA" w:rsidRDefault="002B1F79">
      <w:pPr>
        <w:spacing w:after="120"/>
      </w:pPr>
      <w:r>
        <w:rPr>
          <w:rFonts w:ascii="Arial" w:hAnsi="Arial"/>
          <w:color w:val="333333"/>
        </w:rPr>
        <w:t xml:space="preserve">This document walks through the implementation and evaluation of our advanced optimized machine learning models for transaction fraud </w:t>
      </w:r>
      <w:r>
        <w:rPr>
          <w:rFonts w:ascii="Arial" w:hAnsi="Arial"/>
          <w:color w:val="333333"/>
        </w:rPr>
        <w:t>detection. By training on 100% of the training data (~1.34M rows) and using sophisticated feature engineering (rolling risk, neighborhood density</w:t>
      </w:r>
      <w:r w:rsidR="004C2687">
        <w:rPr>
          <w:rFonts w:ascii="Arial" w:hAnsi="Arial"/>
          <w:color w:val="333333"/>
        </w:rPr>
        <w:t>, and multi-step sequence lags)</w:t>
      </w:r>
      <w:r>
        <w:rPr>
          <w:rFonts w:ascii="Arial" w:hAnsi="Arial"/>
          <w:color w:val="333333"/>
        </w:rPr>
        <w:t xml:space="preserve"> the models achieve top-tier performance on the simulated dataset.</w:t>
      </w:r>
    </w:p>
    <w:p w:rsidR="00780EDA" w:rsidRDefault="002B1F79">
      <w:pPr>
        <w:keepNext/>
        <w:pBdr>
          <w:bottom w:val="single" w:sz="6" w:space="4" w:color="1E3D59"/>
        </w:pBdr>
        <w:spacing w:before="360" w:after="120"/>
      </w:pPr>
      <w:r>
        <w:rPr>
          <w:rFonts w:ascii="Arial" w:hAnsi="Arial"/>
          <w:b/>
          <w:color w:val="1E3D59"/>
          <w:sz w:val="36"/>
        </w:rPr>
        <w:t>1. Model Per</w:t>
      </w:r>
      <w:r>
        <w:rPr>
          <w:rFonts w:ascii="Arial" w:hAnsi="Arial"/>
          <w:b/>
          <w:color w:val="1E3D59"/>
          <w:sz w:val="36"/>
        </w:rPr>
        <w:t>formance &amp; Metrics Comparison Table</w:t>
      </w:r>
    </w:p>
    <w:p w:rsidR="00780EDA" w:rsidRDefault="002B1F79">
      <w:pPr>
        <w:spacing w:after="120"/>
      </w:pPr>
      <w:r>
        <w:rPr>
          <w:rFonts w:ascii="Arial" w:hAnsi="Arial"/>
          <w:color w:val="333333"/>
        </w:rPr>
        <w:t>All metrics below are computed on the full, un-sampled chronological test set (412,221 rows, Days 140–182). This ensures realistic results reflecting real-world deployment conditions: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80EDA">
        <w:trPr>
          <w:jc w:val="center"/>
        </w:trPr>
        <w:tc>
          <w:tcPr>
            <w:tcW w:w="1560" w:type="dxa"/>
            <w:shd w:val="clear" w:color="auto" w:fill="1E3D5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Model</w:t>
            </w:r>
          </w:p>
        </w:tc>
        <w:tc>
          <w:tcPr>
            <w:tcW w:w="1560" w:type="dxa"/>
            <w:shd w:val="clear" w:color="auto" w:fill="1E3D5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AUC-ROC</w:t>
            </w:r>
          </w:p>
        </w:tc>
        <w:tc>
          <w:tcPr>
            <w:tcW w:w="1560" w:type="dxa"/>
            <w:shd w:val="clear" w:color="auto" w:fill="1E3D5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AUC-PR</w:t>
            </w:r>
          </w:p>
        </w:tc>
        <w:tc>
          <w:tcPr>
            <w:tcW w:w="1560" w:type="dxa"/>
            <w:shd w:val="clear" w:color="auto" w:fill="1E3D5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Avg Daily P@100</w:t>
            </w:r>
          </w:p>
        </w:tc>
        <w:tc>
          <w:tcPr>
            <w:tcW w:w="1560" w:type="dxa"/>
            <w:shd w:val="clear" w:color="auto" w:fill="1E3D5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Avg Daily Card P@100</w:t>
            </w:r>
          </w:p>
        </w:tc>
        <w:tc>
          <w:tcPr>
            <w:tcW w:w="1560" w:type="dxa"/>
            <w:shd w:val="clear" w:color="auto" w:fill="1E3D5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Train Time (s)</w:t>
            </w:r>
          </w:p>
        </w:tc>
      </w:tr>
      <w:tr w:rsidR="00780EDA">
        <w:trPr>
          <w:jc w:val="center"/>
        </w:trPr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Pr="004C2687" w:rsidRDefault="002B1F79" w:rsidP="004C2687">
            <w:pPr>
              <w:rPr>
                <w:rFonts w:ascii="Arial" w:hAnsi="Arial"/>
                <w:color w:val="333333"/>
                <w:sz w:val="19"/>
              </w:rPr>
            </w:pPr>
            <w:r>
              <w:rPr>
                <w:rFonts w:ascii="Arial" w:hAnsi="Arial"/>
                <w:color w:val="333333"/>
                <w:sz w:val="19"/>
              </w:rPr>
              <w:t xml:space="preserve">Baseline </w:t>
            </w:r>
            <w:r w:rsidR="004C2687">
              <w:rPr>
                <w:rFonts w:ascii="Arial" w:hAnsi="Arial"/>
                <w:color w:val="333333"/>
                <w:sz w:val="19"/>
              </w:rPr>
              <w:t>(Raw Features</w:t>
            </w:r>
            <w:r>
              <w:rPr>
                <w:rFonts w:ascii="Arial" w:hAnsi="Arial"/>
                <w:color w:val="333333"/>
                <w:sz w:val="19"/>
              </w:rPr>
              <w:t>)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0.6475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0.2543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21.47%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17.23%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1.52</w:t>
            </w:r>
          </w:p>
        </w:tc>
      </w:tr>
      <w:tr w:rsidR="00780EDA">
        <w:trPr>
          <w:jc w:val="center"/>
        </w:trPr>
        <w:tc>
          <w:tcPr>
            <w:tcW w:w="1560" w:type="dxa"/>
            <w:shd w:val="clear" w:color="auto" w:fill="F9FB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r>
              <w:rPr>
                <w:rFonts w:ascii="Arial" w:hAnsi="Arial"/>
                <w:b/>
                <w:color w:val="333333"/>
                <w:sz w:val="19"/>
              </w:rPr>
              <w:t>LightGBM (Eng)</w:t>
            </w:r>
          </w:p>
        </w:tc>
        <w:tc>
          <w:tcPr>
            <w:tcW w:w="1560" w:type="dxa"/>
            <w:shd w:val="clear" w:color="auto" w:fill="F9FB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0.9745</w:t>
            </w:r>
          </w:p>
        </w:tc>
        <w:tc>
          <w:tcPr>
            <w:tcW w:w="1560" w:type="dxa"/>
            <w:shd w:val="clear" w:color="auto" w:fill="F9FB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b/>
                <w:color w:val="1E3D59"/>
                <w:sz w:val="19"/>
              </w:rPr>
              <w:t>0.9183</w:t>
            </w:r>
          </w:p>
        </w:tc>
        <w:tc>
          <w:tcPr>
            <w:tcW w:w="1560" w:type="dxa"/>
            <w:shd w:val="clear" w:color="auto" w:fill="F9FB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77.49%</w:t>
            </w:r>
          </w:p>
        </w:tc>
        <w:tc>
          <w:tcPr>
            <w:tcW w:w="1560" w:type="dxa"/>
            <w:shd w:val="clear" w:color="auto" w:fill="F9FB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69.93%</w:t>
            </w:r>
          </w:p>
        </w:tc>
        <w:tc>
          <w:tcPr>
            <w:tcW w:w="1560" w:type="dxa"/>
            <w:shd w:val="clear" w:color="auto" w:fill="F9FB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1.66</w:t>
            </w:r>
          </w:p>
        </w:tc>
      </w:tr>
      <w:tr w:rsidR="00780EDA">
        <w:trPr>
          <w:jc w:val="center"/>
        </w:trPr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r>
              <w:rPr>
                <w:rFonts w:ascii="Arial" w:hAnsi="Arial"/>
                <w:b/>
                <w:color w:val="333333"/>
                <w:sz w:val="19"/>
              </w:rPr>
              <w:t>CatBoost (Cat IDs)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0.9728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0.8979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76.40%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68.86%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17.87</w:t>
            </w:r>
          </w:p>
        </w:tc>
      </w:tr>
      <w:tr w:rsidR="00780EDA">
        <w:trPr>
          <w:jc w:val="center"/>
        </w:trPr>
        <w:tc>
          <w:tcPr>
            <w:tcW w:w="1560" w:type="dxa"/>
            <w:shd w:val="clear" w:color="auto" w:fill="F9FB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r>
              <w:rPr>
                <w:rFonts w:ascii="Arial" w:hAnsi="Arial"/>
                <w:b/>
                <w:color w:val="333333"/>
                <w:sz w:val="19"/>
              </w:rPr>
              <w:t>PyTorch LSTM (Seq)</w:t>
            </w:r>
          </w:p>
        </w:tc>
        <w:tc>
          <w:tcPr>
            <w:tcW w:w="1560" w:type="dxa"/>
            <w:shd w:val="clear" w:color="auto" w:fill="F9FB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0.9675</w:t>
            </w:r>
          </w:p>
        </w:tc>
        <w:tc>
          <w:tcPr>
            <w:tcW w:w="1560" w:type="dxa"/>
            <w:shd w:val="clear" w:color="auto" w:fill="F9FB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0.7985</w:t>
            </w:r>
          </w:p>
        </w:tc>
        <w:tc>
          <w:tcPr>
            <w:tcW w:w="1560" w:type="dxa"/>
            <w:shd w:val="clear" w:color="auto" w:fill="F9FB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69.44%</w:t>
            </w:r>
          </w:p>
        </w:tc>
        <w:tc>
          <w:tcPr>
            <w:tcW w:w="1560" w:type="dxa"/>
            <w:shd w:val="clear" w:color="auto" w:fill="F9FB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62.60%</w:t>
            </w:r>
          </w:p>
        </w:tc>
        <w:tc>
          <w:tcPr>
            <w:tcW w:w="1560" w:type="dxa"/>
            <w:shd w:val="clear" w:color="auto" w:fill="F9FB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108.21</w:t>
            </w:r>
          </w:p>
        </w:tc>
      </w:tr>
    </w:tbl>
    <w:p w:rsidR="00780EDA" w:rsidRDefault="00780EDA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80EDA">
        <w:trPr>
          <w:jc w:val="center"/>
        </w:trPr>
        <w:tc>
          <w:tcPr>
            <w:tcW w:w="9360" w:type="dxa"/>
            <w:tcBorders>
              <w:left w:val="single" w:sz="36" w:space="0" w:color="1E3D59"/>
            </w:tcBorders>
            <w:shd w:val="clear" w:color="auto" w:fill="F5F7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780EDA" w:rsidRDefault="002B1F79">
            <w:pPr>
              <w:spacing w:after="0"/>
            </w:pPr>
            <w:r>
              <w:rPr>
                <w:rFonts w:ascii="Arial" w:hAnsi="Arial"/>
                <w:b/>
                <w:color w:val="1E3D59"/>
                <w:sz w:val="21"/>
              </w:rPr>
              <w:t xml:space="preserve">[NOTE] </w:t>
            </w:r>
            <w:r>
              <w:rPr>
                <w:rFonts w:ascii="Arial" w:hAnsi="Arial"/>
                <w:i/>
                <w:color w:val="555555"/>
                <w:sz w:val="20"/>
              </w:rPr>
              <w:t>Training was performed on 100% of the training set (1,341,934 rows) with zero downsampling to ensure maximum representation of normal customer behavior.</w:t>
            </w:r>
          </w:p>
        </w:tc>
      </w:tr>
    </w:tbl>
    <w:p w:rsidR="00780EDA" w:rsidRDefault="00780EDA">
      <w:pPr>
        <w:spacing w:after="120"/>
      </w:pPr>
    </w:p>
    <w:p w:rsidR="004C2687" w:rsidRDefault="004C2687">
      <w:pPr>
        <w:spacing w:after="120"/>
      </w:pPr>
    </w:p>
    <w:p w:rsidR="004C2687" w:rsidRDefault="004C2687">
      <w:pPr>
        <w:spacing w:after="120"/>
      </w:pPr>
    </w:p>
    <w:p w:rsidR="004C2687" w:rsidRDefault="004C2687">
      <w:pPr>
        <w:spacing w:after="120"/>
      </w:pPr>
    </w:p>
    <w:p w:rsidR="00780EDA" w:rsidRDefault="002B1F79">
      <w:pPr>
        <w:keepNext/>
        <w:pBdr>
          <w:bottom w:val="single" w:sz="6" w:space="4" w:color="1E3D59"/>
        </w:pBdr>
        <w:spacing w:before="360" w:after="120"/>
      </w:pPr>
      <w:r>
        <w:rPr>
          <w:rFonts w:ascii="Arial" w:hAnsi="Arial"/>
          <w:b/>
          <w:color w:val="1E3D59"/>
          <w:sz w:val="36"/>
        </w:rPr>
        <w:lastRenderedPageBreak/>
        <w:t xml:space="preserve">2. </w:t>
      </w:r>
      <w:r w:rsidRPr="004C2687">
        <w:rPr>
          <w:rFonts w:ascii="Arial" w:hAnsi="Arial"/>
          <w:b/>
          <w:color w:val="1E3D59"/>
          <w:sz w:val="32"/>
          <w:szCs w:val="32"/>
        </w:rPr>
        <w:t>Scenario-Specific Recall (Capture Rate at Top 1% Alerts)</w:t>
      </w:r>
    </w:p>
    <w:p w:rsidR="00780EDA" w:rsidRDefault="002B1F79">
      <w:pPr>
        <w:spacing w:after="120"/>
      </w:pPr>
      <w:r>
        <w:rPr>
          <w:rFonts w:ascii="Arial" w:hAnsi="Arial"/>
          <w:color w:val="333333"/>
        </w:rPr>
        <w:t xml:space="preserve">We sort predictions by probability daily </w:t>
      </w:r>
      <w:r>
        <w:rPr>
          <w:rFonts w:ascii="Arial" w:hAnsi="Arial"/>
          <w:color w:val="333333"/>
        </w:rPr>
        <w:t>and flag the top 1% most suspicious transactions. The table below displays the capture rate (recall) for each of the three fraud scenarios: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80EDA">
        <w:trPr>
          <w:jc w:val="center"/>
        </w:trPr>
        <w:tc>
          <w:tcPr>
            <w:tcW w:w="2340" w:type="dxa"/>
            <w:shd w:val="clear" w:color="auto" w:fill="1E3D5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Model</w:t>
            </w:r>
          </w:p>
        </w:tc>
        <w:tc>
          <w:tcPr>
            <w:tcW w:w="2340" w:type="dxa"/>
            <w:shd w:val="clear" w:color="auto" w:fill="1E3D5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Scenario 1 Recall (Am</w:t>
            </w:r>
            <w:r w:rsidR="004C2687">
              <w:rPr>
                <w:rFonts w:ascii="Arial" w:hAnsi="Arial"/>
                <w:b/>
                <w:color w:val="FFFFFF"/>
                <w:sz w:val="19"/>
              </w:rPr>
              <w:t>oun</w:t>
            </w:r>
            <w:r>
              <w:rPr>
                <w:rFonts w:ascii="Arial" w:hAnsi="Arial"/>
                <w:b/>
                <w:color w:val="FFFFFF"/>
                <w:sz w:val="19"/>
              </w:rPr>
              <w:t>t &gt; $220)</w:t>
            </w:r>
          </w:p>
        </w:tc>
        <w:tc>
          <w:tcPr>
            <w:tcW w:w="2340" w:type="dxa"/>
            <w:shd w:val="clear" w:color="auto" w:fill="1E3D5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Scenario 2 Recall (Skimming)</w:t>
            </w:r>
          </w:p>
        </w:tc>
        <w:tc>
          <w:tcPr>
            <w:tcW w:w="2340" w:type="dxa"/>
            <w:shd w:val="clear" w:color="auto" w:fill="1E3D5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Scenario 3 Recall (5x Takeover)</w:t>
            </w:r>
          </w:p>
        </w:tc>
      </w:tr>
      <w:tr w:rsidR="00780EDA">
        <w:trPr>
          <w:jc w:val="center"/>
        </w:trPr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r>
              <w:rPr>
                <w:rFonts w:ascii="Arial" w:hAnsi="Arial"/>
                <w:color w:val="333333"/>
                <w:sz w:val="19"/>
              </w:rPr>
              <w:t>Baseline (Raw DT)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b/>
                <w:color w:val="17B978"/>
                <w:sz w:val="19"/>
              </w:rPr>
              <w:t>100.00% (226/226)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1.12% (26/2329)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62.25% (696/1118)</w:t>
            </w:r>
          </w:p>
        </w:tc>
      </w:tr>
      <w:tr w:rsidR="00780EDA">
        <w:trPr>
          <w:jc w:val="center"/>
        </w:trPr>
        <w:tc>
          <w:tcPr>
            <w:tcW w:w="2340" w:type="dxa"/>
            <w:shd w:val="clear" w:color="auto" w:fill="F9FB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r>
              <w:rPr>
                <w:rFonts w:ascii="Arial" w:hAnsi="Arial"/>
                <w:b/>
                <w:color w:val="333333"/>
                <w:sz w:val="19"/>
              </w:rPr>
              <w:t>LightGBM (Eng)</w:t>
            </w:r>
          </w:p>
        </w:tc>
        <w:tc>
          <w:tcPr>
            <w:tcW w:w="2340" w:type="dxa"/>
            <w:shd w:val="clear" w:color="auto" w:fill="F9FB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100.00% (226/226)</w:t>
            </w:r>
          </w:p>
        </w:tc>
        <w:tc>
          <w:tcPr>
            <w:tcW w:w="2340" w:type="dxa"/>
            <w:shd w:val="clear" w:color="auto" w:fill="F9FB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b/>
                <w:color w:val="17B978"/>
                <w:sz w:val="19"/>
              </w:rPr>
              <w:t>90.60% (2110/2329)</w:t>
            </w:r>
          </w:p>
        </w:tc>
        <w:tc>
          <w:tcPr>
            <w:tcW w:w="2340" w:type="dxa"/>
            <w:shd w:val="clear" w:color="auto" w:fill="F9FB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b/>
                <w:color w:val="17B978"/>
                <w:sz w:val="19"/>
              </w:rPr>
              <w:t>89.18% (997/1118)</w:t>
            </w:r>
          </w:p>
        </w:tc>
      </w:tr>
      <w:tr w:rsidR="00780EDA">
        <w:trPr>
          <w:jc w:val="center"/>
        </w:trPr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r>
              <w:rPr>
                <w:rFonts w:ascii="Arial" w:hAnsi="Arial"/>
                <w:b/>
                <w:color w:val="333333"/>
                <w:sz w:val="19"/>
              </w:rPr>
              <w:t>CatBoost (Cat IDs)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100.00% (226/226)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89.70% (2089/2329)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87.30% (976/1118)</w:t>
            </w:r>
          </w:p>
        </w:tc>
      </w:tr>
      <w:tr w:rsidR="00780EDA">
        <w:trPr>
          <w:jc w:val="center"/>
        </w:trPr>
        <w:tc>
          <w:tcPr>
            <w:tcW w:w="2340" w:type="dxa"/>
            <w:shd w:val="clear" w:color="auto" w:fill="F9FB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r>
              <w:rPr>
                <w:rFonts w:ascii="Arial" w:hAnsi="Arial"/>
                <w:b/>
                <w:color w:val="333333"/>
                <w:sz w:val="19"/>
              </w:rPr>
              <w:t>PyTorch LSTM (Seq)</w:t>
            </w:r>
          </w:p>
        </w:tc>
        <w:tc>
          <w:tcPr>
            <w:tcW w:w="2340" w:type="dxa"/>
            <w:shd w:val="clear" w:color="auto" w:fill="F9FB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14.60% (33/226)</w:t>
            </w:r>
          </w:p>
        </w:tc>
        <w:tc>
          <w:tcPr>
            <w:tcW w:w="2340" w:type="dxa"/>
            <w:shd w:val="clear" w:color="auto" w:fill="F9FB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84.37% (1965/2329)</w:t>
            </w:r>
          </w:p>
        </w:tc>
        <w:tc>
          <w:tcPr>
            <w:tcW w:w="2340" w:type="dxa"/>
            <w:shd w:val="clear" w:color="auto" w:fill="F9FB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0EDA" w:rsidRDefault="002B1F79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82.56% (923/1118)</w:t>
            </w:r>
          </w:p>
        </w:tc>
      </w:tr>
    </w:tbl>
    <w:p w:rsidR="00780EDA" w:rsidRDefault="00780EDA"/>
    <w:p w:rsidR="00780EDA" w:rsidRDefault="002B1F79">
      <w:pPr>
        <w:keepNext/>
        <w:pBdr>
          <w:bottom w:val="single" w:sz="6" w:space="4" w:color="1E3D59"/>
        </w:pBdr>
        <w:spacing w:before="360" w:after="120"/>
      </w:pPr>
      <w:r>
        <w:rPr>
          <w:rFonts w:ascii="Arial" w:hAnsi="Arial"/>
          <w:b/>
          <w:color w:val="1E3D59"/>
          <w:sz w:val="36"/>
        </w:rPr>
        <w:t>3. Key Data Science Breakthroughs &amp; Insights</w:t>
      </w:r>
    </w:p>
    <w:p w:rsidR="00780EDA" w:rsidRDefault="002B1F79">
      <w:pPr>
        <w:keepNext/>
        <w:spacing w:before="280" w:after="80"/>
      </w:pPr>
      <w:r>
        <w:rPr>
          <w:rFonts w:ascii="Arial" w:hAnsi="Arial"/>
          <w:b/>
          <w:color w:val="17B978"/>
          <w:sz w:val="28"/>
        </w:rPr>
        <w:t>A. Multi-Scale Rolling Terminal Fraud Rates (3d, 7d, 28d)</w:t>
      </w:r>
    </w:p>
    <w:p w:rsidR="004C2687" w:rsidRPr="004C2687" w:rsidRDefault="002B1F79">
      <w:pPr>
        <w:pStyle w:val="ListBullet"/>
        <w:spacing w:after="120"/>
      </w:pPr>
      <w:r w:rsidRPr="004C2687">
        <w:rPr>
          <w:rFonts w:ascii="Arial" w:hAnsi="Arial"/>
          <w:b/>
          <w:bCs/>
          <w:color w:val="333333"/>
        </w:rPr>
        <w:t>Problem:</w:t>
      </w:r>
    </w:p>
    <w:p w:rsidR="00780EDA" w:rsidRPr="004C2687" w:rsidRDefault="002B1F79" w:rsidP="004C2687">
      <w:pPr>
        <w:pStyle w:val="ListBullet"/>
        <w:numPr>
          <w:ilvl w:val="0"/>
          <w:numId w:val="0"/>
        </w:numPr>
        <w:spacing w:after="120"/>
        <w:ind w:left="360"/>
      </w:pPr>
      <w:r>
        <w:rPr>
          <w:rFonts w:ascii="Arial" w:hAnsi="Arial"/>
          <w:color w:val="333333"/>
        </w:rPr>
        <w:t xml:space="preserve">Standard terminal fraud rates computed statically on the training set missed 99% of Scenario 2 (terminal skimming) during </w:t>
      </w:r>
      <w:r>
        <w:rPr>
          <w:rFonts w:ascii="Arial" w:hAnsi="Arial"/>
          <w:color w:val="333333"/>
        </w:rPr>
        <w:t>testing. This occurred because terminals were compro</w:t>
      </w:r>
      <w:r w:rsidR="004C2687">
        <w:rPr>
          <w:rFonts w:ascii="Arial" w:hAnsi="Arial"/>
          <w:color w:val="333333"/>
        </w:rPr>
        <w:t xml:space="preserve">mised *during* the test period </w:t>
      </w:r>
      <w:r>
        <w:rPr>
          <w:rFonts w:ascii="Arial" w:hAnsi="Arial"/>
          <w:color w:val="333333"/>
        </w:rPr>
        <w:t>so their historical risk in the training set was 0%.</w:t>
      </w:r>
    </w:p>
    <w:p w:rsidR="004C2687" w:rsidRDefault="004C2687" w:rsidP="004C2687">
      <w:pPr>
        <w:pStyle w:val="ListBullet"/>
        <w:numPr>
          <w:ilvl w:val="0"/>
          <w:numId w:val="0"/>
        </w:numPr>
        <w:spacing w:after="120"/>
        <w:ind w:left="360"/>
      </w:pPr>
    </w:p>
    <w:p w:rsidR="004C2687" w:rsidRPr="004C2687" w:rsidRDefault="002B1F79">
      <w:pPr>
        <w:pStyle w:val="ListBullet"/>
        <w:spacing w:after="120"/>
      </w:pPr>
      <w:r w:rsidRPr="004C2687">
        <w:rPr>
          <w:rFonts w:ascii="Arial" w:hAnsi="Arial"/>
          <w:b/>
          <w:bCs/>
          <w:color w:val="333333"/>
        </w:rPr>
        <w:t>Solution:</w:t>
      </w:r>
    </w:p>
    <w:p w:rsidR="00780EDA" w:rsidRPr="004C2687" w:rsidRDefault="002B1F79" w:rsidP="004C2687">
      <w:pPr>
        <w:pStyle w:val="ListBullet"/>
        <w:numPr>
          <w:ilvl w:val="0"/>
          <w:numId w:val="0"/>
        </w:numPr>
        <w:spacing w:after="120"/>
        <w:ind w:left="360"/>
      </w:pPr>
      <w:r>
        <w:rPr>
          <w:rFonts w:ascii="Arial" w:hAnsi="Arial"/>
          <w:color w:val="333333"/>
        </w:rPr>
        <w:t>We computed rolling terminal fraud rates over 3</w:t>
      </w:r>
      <w:r w:rsidR="004C2687">
        <w:rPr>
          <w:rFonts w:ascii="Arial" w:hAnsi="Arial"/>
          <w:color w:val="333333"/>
        </w:rPr>
        <w:t>-day, 7-day, and 28-day windows</w:t>
      </w:r>
      <w:r>
        <w:rPr>
          <w:rFonts w:ascii="Arial" w:hAnsi="Arial"/>
          <w:color w:val="333333"/>
        </w:rPr>
        <w:t xml:space="preserve"> shifted by 1 day to prevent l</w:t>
      </w:r>
      <w:r>
        <w:rPr>
          <w:rFonts w:ascii="Arial" w:hAnsi="Arial"/>
          <w:color w:val="333333"/>
        </w:rPr>
        <w:t>ook-ahead leakage. Once a termina</w:t>
      </w:r>
      <w:r w:rsidR="004C2687">
        <w:rPr>
          <w:rFonts w:ascii="Arial" w:hAnsi="Arial"/>
          <w:color w:val="333333"/>
        </w:rPr>
        <w:t xml:space="preserve">l generates a few fraud events </w:t>
      </w:r>
      <w:r>
        <w:rPr>
          <w:rFonts w:ascii="Arial" w:hAnsi="Arial"/>
          <w:color w:val="333333"/>
        </w:rPr>
        <w:t>it</w:t>
      </w:r>
      <w:r w:rsidR="004C2687">
        <w:rPr>
          <w:rFonts w:ascii="Arial" w:hAnsi="Arial"/>
          <w:color w:val="333333"/>
        </w:rPr>
        <w:t>s risk index immediately spikes</w:t>
      </w:r>
      <w:r>
        <w:rPr>
          <w:rFonts w:ascii="Arial" w:hAnsi="Arial"/>
          <w:color w:val="333333"/>
        </w:rPr>
        <w:t xml:space="preserve"> protecting subsequent cards.</w:t>
      </w:r>
    </w:p>
    <w:p w:rsidR="004C2687" w:rsidRDefault="004C2687" w:rsidP="004C2687">
      <w:pPr>
        <w:pStyle w:val="ListBullet"/>
        <w:numPr>
          <w:ilvl w:val="0"/>
          <w:numId w:val="0"/>
        </w:numPr>
        <w:spacing w:after="120"/>
      </w:pPr>
    </w:p>
    <w:p w:rsidR="004C2687" w:rsidRPr="004C2687" w:rsidRDefault="002B1F79">
      <w:pPr>
        <w:pStyle w:val="ListBullet"/>
        <w:spacing w:after="120"/>
      </w:pPr>
      <w:r w:rsidRPr="004C2687">
        <w:rPr>
          <w:rFonts w:ascii="Arial" w:hAnsi="Arial"/>
          <w:b/>
          <w:bCs/>
          <w:color w:val="333333"/>
        </w:rPr>
        <w:t>Result</w:t>
      </w:r>
      <w:r>
        <w:rPr>
          <w:rFonts w:ascii="Arial" w:hAnsi="Arial"/>
          <w:color w:val="333333"/>
        </w:rPr>
        <w:t>:</w:t>
      </w:r>
    </w:p>
    <w:p w:rsidR="00780EDA" w:rsidRDefault="002B1F79" w:rsidP="004C2687">
      <w:pPr>
        <w:pStyle w:val="ListBullet"/>
        <w:numPr>
          <w:ilvl w:val="0"/>
          <w:numId w:val="0"/>
        </w:numPr>
        <w:spacing w:after="120"/>
        <w:ind w:left="360"/>
        <w:rPr>
          <w:rFonts w:ascii="Arial" w:hAnsi="Arial"/>
          <w:color w:val="333333"/>
        </w:rPr>
      </w:pPr>
      <w:r>
        <w:rPr>
          <w:rFonts w:ascii="Arial" w:hAnsi="Arial"/>
          <w:color w:val="333333"/>
        </w:rPr>
        <w:t xml:space="preserve"> Scenario 2 (Skimming) recall rose from 1.12% to 90.60% (LightGBM).</w:t>
      </w:r>
    </w:p>
    <w:p w:rsidR="004C2687" w:rsidRDefault="004C2687" w:rsidP="004C2687">
      <w:pPr>
        <w:pStyle w:val="ListBullet"/>
        <w:numPr>
          <w:ilvl w:val="0"/>
          <w:numId w:val="0"/>
        </w:numPr>
        <w:spacing w:after="120"/>
        <w:ind w:left="360"/>
      </w:pPr>
    </w:p>
    <w:p w:rsidR="00780EDA" w:rsidRDefault="002B1F79">
      <w:pPr>
        <w:keepNext/>
        <w:spacing w:before="280" w:after="80"/>
      </w:pPr>
      <w:r>
        <w:rPr>
          <w:rFonts w:ascii="Arial" w:hAnsi="Arial"/>
          <w:b/>
          <w:color w:val="17B978"/>
          <w:sz w:val="28"/>
        </w:rPr>
        <w:t>B. Spatial Neighborhood Risk Density (KDTree Mapping</w:t>
      </w:r>
      <w:r>
        <w:rPr>
          <w:rFonts w:ascii="Arial" w:hAnsi="Arial"/>
          <w:b/>
          <w:color w:val="17B978"/>
          <w:sz w:val="28"/>
        </w:rPr>
        <w:t>)</w:t>
      </w:r>
    </w:p>
    <w:p w:rsidR="0020382C" w:rsidRPr="0020382C" w:rsidRDefault="002B1F79">
      <w:pPr>
        <w:pStyle w:val="ListBullet"/>
        <w:spacing w:after="120"/>
        <w:rPr>
          <w:b/>
          <w:bCs/>
        </w:rPr>
      </w:pPr>
      <w:r w:rsidRPr="0020382C">
        <w:rPr>
          <w:rFonts w:ascii="Arial" w:hAnsi="Arial"/>
          <w:b/>
          <w:bCs/>
          <w:color w:val="333333"/>
        </w:rPr>
        <w:t>Problem:</w:t>
      </w:r>
    </w:p>
    <w:p w:rsidR="00780EDA" w:rsidRPr="004C2687" w:rsidRDefault="002B1F79" w:rsidP="0020382C">
      <w:pPr>
        <w:pStyle w:val="ListBullet"/>
        <w:numPr>
          <w:ilvl w:val="0"/>
          <w:numId w:val="0"/>
        </w:numPr>
        <w:spacing w:after="120"/>
        <w:ind w:left="360"/>
      </w:pPr>
      <w:r>
        <w:rPr>
          <w:rFonts w:ascii="Arial" w:hAnsi="Arial"/>
          <w:color w:val="333333"/>
        </w:rPr>
        <w:t xml:space="preserve">When </w:t>
      </w:r>
      <w:r w:rsidR="0020382C">
        <w:rPr>
          <w:rFonts w:ascii="Arial" w:hAnsi="Arial"/>
          <w:color w:val="333333"/>
        </w:rPr>
        <w:t>a terminal is first compromised</w:t>
      </w:r>
      <w:r>
        <w:rPr>
          <w:rFonts w:ascii="Arial" w:hAnsi="Arial"/>
          <w:color w:val="333333"/>
        </w:rPr>
        <w:t xml:space="preserve"> it takes a few transactions to re</w:t>
      </w:r>
      <w:r w:rsidR="0020382C">
        <w:rPr>
          <w:rFonts w:ascii="Arial" w:hAnsi="Arial"/>
          <w:color w:val="333333"/>
        </w:rPr>
        <w:t xml:space="preserve">cord fraud. During this window </w:t>
      </w:r>
      <w:r>
        <w:rPr>
          <w:rFonts w:ascii="Arial" w:hAnsi="Arial"/>
          <w:color w:val="333333"/>
        </w:rPr>
        <w:t>cardholders are vulnerable.</w:t>
      </w:r>
    </w:p>
    <w:p w:rsidR="004C2687" w:rsidRDefault="004C2687" w:rsidP="004C2687">
      <w:pPr>
        <w:pStyle w:val="ListBullet"/>
        <w:numPr>
          <w:ilvl w:val="0"/>
          <w:numId w:val="0"/>
        </w:numPr>
        <w:spacing w:after="120"/>
      </w:pPr>
    </w:p>
    <w:p w:rsidR="0020382C" w:rsidRDefault="0020382C" w:rsidP="004C2687">
      <w:pPr>
        <w:pStyle w:val="ListBullet"/>
        <w:numPr>
          <w:ilvl w:val="0"/>
          <w:numId w:val="0"/>
        </w:numPr>
        <w:spacing w:after="120"/>
      </w:pPr>
    </w:p>
    <w:p w:rsidR="0020382C" w:rsidRDefault="0020382C" w:rsidP="004C2687">
      <w:pPr>
        <w:pStyle w:val="ListBullet"/>
        <w:numPr>
          <w:ilvl w:val="0"/>
          <w:numId w:val="0"/>
        </w:numPr>
        <w:spacing w:after="120"/>
      </w:pPr>
    </w:p>
    <w:p w:rsidR="0020382C" w:rsidRPr="0020382C" w:rsidRDefault="002B1F79" w:rsidP="0020382C">
      <w:pPr>
        <w:pStyle w:val="ListBullet"/>
        <w:spacing w:after="120"/>
        <w:rPr>
          <w:b/>
          <w:bCs/>
        </w:rPr>
      </w:pPr>
      <w:r w:rsidRPr="0020382C">
        <w:rPr>
          <w:rFonts w:ascii="Arial" w:hAnsi="Arial"/>
          <w:b/>
          <w:bCs/>
          <w:color w:val="333333"/>
        </w:rPr>
        <w:lastRenderedPageBreak/>
        <w:t xml:space="preserve">Solution: </w:t>
      </w:r>
    </w:p>
    <w:p w:rsidR="004C2687" w:rsidRDefault="0020382C" w:rsidP="0020382C">
      <w:pPr>
        <w:pStyle w:val="ListBullet"/>
        <w:numPr>
          <w:ilvl w:val="0"/>
          <w:numId w:val="0"/>
        </w:numPr>
        <w:spacing w:after="120"/>
        <w:ind w:left="360"/>
        <w:rPr>
          <w:rFonts w:ascii="Arial" w:hAnsi="Arial"/>
          <w:color w:val="333333"/>
        </w:rPr>
      </w:pPr>
      <w:r>
        <w:rPr>
          <w:rFonts w:ascii="Arial" w:hAnsi="Arial"/>
          <w:color w:val="333333"/>
        </w:rPr>
        <w:t xml:space="preserve">Using SciPy's KDTree </w:t>
      </w:r>
      <w:r w:rsidR="002B1F79" w:rsidRPr="0020382C">
        <w:rPr>
          <w:rFonts w:ascii="Arial" w:hAnsi="Arial"/>
          <w:color w:val="333333"/>
        </w:rPr>
        <w:t xml:space="preserve">we mapped coordinate neighborhoods within a radius of 1.0 unit. We multiplied the </w:t>
      </w:r>
      <w:r w:rsidR="002B1F79" w:rsidRPr="0020382C">
        <w:rPr>
          <w:rFonts w:ascii="Arial" w:hAnsi="Arial"/>
          <w:color w:val="333333"/>
        </w:rPr>
        <w:t>sparse adjacency matrix with the terminal fraud rate grid in a vectorized manner. This estimates risk hotspots even before a specific terminal registers its first fraud transaction.</w:t>
      </w:r>
    </w:p>
    <w:p w:rsidR="0020382C" w:rsidRDefault="0020382C" w:rsidP="0020382C">
      <w:pPr>
        <w:pStyle w:val="ListBullet"/>
        <w:numPr>
          <w:ilvl w:val="0"/>
          <w:numId w:val="0"/>
        </w:numPr>
        <w:spacing w:after="120"/>
        <w:ind w:left="360"/>
      </w:pPr>
    </w:p>
    <w:p w:rsidR="0020382C" w:rsidRPr="0020382C" w:rsidRDefault="002B1F79">
      <w:pPr>
        <w:pStyle w:val="ListBullet"/>
        <w:spacing w:after="120"/>
        <w:rPr>
          <w:b/>
          <w:bCs/>
        </w:rPr>
      </w:pPr>
      <w:r w:rsidRPr="0020382C">
        <w:rPr>
          <w:rFonts w:ascii="Arial" w:hAnsi="Arial"/>
          <w:b/>
          <w:bCs/>
          <w:color w:val="333333"/>
        </w:rPr>
        <w:t xml:space="preserve">Result: </w:t>
      </w:r>
    </w:p>
    <w:p w:rsidR="00780EDA" w:rsidRDefault="0020382C" w:rsidP="0020382C">
      <w:pPr>
        <w:pStyle w:val="ListBullet"/>
        <w:numPr>
          <w:ilvl w:val="0"/>
          <w:numId w:val="0"/>
        </w:numPr>
        <w:spacing w:after="120"/>
        <w:rPr>
          <w:rFonts w:ascii="Arial" w:hAnsi="Arial"/>
          <w:color w:val="333333"/>
        </w:rPr>
      </w:pPr>
      <w:r>
        <w:rPr>
          <w:rFonts w:ascii="Arial" w:hAnsi="Arial"/>
          <w:color w:val="333333"/>
        </w:rPr>
        <w:t xml:space="preserve">      </w:t>
      </w:r>
      <w:r w:rsidR="002B1F79">
        <w:rPr>
          <w:rFonts w:ascii="Arial" w:hAnsi="Arial"/>
          <w:color w:val="333333"/>
        </w:rPr>
        <w:t>Provided high-resolution geographical risk overlays in 0.01 second</w:t>
      </w:r>
      <w:r w:rsidR="002B1F79">
        <w:rPr>
          <w:rFonts w:ascii="Arial" w:hAnsi="Arial"/>
          <w:color w:val="333333"/>
        </w:rPr>
        <w:t>s of execution.</w:t>
      </w:r>
    </w:p>
    <w:p w:rsidR="0020382C" w:rsidRDefault="0020382C" w:rsidP="0020382C">
      <w:pPr>
        <w:pStyle w:val="ListBullet"/>
        <w:numPr>
          <w:ilvl w:val="0"/>
          <w:numId w:val="0"/>
        </w:numPr>
        <w:spacing w:after="120"/>
      </w:pPr>
    </w:p>
    <w:p w:rsidR="00780EDA" w:rsidRDefault="002B1F79">
      <w:pPr>
        <w:keepNext/>
        <w:spacing w:before="280" w:after="80"/>
      </w:pPr>
      <w:r>
        <w:rPr>
          <w:rFonts w:ascii="Arial" w:hAnsi="Arial"/>
          <w:b/>
          <w:color w:val="17B978"/>
          <w:sz w:val="28"/>
        </w:rPr>
        <w:t>C. Multi-Step Customer Lags &amp; Sequence History</w:t>
      </w:r>
    </w:p>
    <w:p w:rsidR="005F7FE1" w:rsidRPr="005F7FE1" w:rsidRDefault="002B1F79">
      <w:pPr>
        <w:pStyle w:val="ListBullet"/>
        <w:spacing w:after="120"/>
        <w:rPr>
          <w:b/>
          <w:bCs/>
        </w:rPr>
      </w:pPr>
      <w:r w:rsidRPr="005F7FE1">
        <w:rPr>
          <w:rFonts w:ascii="Arial" w:hAnsi="Arial"/>
          <w:b/>
          <w:bCs/>
          <w:color w:val="333333"/>
        </w:rPr>
        <w:t>Problem:</w:t>
      </w:r>
    </w:p>
    <w:p w:rsidR="00780EDA" w:rsidRDefault="002B1F79" w:rsidP="005F7FE1">
      <w:pPr>
        <w:pStyle w:val="ListBullet"/>
        <w:numPr>
          <w:ilvl w:val="0"/>
          <w:numId w:val="0"/>
        </w:numPr>
        <w:spacing w:after="120"/>
        <w:ind w:left="360"/>
        <w:rPr>
          <w:rFonts w:ascii="Arial" w:hAnsi="Arial"/>
          <w:color w:val="333333"/>
        </w:rPr>
      </w:pPr>
      <w:r>
        <w:rPr>
          <w:rFonts w:ascii="Arial" w:hAnsi="Arial"/>
          <w:color w:val="333333"/>
        </w:rPr>
        <w:t xml:space="preserve"> Scenario 3 (Credential Takeovers) fe</w:t>
      </w:r>
      <w:r w:rsidR="005F7FE1">
        <w:rPr>
          <w:rFonts w:ascii="Arial" w:hAnsi="Arial"/>
          <w:color w:val="333333"/>
        </w:rPr>
        <w:t>atures spending spikes. However</w:t>
      </w:r>
      <w:r>
        <w:rPr>
          <w:rFonts w:ascii="Arial" w:hAnsi="Arial"/>
          <w:color w:val="333333"/>
        </w:rPr>
        <w:t xml:space="preserve"> a single interleaved normal transaction can break a lag-1 comparison.</w:t>
      </w:r>
    </w:p>
    <w:p w:rsidR="005F7FE1" w:rsidRDefault="005F7FE1" w:rsidP="005F7FE1">
      <w:pPr>
        <w:pStyle w:val="ListBullet"/>
        <w:numPr>
          <w:ilvl w:val="0"/>
          <w:numId w:val="0"/>
        </w:numPr>
        <w:spacing w:after="120"/>
        <w:ind w:left="360"/>
      </w:pPr>
    </w:p>
    <w:p w:rsidR="005F7FE1" w:rsidRPr="005F7FE1" w:rsidRDefault="002B1F79">
      <w:pPr>
        <w:pStyle w:val="ListBullet"/>
        <w:spacing w:after="120"/>
        <w:rPr>
          <w:b/>
          <w:bCs/>
        </w:rPr>
      </w:pPr>
      <w:r w:rsidRPr="005F7FE1">
        <w:rPr>
          <w:rFonts w:ascii="Arial" w:hAnsi="Arial"/>
          <w:b/>
          <w:bCs/>
          <w:color w:val="333333"/>
        </w:rPr>
        <w:t xml:space="preserve">Solution: </w:t>
      </w:r>
    </w:p>
    <w:p w:rsidR="00780EDA" w:rsidRDefault="002B1F79" w:rsidP="005F7FE1">
      <w:pPr>
        <w:pStyle w:val="ListBullet"/>
        <w:numPr>
          <w:ilvl w:val="0"/>
          <w:numId w:val="0"/>
        </w:numPr>
        <w:spacing w:after="120"/>
        <w:ind w:left="360"/>
        <w:rPr>
          <w:rFonts w:ascii="Arial" w:hAnsi="Arial"/>
          <w:color w:val="333333"/>
        </w:rPr>
      </w:pPr>
      <w:r>
        <w:rPr>
          <w:rFonts w:ascii="Arial" w:hAnsi="Arial"/>
          <w:color w:val="333333"/>
        </w:rPr>
        <w:t>We calculated ratios and deviations</w:t>
      </w:r>
      <w:r>
        <w:rPr>
          <w:rFonts w:ascii="Arial" w:hAnsi="Arial"/>
          <w:color w:val="333333"/>
        </w:rPr>
        <w:t xml:space="preserve"> against the last 3 sequential customer transactions (lags 1, 2, and 3), and expanded the PyTorch LSTM sequence length to 15 transactions.</w:t>
      </w:r>
    </w:p>
    <w:p w:rsidR="005F7FE1" w:rsidRDefault="005F7FE1" w:rsidP="005F7FE1">
      <w:pPr>
        <w:pStyle w:val="ListBullet"/>
        <w:numPr>
          <w:ilvl w:val="0"/>
          <w:numId w:val="0"/>
        </w:numPr>
        <w:spacing w:after="120"/>
        <w:ind w:left="360"/>
      </w:pPr>
    </w:p>
    <w:p w:rsidR="005F7FE1" w:rsidRPr="005F7FE1" w:rsidRDefault="002B1F79">
      <w:pPr>
        <w:pStyle w:val="ListBullet"/>
        <w:spacing w:after="120"/>
        <w:rPr>
          <w:b/>
          <w:bCs/>
        </w:rPr>
      </w:pPr>
      <w:r w:rsidRPr="005F7FE1">
        <w:rPr>
          <w:rFonts w:ascii="Arial" w:hAnsi="Arial"/>
          <w:b/>
          <w:bCs/>
          <w:color w:val="333333"/>
        </w:rPr>
        <w:t>Result:</w:t>
      </w:r>
    </w:p>
    <w:p w:rsidR="00780EDA" w:rsidRDefault="002B1F79" w:rsidP="005F7FE1">
      <w:pPr>
        <w:pStyle w:val="ListBullet"/>
        <w:numPr>
          <w:ilvl w:val="0"/>
          <w:numId w:val="0"/>
        </w:numPr>
        <w:spacing w:after="120"/>
        <w:ind w:left="360"/>
      </w:pPr>
      <w:r>
        <w:rPr>
          <w:rFonts w:ascii="Arial" w:hAnsi="Arial"/>
          <w:color w:val="333333"/>
        </w:rPr>
        <w:t xml:space="preserve"> Scenario 3 recall increased to 89.18% (LightGBM) and 82.56% (LSTM).</w:t>
      </w:r>
    </w:p>
    <w:p w:rsidR="00780EDA" w:rsidRDefault="002B1F79">
      <w:pPr>
        <w:keepNext/>
        <w:spacing w:before="280" w:after="80"/>
      </w:pPr>
      <w:r>
        <w:rPr>
          <w:rFonts w:ascii="Arial" w:hAnsi="Arial"/>
          <w:b/>
          <w:color w:val="17B978"/>
          <w:sz w:val="28"/>
        </w:rPr>
        <w:t>D. Imbalance &amp; Probability Calibration</w:t>
      </w:r>
    </w:p>
    <w:p w:rsidR="005F7FE1" w:rsidRPr="005F7FE1" w:rsidRDefault="002B1F79">
      <w:pPr>
        <w:pStyle w:val="ListBullet"/>
        <w:spacing w:after="120"/>
        <w:rPr>
          <w:b/>
          <w:bCs/>
        </w:rPr>
      </w:pPr>
      <w:r w:rsidRPr="005F7FE1">
        <w:rPr>
          <w:rFonts w:ascii="Arial" w:hAnsi="Arial"/>
          <w:b/>
          <w:bCs/>
          <w:color w:val="333333"/>
        </w:rPr>
        <w:t>Pr</w:t>
      </w:r>
      <w:r w:rsidRPr="005F7FE1">
        <w:rPr>
          <w:rFonts w:ascii="Arial" w:hAnsi="Arial"/>
          <w:b/>
          <w:bCs/>
          <w:color w:val="333333"/>
        </w:rPr>
        <w:t>oblem:</w:t>
      </w:r>
    </w:p>
    <w:p w:rsidR="00780EDA" w:rsidRDefault="002B1F79" w:rsidP="005F7FE1">
      <w:pPr>
        <w:pStyle w:val="ListBullet"/>
        <w:numPr>
          <w:ilvl w:val="0"/>
          <w:numId w:val="0"/>
        </w:numPr>
        <w:spacing w:after="120"/>
        <w:ind w:left="360"/>
        <w:rPr>
          <w:rFonts w:ascii="Arial" w:hAnsi="Arial"/>
          <w:color w:val="333333"/>
        </w:rPr>
      </w:pPr>
      <w:r>
        <w:rPr>
          <w:rFonts w:ascii="Arial" w:hAnsi="Arial"/>
          <w:color w:val="333333"/>
        </w:rPr>
        <w:t xml:space="preserve"> Extreme class weighting (e.g. scale_pos_weight=120) distorts model probabilities, degrading ranking-based metrics like Precision@k.</w:t>
      </w:r>
    </w:p>
    <w:p w:rsidR="005F7FE1" w:rsidRDefault="005F7FE1" w:rsidP="005F7FE1">
      <w:pPr>
        <w:pStyle w:val="ListBullet"/>
        <w:numPr>
          <w:ilvl w:val="0"/>
          <w:numId w:val="0"/>
        </w:numPr>
        <w:spacing w:after="120"/>
        <w:ind w:left="360"/>
      </w:pPr>
    </w:p>
    <w:p w:rsidR="005F7FE1" w:rsidRPr="005F7FE1" w:rsidRDefault="002B1F79">
      <w:pPr>
        <w:pStyle w:val="ListBullet"/>
        <w:spacing w:after="120"/>
        <w:rPr>
          <w:b/>
          <w:bCs/>
        </w:rPr>
      </w:pPr>
      <w:r w:rsidRPr="005F7FE1">
        <w:rPr>
          <w:rFonts w:ascii="Arial" w:hAnsi="Arial"/>
          <w:b/>
          <w:bCs/>
          <w:color w:val="333333"/>
        </w:rPr>
        <w:t xml:space="preserve">Solution: </w:t>
      </w:r>
    </w:p>
    <w:p w:rsidR="00780EDA" w:rsidRDefault="002B1F79" w:rsidP="005F7FE1">
      <w:pPr>
        <w:pStyle w:val="ListBullet"/>
        <w:numPr>
          <w:ilvl w:val="0"/>
          <w:numId w:val="0"/>
        </w:numPr>
        <w:spacing w:after="120"/>
        <w:ind w:left="360"/>
        <w:rPr>
          <w:rFonts w:ascii="Arial" w:hAnsi="Arial"/>
          <w:color w:val="333333"/>
        </w:rPr>
      </w:pPr>
      <w:r>
        <w:rPr>
          <w:rFonts w:ascii="Arial" w:hAnsi="Arial"/>
          <w:color w:val="333333"/>
        </w:rPr>
        <w:t>We train</w:t>
      </w:r>
      <w:r w:rsidR="006A4861">
        <w:rPr>
          <w:rFonts w:ascii="Arial" w:hAnsi="Arial"/>
          <w:color w:val="333333"/>
        </w:rPr>
        <w:t>ed models without class weights</w:t>
      </w:r>
      <w:r>
        <w:rPr>
          <w:rFonts w:ascii="Arial" w:hAnsi="Arial"/>
          <w:color w:val="333333"/>
        </w:rPr>
        <w:t xml:space="preserve"> letting them minimize log-loss on the original imbalanced data to </w:t>
      </w:r>
      <w:r>
        <w:rPr>
          <w:rFonts w:ascii="Arial" w:hAnsi="Arial"/>
          <w:color w:val="333333"/>
        </w:rPr>
        <w:t>preserve calibration.</w:t>
      </w:r>
    </w:p>
    <w:p w:rsidR="005F7FE1" w:rsidRDefault="005F7FE1" w:rsidP="005F7FE1">
      <w:pPr>
        <w:pStyle w:val="ListBullet"/>
        <w:numPr>
          <w:ilvl w:val="0"/>
          <w:numId w:val="0"/>
        </w:numPr>
        <w:spacing w:after="120"/>
        <w:ind w:left="360"/>
      </w:pPr>
    </w:p>
    <w:p w:rsidR="005F7FE1" w:rsidRPr="005F7FE1" w:rsidRDefault="002B1F79">
      <w:pPr>
        <w:pStyle w:val="ListBullet"/>
        <w:spacing w:after="120"/>
        <w:rPr>
          <w:b/>
          <w:bCs/>
        </w:rPr>
      </w:pPr>
      <w:r w:rsidRPr="005F7FE1">
        <w:rPr>
          <w:rFonts w:ascii="Arial" w:hAnsi="Arial"/>
          <w:b/>
          <w:bCs/>
          <w:color w:val="333333"/>
        </w:rPr>
        <w:t xml:space="preserve">Result: </w:t>
      </w:r>
    </w:p>
    <w:p w:rsidR="00780EDA" w:rsidRDefault="002B1F79" w:rsidP="005F7FE1">
      <w:pPr>
        <w:pStyle w:val="ListBullet"/>
        <w:numPr>
          <w:ilvl w:val="0"/>
          <w:numId w:val="0"/>
        </w:numPr>
        <w:spacing w:after="120"/>
        <w:ind w:left="360"/>
      </w:pPr>
      <w:r>
        <w:rPr>
          <w:rFonts w:ascii="Arial" w:hAnsi="Arial"/>
          <w:color w:val="333333"/>
        </w:rPr>
        <w:t>LightGBM's AUC-PR reached 0.9183 and average daily Precision@100 reached 77.49%.</w:t>
      </w:r>
    </w:p>
    <w:p w:rsidR="00780EDA" w:rsidRDefault="00780EDA"/>
    <w:p w:rsidR="006A4861" w:rsidRDefault="006A4861"/>
    <w:p w:rsidR="006A4861" w:rsidRDefault="006A4861"/>
    <w:p w:rsidR="00780EDA" w:rsidRDefault="002B1F79">
      <w:pPr>
        <w:keepNext/>
        <w:pBdr>
          <w:bottom w:val="single" w:sz="6" w:space="4" w:color="1E3D59"/>
        </w:pBdr>
        <w:spacing w:before="360" w:after="120"/>
      </w:pPr>
      <w:r>
        <w:rPr>
          <w:rFonts w:ascii="Arial" w:hAnsi="Arial"/>
          <w:b/>
          <w:color w:val="1E3D59"/>
          <w:sz w:val="36"/>
        </w:rPr>
        <w:lastRenderedPageBreak/>
        <w:t>4. Architectural Recommendation for Production</w:t>
      </w:r>
    </w:p>
    <w:p w:rsidR="00780EDA" w:rsidRDefault="002B1F79">
      <w:pPr>
        <w:spacing w:after="120"/>
      </w:pPr>
      <w:r>
        <w:rPr>
          <w:rFonts w:ascii="Arial" w:hAnsi="Arial"/>
          <w:color w:val="333333"/>
        </w:rPr>
        <w:t>For deployment in a real-world card authorization network, we recommend a hybrid two-tier archite</w:t>
      </w:r>
      <w:r>
        <w:rPr>
          <w:rFonts w:ascii="Arial" w:hAnsi="Arial"/>
          <w:color w:val="333333"/>
        </w:rPr>
        <w:t>cture:</w:t>
      </w:r>
    </w:p>
    <w:p w:rsidR="006A4861" w:rsidRPr="006A4861" w:rsidRDefault="002B1F79">
      <w:pPr>
        <w:pStyle w:val="ListBullet"/>
        <w:spacing w:after="120"/>
      </w:pPr>
      <w:r>
        <w:rPr>
          <w:rFonts w:ascii="Arial" w:hAnsi="Arial"/>
          <w:b/>
          <w:color w:val="1E3D59"/>
        </w:rPr>
        <w:t xml:space="preserve">Real-time Gateway (LightGBM): </w:t>
      </w:r>
    </w:p>
    <w:p w:rsidR="00780EDA" w:rsidRDefault="002B1F79" w:rsidP="006A4861">
      <w:pPr>
        <w:pStyle w:val="ListBullet"/>
        <w:numPr>
          <w:ilvl w:val="0"/>
          <w:numId w:val="0"/>
        </w:numPr>
        <w:spacing w:after="120"/>
        <w:ind w:left="360"/>
      </w:pPr>
      <w:r>
        <w:t>Processes incoming transaction requests in-line (sub-millisecond latency) using Z-scores, multi-scale rolling rates, and spatial density features to block immediate threats (Scenario 1 &amp; 2).</w:t>
      </w:r>
    </w:p>
    <w:p w:rsidR="006A4861" w:rsidRDefault="006A4861" w:rsidP="006A4861">
      <w:pPr>
        <w:pStyle w:val="ListBullet"/>
        <w:numPr>
          <w:ilvl w:val="0"/>
          <w:numId w:val="0"/>
        </w:numPr>
        <w:spacing w:after="120"/>
        <w:ind w:left="360"/>
      </w:pPr>
    </w:p>
    <w:p w:rsidR="006A4861" w:rsidRPr="006A4861" w:rsidRDefault="002B1F79">
      <w:pPr>
        <w:pStyle w:val="ListBullet"/>
        <w:spacing w:after="120"/>
      </w:pPr>
      <w:r>
        <w:rPr>
          <w:rFonts w:ascii="Arial" w:hAnsi="Arial"/>
          <w:b/>
          <w:color w:val="1E3D59"/>
        </w:rPr>
        <w:t>Asynchronous Sequence Engine</w:t>
      </w:r>
      <w:r>
        <w:rPr>
          <w:rFonts w:ascii="Arial" w:hAnsi="Arial"/>
          <w:b/>
          <w:color w:val="1E3D59"/>
        </w:rPr>
        <w:t xml:space="preserve"> (PyTorch</w:t>
      </w:r>
      <w:bookmarkStart w:id="0" w:name="_GoBack"/>
      <w:bookmarkEnd w:id="0"/>
      <w:r>
        <w:rPr>
          <w:rFonts w:ascii="Arial" w:hAnsi="Arial"/>
          <w:b/>
          <w:color w:val="1E3D59"/>
        </w:rPr>
        <w:t xml:space="preserve"> LSTM):</w:t>
      </w:r>
    </w:p>
    <w:p w:rsidR="00780EDA" w:rsidRDefault="002B1F79" w:rsidP="006A4861">
      <w:pPr>
        <w:pStyle w:val="ListBullet"/>
        <w:numPr>
          <w:ilvl w:val="0"/>
          <w:numId w:val="0"/>
        </w:numPr>
        <w:spacing w:after="120"/>
        <w:ind w:left="360"/>
      </w:pPr>
      <w:r>
        <w:rPr>
          <w:rFonts w:ascii="Arial" w:hAnsi="Arial"/>
          <w:b/>
          <w:color w:val="1E3D59"/>
        </w:rPr>
        <w:t xml:space="preserve"> </w:t>
      </w:r>
      <w:r>
        <w:t>Runs out-of-band in the background, analyzing customer sequence history (lag 15) to detect slow-burning account takeovers and trigger multi-factor authentication (MFA) holds (Scenario 3).</w:t>
      </w:r>
    </w:p>
    <w:sectPr w:rsidR="00780ED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70ACF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382C"/>
    <w:rsid w:val="0029639D"/>
    <w:rsid w:val="002B1F79"/>
    <w:rsid w:val="00326F90"/>
    <w:rsid w:val="004C2687"/>
    <w:rsid w:val="005F7FE1"/>
    <w:rsid w:val="006A4861"/>
    <w:rsid w:val="00780E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C42786A-09E3-4975-8A34-4EF463DA8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426853-64CA-4B19-9048-1D31BE572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WellCome</cp:lastModifiedBy>
  <cp:revision>2</cp:revision>
  <dcterms:created xsi:type="dcterms:W3CDTF">2013-12-23T23:15:00Z</dcterms:created>
  <dcterms:modified xsi:type="dcterms:W3CDTF">2026-06-18T13:17:00Z</dcterms:modified>
  <cp:category/>
</cp:coreProperties>
</file>