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by an array?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~&gt;  Basically an array is the collection of data which contains similar data type, single variable holding multiple values.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an array?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~&gt;  The below are the following ways to create an array of different data types: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1.int type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int a[3]={1,5,8};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2.Float type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float a[4]={3.0, 4.6, 2.5, 2.7};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3.character type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char a[3]={‘a’, ‘t’, ‘y’, ‘v’};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4.String type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string a[2]={“xyz”, “zyx”};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change the size of the array at run time?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~&gt;  No, we can’t change the size of the array when it is constructed, whereas we can change the values present in the array.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declare an array without assigning the size of an array?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~&gt;  Yes, we can declare an array without assigning the size of an array.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default value of array?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~&gt;  The default value does changes for different data types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1.if the data type is int then it shows 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2.if the data type is boolean then it shows (true/false)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1-D array?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~&gt;  A 1-D array is also know as general array and 1-D array is the collection of the data of  similar data types that are stored in contagious arrangements.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on 2-D array?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~&gt;  public class array{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static void main(String[] argos) {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n[][]={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{1,2,3,4},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{5,6,7,8},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{2,4,6,8}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for(int a[] : n)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for(int b : a)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System.out.print(b);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