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line="300" w:lineRule="auto"/>
        <w:jc w:val="center"/>
      </w:pPr>
      <w:r>
        <w:rPr>
          <w:rFonts w:ascii="Calibri" w:hAnsi="Calibri" w:eastAsia="Microsoft YaHei"/>
          <w:b/>
          <w:color w:val="0B2545"/>
          <w:sz w:val="44"/>
        </w:rPr>
        <w:t>B题问题3：模型可解释性分析总结</w:t>
      </w:r>
    </w:p>
    <w:p>
      <w:pPr>
        <w:spacing w:before="0" w:after="320" w:line="300" w:lineRule="auto"/>
        <w:jc w:val="center"/>
      </w:pPr>
      <w:r>
        <w:rPr>
          <w:rFonts w:ascii="Calibri" w:hAnsi="Calibri" w:eastAsia="Microsoft YaHei"/>
          <w:color w:val="5B6670"/>
          <w:sz w:val="24"/>
        </w:rPr>
        <w:t>三层物理一致性解释模型（TPCI-EM）</w:t>
      </w:r>
    </w:p>
    <w:tbl>
      <w:tblPr>
        <w:tblStyle w:val="TableGrid"/>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before="0" w:after="40" w:line="300" w:lineRule="auto"/>
            </w:pPr>
            <w:r/>
            <w:r>
              <w:rPr>
                <w:rFonts w:ascii="Calibri" w:hAnsi="Calibri" w:eastAsia="Microsoft YaHei"/>
                <w:b/>
                <w:color w:val="1F4D78"/>
                <w:sz w:val="21"/>
              </w:rPr>
              <w:t>核心结论</w:t>
            </w:r>
          </w:p>
          <w:p>
            <w:pPr>
              <w:spacing w:before="0" w:after="0" w:line="300" w:lineRule="auto"/>
            </w:pPr>
            <w:r>
              <w:rPr>
                <w:rFonts w:ascii="Calibri" w:hAnsi="Calibri" w:eastAsia="Microsoft YaHei"/>
                <w:sz w:val="21"/>
              </w:rPr>
              <w:t>问题3不是重新设计预测算法，而是基于问题2训练好的模型，构建“物理预期 - 模型依赖 - 输出响应”的解释闭环，判断模型预测是否可信、是否符合物理直觉。</w:t>
            </w:r>
          </w:p>
        </w:tc>
      </w:tr>
    </w:tbl>
    <w:p>
      <w:pPr>
        <w:spacing w:before="0" w:after="160" w:line="300" w:lineRule="auto"/>
      </w:pPr>
    </w:p>
    <w:p>
      <w:pPr>
        <w:spacing w:before="360" w:after="200" w:line="300" w:lineRule="auto"/>
      </w:pPr>
      <w:r>
        <w:rPr>
          <w:rFonts w:ascii="Calibri" w:hAnsi="Calibri" w:eastAsia="Microsoft YaHei"/>
          <w:b/>
          <w:color w:val="2E74B5"/>
          <w:sz w:val="32"/>
        </w:rPr>
        <w:t>1. 问题目标与模型定位</w:t>
      </w:r>
    </w:p>
    <w:p>
      <w:pPr>
        <w:spacing w:before="0" w:after="120" w:line="300" w:lineRule="auto"/>
      </w:pPr>
      <w:r>
        <w:rPr>
          <w:rFonts w:ascii="Calibri" w:hAnsi="Calibri" w:eastAsia="Microsoft YaHei"/>
          <w:b w:val="0"/>
          <w:color w:val="000000"/>
          <w:sz w:val="22"/>
        </w:rPr>
        <w:t>问题3要求考虑问题2中模型的结构设计和决策过程，结合核能系统特点与机理，进行事前、事中、事后的可解释性分析，分析模型是否能够反映物理上的合理关系。</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项目</w:t>
            </w:r>
          </w:p>
        </w:tc>
        <w:tc>
          <w:tcPr>
            <w:tcW w:type="dxa" w:w="7128"/>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内容</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模型名称</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三层物理一致性解释模型</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英文简称</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TPCI-EM，Three-layer Physical Consistency Interpretation Model</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创新方向</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跨领域模型迁移创新</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创新本质</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将机器学习可解释性方法与核能物理合理性校验结合。</w:t>
            </w:r>
          </w:p>
        </w:tc>
      </w:tr>
    </w:tbl>
    <w:p>
      <w:pPr>
        <w:spacing w:before="40" w:after="160" w:line="300" w:lineRule="auto"/>
      </w:pPr>
    </w:p>
    <w:p>
      <w:pPr>
        <w:spacing w:before="360" w:after="200" w:line="300" w:lineRule="auto"/>
      </w:pPr>
      <w:r>
        <w:rPr>
          <w:rFonts w:ascii="Calibri" w:hAnsi="Calibri" w:eastAsia="Microsoft YaHei"/>
          <w:b/>
          <w:color w:val="2E74B5"/>
          <w:sz w:val="32"/>
        </w:rPr>
        <w:t>2. 问题3是否需要重新建模</w:t>
      </w:r>
    </w:p>
    <w:p>
      <w:pPr>
        <w:spacing w:before="0" w:after="120" w:line="300" w:lineRule="auto"/>
      </w:pPr>
      <w:r>
        <w:rPr>
          <w:rFonts w:ascii="Calibri" w:hAnsi="Calibri" w:eastAsia="Microsoft YaHei"/>
          <w:b w:val="0"/>
          <w:color w:val="000000"/>
          <w:sz w:val="22"/>
        </w:rPr>
        <w:t>问题3不需要重新设计新的预测算法，而是使用问题2训练好的最优模型，提取解释信息、绘制解释图表，并进行物理一致性检验。</w:t>
      </w:r>
    </w:p>
    <w:tbl>
      <w:tblPr>
        <w:tblStyle w:val="TableGrid"/>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before="0" w:after="40" w:line="300" w:lineRule="auto"/>
            </w:pPr>
            <w:r/>
            <w:r>
              <w:rPr>
                <w:rFonts w:ascii="Calibri" w:hAnsi="Calibri" w:eastAsia="Microsoft YaHei"/>
                <w:b/>
                <w:color w:val="1F4D78"/>
                <w:sz w:val="21"/>
              </w:rPr>
              <w:t>问题3任务性质</w:t>
            </w:r>
          </w:p>
          <w:p>
            <w:pPr>
              <w:spacing w:before="0" w:after="0" w:line="300" w:lineRule="auto"/>
            </w:pPr>
            <w:r>
              <w:rPr>
                <w:rFonts w:ascii="Calibri" w:hAnsi="Calibri" w:eastAsia="Microsoft YaHei"/>
                <w:sz w:val="21"/>
              </w:rPr>
              <w:t>更准确地说，问题3是模型解释与可信度评估，而不是新的预测建模任务。</w:t>
            </w:r>
          </w:p>
        </w:tc>
      </w:tr>
    </w:tbl>
    <w:p>
      <w:pPr>
        <w:spacing w:before="0" w:after="160" w:line="300" w:lineRule="auto"/>
      </w:pPr>
    </w:p>
    <w:p>
      <w:pPr>
        <w:spacing w:before="360" w:after="200" w:line="300" w:lineRule="auto"/>
      </w:pPr>
      <w:r>
        <w:rPr>
          <w:rFonts w:ascii="Calibri" w:hAnsi="Calibri" w:eastAsia="Microsoft YaHei"/>
          <w:b/>
          <w:color w:val="2E74B5"/>
          <w:sz w:val="32"/>
        </w:rPr>
        <w:t>3. 三层解释框架</w:t>
      </w:r>
    </w:p>
    <w:p>
      <w:pPr>
        <w:spacing w:before="0" w:after="120" w:line="300" w:lineRule="auto"/>
      </w:pPr>
      <w:r>
        <w:rPr>
          <w:rFonts w:ascii="Calibri" w:hAnsi="Calibri" w:eastAsia="Microsoft YaHei"/>
          <w:b w:val="0"/>
          <w:color w:val="000000"/>
          <w:sz w:val="22"/>
        </w:rPr>
        <w:t>问题3采用“事前解释 -&gt; 事中解释 -&gt; 事后解释 -&gt; 物理一致性判断”的结构。</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728"/>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层次</w:t>
            </w:r>
          </w:p>
        </w:tc>
        <w:tc>
          <w:tcPr>
            <w:tcW w:type="dxa" w:w="2664"/>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核心问题</w:t>
            </w:r>
          </w:p>
        </w:tc>
        <w:tc>
          <w:tcPr>
            <w:tcW w:type="dxa" w:w="2951"/>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主要方法</w:t>
            </w:r>
          </w:p>
        </w:tc>
        <w:tc>
          <w:tcPr>
            <w:tcW w:type="dxa" w:w="2015"/>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输出结果</w:t>
            </w:r>
          </w:p>
        </w:tc>
      </w:tr>
      <w:tr>
        <w:tc>
          <w:tcPr>
            <w:tcW w:type="dxa" w:w="17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事前解释</w:t>
            </w:r>
          </w:p>
        </w:tc>
        <w:tc>
          <w:tcPr>
            <w:tcW w:type="dxa" w:w="2664"/>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变量理论上为什么可能影响输出？</w:t>
            </w:r>
          </w:p>
        </w:tc>
        <w:tc>
          <w:tcPr>
            <w:tcW w:type="dxa" w:w="2951"/>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题面变量含义、基础物理常识、少量文献依据</w:t>
            </w:r>
          </w:p>
        </w:tc>
        <w:tc>
          <w:tcPr>
            <w:tcW w:type="dxa" w:w="2015"/>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变量物理含义与预期影响表</w:t>
            </w:r>
          </w:p>
        </w:tc>
      </w:tr>
      <w:tr>
        <w:tc>
          <w:tcPr>
            <w:tcW w:type="dxa" w:w="17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事中解释</w:t>
            </w:r>
          </w:p>
        </w:tc>
        <w:tc>
          <w:tcPr>
            <w:tcW w:type="dxa" w:w="2664"/>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模型实际依赖哪些变量？</w:t>
            </w:r>
          </w:p>
        </w:tc>
        <w:tc>
          <w:tcPr>
            <w:tcW w:type="dxa" w:w="2951"/>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排列重要性、Ridge 系数、树模型特征重要性</w:t>
            </w:r>
          </w:p>
        </w:tc>
        <w:tc>
          <w:tcPr>
            <w:tcW w:type="dxa" w:w="2015"/>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模型依赖变量排序图</w:t>
            </w:r>
          </w:p>
        </w:tc>
      </w:tr>
      <w:tr>
        <w:tc>
          <w:tcPr>
            <w:tcW w:type="dxa" w:w="17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事后解释</w:t>
            </w:r>
          </w:p>
        </w:tc>
        <w:tc>
          <w:tcPr>
            <w:tcW w:type="dxa" w:w="2664"/>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关键变量变化时，预测是否合理变化？</w:t>
            </w:r>
          </w:p>
        </w:tc>
        <w:tc>
          <w:tcPr>
            <w:tcW w:type="dxa" w:w="2951"/>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敏感性扰动、PDP 部分依赖图</w:t>
            </w:r>
          </w:p>
        </w:tc>
        <w:tc>
          <w:tcPr>
            <w:tcW w:type="dxa" w:w="2015"/>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输出响应趋势图</w:t>
            </w:r>
          </w:p>
        </w:tc>
      </w:tr>
      <w:tr>
        <w:tc>
          <w:tcPr>
            <w:tcW w:type="dxa" w:w="17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一致性判断</w:t>
            </w:r>
          </w:p>
        </w:tc>
        <w:tc>
          <w:tcPr>
            <w:tcW w:type="dxa" w:w="2664"/>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模型解释是否符合物理直觉？</w:t>
            </w:r>
          </w:p>
        </w:tc>
        <w:tc>
          <w:tcPr>
            <w:tcW w:type="dxa" w:w="2951"/>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对比物理预期、模型依赖、输出响应</w:t>
            </w:r>
          </w:p>
        </w:tc>
        <w:tc>
          <w:tcPr>
            <w:tcW w:type="dxa" w:w="2015"/>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高/中/低一致性评价</w:t>
            </w:r>
          </w:p>
        </w:tc>
      </w:tr>
    </w:tbl>
    <w:p>
      <w:pPr>
        <w:spacing w:before="40" w:after="160" w:line="300" w:lineRule="auto"/>
      </w:pPr>
    </w:p>
    <w:p>
      <w:pPr>
        <w:spacing w:before="360" w:after="200" w:line="300" w:lineRule="auto"/>
      </w:pPr>
      <w:r>
        <w:rPr>
          <w:rFonts w:ascii="Calibri" w:hAnsi="Calibri" w:eastAsia="Microsoft YaHei"/>
          <w:b/>
          <w:color w:val="2E74B5"/>
          <w:sz w:val="32"/>
        </w:rPr>
        <w:t>4. 事前解释：变量物理意义</w:t>
      </w:r>
    </w:p>
    <w:p>
      <w:pPr>
        <w:spacing w:before="0" w:after="120" w:line="300" w:lineRule="auto"/>
      </w:pPr>
      <w:r>
        <w:rPr>
          <w:rFonts w:ascii="Calibri" w:hAnsi="Calibri" w:eastAsia="Microsoft YaHei"/>
          <w:b w:val="0"/>
          <w:color w:val="000000"/>
          <w:sz w:val="22"/>
        </w:rPr>
        <w:t>事前解释不是要求掌握高深核物理，而是基于题面变量含义、基础物理常识和少量文献依据，建立变量与输出之间可能存在关系的物理预期。</w:t>
      </w:r>
    </w:p>
    <w:tbl>
      <w:tblPr>
        <w:tblStyle w:val="TableGrid"/>
        <w:tblW w:type="auto" w:w="0"/>
        <w:jc w:val="left"/>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依据来源</w:t>
            </w:r>
          </w:p>
        </w:tc>
        <w:tc>
          <w:tcPr>
            <w:tcW w:type="dxa" w:w="6768"/>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用法</w:t>
            </w:r>
          </w:p>
        </w:tc>
      </w:tr>
      <w:tr>
        <w:tc>
          <w:tcPr>
            <w:tcW w:type="dxa" w:w="259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题面说明</w:t>
            </w:r>
          </w:p>
        </w:tc>
        <w:tc>
          <w:tcPr>
            <w:tcW w:type="dxa" w:w="676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优先使用题目已经给出的变量含义。</w:t>
            </w:r>
          </w:p>
        </w:tc>
      </w:tr>
      <w:tr>
        <w:tc>
          <w:tcPr>
            <w:tcW w:type="dxa" w:w="259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基础物理常识</w:t>
            </w:r>
          </w:p>
        </w:tc>
        <w:tc>
          <w:tcPr>
            <w:tcW w:type="dxa" w:w="676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只写基础关系，如热量、温度、压力、流量、裂变、吸收等。</w:t>
            </w:r>
          </w:p>
        </w:tc>
      </w:tr>
      <w:tr>
        <w:tc>
          <w:tcPr>
            <w:tcW w:type="dxa" w:w="259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少量文献或资料</w:t>
            </w:r>
          </w:p>
        </w:tc>
        <w:tc>
          <w:tcPr>
            <w:tcW w:type="dxa" w:w="676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用于佐证关键词，不做复杂理论展开。</w:t>
            </w:r>
          </w:p>
        </w:tc>
      </w:tr>
    </w:tbl>
    <w:p>
      <w:pPr>
        <w:spacing w:before="40" w:after="160" w:line="300" w:lineRule="auto"/>
      </w:pPr>
    </w:p>
    <w:p>
      <w:pPr>
        <w:spacing w:before="0" w:after="120" w:line="300" w:lineRule="auto"/>
      </w:pPr>
      <w:r>
        <w:rPr>
          <w:rFonts w:ascii="Calibri" w:hAnsi="Calibri" w:eastAsia="Microsoft YaHei"/>
          <w:b w:val="0"/>
          <w:color w:val="000000"/>
          <w:sz w:val="22"/>
        </w:rPr>
        <w:t>写作时应保持保守，避免绝对化表达，推荐使用“可能影响”“通常与……有关”“从物理意义上看”“在该数据背景下可解释为”等表述。</w:t>
      </w:r>
    </w:p>
    <w:tbl>
      <w:tblPr>
        <w:tblStyle w:val="TableGrid"/>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before="0" w:after="40" w:line="300" w:lineRule="auto"/>
            </w:pPr>
            <w:r/>
            <w:r>
              <w:rPr>
                <w:rFonts w:ascii="Calibri" w:hAnsi="Calibri" w:eastAsia="Microsoft YaHei"/>
                <w:b/>
                <w:color w:val="1F4D78"/>
                <w:sz w:val="21"/>
              </w:rPr>
              <w:t>关键提醒</w:t>
            </w:r>
          </w:p>
          <w:p>
            <w:pPr>
              <w:spacing w:before="0" w:after="0" w:line="300" w:lineRule="auto"/>
            </w:pPr>
            <w:r>
              <w:rPr>
                <w:rFonts w:ascii="Calibri" w:hAnsi="Calibri" w:eastAsia="Microsoft YaHei"/>
                <w:sz w:val="21"/>
              </w:rPr>
              <w:t>有物理意义不等于在当前数据中最重要。事前解释只说明变量理论上可能相关；变量实际重要性需要由事中解释和问题1综合得分进一步判断。</w:t>
            </w:r>
          </w:p>
        </w:tc>
      </w:tr>
    </w:tbl>
    <w:p>
      <w:pPr>
        <w:spacing w:before="0" w:after="160" w:line="300" w:lineRule="auto"/>
      </w:pPr>
    </w:p>
    <w:p>
      <w:pPr>
        <w:spacing w:before="360" w:after="200" w:line="300" w:lineRule="auto"/>
      </w:pPr>
      <w:r>
        <w:rPr>
          <w:rFonts w:ascii="Calibri" w:hAnsi="Calibri" w:eastAsia="Microsoft YaHei"/>
          <w:b/>
          <w:color w:val="2E74B5"/>
          <w:sz w:val="32"/>
        </w:rPr>
        <w:t>5. 事中解释：模型依赖变量分析</w:t>
      </w:r>
    </w:p>
    <w:p>
      <w:pPr>
        <w:spacing w:before="0" w:after="120" w:line="300" w:lineRule="auto"/>
      </w:pPr>
      <w:r>
        <w:rPr>
          <w:rFonts w:ascii="Calibri" w:hAnsi="Calibri" w:eastAsia="Microsoft YaHei"/>
          <w:b w:val="0"/>
          <w:color w:val="000000"/>
          <w:sz w:val="22"/>
        </w:rPr>
        <w:t>事中解释回答“模型预测时主要依赖哪些变量”。推荐主方法是排列重要性，其逻辑是：打乱某个输入变量，如果模型性能明显下降，说明模型很依赖该变量。</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模型</w:t>
            </w:r>
          </w:p>
        </w:tc>
        <w:tc>
          <w:tcPr>
            <w:tcW w:type="dxa" w:w="7128"/>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解释方式</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Ridge 回归</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标准化回归系数绝对值。</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随机森林</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排列重要性为主；树模型自带特征重要性可作为补充。</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梯度提升树</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排列重要性为主；树模型自带特征重要性可作为补充。</w:t>
            </w:r>
          </w:p>
        </w:tc>
      </w:tr>
      <w:tr>
        <w:tc>
          <w:tcPr>
            <w:tcW w:type="dxa" w:w="223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KNN</w:t>
            </w:r>
          </w:p>
        </w:tc>
        <w:tc>
          <w:tcPr>
            <w:tcW w:type="dxa" w:w="712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解释性较弱，主要作为对照模型，不作为解释主力。</w:t>
            </w:r>
          </w:p>
        </w:tc>
      </w:tr>
    </w:tbl>
    <w:p>
      <w:pPr>
        <w:spacing w:before="40" w:after="160" w:line="300" w:lineRule="auto"/>
      </w:pPr>
    </w:p>
    <w:tbl>
      <w:tblPr>
        <w:tblStyle w:val="TableGrid"/>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before="0" w:after="40" w:line="300" w:lineRule="auto"/>
            </w:pPr>
            <w:r/>
            <w:r>
              <w:rPr>
                <w:rFonts w:ascii="Calibri" w:hAnsi="Calibri" w:eastAsia="Microsoft YaHei"/>
                <w:b/>
                <w:color w:val="1F4D78"/>
                <w:sz w:val="21"/>
              </w:rPr>
              <w:t>避免重复</w:t>
            </w:r>
          </w:p>
          <w:p>
            <w:pPr>
              <w:spacing w:before="0" w:after="0" w:line="300" w:lineRule="auto"/>
            </w:pPr>
            <w:r>
              <w:rPr>
                <w:rFonts w:ascii="Calibri" w:hAnsi="Calibri" w:eastAsia="Microsoft YaHei"/>
                <w:sz w:val="21"/>
              </w:rPr>
              <w:t>特征重要性图属于事中解释，用于找“模型依赖谁”；不要在事后解释中重复使用同一类图。</w:t>
            </w:r>
          </w:p>
        </w:tc>
      </w:tr>
    </w:tbl>
    <w:p>
      <w:pPr>
        <w:spacing w:before="0" w:after="160" w:line="300" w:lineRule="auto"/>
      </w:pPr>
    </w:p>
    <w:p>
      <w:pPr>
        <w:spacing w:before="360" w:after="200" w:line="300" w:lineRule="auto"/>
      </w:pPr>
      <w:r>
        <w:rPr>
          <w:rFonts w:ascii="Calibri" w:hAnsi="Calibri" w:eastAsia="Microsoft YaHei"/>
          <w:b/>
          <w:color w:val="2E74B5"/>
          <w:sz w:val="32"/>
        </w:rPr>
        <w:t>6. 事后解释：输出响应与物理一致性</w:t>
      </w:r>
    </w:p>
    <w:p>
      <w:pPr>
        <w:spacing w:before="0" w:after="120" w:line="300" w:lineRule="auto"/>
      </w:pPr>
      <w:r>
        <w:rPr>
          <w:rFonts w:ascii="Calibri" w:hAnsi="Calibri" w:eastAsia="Microsoft YaHei"/>
          <w:b w:val="0"/>
          <w:color w:val="000000"/>
          <w:sz w:val="22"/>
        </w:rPr>
        <w:t>事后解释回答“既然模型依赖这些变量，那么这些变量变化时，模型输出是否合理变化”。推荐主方法是敏感性扰动分析。</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方法</w:t>
            </w:r>
          </w:p>
        </w:tc>
        <w:tc>
          <w:tcPr>
            <w:tcW w:type="dxa" w:w="4536"/>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含义</w:t>
            </w:r>
          </w:p>
        </w:tc>
        <w:tc>
          <w:tcPr>
            <w:tcW w:type="dxa" w:w="2736"/>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建议</w:t>
            </w:r>
          </w:p>
        </w:tc>
      </w:tr>
      <w:tr>
        <w:tc>
          <w:tcPr>
            <w:tcW w:type="dxa" w:w="208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敏感性扰动</w:t>
            </w:r>
          </w:p>
        </w:tc>
        <w:tc>
          <w:tcPr>
            <w:tcW w:type="dxa" w:w="4536"/>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固定其他变量不变，将关键变量增加或减少一定比例，如 ±10%，观察预测输出变化。</w:t>
            </w:r>
          </w:p>
        </w:tc>
        <w:tc>
          <w:tcPr>
            <w:tcW w:type="dxa" w:w="2736"/>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必做，适合每个数据集。</w:t>
            </w:r>
          </w:p>
        </w:tc>
      </w:tr>
      <w:tr>
        <w:tc>
          <w:tcPr>
            <w:tcW w:type="dxa" w:w="208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PDP 部分依赖图</w:t>
            </w:r>
          </w:p>
        </w:tc>
        <w:tc>
          <w:tcPr>
            <w:tcW w:type="dxa" w:w="4536"/>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固定模型，改变一个输入变量，观察模型平均预测值如何随该变量变化。</w:t>
            </w:r>
          </w:p>
        </w:tc>
        <w:tc>
          <w:tcPr>
            <w:tcW w:type="dxa" w:w="2736"/>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选做，适合代表性数据集或关键变量。</w:t>
            </w:r>
          </w:p>
        </w:tc>
      </w:tr>
      <w:tr>
        <w:tc>
          <w:tcPr>
            <w:tcW w:type="dxa" w:w="208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SHAP 图</w:t>
            </w:r>
          </w:p>
        </w:tc>
        <w:tc>
          <w:tcPr>
            <w:tcW w:type="dxa" w:w="4536"/>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从样本层面解释各变量对预测的贡献。</w:t>
            </w:r>
          </w:p>
        </w:tc>
        <w:tc>
          <w:tcPr>
            <w:tcW w:type="dxa" w:w="2736"/>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选做，环境和时间允许时作为加分项。</w:t>
            </w:r>
          </w:p>
        </w:tc>
      </w:tr>
    </w:tbl>
    <w:p>
      <w:pPr>
        <w:spacing w:before="40" w:after="160" w:line="300" w:lineRule="auto"/>
      </w:pPr>
    </w:p>
    <w:p>
      <w:pPr>
        <w:spacing w:before="0" w:after="120" w:line="300" w:lineRule="auto"/>
      </w:pPr>
      <w:r>
        <w:rPr>
          <w:rFonts w:ascii="Calibri" w:hAnsi="Calibri" w:eastAsia="Microsoft YaHei"/>
          <w:b w:val="0"/>
          <w:color w:val="000000"/>
          <w:sz w:val="22"/>
        </w:rPr>
        <w:t>敏感性扰动关注局部变化，例如 ±10%；PDP 图关注变量在整个取值范围内变化时的平均影响趋势。对新手来说，敏感性扰动是主方法，PDP 是补充方法。</w:t>
      </w:r>
    </w:p>
    <w:p>
      <w:pPr>
        <w:spacing w:before="360" w:after="200" w:line="300" w:lineRule="auto"/>
      </w:pPr>
      <w:r>
        <w:rPr>
          <w:rFonts w:ascii="Calibri" w:hAnsi="Calibri" w:eastAsia="Microsoft YaHei"/>
          <w:b/>
          <w:color w:val="2E74B5"/>
          <w:sz w:val="32"/>
        </w:rPr>
        <w:t>7. 物理一致性评价</w:t>
      </w:r>
    </w:p>
    <w:p>
      <w:pPr>
        <w:spacing w:before="0" w:after="120" w:line="300" w:lineRule="auto"/>
      </w:pPr>
      <w:r>
        <w:rPr>
          <w:rFonts w:ascii="Calibri" w:hAnsi="Calibri" w:eastAsia="Microsoft YaHei"/>
          <w:b w:val="0"/>
          <w:color w:val="000000"/>
          <w:sz w:val="22"/>
        </w:rPr>
        <w:t>物理一致性不是严格数学证明，而是定性判断：模型依赖的关键变量和输出响应趋势是否符合题面与基本物理直觉。</w:t>
      </w:r>
    </w:p>
    <w:tbl>
      <w:tblPr>
        <w:tblStyle w:val="TableGrid"/>
        <w:tblW w:type="auto" w:w="0"/>
        <w:jc w:val="left"/>
        <w:tblLayout w:type="fixed"/>
        <w:tblLook w:firstColumn="1" w:firstRow="1" w:lastColumn="0" w:lastRow="0" w:noHBand="0" w:noVBand="1" w:val="04A0"/>
      </w:tblPr>
      <w:tblGrid>
        <w:gridCol w:w="4680"/>
        <w:gridCol w:w="4680"/>
      </w:tblGrid>
      <w:tr>
        <w:tc>
          <w:tcPr>
            <w:tcW w:type="dxa" w:w="2088"/>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等级</w:t>
            </w:r>
          </w:p>
        </w:tc>
        <w:tc>
          <w:tcPr>
            <w:tcW w:type="dxa" w:w="7272"/>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判断标准</w:t>
            </w:r>
          </w:p>
        </w:tc>
      </w:tr>
      <w:tr>
        <w:tc>
          <w:tcPr>
            <w:tcW w:type="dxa" w:w="208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高一致性</w:t>
            </w:r>
          </w:p>
        </w:tc>
        <w:tc>
          <w:tcPr>
            <w:tcW w:type="dxa" w:w="727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重要特征与题面或物理机理一致，扰动趋势合理。</w:t>
            </w:r>
          </w:p>
        </w:tc>
      </w:tr>
      <w:tr>
        <w:tc>
          <w:tcPr>
            <w:tcW w:type="dxa" w:w="208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中一致性</w:t>
            </w:r>
          </w:p>
        </w:tc>
        <w:tc>
          <w:tcPr>
            <w:tcW w:type="dxa" w:w="727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大部分重要特征合理，但部分变量解释不清。</w:t>
            </w:r>
          </w:p>
        </w:tc>
      </w:tr>
      <w:tr>
        <w:tc>
          <w:tcPr>
            <w:tcW w:type="dxa" w:w="2088"/>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低一致性</w:t>
            </w:r>
          </w:p>
        </w:tc>
        <w:tc>
          <w:tcPr>
            <w:tcW w:type="dxa" w:w="7272"/>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模型依赖的变量缺乏物理依据，扰动结果反常。</w:t>
            </w:r>
          </w:p>
        </w:tc>
      </w:tr>
    </w:tbl>
    <w:p>
      <w:pPr>
        <w:spacing w:before="40" w:after="160" w:line="300" w:lineRule="auto"/>
      </w:pPr>
    </w:p>
    <w:tbl>
      <w:tblPr>
        <w:tblStyle w:val="TableGrid"/>
        <w:tblW w:type="auto" w:w="0"/>
        <w:jc w:val="left"/>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before="0" w:after="40" w:line="300" w:lineRule="auto"/>
            </w:pPr>
            <w:r/>
            <w:r>
              <w:rPr>
                <w:rFonts w:ascii="Calibri" w:hAnsi="Calibri" w:eastAsia="Microsoft YaHei"/>
                <w:b/>
                <w:color w:val="1F4D78"/>
                <w:sz w:val="21"/>
              </w:rPr>
              <w:t>判断闭环</w:t>
            </w:r>
          </w:p>
          <w:p>
            <w:pPr>
              <w:spacing w:before="0" w:after="0" w:line="300" w:lineRule="auto"/>
            </w:pPr>
            <w:r>
              <w:rPr>
                <w:rFonts w:ascii="Calibri" w:hAnsi="Calibri" w:eastAsia="Microsoft YaHei"/>
                <w:sz w:val="21"/>
              </w:rPr>
              <w:t>事前物理预期 -&gt; 事中模型依赖变量 -&gt; 事后输出响应趋势 -&gt; 物理一致性等级。</w:t>
            </w:r>
          </w:p>
        </w:tc>
      </w:tr>
    </w:tbl>
    <w:p>
      <w:pPr>
        <w:spacing w:before="0" w:after="160" w:line="300" w:lineRule="auto"/>
      </w:pPr>
    </w:p>
    <w:p>
      <w:pPr>
        <w:spacing w:before="360" w:after="200" w:line="300" w:lineRule="auto"/>
      </w:pPr>
      <w:r>
        <w:rPr>
          <w:rFonts w:ascii="Calibri" w:hAnsi="Calibri" w:eastAsia="Microsoft YaHei"/>
          <w:b/>
          <w:color w:val="2E74B5"/>
          <w:sz w:val="32"/>
        </w:rPr>
        <w:t>8. 推荐图表</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20"/>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图表</w:t>
            </w:r>
          </w:p>
        </w:tc>
        <w:tc>
          <w:tcPr>
            <w:tcW w:type="dxa" w:w="1800"/>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是否必做</w:t>
            </w:r>
          </w:p>
        </w:tc>
        <w:tc>
          <w:tcPr>
            <w:tcW w:type="dxa" w:w="5040"/>
            <w:vAlign w:val="center"/>
            <w:tcMar>
              <w:top w:w="80" w:type="dxa"/>
              <w:start w:w="120" w:type="dxa"/>
              <w:bottom w:w="80" w:type="dxa"/>
              <w:end w:w="120" w:type="dxa"/>
            </w:tcMar>
            <w:shd w:fill="E8EEF5"/>
          </w:tcPr>
          <w:p>
            <w:pPr>
              <w:spacing w:before="0" w:after="0" w:line="288" w:lineRule="auto"/>
            </w:pPr>
            <w:r/>
            <w:r>
              <w:rPr>
                <w:rFonts w:ascii="Calibri" w:hAnsi="Calibri" w:eastAsia="Microsoft YaHei"/>
                <w:b/>
                <w:color w:val="0B2545"/>
                <w:sz w:val="20"/>
              </w:rPr>
              <w:t>作用</w:t>
            </w:r>
          </w:p>
        </w:tc>
      </w:tr>
      <w:tr>
        <w:tc>
          <w:tcPr>
            <w:tcW w:type="dxa" w:w="252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变量物理含义表</w:t>
            </w:r>
          </w:p>
        </w:tc>
        <w:tc>
          <w:tcPr>
            <w:tcW w:type="dxa" w:w="180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必做</w:t>
            </w:r>
          </w:p>
        </w:tc>
        <w:tc>
          <w:tcPr>
            <w:tcW w:type="dxa" w:w="504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建立事前解释基础。</w:t>
            </w:r>
          </w:p>
        </w:tc>
      </w:tr>
      <w:tr>
        <w:tc>
          <w:tcPr>
            <w:tcW w:type="dxa" w:w="252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排列重要性图</w:t>
            </w:r>
          </w:p>
        </w:tc>
        <w:tc>
          <w:tcPr>
            <w:tcW w:type="dxa" w:w="180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必做</w:t>
            </w:r>
          </w:p>
        </w:tc>
        <w:tc>
          <w:tcPr>
            <w:tcW w:type="dxa" w:w="504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展示模型实际依赖哪些变量。</w:t>
            </w:r>
          </w:p>
        </w:tc>
      </w:tr>
      <w:tr>
        <w:tc>
          <w:tcPr>
            <w:tcW w:type="dxa" w:w="252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敏感性扰动图</w:t>
            </w:r>
          </w:p>
        </w:tc>
        <w:tc>
          <w:tcPr>
            <w:tcW w:type="dxa" w:w="180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必做</w:t>
            </w:r>
          </w:p>
        </w:tc>
        <w:tc>
          <w:tcPr>
            <w:tcW w:type="dxa" w:w="504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检验关键变量变化时输出是否合理变化。</w:t>
            </w:r>
          </w:p>
        </w:tc>
      </w:tr>
      <w:tr>
        <w:tc>
          <w:tcPr>
            <w:tcW w:type="dxa" w:w="252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PDP 图</w:t>
            </w:r>
          </w:p>
        </w:tc>
        <w:tc>
          <w:tcPr>
            <w:tcW w:type="dxa" w:w="180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选做</w:t>
            </w:r>
          </w:p>
        </w:tc>
        <w:tc>
          <w:tcPr>
            <w:tcW w:type="dxa" w:w="504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展示关键变量全范围影响趋势。</w:t>
            </w:r>
          </w:p>
        </w:tc>
      </w:tr>
      <w:tr>
        <w:tc>
          <w:tcPr>
            <w:tcW w:type="dxa" w:w="252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SHAP 图</w:t>
            </w:r>
          </w:p>
        </w:tc>
        <w:tc>
          <w:tcPr>
            <w:tcW w:type="dxa" w:w="180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选做</w:t>
            </w:r>
          </w:p>
        </w:tc>
        <w:tc>
          <w:tcPr>
            <w:tcW w:type="dxa" w:w="5040"/>
            <w:vAlign w:val="center"/>
            <w:tcMar>
              <w:top w:w="80" w:type="dxa"/>
              <w:start w:w="120" w:type="dxa"/>
              <w:bottom w:w="80" w:type="dxa"/>
              <w:end w:w="120" w:type="dxa"/>
            </w:tcMar>
          </w:tcPr>
          <w:p>
            <w:pPr>
              <w:spacing w:before="0" w:after="0" w:line="288" w:lineRule="auto"/>
            </w:pPr>
            <w:r/>
            <w:r>
              <w:rPr>
                <w:rFonts w:ascii="Calibri" w:hAnsi="Calibri" w:eastAsia="Microsoft YaHei"/>
                <w:b w:val="0"/>
                <w:color w:val="000000"/>
                <w:sz w:val="20"/>
              </w:rPr>
              <w:t>环境和时间允许时作为加分项。</w:t>
            </w:r>
          </w:p>
        </w:tc>
      </w:tr>
    </w:tbl>
    <w:p>
      <w:pPr>
        <w:spacing w:before="40" w:after="160" w:line="300" w:lineRule="auto"/>
      </w:pPr>
    </w:p>
    <w:p>
      <w:pPr>
        <w:spacing w:before="360" w:after="200" w:line="300" w:lineRule="auto"/>
      </w:pPr>
      <w:r>
        <w:rPr>
          <w:rFonts w:ascii="Calibri" w:hAnsi="Calibri" w:eastAsia="Microsoft YaHei"/>
          <w:b/>
          <w:color w:val="2E74B5"/>
          <w:sz w:val="32"/>
        </w:rPr>
        <w:t>9. 问题3完整流程</w:t>
      </w:r>
    </w:p>
    <w:p>
      <w:pPr>
        <w:pStyle w:val="ListNumber"/>
        <w:spacing w:before="0" w:after="80" w:line="300" w:lineRule="auto"/>
      </w:pPr>
      <w:r>
        <w:rPr>
          <w:rFonts w:ascii="Calibri" w:hAnsi="Calibri" w:eastAsia="Microsoft YaHei"/>
          <w:sz w:val="22"/>
        </w:rPr>
        <w:t>使用问题2得到的最优模型。</w:t>
      </w:r>
    </w:p>
    <w:p>
      <w:pPr>
        <w:pStyle w:val="ListNumber"/>
        <w:spacing w:before="0" w:after="80" w:line="300" w:lineRule="auto"/>
      </w:pPr>
      <w:r>
        <w:rPr>
          <w:rFonts w:ascii="Calibri" w:hAnsi="Calibri" w:eastAsia="Microsoft YaHei"/>
          <w:sz w:val="22"/>
        </w:rPr>
        <w:t>整理变量物理含义与预期影响方向。</w:t>
      </w:r>
    </w:p>
    <w:p>
      <w:pPr>
        <w:pStyle w:val="ListNumber"/>
        <w:spacing w:before="0" w:after="80" w:line="300" w:lineRule="auto"/>
      </w:pPr>
      <w:r>
        <w:rPr>
          <w:rFonts w:ascii="Calibri" w:hAnsi="Calibri" w:eastAsia="Microsoft YaHei"/>
          <w:sz w:val="22"/>
        </w:rPr>
        <w:t>使用排列重要性识别模型依赖变量。</w:t>
      </w:r>
    </w:p>
    <w:p>
      <w:pPr>
        <w:pStyle w:val="ListNumber"/>
        <w:spacing w:before="0" w:after="80" w:line="300" w:lineRule="auto"/>
      </w:pPr>
      <w:r>
        <w:rPr>
          <w:rFonts w:ascii="Calibri" w:hAnsi="Calibri" w:eastAsia="Microsoft YaHei"/>
          <w:sz w:val="22"/>
        </w:rPr>
        <w:t>对关键变量进行 ±10% 敏感性扰动。</w:t>
      </w:r>
    </w:p>
    <w:p>
      <w:pPr>
        <w:pStyle w:val="ListNumber"/>
        <w:spacing w:before="0" w:after="80" w:line="300" w:lineRule="auto"/>
      </w:pPr>
      <w:r>
        <w:rPr>
          <w:rFonts w:ascii="Calibri" w:hAnsi="Calibri" w:eastAsia="Microsoft YaHei"/>
          <w:sz w:val="22"/>
        </w:rPr>
        <w:t>选取代表性数据集或关键变量绘制 PDP 图。</w:t>
      </w:r>
    </w:p>
    <w:p>
      <w:pPr>
        <w:pStyle w:val="ListNumber"/>
        <w:spacing w:before="0" w:after="80" w:line="300" w:lineRule="auto"/>
      </w:pPr>
      <w:r>
        <w:rPr>
          <w:rFonts w:ascii="Calibri" w:hAnsi="Calibri" w:eastAsia="Microsoft YaHei"/>
          <w:sz w:val="22"/>
        </w:rPr>
        <w:t>对比物理预期、模型依赖和输出响应。</w:t>
      </w:r>
    </w:p>
    <w:p>
      <w:pPr>
        <w:pStyle w:val="ListNumber"/>
        <w:spacing w:before="0" w:after="80" w:line="300" w:lineRule="auto"/>
      </w:pPr>
      <w:r>
        <w:rPr>
          <w:rFonts w:ascii="Calibri" w:hAnsi="Calibri" w:eastAsia="Microsoft YaHei"/>
          <w:sz w:val="22"/>
        </w:rPr>
        <w:t>给出高/中/低物理一致性评价。</w:t>
      </w:r>
    </w:p>
    <w:p>
      <w:pPr>
        <w:pStyle w:val="ListNumber"/>
        <w:spacing w:before="0" w:after="80" w:line="300" w:lineRule="auto"/>
      </w:pPr>
      <w:r>
        <w:rPr>
          <w:rFonts w:ascii="Calibri" w:hAnsi="Calibri" w:eastAsia="Microsoft YaHei"/>
          <w:sz w:val="22"/>
        </w:rPr>
        <w:t>分析模型可信度、局限性和改进方向。</w:t>
      </w:r>
    </w:p>
    <w:p>
      <w:pPr>
        <w:spacing w:before="360" w:after="200" w:line="300" w:lineRule="auto"/>
      </w:pPr>
      <w:r>
        <w:rPr>
          <w:rFonts w:ascii="Calibri" w:hAnsi="Calibri" w:eastAsia="Microsoft YaHei"/>
          <w:b/>
          <w:color w:val="2E74B5"/>
          <w:sz w:val="32"/>
        </w:rPr>
        <w:t>10. 可直接写入论文的总结段</w:t>
      </w:r>
    </w:p>
    <w:p>
      <w:pPr>
        <w:spacing w:before="0" w:after="120" w:line="300" w:lineRule="auto"/>
      </w:pPr>
      <w:r>
        <w:rPr>
          <w:rFonts w:ascii="Calibri" w:hAnsi="Calibri" w:eastAsia="Microsoft YaHei"/>
          <w:b w:val="0"/>
          <w:color w:val="000000"/>
          <w:sz w:val="22"/>
        </w:rPr>
        <w:t>本文构建三层物理一致性解释模型，从事前、事中和事后三个层面对预测模型进行可解释性分析。事前解释基于题面变量含义、基础物理常识和相关文献，建立输入变量与输出变量之间的物理预期；事中解释采用排列重要性等方法识别模型实际依赖的关键变量；事后解释通过敏感性扰动和部分依赖图分析关键变量变化时预测输出的响应趋势。最后，将物理预期、模型依赖和输出响应进行对比，判断模型是否符合核能系统中的物理合理关系，从而提升预测结果的可信度。</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pPr>
    <w:r>
      <w:rPr>
        <w:rFonts w:ascii="Calibri" w:hAnsi="Calibri" w:eastAsia="Microsoft YaHei"/>
        <w:color w:val="5B6670"/>
        <w:sz w:val="18"/>
      </w:rPr>
      <w:t>数学建模备赛资料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right"/>
    </w:pPr>
    <w:r>
      <w:rPr>
        <w:rFonts w:ascii="Calibri" w:hAnsi="Calibri" w:eastAsia="Microsoft YaHei"/>
        <w:color w:val="5B6670"/>
        <w:sz w:val="18"/>
      </w:rPr>
      <w:t>B题第二阶段 - 问题3总结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