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FBDF" w14:textId="77777777" w:rsidR="008E3763" w:rsidRDefault="008E3763" w:rsidP="008E3763">
      <w:pPr>
        <w:pStyle w:val="Heading2"/>
      </w:pPr>
      <w:r>
        <w:t>Supplementary Methods S1. Predictor data acquisition and preprocessing</w:t>
      </w:r>
    </w:p>
    <w:p w14:paraId="6786A574" w14:textId="77777777" w:rsidR="008E3763" w:rsidRPr="008E3763" w:rsidRDefault="008E3763" w:rsidP="008E3763">
      <w:pPr>
        <w:spacing w:before="100" w:beforeAutospacing="1" w:after="100" w:afterAutospacing="1"/>
        <w:outlineLvl w:val="2"/>
        <w:rPr>
          <w:b/>
          <w:bCs/>
          <w:sz w:val="27"/>
          <w:szCs w:val="27"/>
        </w:rPr>
      </w:pPr>
      <w:r>
        <w:rPr>
          <w:b/>
          <w:bCs/>
          <w:sz w:val="27"/>
          <w:szCs w:val="27"/>
        </w:rPr>
        <w:t>S1.1 Data sources</w:t>
      </w:r>
    </w:p>
    <w:p w14:paraId="33862E54" w14:textId="77777777" w:rsidR="008E3763" w:rsidRDefault="008E3763" w:rsidP="008E3763">
      <w:pPr>
        <w:pStyle w:val="NormalWeb"/>
      </w:pPr>
      <w:r>
        <w:t xml:space="preserve">Predictor variables were assembled from four gridded environmental data sources and one set of large-scale climate oscillation indices, and were </w:t>
      </w:r>
      <w:r>
        <w:rPr>
          <w:rFonts w:hint="eastAsia"/>
        </w:rPr>
        <w:t>resam</w:t>
      </w:r>
      <w:r>
        <w:rPr>
          <w:lang w:val="en-US"/>
        </w:rPr>
        <w:t>pl</w:t>
      </w:r>
      <w:r>
        <w:t>ed to a common monthly temporal resolution and a common global 5 arcminute (~0.0833°) reference grid before model training. This target grid was chosen to match the spatial resolution of the CWS reference dataset, which is based on the blue-water footprint dataset used throughout this study. After feature engineering, the final machine-learning input comprised 7</w:t>
      </w:r>
      <w:r>
        <w:rPr>
          <w:rFonts w:hint="eastAsia"/>
        </w:rPr>
        <w:t>4</w:t>
      </w:r>
      <w:r>
        <w:t xml:space="preserve"> predictors; Table S1 summarises the retained variables, </w:t>
      </w:r>
      <w:r>
        <w:rPr>
          <w:rFonts w:hint="eastAsia"/>
        </w:rPr>
        <w:t>original</w:t>
      </w:r>
      <w:r>
        <w:t xml:space="preserve"> resolutions and temporal coverage.</w:t>
      </w:r>
    </w:p>
    <w:p w14:paraId="3DAC2887" w14:textId="77777777" w:rsidR="008E3763" w:rsidRDefault="008E3763" w:rsidP="008E3763">
      <w:pPr>
        <w:pStyle w:val="NormalWeb"/>
      </w:pPr>
      <w:r>
        <w:rPr>
          <w:rStyle w:val="Strong"/>
        </w:rPr>
        <w:t>ERA5-Land reanalysis.</w:t>
      </w:r>
      <w:r>
        <w:t xml:space="preserve"> Twelve atmospheric and land-surface variables were obtained from the ECMWF ERA5-Land monthly averaged reanalysis via the Copernicus Climate Data Store API (</w:t>
      </w:r>
      <w:r>
        <w:rPr>
          <w:rStyle w:val="HTMLCode"/>
        </w:rPr>
        <w:t>reanalysis-era5-land-monthly-means</w:t>
      </w:r>
      <w:r>
        <w:t xml:space="preserve">, product type </w:t>
      </w:r>
      <w:r>
        <w:rPr>
          <w:rStyle w:val="HTMLCode"/>
        </w:rPr>
        <w:t>monthly_averaged_reanalysis</w:t>
      </w:r>
      <w:r>
        <w:t>, time 00:00 UTC). The variables comprise 2 m temperature (</w:t>
      </w:r>
      <w:r>
        <w:rPr>
          <w:rStyle w:val="HTMLCode"/>
        </w:rPr>
        <w:t>t2m</w:t>
      </w:r>
      <w:r>
        <w:t>), 2 m dewpoint temperature (</w:t>
      </w:r>
      <w:r>
        <w:rPr>
          <w:rStyle w:val="HTMLCode"/>
        </w:rPr>
        <w:t>d2m</w:t>
      </w:r>
      <w:r>
        <w:t>), volumetric soil water in the top layer (</w:t>
      </w:r>
      <w:r>
        <w:rPr>
          <w:rStyle w:val="HTMLCode"/>
        </w:rPr>
        <w:t>swvl1</w:t>
      </w:r>
      <w:r>
        <w:t>), surface net and downwelling solar radiation (</w:t>
      </w:r>
      <w:r>
        <w:rPr>
          <w:rStyle w:val="HTMLCode"/>
        </w:rPr>
        <w:t>ssr</w:t>
      </w:r>
      <w:r>
        <w:t xml:space="preserve">, </w:t>
      </w:r>
      <w:r>
        <w:rPr>
          <w:rStyle w:val="HTMLCode"/>
        </w:rPr>
        <w:t>ssrd</w:t>
      </w:r>
      <w:r>
        <w:t>), bare-soil evaporation (</w:t>
      </w:r>
      <w:r>
        <w:rPr>
          <w:rStyle w:val="HTMLCode"/>
        </w:rPr>
        <w:t>evabs</w:t>
      </w:r>
      <w:r>
        <w:t>), vegetation transpiration (</w:t>
      </w:r>
      <w:r>
        <w:rPr>
          <w:rStyle w:val="HTMLCode"/>
        </w:rPr>
        <w:t>evavt</w:t>
      </w:r>
      <w:r>
        <w:t>), runoff (</w:t>
      </w:r>
      <w:r>
        <w:rPr>
          <w:rStyle w:val="HTMLCode"/>
        </w:rPr>
        <w:t>ro</w:t>
      </w:r>
      <w:r>
        <w:t>), 10 m zonal and meridional wind (</w:t>
      </w:r>
      <w:r>
        <w:rPr>
          <w:rStyle w:val="HTMLCode"/>
        </w:rPr>
        <w:t>u10</w:t>
      </w:r>
      <w:r>
        <w:t xml:space="preserve">, </w:t>
      </w:r>
      <w:r>
        <w:rPr>
          <w:rStyle w:val="HTMLCode"/>
        </w:rPr>
        <w:t>v10</w:t>
      </w:r>
      <w:r>
        <w:t>), surface pressure (</w:t>
      </w:r>
      <w:r>
        <w:rPr>
          <w:rStyle w:val="HTMLCode"/>
        </w:rPr>
        <w:t>sp</w:t>
      </w:r>
      <w:r>
        <w:t>), and total precipitation (</w:t>
      </w:r>
      <w:r>
        <w:rPr>
          <w:rStyle w:val="HTMLCode"/>
        </w:rPr>
        <w:t>tp</w:t>
      </w:r>
      <w:r>
        <w:t>). ERA5-Land data were retrieved on the regular 0.1° × 0.1° latitude–longitude grid provided by the CDS [1].</w:t>
      </w:r>
    </w:p>
    <w:p w14:paraId="109B9EFC" w14:textId="77777777" w:rsidR="008E3763" w:rsidRDefault="008E3763" w:rsidP="008E3763">
      <w:pPr>
        <w:pStyle w:val="NormalWeb"/>
      </w:pPr>
      <w:r>
        <w:rPr>
          <w:rStyle w:val="Strong"/>
        </w:rPr>
        <w:t>MODIS vegetation indices.</w:t>
      </w:r>
      <w:r>
        <w:t xml:space="preserve"> Monthly vegetation indices were obtained from MOD13C2 Version 061 (Terra Vegetation Indices, Climate Modeling Grid, 0.05° × 0.05°), accessed programmatically via the NASA </w:t>
      </w:r>
      <w:r>
        <w:rPr>
          <w:rStyle w:val="HTMLCode"/>
        </w:rPr>
        <w:t>earthaccess</w:t>
      </w:r>
      <w:r>
        <w:t xml:space="preserve"> API. HDF4 granules were converted to NetCDF with </w:t>
      </w:r>
      <w:r>
        <w:rPr>
          <w:rStyle w:val="HTMLCode"/>
        </w:rPr>
        <w:t>pyhdf</w:t>
      </w:r>
      <w:r>
        <w:t xml:space="preserve">; fill values (−3000), </w:t>
      </w:r>
      <w:r>
        <w:rPr>
          <w:rStyle w:val="HTMLCode"/>
        </w:rPr>
        <w:t>valid_range</w:t>
      </w:r>
      <w:r>
        <w:t xml:space="preserve">, and </w:t>
      </w:r>
      <w:r>
        <w:rPr>
          <w:rStyle w:val="HTMLCode"/>
        </w:rPr>
        <w:t>scale_factor</w:t>
      </w:r>
      <w:r>
        <w:t xml:space="preserve"> / </w:t>
      </w:r>
      <w:r>
        <w:rPr>
          <w:rStyle w:val="HTMLCode"/>
        </w:rPr>
        <w:t>add_offset</w:t>
      </w:r>
      <w:r>
        <w:t xml:space="preserve"> attributes were applied to recover physical units. Variables retained in the harmonised archive include NDVI, EVI, the corresponding NDVI and EVI standard deviations, pixel reliability, VI quality flags, and surface reflectance in the red, NIR, blue and MIR bands [2].</w:t>
      </w:r>
    </w:p>
    <w:p w14:paraId="3D2ED827" w14:textId="77777777" w:rsidR="008E3763" w:rsidRDefault="008E3763" w:rsidP="008E3763">
      <w:pPr>
        <w:pStyle w:val="NormalWeb"/>
      </w:pPr>
      <w:r>
        <w:rPr>
          <w:rStyle w:val="Strong"/>
        </w:rPr>
        <w:t>Soil moisture anomaly (SMIA).</w:t>
      </w:r>
      <w:r>
        <w:t xml:space="preserve"> Dekadal soil moisture anomaly data were obtained from the Copernicus European Drought Observatory. For each month, three snapshots (nominally the 1st, 11th and 21st day) were retained as separate predictors (</w:t>
      </w:r>
      <w:r>
        <w:rPr>
          <w:rStyle w:val="HTMLCode"/>
        </w:rPr>
        <w:t>smia_01</w:t>
      </w:r>
      <w:r>
        <w:t xml:space="preserve">, </w:t>
      </w:r>
      <w:r>
        <w:rPr>
          <w:rStyle w:val="HTMLCode"/>
        </w:rPr>
        <w:t>smia_11</w:t>
      </w:r>
      <w:r>
        <w:t xml:space="preserve">, </w:t>
      </w:r>
      <w:r>
        <w:rPr>
          <w:rStyle w:val="HTMLCode"/>
        </w:rPr>
        <w:t>smia_21</w:t>
      </w:r>
      <w:r>
        <w:t xml:space="preserve">). Source GeoTIFFs were converted to NetCDF with </w:t>
      </w:r>
      <w:r>
        <w:rPr>
          <w:rStyle w:val="HTMLCode"/>
        </w:rPr>
        <w:t>rasterio</w:t>
      </w:r>
      <w:r>
        <w:t xml:space="preserve">, masking values greater than or equal to </w:t>
      </w:r>
      <m:oMath>
        <m:sSup>
          <m:sSupPr>
            <m:ctrlPr>
              <w:rPr>
                <w:rFonts w:ascii="Cambria Math" w:hAnsi="Cambria Math"/>
              </w:rPr>
            </m:ctrlPr>
          </m:sSupPr>
          <m:e>
            <m:r>
              <w:rPr>
                <w:rFonts w:ascii="Cambria Math" w:hAnsi="Cambria Math"/>
              </w:rPr>
              <m:t>10</m:t>
            </m:r>
          </m:e>
          <m:sup>
            <m:r>
              <w:rPr>
                <w:rFonts w:ascii="Cambria Math" w:hAnsi="Cambria Math"/>
              </w:rPr>
              <m:t>20</m:t>
            </m:r>
          </m:sup>
        </m:sSup>
      </m:oMath>
      <w:r>
        <w:t>as missing. The downloaded SMIA data were first processed at 0.05° resolution and then resampled to the common 5 arcminute reference grid used for model training [3].</w:t>
      </w:r>
    </w:p>
    <w:p w14:paraId="49272942" w14:textId="77777777" w:rsidR="008E3763" w:rsidRDefault="008E3763" w:rsidP="008E3763">
      <w:pPr>
        <w:pStyle w:val="NormalWeb"/>
      </w:pPr>
      <w:r>
        <w:rPr>
          <w:rStyle w:val="Strong"/>
        </w:rPr>
        <w:t>Terrestrial water storage anomaly (TWSA).</w:t>
      </w:r>
      <w:r>
        <w:t xml:space="preserve"> GRACE/GRACE-FO-derived terrestrial water storage anomalies (</w:t>
      </w:r>
      <w:r>
        <w:rPr>
          <w:rStyle w:val="HTMLCode"/>
        </w:rPr>
        <w:t>twsan</w:t>
      </w:r>
      <w:r>
        <w:t>) were obtained from the same Copernicus EDO portal and are available from 2002 onward [4]. Missing months in the GRACE record, including the gap between the GRACE and GRACE-FO missions, were imputed by forward-fill from the nearest preceding available month; any leading missing months were back-filled. This step was used only to preserve a complete monthly predictor matrix and did not introduce interpolation beyond nearest-available observations. The downloaded TWSA data were first processed at 0.05° resolution and then resampled to the common 5 arcminute reference grid.</w:t>
      </w:r>
    </w:p>
    <w:p w14:paraId="7E66A1B0" w14:textId="77777777" w:rsidR="008E3763" w:rsidRDefault="008E3763" w:rsidP="008E3763">
      <w:pPr>
        <w:pStyle w:val="NormalWeb"/>
      </w:pPr>
      <w:r>
        <w:rPr>
          <w:rStyle w:val="Strong"/>
        </w:rPr>
        <w:t>NOAA climate oscillation indices.</w:t>
      </w:r>
      <w:r>
        <w:t xml:space="preserve"> Large-scale climate oscillation indices were downloaded from the NOAA Climate Prediction Center FTP archive. The final predictor set retained eight monthly indices: Niño (</w:t>
      </w:r>
      <w:r>
        <w:rPr>
          <w:rStyle w:val="HTMLCode"/>
        </w:rPr>
        <w:t>nino</w:t>
      </w:r>
      <w:r>
        <w:t>), North Atlantic Oscillation (</w:t>
      </w:r>
      <w:r>
        <w:rPr>
          <w:rStyle w:val="HTMLCode"/>
        </w:rPr>
        <w:t>nao</w:t>
      </w:r>
      <w:r>
        <w:t>), East Atlantic pattern (</w:t>
      </w:r>
      <w:r>
        <w:rPr>
          <w:rStyle w:val="HTMLCode"/>
        </w:rPr>
        <w:t>ea</w:t>
      </w:r>
      <w:r>
        <w:t xml:space="preserve">), </w:t>
        <w:lastRenderedPageBreak/>
        <w:t>Pacific–North American pattern (</w:t>
      </w:r>
      <w:r>
        <w:rPr>
          <w:rStyle w:val="HTMLCode"/>
        </w:rPr>
        <w:t>pna</w:t>
      </w:r>
      <w:r>
        <w:t>), West Pacific pattern (</w:t>
      </w:r>
      <w:r>
        <w:rPr>
          <w:rStyle w:val="HTMLCode"/>
        </w:rPr>
        <w:t>wp</w:t>
      </w:r>
      <w:r>
        <w:t>), Pacific Decadal Oscillation (</w:t>
      </w:r>
      <w:r>
        <w:rPr>
          <w:rStyle w:val="HTMLCode"/>
        </w:rPr>
        <w:t>pdo</w:t>
      </w:r>
      <w:r>
        <w:t>), East Pacific–North Pacific pattern (</w:t>
      </w:r>
      <w:r>
        <w:rPr>
          <w:rStyle w:val="HTMLCode"/>
        </w:rPr>
        <w:t>epnp</w:t>
      </w:r>
      <w:r>
        <w:t>), and the Southern Oscillation Index (</w:t>
      </w:r>
      <w:r>
        <w:rPr>
          <w:rStyle w:val="HTMLCode"/>
        </w:rPr>
        <w:t>reqsoi</w:t>
      </w:r>
      <w:r>
        <w:t>). These indices were treated as monthly global covariates and merged to all grid cells by time stamp only.</w:t>
      </w:r>
    </w:p>
    <w:p w14:paraId="4255DF8A" w14:textId="77777777" w:rsidR="008E3763" w:rsidRPr="008E3763" w:rsidRDefault="008E3763" w:rsidP="008E3763">
      <w:pPr>
        <w:spacing w:before="100" w:beforeAutospacing="1" w:after="100" w:afterAutospacing="1"/>
        <w:outlineLvl w:val="2"/>
        <w:rPr>
          <w:b/>
          <w:bCs/>
          <w:sz w:val="27"/>
          <w:szCs w:val="27"/>
        </w:rPr>
      </w:pPr>
      <w:r>
        <w:rPr>
          <w:b/>
          <w:bCs/>
          <w:sz w:val="27"/>
          <w:szCs w:val="27"/>
        </w:rPr>
        <w:t>S1.2 Temporal harmonisation and spatial resampling</w:t>
      </w:r>
    </w:p>
    <w:p w14:paraId="736D7BAF" w14:textId="77777777" w:rsidR="008E3763" w:rsidRDefault="008E3763" w:rsidP="008E3763">
      <w:pPr>
        <w:spacing w:before="100" w:beforeAutospacing="1" w:after="100" w:afterAutospacing="1"/>
        <w:outlineLvl w:val="2"/>
      </w:pPr>
      <w:r>
        <w:t>All sources were harmonised to a monthly time step. Monthly datasets (ERA5-Land and MODIS) were retained at their native temporal resolution. Finer-resolution datasets were aggregated or selected at monthly frequency, including the dekadal SMIA snapshots and the monthly TWSA series after missing-month filling. All fields were then spatially resampled to a common global 5 arcminute (~0.0833°) reference grid used throughout the merged predictor archive and in subsequent model training. Bilinear interpolation (</w:t>
      </w:r>
      <w:r>
        <w:rPr>
          <w:rStyle w:val="HTMLCode"/>
        </w:rPr>
        <w:t>xarray.Dataset.interp(method="linear")</w:t>
      </w:r>
      <w:r>
        <w:t xml:space="preserve">) was used for continuous variables. Longitudes were normalised to the </w:t>
      </w:r>
      <m:oMath>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oMath>
      <w:r>
        <w:t>convention. Outputs were stored as compressed NetCDF files (</w:t>
      </w:r>
      <w:r>
        <w:rPr>
          <w:rStyle w:val="HTMLCode"/>
        </w:rPr>
        <w:t>float32</w:t>
      </w:r>
      <w:r>
        <w:t>, zlib level 5, fill value −9999.0).</w:t>
      </w:r>
    </w:p>
    <w:p w14:paraId="4A2EDE83" w14:textId="77777777" w:rsidR="008E3763" w:rsidRPr="008E3763" w:rsidRDefault="008E3763" w:rsidP="008E3763">
      <w:pPr>
        <w:spacing w:before="100" w:beforeAutospacing="1" w:after="100" w:afterAutospacing="1"/>
        <w:outlineLvl w:val="2"/>
        <w:rPr>
          <w:b/>
          <w:bCs/>
          <w:sz w:val="27"/>
          <w:szCs w:val="27"/>
        </w:rPr>
      </w:pPr>
      <w:r>
        <w:rPr>
          <w:b/>
          <w:bCs/>
          <w:sz w:val="27"/>
          <w:szCs w:val="27"/>
        </w:rPr>
        <w:t>S1.3 Feature engineering</w:t>
      </w:r>
    </w:p>
    <w:p w14:paraId="031B1DB0" w14:textId="77777777" w:rsidR="008E3763" w:rsidRDefault="008E3763" w:rsidP="008E3763">
      <w:pPr>
        <w:pStyle w:val="NormalWeb"/>
      </w:pPr>
      <w:r>
        <w:t xml:space="preserve">Feature engineering was applied after temporal harmonisation and spatial merging. For each grid cell and month, lagged and rolling-mean predictors were constructed from the monthly time series after sorting observations within each </w:t>
      </w:r>
      <m:oMath>
        <m:d>
          <m:dPr>
            <m:sepChr m:val=","/>
            <m:ctrlPr>
              <w:rPr>
                <w:rFonts w:ascii="Cambria Math" w:hAnsi="Cambria Math"/>
              </w:rPr>
            </m:ctrlPr>
          </m:dPr>
          <m:e>
            <m:r>
              <m:rPr>
                <m:sty m:val="p"/>
              </m:rPr>
              <w:rPr>
                <w:rFonts w:ascii="Cambria Math" w:hAnsi="Cambria Math"/>
              </w:rPr>
              <m:t>lat</m:t>
            </m:r>
          </m:e>
          <m:e>
            <m:r>
              <m:rPr>
                <m:sty m:val="p"/>
              </m:rPr>
              <w:rPr>
                <w:rFonts w:ascii="Cambria Math" w:hAnsi="Cambria Math"/>
              </w:rPr>
              <m:t>lon</m:t>
            </m:r>
          </m:e>
        </m:d>
      </m:oMath>
      <w:r>
        <w:t>cell by time. Lagged values at 1, 2 and 3 months were generated for a selected subset of variables with short-term persistence, whereas 3-month rolling means were computed for variables expected to exhibit seasonal memory. The exact variables retained in each group are listed in Table S1, and their mean normalised importance across the 27 per-crop global-layer XGBoost models is reported in Supplementary Table S3.3. After feature engineering, the final predictor set comprised 7</w:t>
      </w:r>
      <w:r>
        <w:rPr>
          <w:rFonts w:hint="eastAsia"/>
        </w:rPr>
        <w:t>4</w:t>
      </w:r>
      <w:r>
        <w:t xml:space="preserve"> variables.</w:t>
      </w:r>
    </w:p>
    <w:p w14:paraId="424E9119" w14:textId="77777777" w:rsidR="008E3763" w:rsidRDefault="008E3763" w:rsidP="008E3763">
      <w:pPr>
        <w:pStyle w:val="NormalWeb"/>
      </w:pPr>
      <w:r>
        <w:t>Temporal context was encoded using integer month, quarter and half-year indicators together with cyclic seasonal features (</w:t>
      </w:r>
      <w:r>
        <w:rPr>
          <w:rStyle w:val="HTMLCode"/>
          <w:rFonts w:eastAsiaTheme="majorEastAsia"/>
        </w:rPr>
        <w:t>sin_doy</w:t>
      </w:r>
      <w:r>
        <w:t xml:space="preserve">, </w:t>
      </w:r>
      <w:r>
        <w:rPr>
          <w:rStyle w:val="HTMLCode"/>
          <w:rFonts w:eastAsiaTheme="majorEastAsia"/>
        </w:rPr>
        <w:t>cos_doy</w:t>
      </w:r>
      <w:r>
        <w:t>). Spatial context was represented using both raw latitude/longitude coordinates and their trigonometric transforms (</w:t>
      </w:r>
      <w:r>
        <w:rPr>
          <w:rStyle w:val="HTMLCode"/>
          <w:rFonts w:eastAsiaTheme="majorEastAsia"/>
        </w:rPr>
        <w:t>lat_sin</w:t>
      </w:r>
      <w:r>
        <w:t xml:space="preserve">, </w:t>
      </w:r>
      <w:r>
        <w:rPr>
          <w:rStyle w:val="HTMLCode"/>
          <w:rFonts w:eastAsiaTheme="majorEastAsia"/>
        </w:rPr>
        <w:t>lat_cos</w:t>
      </w:r>
      <w:r>
        <w:t xml:space="preserve">, </w:t>
      </w:r>
      <w:r>
        <w:rPr>
          <w:rStyle w:val="HTMLCode"/>
          <w:rFonts w:eastAsiaTheme="majorEastAsia"/>
        </w:rPr>
        <w:t>lon_sin</w:t>
      </w:r>
      <w:r>
        <w:t xml:space="preserve">, </w:t>
      </w:r>
      <w:r>
        <w:rPr>
          <w:rStyle w:val="HTMLCode"/>
          <w:rFonts w:eastAsiaTheme="majorEastAsia"/>
        </w:rPr>
        <w:t>lon_cos</w:t>
      </w:r>
      <w:r>
        <w:t>). Monthly irrigated harvested area (</w:t>
      </w:r>
      <w:r>
        <w:rPr>
          <w:rStyle w:val="HTMLCode"/>
          <w:rFonts w:eastAsiaTheme="majorEastAsia"/>
        </w:rPr>
        <w:t>ha_irrigated</w:t>
      </w:r>
      <w:r>
        <w:t>) was then added as an additional predictor through the IHA pipeline described in Supplementary Methods S2.</w:t>
      </w:r>
    </w:p>
    <w:p w14:paraId="5B2153B5" w14:textId="77777777" w:rsidR="008E3763" w:rsidRDefault="008E3763" w:rsidP="008E3763">
      <w:pPr>
        <w:pStyle w:val="NormalWeb"/>
      </w:pPr>
      <w:r>
        <w:t>Two additional auxiliary identifiers were assigned to each grid cell: a coarse 50 km grid identifier (</w:t>
      </w:r>
      <w:r>
        <w:rPr>
          <w:rStyle w:val="HTMLCode"/>
          <w:rFonts w:eastAsiaTheme="majorEastAsia"/>
        </w:rPr>
        <w:t>grid50_id</w:t>
      </w:r>
      <w:r>
        <w:t>), used for spatial cross-validation grouping, one of nine agro-climatic regions (</w:t>
      </w:r>
      <w:r>
        <w:rPr>
          <w:rStyle w:val="HTMLCode"/>
          <w:rFonts w:eastAsiaTheme="majorEastAsia"/>
        </w:rPr>
        <w:t>regiontype</w:t>
      </w:r>
      <w:r>
        <w:t xml:space="preserve">), and one of 30 agro-climatic regions (regiontype), used for regional and extreme-layer partitioning. Neither </w:t>
      </w:r>
      <w:r>
        <w:rPr>
          <w:rStyle w:val="HTMLCode"/>
          <w:rFonts w:eastAsiaTheme="majorEastAsia"/>
        </w:rPr>
        <w:t>grid50_id</w:t>
      </w:r>
      <w:r>
        <w:t xml:space="preserve"> nor </w:t>
      </w:r>
      <w:r>
        <w:rPr>
          <w:rStyle w:val="HTMLCode"/>
          <w:rFonts w:eastAsiaTheme="majorEastAsia"/>
        </w:rPr>
        <w:t>regiontype</w:t>
      </w:r>
      <w:r>
        <w:t xml:space="preserve"> was included in the final predictor set.</w:t>
      </w:r>
    </w:p>
    <w:p w14:paraId="28953F9D" w14:textId="77777777" w:rsidR="008E3763" w:rsidRPr="008E3763" w:rsidRDefault="008E3763" w:rsidP="008E3763">
      <w:pPr>
        <w:spacing w:before="100" w:beforeAutospacing="1" w:after="100" w:afterAutospacing="1"/>
        <w:outlineLvl w:val="2"/>
        <w:rPr>
          <w:b/>
          <w:bCs/>
          <w:sz w:val="27"/>
          <w:szCs w:val="27"/>
        </w:rPr>
      </w:pPr>
      <w:r>
        <w:rPr>
          <w:b/>
          <w:bCs/>
          <w:sz w:val="27"/>
          <w:szCs w:val="27"/>
        </w:rPr>
        <w:t>S1.4 Correction of ERA5 accumulated flux variables (September 2022 – February 2024)</w:t>
      </w:r>
    </w:p>
    <w:p w14:paraId="00B6435B" w14:textId="77777777" w:rsidR="008E3763" w:rsidRDefault="008E3763" w:rsidP="008E3763">
      <w:pPr>
        <w:pStyle w:val="NormalWeb"/>
      </w:pPr>
      <w:r>
        <w:t>During validation of the prediction dataset, we identified that four ERA5-Land accumulated flux variables</w:t>
      </w:r>
      <w:r>
        <w:rPr>
          <w:rFonts w:hint="eastAsia"/>
        </w:rPr>
        <w:t>,</w:t>
      </w:r>
      <w:r>
        <w:t xml:space="preserve"> which were </w:t>
      </w:r>
      <w:r>
        <w:rPr>
          <w:rStyle w:val="HTMLCode"/>
          <w:rFonts w:hint="eastAsia"/>
        </w:rPr>
        <w:t>s</w:t>
      </w:r>
      <w:r>
        <w:rPr>
          <w:rStyle w:val="HTMLCode"/>
        </w:rPr>
        <w:t>sr</w:t>
      </w:r>
      <w:r>
        <w:t xml:space="preserve">, </w:t>
      </w:r>
      <w:r>
        <w:rPr>
          <w:rStyle w:val="HTMLCode"/>
        </w:rPr>
        <w:t>ssrd</w:t>
      </w:r>
      <w:r>
        <w:t xml:space="preserve">, </w:t>
      </w:r>
      <w:r>
        <w:rPr>
          <w:rStyle w:val="HTMLCode"/>
        </w:rPr>
        <w:t>tp</w:t>
      </w:r>
      <w:r>
        <w:t xml:space="preserve"> and </w:t>
      </w:r>
      <w:r>
        <w:rPr>
          <w:rStyle w:val="HTMLCode"/>
        </w:rPr>
        <w:t>ro</w:t>
      </w:r>
      <w:r>
        <w:t xml:space="preserve">, were systematically approximately 50% lower than expected between September 2022 and February 2024. This discrepancy matched a documented ECMWF issue affecting the CDS product </w:t>
      </w:r>
      <w:r>
        <w:rPr>
          <w:rStyle w:val="HTMLCode"/>
        </w:rPr>
        <w:t>reanalysis-era5-land-monthly-means</w:t>
      </w:r>
      <w:r>
        <w:t xml:space="preserve"> over that period [5].</w:t>
      </w:r>
    </w:p>
    <w:p w14:paraId="6B429AF3" w14:textId="77777777" w:rsidR="008E3763" w:rsidRDefault="008E3763" w:rsidP="008E3763">
      <w:pPr>
        <w:pStyle w:val="NormalWeb"/>
      </w:pPr>
      <w:r>
        <w:lastRenderedPageBreak/>
        <w:t xml:space="preserve">Following the ECMWF-recommended workaround, the affected months in 2022, 2023 and 2024 were re-downloaded using the alternative product type </w:t>
      </w:r>
      <w:r>
        <w:rPr>
          <w:rStyle w:val="HTMLCode"/>
        </w:rPr>
        <w:t>monthly_averaged_reanalysis_by_hour_of_day</w:t>
      </w:r>
      <w:r>
        <w:t xml:space="preserve"> at 00:00 UTC, which returns correct values for the affected variables. The four corrected variables were then substituted into the crop-specific prediction datasets via nearest-neighbour lookup on latitude, longitude and month. Derived rolling features depending on </w:t>
      </w:r>
      <w:r>
        <w:rPr>
          <w:rStyle w:val="HTMLCode"/>
        </w:rPr>
        <w:t>ssr</w:t>
      </w:r>
      <w:r>
        <w:t xml:space="preserve">, including </w:t>
      </w:r>
      <w:r>
        <w:rPr>
          <w:rStyle w:val="HTMLCode"/>
        </w:rPr>
        <w:t>ssr_roll3</w:t>
      </w:r>
      <w:r>
        <w:t>, were recomputed from the corrected time series. Instantaneous ERA5 variables, including temperature, soil moisture, pressure and wind, were not affected and were left unchanged.</w:t>
      </w:r>
    </w:p>
    <w:p w14:paraId="753F5283" w14:textId="77777777" w:rsidR="008E3763" w:rsidRDefault="008E3763" w:rsidP="008E3763">
      <w:pPr>
        <w:pStyle w:val="NormalWeb"/>
      </w:pPr>
      <w:r>
        <w:t>Verification against the pre-correction values yielded annual ratios of 1.21 for 2022, 1.91 for 2023 and 1.05 for 2024, consistent with 4/12, 12/12 and 2/12 months, respectively, falling within the corruption window. Two additional accumulated ERA5 variables (</w:t>
      </w:r>
      <w:r>
        <w:rPr>
          <w:rStyle w:val="HTMLCode"/>
        </w:rPr>
        <w:t>evabs</w:t>
      </w:r>
      <w:r>
        <w:t xml:space="preserve">, </w:t>
      </w:r>
      <w:r>
        <w:rPr>
          <w:rStyle w:val="HTMLCode"/>
        </w:rPr>
        <w:t>evavt</w:t>
      </w:r>
      <w:r>
        <w:t>) were not available from the workaround product and were therefore retained in their original form; their influence on model performance was low relative to the corrected flux variables.</w:t>
      </w:r>
    </w:p>
    <w:p w14:paraId="194D6919" w14:textId="77777777" w:rsidR="008E3763" w:rsidRPr="008E3763" w:rsidRDefault="008E3763" w:rsidP="008E3763">
      <w:pPr>
        <w:spacing w:before="100" w:beforeAutospacing="1" w:after="100" w:afterAutospacing="1"/>
        <w:outlineLvl w:val="2"/>
        <w:rPr>
          <w:b/>
          <w:bCs/>
          <w:sz w:val="27"/>
          <w:szCs w:val="27"/>
        </w:rPr>
      </w:pPr>
      <w:r>
        <w:rPr>
          <w:b/>
          <w:bCs/>
          <w:sz w:val="27"/>
          <w:szCs w:val="27"/>
        </w:rPr>
        <w:t>S1.5 Assembly of train and prediction datasets</w:t>
      </w:r>
    </w:p>
    <w:p w14:paraId="49C5A126" w14:textId="77777777" w:rsidR="008E3763" w:rsidRDefault="008E3763" w:rsidP="008E3763">
      <w:pPr>
        <w:pStyle w:val="NormalWeb"/>
      </w:pPr>
      <w:r>
        <w:t>The harmonised predictor archive was combined with the CWS target dataset and the irrigated harvested area (IHA) dataset through a dedicated assembly pipeline (</w:t>
      </w:r>
      <w:r>
        <w:rPr>
          <w:rStyle w:val="HTMLCode"/>
        </w:rPr>
        <w:t>data_pre</w:t>
      </w:r>
      <w:r>
        <w:t>). This pipeline joins the merged environmental predictors, annual and monthly IHA features, and the crop-specific CWS targets to produce per-crop training and prediction parquet files used in HARM. One-time setup steps generate crop-specific monthly masks, coarse 50 km spatial grouping IDs, and the 9-region agro-climatic partition used by most crops. For wheat and maize, a finer 30-region partition based on the Köppen climate classification was used instead. Feature engineering was then applied consistently to both training and prediction datasets.</w:t>
      </w:r>
    </w:p>
    <w:p w14:paraId="3DC40A11" w14:textId="77777777" w:rsidR="008E3763" w:rsidRDefault="008E3763" w:rsidP="008E3763">
      <w:pPr>
        <w:pStyle w:val="NormalWeb"/>
      </w:pPr>
      <w:r>
        <w:t>For prediction mode, lagged and rolling features were constructed by prepending the trailing segment of the training data to avoid edge effects at the start of the prediction period, after which the data were trimmed back to the target years. Because MODIS-derived vegetation predictors are only available from 2000 onward, model training was restricted to 2000–2018 even though the CWS reference dataset begins in 1995. The prediction period then covers 2019–2024 using the same processed predictor framework.</w:t>
      </w:r>
    </w:p>
    <w:p w14:paraId="24C31128" w14:textId="77777777" w:rsidR="008E3763" w:rsidRDefault="008E3763" w:rsidP="008E3763">
      <w:pPr>
        <w:pStyle w:val="Heading2"/>
      </w:pPr>
    </w:p>
    <w:p w14:paraId="6A760358" w14:textId="77777777" w:rsidR="008E3763" w:rsidRPr="008E3763" w:rsidRDefault="008E3763" w:rsidP="008E3763">
      <w:pPr>
        <w:pStyle w:val="Heading2"/>
        <w:rPr>
          <w:lang w:val="en-US"/>
        </w:rPr>
      </w:pPr>
      <w:r>
        <w:t>Supplementary Methods S2. Construction of monthly irrigated harvested area</w:t>
      </w:r>
    </w:p>
    <w:p w14:paraId="4C6B42AD" w14:textId="77777777" w:rsidR="008E3763" w:rsidRPr="008E3763" w:rsidRDefault="008E3763" w:rsidP="008E3763">
      <w:pPr>
        <w:spacing w:before="100" w:beforeAutospacing="1" w:after="100" w:afterAutospacing="1"/>
        <w:outlineLvl w:val="2"/>
        <w:rPr>
          <w:b/>
          <w:bCs/>
          <w:sz w:val="27"/>
          <w:szCs w:val="27"/>
        </w:rPr>
      </w:pPr>
      <w:r>
        <w:rPr>
          <w:b/>
          <w:bCs/>
          <w:sz w:val="27"/>
          <w:szCs w:val="27"/>
        </w:rPr>
        <w:t>S2.1 Rationale</w:t>
      </w:r>
    </w:p>
    <w:p w14:paraId="49E9BC6A" w14:textId="77777777" w:rsidR="008E3763" w:rsidRDefault="008E3763" w:rsidP="008E3763">
      <w:pPr>
        <w:spacing w:before="100" w:beforeAutospacing="1" w:after="100" w:afterAutospacing="1"/>
        <w:outlineLvl w:val="2"/>
      </w:pPr>
      <w:r>
        <w:t>The HARM framework predicts monthly crop water stress (CWS), which depends jointly on local water scarcity and the spatial–temporal distribution of irrigated crop production. Climate, vegetation and drought predictors capture where and when water is scarce, but they do not directly encode where irrigated agricultural demand occurs. We therefore introduced irrigated harvested area (IHA) as an additional predictor to represent the demand-side distribution of irrigation.</w:t>
      </w:r>
    </w:p>
    <w:p w14:paraId="26EE18FC" w14:textId="77777777" w:rsidR="008E3763" w:rsidRDefault="008E3763" w:rsidP="008E3763">
      <w:pPr>
        <w:pStyle w:val="NormalWeb"/>
      </w:pPr>
      <w:r>
        <w:lastRenderedPageBreak/>
        <w:t xml:space="preserve">This addition is motivated by the definition of water stress itself. CWS is constructed from the product of a scarcity term (AWARE) and a crop water-use term. A grid cell can therefore exhibit high CWS only when both local water scarcity and irrigated crop water use are high. Two grid cells with similar climatic conditions may have very different CWS if one contains substantial irrigated cropland and the other is dominated by rainfed or non-agricultural land. Monthly IHA provides this missing spatial and seasonal signal of irrigated agricultural activity. </w:t>
      </w:r>
    </w:p>
    <w:p w14:paraId="1741334C" w14:textId="77777777" w:rsidR="008E3763" w:rsidRPr="008E3763" w:rsidRDefault="008E3763" w:rsidP="008E3763">
      <w:pPr>
        <w:spacing w:before="100" w:beforeAutospacing="1" w:after="100" w:afterAutospacing="1"/>
        <w:outlineLvl w:val="2"/>
        <w:rPr>
          <w:b/>
          <w:bCs/>
          <w:sz w:val="27"/>
          <w:szCs w:val="27"/>
        </w:rPr>
      </w:pPr>
      <w:r>
        <w:rPr>
          <w:b/>
          <w:bCs/>
          <w:sz w:val="27"/>
          <w:szCs w:val="27"/>
        </w:rPr>
        <w:t>S2.2 Data sources</w:t>
      </w:r>
    </w:p>
    <w:p w14:paraId="3B59A37B" w14:textId="77777777" w:rsidR="008E3763" w:rsidRDefault="008E3763" w:rsidP="008E3763">
      <w:pPr>
        <w:pStyle w:val="NormalWeb"/>
      </w:pPr>
      <w:r>
        <w:t>The IHA pipeline combines four complementary datasets.</w:t>
      </w:r>
    </w:p>
    <w:p w14:paraId="78E17A59" w14:textId="77777777" w:rsidR="008E3763" w:rsidRDefault="008E3763" w:rsidP="008E3763">
      <w:pPr>
        <w:pStyle w:val="NormalWeb"/>
      </w:pPr>
      <w:r>
        <w:t xml:space="preserve">First, </w:t>
      </w:r>
      <w:r>
        <w:rPr>
          <w:rStyle w:val="Strong"/>
        </w:rPr>
        <w:t>CROPGRIDS v1.08</w:t>
      </w:r>
      <w:r>
        <w:t xml:space="preserve"> provides the high-resolution spatial distribution of individual crops at 0.05° resolution and serves as the crop-specific spatial template. CROPGRIDS is nominally representative of circa 2020 and is spatially calibrated to national crop totals around that reference period [6].</w:t>
      </w:r>
    </w:p>
    <w:p w14:paraId="7D1FB246" w14:textId="77777777" w:rsidR="008E3763" w:rsidRDefault="008E3763" w:rsidP="008E3763">
      <w:pPr>
        <w:pStyle w:val="NormalWeb"/>
      </w:pPr>
      <w:r>
        <w:t xml:space="preserve">Second, </w:t>
      </w:r>
      <w:r>
        <w:rPr>
          <w:rStyle w:val="Strong"/>
        </w:rPr>
        <w:t>LUH2-GCB2025</w:t>
      </w:r>
      <w:r>
        <w:t xml:space="preserve"> provides annual land-use dynamics and irrigation-management fractions at 0.25° resolution. In particular, it supplies annual crop-functional-type (CFT) fractions and corresponding irrigation fractions, allowing total harvested area to be split into irrigated and rainfed components [7].</w:t>
      </w:r>
    </w:p>
    <w:p w14:paraId="440710B4" w14:textId="77777777" w:rsidR="008E3763" w:rsidRDefault="008E3763" w:rsidP="008E3763">
      <w:pPr>
        <w:pStyle w:val="NormalWeb"/>
      </w:pPr>
      <w:r>
        <w:t xml:space="preserve">Third, </w:t>
      </w:r>
      <w:r>
        <w:rPr>
          <w:rStyle w:val="Strong"/>
        </w:rPr>
        <w:t>FAOSTAT harvested-area statistics</w:t>
      </w:r>
      <w:r>
        <w:t xml:space="preserve"> provide country-level annual change factors that anchor the gridded totals to the reported national trajectories of crop area over time. Temporal scaling was based on harvested area rather than production quantity [8].</w:t>
      </w:r>
    </w:p>
    <w:p w14:paraId="5E18AB2C" w14:textId="77777777" w:rsidR="008E3763" w:rsidRDefault="008E3763" w:rsidP="008E3763">
      <w:pPr>
        <w:pStyle w:val="NormalWeb"/>
      </w:pPr>
      <w:r>
        <w:t xml:space="preserve">Fourth, </w:t>
      </w:r>
      <w:r>
        <w:rPr>
          <w:rStyle w:val="Strong"/>
        </w:rPr>
        <w:t>GGCMI Phase 3 crop calendars</w:t>
      </w:r>
      <w:r>
        <w:t xml:space="preserve"> provide gridded planting-day and maturity-day information at 0.5° resolution for irrigated and rainfed systems separately and are used to disaggregate annual harvested area into monthly values [9]. </w:t>
      </w:r>
    </w:p>
    <w:p w14:paraId="736B9265" w14:textId="77777777" w:rsidR="008E3763" w:rsidRPr="008E3763" w:rsidRDefault="008E3763" w:rsidP="008E3763">
      <w:pPr>
        <w:spacing w:before="100" w:beforeAutospacing="1" w:after="100" w:afterAutospacing="1"/>
        <w:outlineLvl w:val="2"/>
        <w:rPr>
          <w:b/>
          <w:bCs/>
        </w:rPr>
      </w:pPr>
      <w:r>
        <w:rPr>
          <w:b/>
          <w:bCs/>
          <w:sz w:val="27"/>
          <w:szCs w:val="27"/>
        </w:rPr>
        <w:t>S2.3 Crop coverage and crop-functional-type mapping</w:t>
      </w:r>
    </w:p>
    <w:p w14:paraId="00DC1D9D" w14:textId="77777777" w:rsidR="008E3763" w:rsidRDefault="008E3763" w:rsidP="008E3763">
      <w:pPr>
        <w:pStyle w:val="NormalWeb"/>
      </w:pPr>
      <w:r>
        <w:t>The full CROPGRIDS archive contains 173 crop files. Of these, 144 crops were mapped to LUH2 crop functional types and retained in the annual gridded dataset. Twenty-nine crops were excluded because they fell into one or more of four categories: (i) forage or fodder crops harvested primarily as biomass rather than represented as conventional harvested area; (ii) green-harvested duplicates of dry-grain crops already represented elsewhere in the pipeline; (iii) residual “not elsewhere specified” crop aggregates that would overlap with downstream composite groups; and (iv) non-agricultural or niche items not represented in the downstream HARM classification. The full included and excluded crop lists, together with the CROPGRIDS-to-CFT assignment, are provided in Supplementary Table S2.1.</w:t>
      </w:r>
      <w:r>
        <w:rPr>
          <w:rFonts w:hint="eastAsia"/>
        </w:rPr>
        <w:t>1</w:t>
      </w:r>
      <w:r>
        <w:t>.</w:t>
      </w:r>
    </w:p>
    <w:p w14:paraId="1768B953" w14:textId="77777777" w:rsidR="008E3763" w:rsidRDefault="008E3763" w:rsidP="008E3763">
      <w:pPr>
        <w:pStyle w:val="NormalWeb"/>
      </w:pPr>
      <w:r>
        <w:t xml:space="preserve">Each retained crop was mapped to one of the LUH2 crop functional types on the basis of photosynthetic pathway, life cycle and nitrogen-fixing status. The mapping distinguishes the main LUH2 CFTs used in the pipeline, including C3 annual crops, C4 annual crops, C3 perennial crops and C3 nitrogen-fixing crops. This step allows the crop-specific spatial pattern from CROPGRIDS to be combined with the annual land-use and irrigation information provided by LUH2. </w:t>
      </w:r>
    </w:p>
    <w:p w14:paraId="279A5BDA" w14:textId="77777777" w:rsidR="008E3763" w:rsidRPr="008E3763" w:rsidRDefault="008E3763" w:rsidP="008E3763">
      <w:pPr>
        <w:spacing w:before="100" w:beforeAutospacing="1" w:after="100" w:afterAutospacing="1"/>
        <w:outlineLvl w:val="2"/>
        <w:rPr>
          <w:b/>
          <w:bCs/>
          <w:sz w:val="27"/>
          <w:szCs w:val="27"/>
        </w:rPr>
      </w:pPr>
      <w:r>
        <w:rPr>
          <w:b/>
          <w:bCs/>
          <w:sz w:val="27"/>
          <w:szCs w:val="27"/>
        </w:rPr>
        <w:t>S2.4 Annual gridded harvested area</w:t>
      </w:r>
    </w:p>
    <w:p w14:paraId="67C29019" w14:textId="77777777" w:rsidR="008E3763" w:rsidRDefault="008E3763" w:rsidP="008E3763">
      <w:pPr>
        <w:pStyle w:val="NormalWeb"/>
      </w:pPr>
      <w:r>
        <w:lastRenderedPageBreak/>
        <w:t xml:space="preserve">For each retained crop </w:t>
      </w:r>
      <m:oMath>
        <m:r>
          <w:rPr>
            <w:rFonts w:ascii="Cambria Math" w:hAnsi="Cambria Math"/>
          </w:rPr>
          <m:t>i</m:t>
        </m:r>
      </m:oMath>
      <w:r>
        <w:t xml:space="preserve">, grid cell </w:t>
      </w:r>
      <m:oMath>
        <m:r>
          <w:rPr>
            <w:rFonts w:ascii="Cambria Math" w:hAnsi="Cambria Math"/>
          </w:rPr>
          <m:t>g</m:t>
        </m:r>
      </m:oMath>
      <w:r>
        <w:t xml:space="preserve">, and year </w:t>
      </w:r>
      <m:oMath>
        <m:r>
          <w:rPr>
            <w:rFonts w:ascii="Cambria Math" w:hAnsi="Cambria Math"/>
          </w:rPr>
          <m:t>y</m:t>
        </m:r>
      </m:oMath>
      <w:r>
        <w:t>, annual harvested area was constructed by combining four components: the LUH2 crop-functional-type fraction in that year, the physical area of the grid cell, the crop’s within-CFT share derived from CROPGRIDS, and a country-level FAOSTAT temporal scaling factor.</w:t>
      </w:r>
    </w:p>
    <w:p w14:paraId="2E1F05BB" w14:textId="77777777" w:rsidR="008E3763" w:rsidRDefault="008E3763" w:rsidP="008E3763">
      <w:pPr>
        <w:pStyle w:val="NormalWeb"/>
      </w:pPr>
      <w:r>
        <w:t>Within each grid cell, we first calculated the crop’s share within its parent CFT:</w:t>
      </w:r>
    </w:p>
    <w:p w14:paraId="772BB5B7" w14:textId="77777777" w:rsidR="008E3763" w:rsidRDefault="00000000" w:rsidP="008E3763">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m:t>
          </m:r>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CG</m:t>
                  </m:r>
                </m:sup>
              </m:sSubSup>
              <m:r>
                <w:rPr>
                  <w:rFonts w:ascii="Cambria Math" w:hAnsi="Cambria Math"/>
                </w:rPr>
                <m:t>(g)</m:t>
              </m:r>
            </m:num>
            <m:den>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CFT</m:t>
                  </m:r>
                  <m:r>
                    <w:rPr>
                      <w:rFonts w:ascii="Cambria Math" w:hAnsi="Cambria Math"/>
                    </w:rPr>
                    <m:t>(i)</m:t>
                  </m:r>
                </m:sub>
                <m:sup/>
                <m:e>
                  <m:sSubSup>
                    <m:sSubSupPr>
                      <m:ctrlPr>
                        <w:rPr>
                          <w:rFonts w:ascii="Cambria Math" w:hAnsi="Cambria Math"/>
                        </w:rPr>
                      </m:ctrlPr>
                    </m:sSubSupPr>
                    <m:e>
                      <m:r>
                        <w:rPr>
                          <w:rFonts w:ascii="Cambria Math" w:hAnsi="Cambria Math"/>
                        </w:rPr>
                        <m:t>H</m:t>
                      </m:r>
                    </m:e>
                    <m:sub>
                      <m:r>
                        <w:rPr>
                          <w:rFonts w:ascii="Cambria Math" w:hAnsi="Cambria Math"/>
                        </w:rPr>
                        <m:t>j</m:t>
                      </m:r>
                    </m:sub>
                    <m:sup>
                      <m:r>
                        <w:rPr>
                          <w:rFonts w:ascii="Cambria Math" w:hAnsi="Cambria Math"/>
                        </w:rPr>
                        <m:t>CG</m:t>
                      </m:r>
                    </m:sup>
                  </m:sSubSup>
                </m:e>
              </m:nary>
              <m:r>
                <w:rPr>
                  <w:rFonts w:ascii="Cambria Math" w:hAnsi="Cambria Math"/>
                </w:rPr>
                <m:t>(g)</m:t>
              </m:r>
            </m:den>
          </m:f>
          <m:r>
            <m:rPr>
              <m:sty m:val="p"/>
            </m:rPr>
            <w:rPr>
              <w:rFonts w:ascii="Cambria Math" w:hAnsi="Cambria Math"/>
            </w:rPr>
            <w:br/>
          </m:r>
        </m:oMath>
      </m:oMathPara>
    </w:p>
    <w:p w14:paraId="62E72510" w14:textId="77777777" w:rsidR="008E3763" w:rsidRDefault="008E3763" w:rsidP="008E3763">
      <w:pPr>
        <w:pStyle w:val="NormalWeb"/>
      </w:pPr>
      <w:r>
        <w:t xml:space="preserve">where </w:t>
      </w: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CG</m:t>
            </m:r>
          </m:sup>
        </m:sSubSup>
        <m:r>
          <w:rPr>
            <w:rFonts w:ascii="Cambria Math" w:hAnsi="Cambria Math"/>
          </w:rPr>
          <m:t>(g)</m:t>
        </m:r>
      </m:oMath>
      <w:r>
        <w:t xml:space="preserve">is the CROPGRIDS harvested area of crop </w:t>
      </w:r>
      <m:oMath>
        <m:r>
          <w:rPr>
            <w:rFonts w:ascii="Cambria Math" w:hAnsi="Cambria Math"/>
          </w:rPr>
          <m:t>i</m:t>
        </m:r>
      </m:oMath>
      <w:r>
        <w:t xml:space="preserve">in grid cell </w:t>
      </w:r>
      <m:oMath>
        <m:r>
          <w:rPr>
            <w:rFonts w:ascii="Cambria Math" w:hAnsi="Cambria Math"/>
          </w:rPr>
          <m:t>g</m:t>
        </m:r>
      </m:oMath>
      <w:r>
        <w:t>. These shares are static in time and describe how each LUH2 CFT is partitioned among the individual crops represented in CROPGRIDS.</w:t>
      </w:r>
    </w:p>
    <w:p w14:paraId="5885D31E" w14:textId="77777777" w:rsidR="008E3763" w:rsidRDefault="008E3763" w:rsidP="008E3763">
      <w:pPr>
        <w:pStyle w:val="NormalWeb"/>
      </w:pPr>
      <w:r>
        <w:t>The raw annual harvested area was then calculated as</w:t>
      </w:r>
    </w:p>
    <w:p w14:paraId="21010CDA" w14:textId="77777777" w:rsidR="008E3763" w:rsidRDefault="00000000" w:rsidP="008E3763">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raw</m:t>
              </m:r>
            </m:sup>
          </m:sSubSup>
          <m:r>
            <w:rPr>
              <w:rFonts w:ascii="Cambria Math" w:hAnsi="Cambria Math"/>
            </w:rPr>
            <m:t>(g,y)=</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(g,y)⋅A(g)⋅</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m:t>
          </m:r>
          <m:r>
            <m:rPr>
              <m:sty m:val="p"/>
            </m:rPr>
            <w:rPr>
              <w:rFonts w:ascii="Cambria Math" w:hAnsi="Cambria Math"/>
            </w:rPr>
            <w:br/>
          </m:r>
        </m:oMath>
      </m:oMathPara>
    </w:p>
    <w:p w14:paraId="4056D0B3" w14:textId="77777777" w:rsidR="008E3763" w:rsidRDefault="008E3763" w:rsidP="008E3763">
      <w:pPr>
        <w:pStyle w:val="NormalWeb"/>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(g,y)</m:t>
        </m:r>
      </m:oMath>
      <w:r>
        <w:t xml:space="preserve">is the LUH2 fraction of crop functional type </w:t>
      </w:r>
      <m:oMath>
        <m:r>
          <w:rPr>
            <w:rFonts w:ascii="Cambria Math" w:hAnsi="Cambria Math"/>
          </w:rPr>
          <m:t>k</m:t>
        </m:r>
      </m:oMath>
      <w:r>
        <w:t xml:space="preserve">in grid cell </w:t>
      </w:r>
      <m:oMath>
        <m:r>
          <w:rPr>
            <w:rFonts w:ascii="Cambria Math" w:hAnsi="Cambria Math"/>
          </w:rPr>
          <m:t>g</m:t>
        </m:r>
      </m:oMath>
      <w:r>
        <w:t xml:space="preserve">and year </w:t>
      </w:r>
      <m:oMath>
        <m:r>
          <w:rPr>
            <w:rFonts w:ascii="Cambria Math" w:hAnsi="Cambria Math"/>
          </w:rPr>
          <m:t>y</m:t>
        </m:r>
      </m:oMath>
      <w:r>
        <w:t xml:space="preserve">, </w:t>
      </w:r>
      <m:oMath>
        <m:r>
          <w:rPr>
            <w:rFonts w:ascii="Cambria Math" w:hAnsi="Cambria Math"/>
          </w:rPr>
          <m:t>A(g)</m:t>
        </m:r>
      </m:oMath>
      <w:r>
        <w:t xml:space="preserve">is grid-cell area in hectares, and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m:t>
        </m:r>
      </m:oMath>
      <w:r>
        <w:t>is the within-CFT crop share.</w:t>
      </w:r>
    </w:p>
    <w:p w14:paraId="5D914422" w14:textId="77777777" w:rsidR="008E3763" w:rsidRDefault="008E3763" w:rsidP="008E3763">
      <w:pPr>
        <w:pStyle w:val="NormalWeb"/>
      </w:pPr>
      <w:r>
        <w:t>To anchor the annual trajectory to national statistics, this raw field was rescaled using FAOSTAT harvested-area change factors:</w:t>
      </w:r>
    </w:p>
    <w:p w14:paraId="28EFB5C7" w14:textId="77777777" w:rsidR="008E3763" w:rsidRDefault="008E3763" w:rsidP="008E3763">
      <m:oMathPara>
        <m:oMath>
          <m:r>
            <w:rPr>
              <w:rFonts w:ascii="Cambria Math" w:hAnsi="Cambria Math"/>
            </w:rPr>
            <m:t>ρ(i,c,y)=</m:t>
          </m:r>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i,c,y</m:t>
                  </m:r>
                </m:sub>
                <m:sup>
                  <m:r>
                    <w:rPr>
                      <w:rFonts w:ascii="Cambria Math" w:hAnsi="Cambria Math"/>
                    </w:rPr>
                    <m:t>FAO</m:t>
                  </m:r>
                </m:sup>
              </m:sSubSup>
            </m:num>
            <m:den>
              <m:sSubSup>
                <m:sSubSupPr>
                  <m:ctrlPr>
                    <w:rPr>
                      <w:rFonts w:ascii="Cambria Math" w:hAnsi="Cambria Math"/>
                    </w:rPr>
                  </m:ctrlPr>
                </m:sSubSupPr>
                <m:e>
                  <m:r>
                    <w:rPr>
                      <w:rFonts w:ascii="Cambria Math" w:hAnsi="Cambria Math"/>
                    </w:rPr>
                    <m:t>H</m:t>
                  </m:r>
                </m:e>
                <m:sub>
                  <m:r>
                    <w:rPr>
                      <w:rFonts w:ascii="Cambria Math" w:hAnsi="Cambria Math"/>
                    </w:rPr>
                    <m:t>i,c,2020</m:t>
                  </m:r>
                </m:sub>
                <m:sup>
                  <m:r>
                    <w:rPr>
                      <w:rFonts w:ascii="Cambria Math" w:hAnsi="Cambria Math"/>
                    </w:rPr>
                    <m:t>FAO</m:t>
                  </m:r>
                </m:sup>
              </m:sSubSup>
            </m:den>
          </m:f>
          <m:r>
            <m:rPr>
              <m:sty m:val="p"/>
            </m:rPr>
            <w:rPr>
              <w:rFonts w:ascii="Cambria Math" w:hAnsi="Cambria Math"/>
            </w:rPr>
            <w:br/>
          </m:r>
        </m:oMath>
      </m:oMathPara>
    </w:p>
    <w:p w14:paraId="0F1D5C93" w14:textId="77777777" w:rsidR="008E3763" w:rsidRDefault="008E3763" w:rsidP="008E3763">
      <w:pPr>
        <w:pStyle w:val="NormalWeb"/>
      </w:pPr>
      <w:r>
        <w:t xml:space="preserve">where </w:t>
      </w:r>
      <m:oMath>
        <m:sSubSup>
          <m:sSubSupPr>
            <m:ctrlPr>
              <w:rPr>
                <w:rFonts w:ascii="Cambria Math" w:hAnsi="Cambria Math"/>
              </w:rPr>
            </m:ctrlPr>
          </m:sSubSupPr>
          <m:e>
            <m:r>
              <w:rPr>
                <w:rFonts w:ascii="Cambria Math" w:hAnsi="Cambria Math"/>
              </w:rPr>
              <m:t>H</m:t>
            </m:r>
          </m:e>
          <m:sub>
            <m:r>
              <w:rPr>
                <w:rFonts w:ascii="Cambria Math" w:hAnsi="Cambria Math"/>
              </w:rPr>
              <m:t>i,c,y</m:t>
            </m:r>
          </m:sub>
          <m:sup>
            <m:r>
              <w:rPr>
                <w:rFonts w:ascii="Cambria Math" w:hAnsi="Cambria Math"/>
              </w:rPr>
              <m:t>FAO</m:t>
            </m:r>
          </m:sup>
        </m:sSubSup>
      </m:oMath>
      <w:r>
        <w:t xml:space="preserve">is the harvested area of crop </w:t>
      </w:r>
      <m:oMath>
        <m:r>
          <w:rPr>
            <w:rFonts w:ascii="Cambria Math" w:hAnsi="Cambria Math"/>
          </w:rPr>
          <m:t>i</m:t>
        </m:r>
      </m:oMath>
      <w:r>
        <w:t xml:space="preserve">in country </w:t>
      </w:r>
      <m:oMath>
        <m:r>
          <w:rPr>
            <w:rFonts w:ascii="Cambria Math" w:hAnsi="Cambria Math"/>
          </w:rPr>
          <m:t>c</m:t>
        </m:r>
      </m:oMath>
      <w:r>
        <w:t xml:space="preserve">and year </w:t>
      </w:r>
      <m:oMath>
        <m:r>
          <w:rPr>
            <w:rFonts w:ascii="Cambria Math" w:hAnsi="Cambria Math"/>
          </w:rPr>
          <m:t>y</m:t>
        </m:r>
      </m:oMath>
      <w:r>
        <w:t>. The final annual harvested area is therefore</w:t>
      </w:r>
    </w:p>
    <w:p w14:paraId="74753F9A" w14:textId="77777777" w:rsidR="008E3763" w:rsidRDefault="00000000" w:rsidP="008E3763">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(g,y)=</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raw</m:t>
              </m:r>
            </m:sup>
          </m:sSubSup>
          <m:r>
            <w:rPr>
              <w:rFonts w:ascii="Cambria Math" w:hAnsi="Cambria Math"/>
            </w:rPr>
            <m:t>(g,y)⋅ρ(i,c(g),y)</m:t>
          </m:r>
          <m:r>
            <m:rPr>
              <m:sty m:val="p"/>
            </m:rPr>
            <w:rPr>
              <w:rFonts w:ascii="Cambria Math" w:hAnsi="Cambria Math"/>
            </w:rPr>
            <m:t>.</m:t>
            <w:br/>
          </m:r>
        </m:oMath>
      </m:oMathPara>
    </w:p>
    <w:p w14:paraId="5115ECBB" w14:textId="77777777" w:rsidR="008E3763" w:rsidRDefault="008E3763" w:rsidP="008E3763">
      <w:pPr>
        <w:pStyle w:val="NormalWeb"/>
      </w:pPr>
      <w:r>
        <w:t xml:space="preserve">The year 2020 was used as the temporal anchor because (i) CROPGRIDS v1.08 is nominally representative of circa 2020, (ii) SPAM2020 [10] served as the main external validation benchmark, and (iii) FAOSTAT coverage is effectively complete for that year. By construction, </w:t>
      </w:r>
      <m:oMath>
        <m:r>
          <w:rPr>
            <w:rFonts w:ascii="Cambria Math" w:hAnsi="Cambria Math"/>
          </w:rPr>
          <m:t>ρ(i,c,2020)=1</m:t>
        </m:r>
      </m:oMath>
      <w:r>
        <w:t xml:space="preserve">, so the gridded output at 2020 reproduces the CROPGRIDS spatial template directly while allowing interannual departures before and after 2020. </w:t>
      </w:r>
    </w:p>
    <w:p w14:paraId="5127B074" w14:textId="77777777" w:rsidR="008E3763" w:rsidRPr="008E3763" w:rsidRDefault="008E3763" w:rsidP="008E3763">
      <w:pPr>
        <w:spacing w:before="100" w:beforeAutospacing="1" w:after="100" w:afterAutospacing="1"/>
        <w:outlineLvl w:val="2"/>
        <w:rPr>
          <w:b/>
          <w:bCs/>
          <w:sz w:val="27"/>
          <w:szCs w:val="27"/>
        </w:rPr>
      </w:pPr>
      <w:r>
        <w:rPr>
          <w:b/>
          <w:bCs/>
          <w:sz w:val="27"/>
          <w:szCs w:val="27"/>
        </w:rPr>
        <w:t>S2.5 Irrigated and rainfed split</w:t>
      </w:r>
    </w:p>
    <w:p w14:paraId="7AA928E8" w14:textId="77777777" w:rsidR="008E3763" w:rsidRDefault="008E3763" w:rsidP="008E3763">
      <w:pPr>
        <w:pStyle w:val="NormalWeb"/>
      </w:pPr>
      <w:r>
        <w:t>LUH2 provides irrigation fractions at the crop-functional-type level rather than for individual crops. We therefore used the irrigation fraction of the corresponding LUH2 CFT to divide annual harvested area into irrigated and rainfed components:</w:t>
      </w:r>
    </w:p>
    <w:p w14:paraId="46933328" w14:textId="77777777" w:rsidR="008E3763" w:rsidRDefault="00000000" w:rsidP="008E3763">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irr</m:t>
              </m:r>
            </m:sup>
          </m:sSubSup>
          <m:r>
            <w:rPr>
              <w:rFonts w:ascii="Cambria Math" w:hAnsi="Cambria Math"/>
            </w:rPr>
            <m:t>(g,y)=</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(g,y)⋅</m:t>
          </m:r>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(g,y)</m:t>
          </m:r>
          <m:r>
            <m:rPr>
              <m:sty m:val="p"/>
            </m:rPr>
            <w:rPr>
              <w:rFonts w:ascii="Cambria Math" w:hAnsi="Cambria Math"/>
            </w:rPr>
            <w:br/>
          </m:r>
        </m:oMath>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rf</m:t>
              </m:r>
            </m:sup>
          </m:sSubSup>
          <m:r>
            <w:rPr>
              <w:rFonts w:ascii="Cambria Math" w:hAnsi="Cambria Math"/>
            </w:rPr>
            <m:t>(g,y)=</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(g,y)⋅</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(g,y)</m:t>
              </m:r>
            </m:e>
          </m:d>
          <m:r>
            <m:rPr>
              <m:sty m:val="p"/>
            </m:rPr>
            <w:rPr>
              <w:rFonts w:ascii="Cambria Math" w:hAnsi="Cambria Math"/>
            </w:rPr>
            <w:br/>
          </m:r>
        </m:oMath>
      </m:oMathPara>
    </w:p>
    <w:p w14:paraId="181E6E82" w14:textId="77777777" w:rsidR="008E3763" w:rsidRDefault="008E3763" w:rsidP="008E3763">
      <w:pPr>
        <w:pStyle w:val="NormalWeb"/>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(g,y)</m:t>
        </m:r>
      </m:oMath>
      <w:r>
        <w:t xml:space="preserve">is the LUH2 irrigation fraction for crop functional type </w:t>
      </w:r>
      <m:oMath>
        <m:r>
          <w:rPr>
            <w:rFonts w:ascii="Cambria Math" w:hAnsi="Cambria Math"/>
          </w:rPr>
          <m:t>k</m:t>
        </m:r>
      </m:oMath>
      <w:r>
        <w:t xml:space="preserve">in grid cell </w:t>
      </w:r>
      <m:oMath>
        <m:r>
          <w:rPr>
            <w:rFonts w:ascii="Cambria Math" w:hAnsi="Cambria Math"/>
          </w:rPr>
          <m:t>g</m:t>
        </m:r>
      </m:oMath>
      <w:r>
        <w:t xml:space="preserve">and year </w:t>
      </w:r>
      <m:oMath>
        <m:r>
          <w:rPr>
            <w:rFonts w:ascii="Cambria Math" w:hAnsi="Cambria Math"/>
          </w:rPr>
          <m:t>y</m:t>
        </m:r>
      </m:oMath>
      <w:r>
        <w:t xml:space="preserve">. This implies that all crops within the same CFT share the same irrigation proportion in a given cell and year. Although this is a simplification, comparison with SPAM2020 indicates that the resulting irrigated spatial patterns are reasonable for the major irrigated crops that dominate global blue-water use and water stress. </w:t>
      </w:r>
    </w:p>
    <w:p w14:paraId="6282370F" w14:textId="77777777" w:rsidR="008E3763" w:rsidRPr="008E3763" w:rsidRDefault="008E3763" w:rsidP="008E3763">
      <w:pPr>
        <w:spacing w:before="100" w:beforeAutospacing="1" w:after="100" w:afterAutospacing="1"/>
        <w:outlineLvl w:val="2"/>
        <w:rPr>
          <w:b/>
          <w:bCs/>
          <w:sz w:val="27"/>
          <w:szCs w:val="27"/>
        </w:rPr>
      </w:pPr>
      <w:r>
        <w:rPr>
          <w:b/>
          <w:bCs/>
          <w:sz w:val="27"/>
          <w:szCs w:val="27"/>
        </w:rPr>
        <w:t>S2.6 Monthly downscaling for individual crops</w:t>
      </w:r>
    </w:p>
    <w:p w14:paraId="38871F61" w14:textId="77777777" w:rsidR="008E3763" w:rsidRDefault="008E3763" w:rsidP="008E3763">
      <w:pPr>
        <w:pStyle w:val="NormalWeb"/>
      </w:pPr>
      <w:r>
        <w:t xml:space="preserve">The annual gridded harvested-area fields were further disaggregated to monthly values for 24 crops for which crop-specific calendars could be directly assigned. Monthly weights were derived from the GGCMI Phase 3 crop-calendar product, which provides separate </w:t>
      </w:r>
      <w:r>
        <w:rPr>
          <w:rStyle w:val="HTMLCode"/>
        </w:rPr>
        <w:t>planting_day</w:t>
      </w:r>
      <w:r>
        <w:t xml:space="preserve"> and </w:t>
      </w:r>
      <w:r>
        <w:rPr>
          <w:rStyle w:val="HTMLCode"/>
        </w:rPr>
        <w:t>maturity_day</w:t>
      </w:r>
      <w:r>
        <w:t xml:space="preserve"> layers for irrigated and rainfed systems.</w:t>
      </w:r>
    </w:p>
    <w:p w14:paraId="32CB996A" w14:textId="77777777" w:rsidR="008E3763" w:rsidRDefault="008E3763" w:rsidP="008E3763">
      <w:pPr>
        <w:pStyle w:val="NormalWeb"/>
      </w:pPr>
      <w:r>
        <w:t>For each crop, grid cell and water regime, we calculated the fraction of the growing season falling in each calendar month:</w:t>
      </w:r>
    </w:p>
    <w:p w14:paraId="47C954CB" w14:textId="77777777" w:rsidR="008E3763" w:rsidRDefault="00000000" w:rsidP="008E3763">
      <m:oMathPara>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(g)=</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(g)</m:t>
              </m:r>
            </m:num>
            <m:den>
              <m:r>
                <w:rPr>
                  <w:rFonts w:ascii="Cambria Math" w:hAnsi="Cambria Math"/>
                </w:rPr>
                <m:t>L(g)</m:t>
              </m:r>
            </m:den>
          </m:f>
          <m:r>
            <w:rPr>
              <w:rFonts w:ascii="Cambria Math" w:hAnsi="Cambria Math"/>
            </w:rPr>
            <m:t>,L(g)=</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12</m:t>
              </m:r>
            </m:sup>
            <m:e>
              <m:sSub>
                <m:sSubPr>
                  <m:ctrlPr>
                    <w:rPr>
                      <w:rFonts w:ascii="Cambria Math" w:hAnsi="Cambria Math"/>
                    </w:rPr>
                  </m:ctrlPr>
                </m:sSubPr>
                <m:e>
                  <m:r>
                    <w:rPr>
                      <w:rFonts w:ascii="Cambria Math" w:hAnsi="Cambria Math"/>
                    </w:rPr>
                    <m:t>d</m:t>
                  </m:r>
                </m:e>
                <m:sub>
                  <m:r>
                    <w:rPr>
                      <w:rFonts w:ascii="Cambria Math" w:hAnsi="Cambria Math"/>
                    </w:rPr>
                    <m:t>m</m:t>
                  </m:r>
                </m:sub>
              </m:sSub>
            </m:e>
          </m:nary>
          <m:r>
            <w:rPr>
              <w:rFonts w:ascii="Cambria Math" w:hAnsi="Cambria Math"/>
            </w:rPr>
            <m:t>(g)</m:t>
          </m:r>
          <m:r>
            <m:rPr>
              <m:sty m:val="p"/>
            </m:rPr>
            <w:rPr>
              <w:rFonts w:ascii="Cambria Math" w:hAnsi="Cambria Math"/>
            </w:rPr>
            <w:br/>
          </m:r>
        </m:oMath>
      </m:oMathPara>
    </w:p>
    <w:p w14:paraId="11C6CF0F" w14:textId="77777777" w:rsidR="008E3763" w:rsidRDefault="008E3763" w:rsidP="008E3763">
      <w:pPr>
        <w:pStyle w:val="NormalWeb"/>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(g)</m:t>
        </m:r>
      </m:oMath>
      <w:r>
        <w:t xml:space="preserve">is the number of days in month </w:t>
      </w:r>
      <m:oMath>
        <m:r>
          <w:rPr>
            <w:rFonts w:ascii="Cambria Math" w:hAnsi="Cambria Math"/>
          </w:rPr>
          <m:t>m</m:t>
        </m:r>
      </m:oMath>
      <w:r>
        <w:t xml:space="preserve">that fall within the growing-season interval and </w:t>
      </w:r>
      <m:oMath>
        <m:r>
          <w:rPr>
            <w:rFonts w:ascii="Cambria Math" w:hAnsi="Cambria Math"/>
          </w:rPr>
          <m:t>L(g)</m:t>
        </m:r>
      </m:oMath>
      <w:r>
        <w:t>is total growing-season length. These weights are non-negative and sum to one within each grid cell over the 12 calendar months.</w:t>
      </w:r>
    </w:p>
    <w:p w14:paraId="130227BA" w14:textId="77777777" w:rsidR="008E3763" w:rsidRDefault="008E3763" w:rsidP="008E3763">
      <w:pPr>
        <w:pStyle w:val="NormalWeb"/>
      </w:pPr>
      <w:r>
        <w:t>Monthly irrigated and rainfed harvested area were then obtained as</w:t>
      </w:r>
    </w:p>
    <w:p w14:paraId="54BAC3AA" w14:textId="77777777" w:rsidR="008E3763" w:rsidRDefault="00000000" w:rsidP="008E3763">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irr</m:t>
              </m:r>
            </m:sup>
          </m:sSubSup>
          <m:r>
            <w:rPr>
              <w:rFonts w:ascii="Cambria Math" w:hAnsi="Cambria Math"/>
            </w:rPr>
            <m:t>(g,y,m)=</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irr</m:t>
              </m:r>
            </m:sup>
          </m:sSubSup>
          <m:r>
            <w:rPr>
              <w:rFonts w:ascii="Cambria Math" w:hAnsi="Cambria Math"/>
            </w:rPr>
            <m:t>(g,y)⋅</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irr</m:t>
              </m:r>
            </m:sup>
          </m:sSubSup>
          <m:r>
            <w:rPr>
              <w:rFonts w:ascii="Cambria Math" w:hAnsi="Cambria Math"/>
            </w:rPr>
            <m:t>(g)</m:t>
          </m:r>
          <m:r>
            <m:rPr>
              <m:sty m:val="p"/>
            </m:rPr>
            <w:rPr>
              <w:rFonts w:ascii="Cambria Math" w:hAnsi="Cambria Math"/>
            </w:rPr>
            <w:br/>
          </m:r>
        </m:oMath>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rf</m:t>
              </m:r>
            </m:sup>
          </m:sSubSup>
          <m:r>
            <w:rPr>
              <w:rFonts w:ascii="Cambria Math" w:hAnsi="Cambria Math"/>
            </w:rPr>
            <m:t>(g,y,m)=</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rf</m:t>
              </m:r>
            </m:sup>
          </m:sSubSup>
          <m:r>
            <w:rPr>
              <w:rFonts w:ascii="Cambria Math" w:hAnsi="Cambria Math"/>
            </w:rPr>
            <m:t>(g,y)⋅</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rf</m:t>
              </m:r>
            </m:sup>
          </m:sSubSup>
          <m:r>
            <w:rPr>
              <w:rFonts w:ascii="Cambria Math" w:hAnsi="Cambria Math"/>
            </w:rPr>
            <m:t>(g)</m:t>
          </m:r>
          <m:r>
            <m:rPr>
              <m:sty m:val="p"/>
            </m:rPr>
            <w:rPr>
              <w:rFonts w:ascii="Cambria Math" w:hAnsi="Cambria Math"/>
            </w:rPr>
            <m:t>.</m:t>
            <w:br/>
          </m:r>
        </m:oMath>
      </m:oMathPara>
    </w:p>
    <w:p w14:paraId="1BF13A56" w14:textId="77777777" w:rsidR="008E3763" w:rsidRDefault="008E3763" w:rsidP="008E3763">
      <w:pPr>
        <w:pStyle w:val="NormalWeb"/>
      </w:pPr>
      <w:r>
        <w:t xml:space="preserve">This procedure preserves annual area exactly within each grid cell while imposing a physically consistent seasonal profile based on crop phenology. </w:t>
      </w:r>
    </w:p>
    <w:p w14:paraId="1057A619" w14:textId="77777777" w:rsidR="008E3763" w:rsidRPr="008E3763" w:rsidRDefault="008E3763" w:rsidP="008E3763">
      <w:pPr>
        <w:spacing w:before="100" w:beforeAutospacing="1" w:after="100" w:afterAutospacing="1"/>
        <w:outlineLvl w:val="2"/>
        <w:rPr>
          <w:b/>
          <w:bCs/>
          <w:sz w:val="27"/>
          <w:szCs w:val="27"/>
        </w:rPr>
      </w:pPr>
      <w:r>
        <w:rPr>
          <w:b/>
          <w:bCs/>
          <w:sz w:val="27"/>
          <w:szCs w:val="27"/>
        </w:rPr>
        <w:t>S2.7 Treatment of aggregate crop categories</w:t>
      </w:r>
    </w:p>
    <w:p w14:paraId="0D8BD10C" w14:textId="77777777" w:rsidR="008E3763" w:rsidRDefault="008E3763" w:rsidP="008E3763">
      <w:pPr>
        <w:pStyle w:val="NormalWeb"/>
      </w:pPr>
      <w:r>
        <w:t>Three aggregate crop categories used elsewhere in the CWS and HARM framework, Other annual crops (</w:t>
      </w:r>
      <w:r>
        <w:rPr>
          <w:rStyle w:val="HTMLCode"/>
        </w:rPr>
        <w:t>oac</w:t>
      </w:r>
      <w:r>
        <w:t>), Perennial deciduous crops (</w:t>
      </w:r>
      <w:r>
        <w:rPr>
          <w:rStyle w:val="HTMLCode"/>
        </w:rPr>
        <w:t>pdc</w:t>
      </w:r>
      <w:r>
        <w:t>) and Perennial evergreen crops (</w:t>
      </w:r>
      <w:r>
        <w:rPr>
          <w:rStyle w:val="HTMLCode"/>
        </w:rPr>
        <w:t>pec</w:t>
      </w:r>
      <w:r>
        <w:t>), contain many constituent crops with heterogeneous phenologies and broad geographic ranges. Because no single crop calendar can represent these categories consistently at global scale, we did not apply crop-specific monthly downscaling to them in the same way as for the 24 directly calendar-resolved crops.</w:t>
      </w:r>
    </w:p>
    <w:p w14:paraId="47DF632B" w14:textId="77777777" w:rsidR="008E3763" w:rsidRDefault="008E3763" w:rsidP="008E3763">
      <w:pPr>
        <w:pStyle w:val="NormalWeb"/>
      </w:pPr>
      <w:r>
        <w:t xml:space="preserve">Instead, for these aggregate categories, monthly values were represented using the average monthly distribution implied by their annual totals. This choice avoids imposing an artificial and potentially misleading seasonal pattern on categories that combine crops with very </w:t>
        <w:lastRenderedPageBreak/>
        <w:t>different planting and harvest cycles. As a result, the monthly seasonal signal in the IHA dataset is crop-specific for the 24 directly calendar-resolved crops, whereas the aggregate categories retain a temporally averaged monthly representation.</w:t>
      </w:r>
    </w:p>
    <w:p w14:paraId="5FEC5018" w14:textId="77777777" w:rsidR="008E3763" w:rsidRDefault="008E3763" w:rsidP="008E3763">
      <w:pPr>
        <w:spacing w:before="100" w:beforeAutospacing="1" w:after="100" w:afterAutospacing="1"/>
        <w:outlineLvl w:val="2"/>
      </w:pPr>
      <w:r>
        <w:rPr>
          <w:b/>
          <w:bCs/>
          <w:sz w:val="27"/>
          <w:szCs w:val="27"/>
        </w:rPr>
        <w:t>S2.8 Spatial aggregation and processing order</w:t>
      </w:r>
    </w:p>
    <w:p w14:paraId="07C9A301" w14:textId="77777777" w:rsidR="008E3763" w:rsidRDefault="008E3763" w:rsidP="008E3763">
      <w:pPr>
        <w:pStyle w:val="NormalWeb"/>
      </w:pPr>
      <w:r>
        <w:t>The annual crop-specific harvested-area fields were first produced at 0.05° resolution. To match the spatial framework used in HARM and to reduce storage requirements, these fields were then aggregated to the 5-arcminute grid before monthly disaggregation. This ordering is computationally efficient and does not affect area conservation, because the monthly weights are normalized within each target grid cell:</w:t>
      </w:r>
    </w:p>
    <w:p w14:paraId="5D7F219F" w14:textId="77777777" w:rsidR="008E3763" w:rsidRDefault="00000000" w:rsidP="008E3763">
      <m:oMathPara>
        <m:oMath>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12</m:t>
              </m:r>
            </m:sup>
            <m:e>
              <m:sSub>
                <m:sSubPr>
                  <m:ctrlPr>
                    <w:rPr>
                      <w:rFonts w:ascii="Cambria Math" w:hAnsi="Cambria Math"/>
                    </w:rPr>
                  </m:ctrlPr>
                </m:sSubPr>
                <m:e>
                  <m:r>
                    <w:rPr>
                      <w:rFonts w:ascii="Cambria Math" w:hAnsi="Cambria Math"/>
                    </w:rPr>
                    <m:t>w</m:t>
                  </m:r>
                </m:e>
                <m:sub>
                  <m:r>
                    <w:rPr>
                      <w:rFonts w:ascii="Cambria Math" w:hAnsi="Cambria Math"/>
                    </w:rPr>
                    <m:t>m</m:t>
                  </m:r>
                </m:sub>
              </m:sSub>
            </m:e>
          </m:nary>
          <m:r>
            <w:rPr>
              <w:rFonts w:ascii="Cambria Math" w:hAnsi="Cambria Math"/>
            </w:rPr>
            <m:t>(g)=1.</m:t>
          </m:r>
          <m:r>
            <m:rPr>
              <m:sty m:val="p"/>
            </m:rPr>
            <w:rPr>
              <w:rFonts w:ascii="Cambria Math" w:hAnsi="Cambria Math"/>
            </w:rPr>
            <w:br/>
          </m:r>
        </m:oMath>
      </m:oMathPara>
    </w:p>
    <w:p w14:paraId="7139BCCE" w14:textId="77777777" w:rsidR="008E3763" w:rsidRDefault="008E3763" w:rsidP="008E3763">
      <w:pPr>
        <w:pStyle w:val="NormalWeb"/>
      </w:pPr>
      <w:r>
        <w:t>Consequently, the sum of monthly harvested area over the year equals the annual harvested area in every grid cell. In practice, this “aggregate-then-downscale” workflow is mathematically equivalent to “downscale-then-aggregate” apart from the coarsening already imposed by the crop-calendar product, whose native resolution (0.5°) is coarser than 5 arcminutes.</w:t>
      </w:r>
    </w:p>
    <w:p w14:paraId="4F0D2831" w14:textId="77777777" w:rsidR="008E3763" w:rsidRPr="00DF1AA4" w:rsidRDefault="008E3763" w:rsidP="00DF1AA4">
      <w:pPr>
        <w:spacing w:before="100" w:beforeAutospacing="1" w:after="100" w:afterAutospacing="1"/>
        <w:outlineLvl w:val="2"/>
        <w:rPr>
          <w:b/>
          <w:bCs/>
          <w:sz w:val="27"/>
          <w:szCs w:val="27"/>
        </w:rPr>
      </w:pPr>
      <w:r>
        <w:rPr>
          <w:b/>
          <w:bCs/>
          <w:sz w:val="27"/>
          <w:szCs w:val="27"/>
        </w:rPr>
        <w:t>S2.9 Validation and output</w:t>
      </w:r>
    </w:p>
    <w:p w14:paraId="46CBB54B" w14:textId="77777777" w:rsidR="008E3763" w:rsidRDefault="008E3763" w:rsidP="008E3763">
      <w:pPr>
        <w:pStyle w:val="NormalWeb"/>
      </w:pPr>
      <w:r>
        <w:t>We compared the resulting dataset against SPAM2020 as an external sanity check for the 2020 reference year. For the major irrigated staple crops that dominate global blue-water use and crop water stress (including wheat, rice, maize, cotton and soybean), global totals were of the same order of magnitude as SPAM2020 and the spatial distribution was broadly consistent. Summary statistics for 12 crops that together represent the bulk of global irrigated cropland are reported in Supplementary Table S2.2. A finer crop-by-crop grid-level agreement is not the objective of this pipeline: the dataset is designed as an input to the downstream HARM water-stress model, and spatial-allocation differences between CROPGRIDS-based and SPAM-based products for minor or tropical perennial crops are a documented feature of the two underlying products rather than of our harmonization procedure.</w:t>
      </w:r>
      <w:r>
        <w:rPr>
          <w:rFonts w:hint="eastAsia"/>
        </w:rPr>
        <w:t>2</w:t>
      </w:r>
      <w:r>
        <w:t>.</w:t>
      </w:r>
    </w:p>
    <w:p w14:paraId="0FF6E1C1" w14:textId="77777777" w:rsidR="008E3763" w:rsidRDefault="008E3763" w:rsidP="008E3763">
      <w:pPr>
        <w:pStyle w:val="NormalWeb"/>
      </w:pPr>
      <w:r>
        <w:t xml:space="preserve">The final dataset contains annual gridded harvested-area fields for 144 mapped crops over 2000–2024, with irrigated and rainfed components distinguished. Monthly 5-arcminute fields are provided for the 24 calendar-resolved crops and temporally averaged monthly representations for the aggregate categories used downstream in HARM. </w:t>
      </w:r>
    </w:p>
    <w:p w14:paraId="0D3F64FC" w14:textId="77777777" w:rsidR="008E3763" w:rsidRDefault="008E3763" w:rsidP="008E3763">
      <w:pPr>
        <w:spacing w:before="100" w:beforeAutospacing="1" w:after="100" w:afterAutospacing="1"/>
        <w:outlineLvl w:val="1"/>
        <w:rPr>
          <w:b/>
          <w:bCs/>
          <w:sz w:val="36"/>
          <w:szCs w:val="36"/>
        </w:rPr>
      </w:pPr>
    </w:p>
    <w:p w14:paraId="5411D00B" w14:textId="77777777" w:rsidR="008E3763" w:rsidRPr="008E3763" w:rsidRDefault="008E3763" w:rsidP="008E3763">
      <w:pPr>
        <w:spacing w:before="100" w:beforeAutospacing="1" w:after="100" w:afterAutospacing="1"/>
        <w:outlineLvl w:val="1"/>
        <w:rPr>
          <w:b/>
          <w:bCs/>
          <w:sz w:val="36"/>
          <w:szCs w:val="36"/>
        </w:rPr>
      </w:pPr>
      <w:r>
        <w:rPr>
          <w:b/>
          <w:bCs/>
          <w:sz w:val="36"/>
          <w:szCs w:val="36"/>
        </w:rPr>
        <w:t>Supplementary Methods S3. Global layer implementation</w:t>
      </w:r>
    </w:p>
    <w:p w14:paraId="4A670E30" w14:textId="77777777" w:rsidR="008E3763" w:rsidRPr="008E3763" w:rsidRDefault="008E3763" w:rsidP="008E3763">
      <w:pPr>
        <w:spacing w:before="100" w:beforeAutospacing="1" w:after="100" w:afterAutospacing="1"/>
      </w:pPr>
      <w:r>
        <w:t xml:space="preserve">The global layer of HARM was designed to learn globally transferable relationships between predictors and monthly crop water stress (CWS) across all eligible 5-arcminute grid cells. A central challenge at this stage is the extreme spatial unevenness of CWS at global scale. Most grid cells exhibit near-zero stress because they are either not irrigated or are </w:t>
        <w:lastRenderedPageBreak/>
        <w:t>irrigated under relatively water-abundant conditions, whereas a much smaller fraction of cells in arid irrigated regions exhibits values that are orders of magnitude larger. Under uniform weighting, the loss function is therefore dominated by the many low-stress samples, causing the model to learn a near-zero baseline that performs well on average metrics but systematically underestimates the high-stress tail. This is particularly problematic because these rare high-stress cells contribute disproportionately to total crop water stress and are among the most policy-relevant locations in the dataset.</w:t>
      </w:r>
    </w:p>
    <w:p w14:paraId="6E981942" w14:textId="77777777" w:rsidR="008E3763" w:rsidRPr="008E3763" w:rsidRDefault="008E3763" w:rsidP="008E3763">
      <w:pPr>
        <w:spacing w:before="100" w:beforeAutospacing="1" w:after="100" w:afterAutospacing="1"/>
      </w:pPr>
      <w:r>
        <w:t xml:space="preserve">To reduce this bias, we introduced an adaptive weighting scheme for the global layer. Each training sample </w:t>
      </w:r>
      <m:oMath>
        <m:r>
          <w:rPr>
            <w:rFonts w:ascii="Cambria Math" w:hAnsi="Cambria Math"/>
          </w:rPr>
          <m:t>i</m:t>
        </m:r>
      </m:oMath>
      <w:r>
        <w:rPr>
          <w:rFonts w:hint="eastAsia"/>
        </w:rPr>
        <w:t xml:space="preserve"> </w:t>
      </w:r>
      <w:r>
        <w:t>received weight</w:t>
      </w:r>
    </w:p>
    <w:p w14:paraId="5C0DE04D" w14:textId="77777777" w:rsidR="008E3763" w:rsidRPr="008E3763" w:rsidRDefault="00000000" w:rsidP="008E3763">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1+α⋅</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Q</m:t>
                      </m:r>
                    </m:e>
                    <m:sub>
                      <m:r>
                        <w:rPr>
                          <w:rFonts w:ascii="Cambria Math" w:hAnsi="Cambria Math"/>
                        </w:rPr>
                        <m:t>90</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den>
              </m:f>
              <m:r>
                <w:rPr>
                  <w:rFonts w:ascii="Cambria Math" w:hAnsi="Cambria Math"/>
                </w:rPr>
                <m:t>,</m:t>
              </m:r>
              <m:r>
                <m:rPr>
                  <m:nor/>
                </m:rPr>
                <m:t> </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e>
          </m:d>
          <m:r>
            <m:rPr>
              <m:sty m:val="p"/>
            </m:rPr>
            <w:rPr>
              <w:rFonts w:ascii="Cambria Math" w:hAnsi="Cambria Math"/>
            </w:rPr>
            <w:br/>
          </m:r>
        </m:oMath>
      </m:oMathPara>
    </w:p>
    <w:p w14:paraId="1B62D665" w14:textId="77777777" w:rsidR="008E3763" w:rsidRPr="008E3763" w:rsidRDefault="008E3763" w:rsidP="008E3763">
      <w:pPr>
        <w:spacing w:before="100" w:beforeAutospacing="1" w:after="100" w:afterAutospacing="1"/>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is the observed CWS value for sample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90</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oMath>
      <w:r>
        <w:rPr>
          <w:rFonts w:hint="eastAsia"/>
        </w:rPr>
        <w:t xml:space="preserve"> </w:t>
      </w:r>
      <w:r>
        <w:t xml:space="preserve">is the 90th percentile of positive (non-zero) observations in the training set, </w:t>
      </w:r>
      <m:oMath>
        <m:r>
          <w:rPr>
            <w:rFonts w:ascii="Cambria Math" w:hAnsi="Cambria Math"/>
          </w:rPr>
          <m:t>α=1.0</m:t>
        </m:r>
      </m:oMath>
      <w:r>
        <w:t xml:space="preserve">is the weighting intensity parameter, and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r>
          <w:rPr>
            <w:rFonts w:ascii="Cambria Math" w:hAnsi="Cambria Math"/>
          </w:rPr>
          <m:t>=10.0</m:t>
        </m:r>
      </m:oMath>
      <w:r>
        <w:rPr>
          <w:rFonts w:hint="eastAsia"/>
        </w:rPr>
        <w:t xml:space="preserve"> </w:t>
      </w:r>
      <w:r>
        <w:t xml:space="preserve">is a hard cap preventing any single observation from dominating the loss. Samples with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rPr>
          <w:rFonts w:hint="eastAsia"/>
        </w:rPr>
        <w:t xml:space="preserve"> </w:t>
      </w:r>
      <w:r>
        <w:t>received the baseline weight of 1.0. A positive sample at the 90th percentile therefore received weight 2.0.</w:t>
      </w:r>
      <w:r>
        <w:rPr>
          <w:rFonts w:hint="eastAsia"/>
        </w:rPr>
        <w:t xml:space="preserve"> </w:t>
      </w:r>
      <w:r>
        <w:t xml:space="preserve">The cap at 10.0 prevented extreme outliers from exerting disproportionate influence. We implemented this weighting through the </w:t>
      </w:r>
      <w:r>
        <w:rPr>
          <w:rStyle w:val="HTMLCode"/>
        </w:rPr>
        <w:t>sample_weight</w:t>
      </w:r>
      <w:r>
        <w:t xml:space="preserve"> argument in </w:t>
      </w:r>
      <w:r>
        <w:rPr>
          <w:rStyle w:val="HTMLCode"/>
        </w:rPr>
        <w:t>XGBoost.fit()</w:t>
      </w:r>
      <w:r>
        <w:t xml:space="preserve"> [11] and applied it identically to all three models (Q10, Q50, Q90) within the global layer. When the weighted pipeline was adopted, the same weighting logic was inherited by the regional and extreme layers.</w:t>
      </w:r>
    </w:p>
    <w:p w14:paraId="39C7B42A" w14:textId="77777777" w:rsidR="008A4130" w:rsidRDefault="008A4130" w:rsidP="008E3763">
      <w:pPr>
        <w:spacing w:before="100" w:beforeAutospacing="1" w:after="100" w:afterAutospacing="1"/>
      </w:pPr>
      <w:r>
        <w:t xml:space="preserve">We selected weighted versus unweighted training empirically on a crop-by-crop basis. </w:t>
      </w:r>
      <w:r>
        <w:rPr>
          <w:rFonts w:hint="eastAsia"/>
        </w:rPr>
        <w:t xml:space="preserve">23 </w:t>
      </w:r>
      <w:r>
        <w:t xml:space="preserve"> crops used the weighted pipeline (GW+RW+E): Alfalfa, Barley, Beans, Cassava, Chick peas, Cocoa beans, Coffee, Seed cotton, Cow peas, Maize (corn), Millet, Groundnuts, Oil palm fruit, Potatoes, Rice (main season), Rice (second season), Sunflower seed, Vegetables, Wheat, Sugar cane, Other annual crops, Perennial deciduous, and Perennial evergreen. </w:t>
      </w:r>
      <w:r>
        <w:rPr>
          <w:rFonts w:hint="eastAsia"/>
        </w:rPr>
        <w:t>4</w:t>
      </w:r>
      <w:r>
        <w:t xml:space="preserve"> crops used the unweighted pipeline (G+R+E): Soya beans, Sorghum, Sugar beet, and Rape or colza seed. Pipeline selection was based primarily on yearly country-level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because this is the aggregation level at which predictions enter the MRIO framework. Sample weighting improved yearly country-level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 xml:space="preserve"> </w:t>
      </w:r>
      <w:r>
        <w:t>for 26 of 27 crops, with a mean absolute improvement of approximately +0.15, but the weighted pipeline was adopted only when these gains were considered sufficiently robust and were not offset by degradation relative to the unweighted alternative. In several cases, weighted training improved grid-level fit while worsening country-level performance, indicating overfitting to local patterns at the expense of the aggregation level required for MRIO analysis. Grid-level diagnostic metrics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RMSE, NRMSE, hit rate on the 90th-percentile tail, and interval coverage) for the global unweighted and global weighted variants are reported per crop in Supplementary Table S3.1, and the country-level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comparison underlying the per-crop pipeline selection is reported in Supplementary Table S3.2.</w:t>
      </w:r>
    </w:p>
    <w:p w14:paraId="3D577012" w14:textId="77777777" w:rsidR="008E3763" w:rsidRPr="008E3763" w:rsidRDefault="008E3763" w:rsidP="008E3763">
      <w:pPr>
        <w:spacing w:before="100" w:beforeAutospacing="1" w:after="100" w:afterAutospacing="1"/>
      </w:pPr>
      <w:r>
        <w:t>For the median model (Q50), we used squared-error loss,</w:t>
      </w:r>
    </w:p>
    <w:p w14:paraId="5E7340F2" w14:textId="77777777" w:rsidR="008E3763" w:rsidRPr="008E3763" w:rsidRDefault="00000000" w:rsidP="008E3763">
      <m:oMathPara>
        <m:oMath>
          <m:sSub>
            <m:sSubPr>
              <m:ctrlPr>
                <w:rPr>
                  <w:rFonts w:ascii="Cambria Math" w:hAnsi="Cambria Math"/>
                </w:rPr>
              </m:ctrlPr>
            </m:sSubPr>
            <m:e>
              <m:r>
                <w:rPr>
                  <w:rFonts w:ascii="Cambria Math" w:hAnsi="Cambria Math"/>
                </w:rPr>
                <m:t>L</m:t>
              </m:r>
            </m:e>
            <m:sub>
              <m:r>
                <w:rPr>
                  <w:rFonts w:ascii="Cambria Math" w:hAnsi="Cambria Math"/>
                </w:rPr>
                <m:t>Q50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w:br/>
          </m:r>
        </m:oMath>
      </m:oMathPara>
    </w:p>
    <w:p w14:paraId="068F7F06" w14:textId="77777777" w:rsidR="008E3763" w:rsidRPr="008E3763" w:rsidRDefault="008E3763" w:rsidP="008E3763">
      <w:pPr>
        <w:spacing w:before="100" w:beforeAutospacing="1" w:after="100" w:afterAutospacing="1"/>
      </w:pPr>
      <w:r>
        <w:lastRenderedPageBreak/>
        <w:t xml:space="preserve">implemented with the XGBoost objective </w:t>
      </w:r>
      <w:r>
        <w:rPr>
          <w:rFonts w:ascii="Courier New" w:hAnsi="Courier New" w:cs="Courier New"/>
          <w:sz w:val="20"/>
          <w:szCs w:val="20"/>
        </w:rPr>
        <w:t>reg:squarederror</w:t>
      </w:r>
      <w:r>
        <w:t>. For the lower and upper quantile models (Q10 and Q90), we used pinball loss,</w:t>
      </w:r>
    </w:p>
    <w:p w14:paraId="4A08CD5D" w14:textId="77777777" w:rsidR="008E3763" w:rsidRPr="008E3763" w:rsidRDefault="00000000" w:rsidP="008E3763">
      <m:oMathPara>
        <m:oMath>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ρ</m:t>
                  </m:r>
                </m:e>
                <m:sub>
                  <m:r>
                    <w:rPr>
                      <w:rFonts w:ascii="Cambria Math" w:hAnsi="Cambria Math"/>
                    </w:rPr>
                    <m:t>q</m:t>
                  </m:r>
                </m:sub>
              </m:sSub>
            </m:e>
          </m:nary>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q</m:t>
              </m:r>
            </m:sub>
          </m:sSub>
          <m:r>
            <w:rPr>
              <w:rFonts w:ascii="Cambria Math" w:hAnsi="Cambria Math"/>
            </w:rPr>
            <m:t>(u)=u⋅(q-</m:t>
          </m:r>
          <m:r>
            <m:rPr>
              <m:sty m:val="b"/>
            </m:rPr>
            <w:rPr>
              <w:rFonts w:ascii="Cambria Math" w:hAnsi="Cambria Math"/>
            </w:rPr>
            <m:t>1</m:t>
          </m:r>
          <m:r>
            <w:rPr>
              <w:rFonts w:ascii="Cambria Math" w:hAnsi="Cambria Math"/>
            </w:rPr>
            <m:t>[u&lt;0]),</m:t>
          </m:r>
          <m:r>
            <m:rPr>
              <m:sty m:val="p"/>
            </m:rPr>
            <w:rPr>
              <w:rFonts w:ascii="Cambria Math" w:hAnsi="Cambria Math"/>
            </w:rPr>
            <w:br/>
          </m:r>
        </m:oMath>
      </m:oMathPara>
    </w:p>
    <w:p w14:paraId="4EBB4DDD" w14:textId="77777777" w:rsidR="008E3763" w:rsidRPr="008E3763" w:rsidRDefault="008E3763" w:rsidP="008E3763">
      <w:pPr>
        <w:spacing w:before="100" w:beforeAutospacing="1" w:after="100" w:afterAutospacing="1"/>
      </w:pPr>
      <w:r>
        <w:t xml:space="preserve">implemented with the XGBoost objective </w:t>
      </w:r>
      <w:r>
        <w:rPr>
          <w:rFonts w:ascii="Courier New" w:hAnsi="Courier New" w:cs="Courier New"/>
          <w:sz w:val="20"/>
          <w:szCs w:val="20"/>
        </w:rPr>
        <w:t>reg:quantileerror</w:t>
      </w:r>
      <w:r>
        <w:t xml:space="preserve"> and </w:t>
      </w:r>
      <w:r>
        <w:rPr>
          <w:rFonts w:ascii="Courier New" w:hAnsi="Courier New" w:cs="Courier New"/>
          <w:sz w:val="20"/>
          <w:szCs w:val="20"/>
        </w:rPr>
        <w:t>quantile_alpha</w:t>
      </w:r>
      <w:r>
        <w:t xml:space="preserve"> set to 0.1 or 0.9, respectively. </w:t>
      </w:r>
    </w:p>
    <w:p w14:paraId="02A6F267" w14:textId="77777777" w:rsidR="008E3763" w:rsidRDefault="008A4130">
      <w:r>
        <w:t xml:space="preserve">Global-layer hyperparameters were tuned using Bayesian optimisation with Optuna [12]. We used the Tree-structured Parzen Estimator sampler and the MedianPruner, which terminates trials whose intermediate performance falls below the running median of completed trials. During the evaluation stage, 64 trials were run per crop. The objective function was the mean validation normalized RMSE (NRMSE) across temporal folds. GPU acceleration was used for all crops via </w:t>
      </w:r>
      <w:r>
        <w:rPr>
          <w:rStyle w:val="HTMLCode"/>
        </w:rPr>
        <w:t>tree_method="gpu_hist"</w:t>
      </w:r>
      <w:r>
        <w:t xml:space="preserve">. The search space covered </w:t>
      </w:r>
      <w:r>
        <w:rPr>
          <w:rStyle w:val="HTMLCode"/>
        </w:rPr>
        <w:t>max_depth</w:t>
      </w:r>
      <w:r>
        <w:t xml:space="preserve"> from 3 to 10, </w:t>
      </w:r>
      <w:r>
        <w:rPr>
          <w:rStyle w:val="HTMLCode"/>
        </w:rPr>
        <w:t>n_estimators</w:t>
      </w:r>
      <w:r>
        <w:t xml:space="preserve"> from 100 to 500, </w:t>
      </w:r>
      <w:r>
        <w:rPr>
          <w:rStyle w:val="HTMLCode"/>
        </w:rPr>
        <w:t>learning_rate</w:t>
      </w:r>
      <w:r>
        <w:t xml:space="preserve"> from 0.01 to 0.3 (log-uniform), </w:t>
      </w:r>
      <w:r>
        <w:rPr>
          <w:rStyle w:val="HTMLCode"/>
        </w:rPr>
        <w:t>subsample</w:t>
      </w:r>
      <w:r>
        <w:t xml:space="preserve"> from 0.6 to 1.0, </w:t>
      </w:r>
      <w:r>
        <w:rPr>
          <w:rStyle w:val="HTMLCode"/>
        </w:rPr>
        <w:t>colsample_bytree</w:t>
      </w:r>
      <w:r>
        <w:t xml:space="preserve"> from 0.6 to 1.0, </w:t>
      </w:r>
      <w:r>
        <w:rPr>
          <w:rStyle w:val="HTMLCode"/>
        </w:rPr>
        <w:t>min_child_weight</w:t>
      </w:r>
      <w:r>
        <w:t xml:space="preserve"> from 1 to 10, </w:t>
      </w:r>
      <w:r>
        <w:rPr>
          <w:rStyle w:val="HTMLCode"/>
        </w:rPr>
        <w:t>reg_alpha</w:t>
      </w:r>
      <w:r>
        <w:t xml:space="preserve"> from 0 to 2.0, and </w:t>
      </w:r>
      <w:r>
        <w:rPr>
          <w:rStyle w:val="HTMLCode"/>
        </w:rPr>
        <w:t>reg_lambda</w:t>
      </w:r>
      <w:r>
        <w:t xml:space="preserve"> from 0 to 3.0.</w:t>
      </w:r>
    </w:p>
    <w:p w14:paraId="59AE0819" w14:textId="77777777" w:rsidR="008A4130" w:rsidRDefault="008A4130"/>
    <w:p w14:paraId="04798725" w14:textId="77777777" w:rsidR="00A469D3" w:rsidRDefault="00A469D3" w:rsidP="00A469D3">
      <w:pPr>
        <w:pStyle w:val="Heading2"/>
      </w:pPr>
      <w:r>
        <w:rPr>
          <w:rStyle w:val="Strong"/>
          <w:b/>
          <w:bCs/>
        </w:rPr>
        <w:t>Supplementary Methods S4. Regional layer implementation</w:t>
      </w:r>
    </w:p>
    <w:p w14:paraId="45425BAD" w14:textId="77777777" w:rsidR="00A469D3" w:rsidRDefault="00A469D3" w:rsidP="00A469D3">
      <w:pPr>
        <w:pStyle w:val="NormalWeb"/>
      </w:pPr>
      <w:r>
        <w:t>The regional layer of HARM was designed to capture systematic regional deviations that remain after the global layer. Regions were defined by intersecting two axes from the FAO Agro-Ecological Zone framework [13]: thermal zones (THZ), based on accumulated temperature, and moisture-stress zones (MST), based on length of growing period and aridity. Thermal zones were grouped into three classes: low (THZ ≤ 3, corresponding to cool/cold climates), medium (THZ 4–7, temperate climates), and high (THZ ≥ 8, tropical/subtropical climates). Moisture-stress zones were likewise grouped into three classes: arid (MST ≤ 2, desert and hyper-arid), semi-humid (MST 3–5, semi-arid to sub-humid), and humid (MST ≥ 6, humid and per-humid). Their intersection yielded up to nine agro-climatic regions. All agro-ecological layers were aligned to the common 5-arcminute grid used throughout the analysis. This regionalization reflects the fact that crop–climate relationships vary systematically across thermal and moisture regimes, so a globally pooled model may underperform in highly heterogeneous agro-climatic contexts.</w:t>
      </w:r>
    </w:p>
    <w:p w14:paraId="1DC3CF65" w14:textId="77777777" w:rsidR="00A469D3" w:rsidRDefault="00A469D3" w:rsidP="00A469D3">
      <w:pPr>
        <w:pStyle w:val="NormalWeb"/>
      </w:pPr>
      <w:r>
        <w:t>For most crops, this 9-region THZ × MST classification provided an adequate balance between environmental specificity and sample size. However, wheat and maize span exceptionally diverse growing environments, from cool temperate to tropical climates. For these two crops, the 9-region classification proved too coarse. We therefore adopted the 30-class Köppen–Geiger climate classification [14], which provides finer discrimination of temperature seasonality, precipitation patterns, and aridity. Comparison of the 9-region and 30-region configurations showed that the finer Köppen-based regionalization improved grid-level performance by at least 2% in NRMSE for both crops.</w:t>
      </w:r>
    </w:p>
    <w:p w14:paraId="7BF81D78" w14:textId="77777777" w:rsidR="00A469D3" w:rsidRDefault="00A469D3" w:rsidP="00A469D3">
      <w:pPr>
        <w:pStyle w:val="NormalWeb"/>
      </w:pPr>
      <w:r>
        <w:t>The agro-climatic region label was used exclusively for data partitioning, that is, to determine which regional and extreme models to train and apply. It was not included as a predictor variable in any model layer.</w:t>
      </w:r>
    </w:p>
    <w:p w14:paraId="788F853E" w14:textId="77777777" w:rsidR="00A469D3" w:rsidRDefault="00A469D3" w:rsidP="00A469D3">
      <w:pPr>
        <w:pStyle w:val="NormalWeb"/>
      </w:pPr>
      <w:r>
        <w:lastRenderedPageBreak/>
        <w:t xml:space="preserve">In the regional layer, models were trained on residuals from the global layer rather than on the raw target. For each crop and region </w:t>
      </w:r>
      <m:oMath>
        <m:r>
          <w:rPr>
            <w:rFonts w:ascii="Cambria Math" w:hAnsi="Cambria Math"/>
          </w:rPr>
          <m:t>r</m:t>
        </m:r>
      </m:oMath>
      <w:r>
        <w:t>, we first computed</w:t>
      </w:r>
    </w:p>
    <w:p w14:paraId="34F79715" w14:textId="77777777" w:rsidR="00A469D3" w:rsidRDefault="00000000" w:rsidP="00A469D3">
      <m:oMathPara>
        <m:oMath>
          <m:sSub>
            <m:sSubPr>
              <m:ctrlPr>
                <w:rPr>
                  <w:rFonts w:ascii="Cambria Math" w:hAnsi="Cambria Math"/>
                </w:rPr>
              </m:ctrlPr>
            </m:sSubPr>
            <m:e>
              <m:r>
                <w:rPr>
                  <w:rFonts w:ascii="Cambria Math" w:hAnsi="Cambria Math"/>
                </w:rPr>
                <m:t>r</m:t>
              </m:r>
            </m:e>
            <m:sub>
              <m:r>
                <m:rPr>
                  <m:sty m:val="p"/>
                </m:rPr>
                <w:rPr>
                  <w:rFonts w:ascii="Cambria Math" w:hAnsi="Cambria Math"/>
                </w:rPr>
                <m:t>global</m:t>
              </m:r>
            </m:sub>
          </m:sSub>
          <m:r>
            <w:rPr>
              <w:rFonts w:ascii="Cambria Math" w:hAnsi="Cambria Math"/>
            </w:rPr>
            <m:t>=y-</m:t>
          </m:r>
          <m:sSub>
            <m:sSubPr>
              <m:ctrlPr>
                <w:rPr>
                  <w:rFonts w:ascii="Cambria Math" w:hAnsi="Cambria Math"/>
                </w:rPr>
              </m:ctrlPr>
            </m:sSubPr>
            <m:e>
              <m:r>
                <w:rPr>
                  <w:rFonts w:ascii="Cambria Math" w:hAnsi="Cambria Math"/>
                </w:rPr>
                <m:t>f</m:t>
              </m:r>
            </m:e>
            <m:sub>
              <m:r>
                <m:rPr>
                  <m:sty m:val="p"/>
                </m:rPr>
                <w:rPr>
                  <w:rFonts w:ascii="Cambria Math" w:hAnsi="Cambria Math"/>
                </w:rPr>
                <m:t>global</m:t>
              </m:r>
            </m:sub>
          </m:sSub>
          <m:r>
            <w:rPr>
              <w:rFonts w:ascii="Cambria Math" w:hAnsi="Cambria Math"/>
            </w:rPr>
            <m:t>(X)</m:t>
            <w:br/>
          </m:r>
        </m:oMath>
      </m:oMathPara>
    </w:p>
    <w:p w14:paraId="196BC857" w14:textId="77777777" w:rsidR="00A469D3" w:rsidRDefault="00A469D3" w:rsidP="00A469D3">
      <w:pPr>
        <w:pStyle w:val="NormalWeb"/>
      </w:pPr>
      <w:r>
        <w:t xml:space="preserve">for all samples in that region. If a region contained fewer than 5,000 samples, no regional model was trained and the global prediction was used directly. Otherwise, we fitted a region-specific MinMaxScaler using the same feature set as the global model and then trained three XGBoost models (Q10, Q50, Q90) to predict </w:t>
      </w:r>
      <m:oMath>
        <m:sSub>
          <m:sSubPr>
            <m:ctrlPr>
              <w:rPr>
                <w:rFonts w:ascii="Cambria Math" w:hAnsi="Cambria Math"/>
              </w:rPr>
            </m:ctrlPr>
          </m:sSubPr>
          <m:e>
            <m:r>
              <w:rPr>
                <w:rFonts w:ascii="Cambria Math" w:hAnsi="Cambria Math"/>
              </w:rPr>
              <m:t>r</m:t>
            </m:r>
          </m:e>
          <m:sub>
            <m:r>
              <m:rPr>
                <m:sty m:val="p"/>
              </m:rPr>
              <w:rPr>
                <w:rFonts w:ascii="Cambria Math" w:hAnsi="Cambria Math"/>
              </w:rPr>
              <m:t>global</m:t>
            </m:r>
          </m:sub>
        </m:sSub>
      </m:oMath>
      <w:r>
        <w:t>. Regional hyperparameters were selected using a nested cross-validation framework with an outer loop of three temporal folds and an inner loop of three to five spatial folds based on GroupKFold over 50-km grid blocks. The outer loop provided an unbiased estimate of validation performance, whereas the inner loop selected hyperparameters from a deliberately conservative search space.</w:t>
      </w:r>
    </w:p>
    <w:p w14:paraId="56F15E90" w14:textId="77777777" w:rsidR="00A469D3" w:rsidRDefault="00A469D3" w:rsidP="00A469D3">
      <w:pPr>
        <w:pStyle w:val="NormalWeb"/>
      </w:pPr>
      <w:r>
        <w:t xml:space="preserve">Regional hyperparameters were tuned by constrained grid search rather than Bayesian optimisation. We considered </w:t>
      </w:r>
      <w:r>
        <w:rPr>
          <w:rStyle w:val="HTMLCode"/>
        </w:rPr>
        <w:t>max_depth</w:t>
      </w:r>
      <w:r>
        <w:t xml:space="preserve"> values of 3, 4, and 5, </w:t>
      </w:r>
      <w:r>
        <w:rPr>
          <w:rStyle w:val="HTMLCode"/>
        </w:rPr>
        <w:t>n_estimators</w:t>
      </w:r>
      <w:r>
        <w:t xml:space="preserve"> values of 80, 100, and 120, and </w:t>
      </w:r>
      <w:r>
        <w:rPr>
          <w:rStyle w:val="HTMLCode"/>
        </w:rPr>
        <w:t>reg_lambda</w:t>
      </w:r>
      <w:r>
        <w:t xml:space="preserve"> values of 1.0, 2.0, and 3.0. Other parameters were fixed at </w:t>
      </w:r>
      <w:r>
        <w:rPr>
          <w:rStyle w:val="HTMLCode"/>
        </w:rPr>
        <w:t>learning_rate = 0.1</w:t>
      </w:r>
      <w:r>
        <w:t xml:space="preserve">, </w:t>
      </w:r>
      <w:r>
        <w:rPr>
          <w:rStyle w:val="HTMLCode"/>
        </w:rPr>
        <w:t>subsample = 0.8</w:t>
      </w:r>
      <w:r>
        <w:t xml:space="preserve">, </w:t>
      </w:r>
      <w:r>
        <w:rPr>
          <w:rStyle w:val="HTMLCode"/>
        </w:rPr>
        <w:t>colsample_bytree = 0.8</w:t>
      </w:r>
      <w:r>
        <w:t xml:space="preserve">, </w:t>
      </w:r>
      <w:r>
        <w:rPr>
          <w:rStyle w:val="HTMLCode"/>
        </w:rPr>
        <w:t>min_child_weight = 5</w:t>
      </w:r>
      <w:r>
        <w:t xml:space="preserve">, and </w:t>
      </w:r>
      <w:r>
        <w:rPr>
          <w:rStyle w:val="HTMLCode"/>
        </w:rPr>
        <w:t>reg_alpha = 0.5</w:t>
      </w:r>
      <w:r>
        <w:t>. These settings were deliberately more conservative than those used in the global layer to reduce overfitting within smaller regional samples.</w:t>
      </w:r>
    </w:p>
    <w:p w14:paraId="04C5938E" w14:textId="77777777" w:rsidR="00A469D3" w:rsidRDefault="00A469D3" w:rsidP="00A469D3">
      <w:pPr>
        <w:pStyle w:val="NormalWeb"/>
      </w:pPr>
      <w:r>
        <w:t>Regional corrections were retained only if they improved validation performance relative to the global-only alternative. Specifically, a regional correction was retained only when</w:t>
      </w:r>
    </w:p>
    <w:p w14:paraId="2ABA6EE0" w14:textId="77777777" w:rsidR="00A469D3" w:rsidRDefault="00000000" w:rsidP="00A469D3">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NRMSE</m:t>
                  </m:r>
                </m:e>
                <m:sub>
                  <m:r>
                    <m:rPr>
                      <m:sty m:val="p"/>
                    </m:rPr>
                    <w:rPr>
                      <w:rFonts w:ascii="Cambria Math" w:hAnsi="Cambria Math"/>
                    </w:rPr>
                    <m:t>global</m:t>
                  </m:r>
                </m:sub>
              </m:sSub>
              <m:r>
                <w:rPr>
                  <w:rFonts w:ascii="Cambria Math" w:hAnsi="Cambria Math"/>
                </w:rPr>
                <m:t>-</m:t>
              </m:r>
              <m:sSub>
                <m:sSubPr>
                  <m:ctrlPr>
                    <w:rPr>
                      <w:rFonts w:ascii="Cambria Math" w:hAnsi="Cambria Math"/>
                    </w:rPr>
                  </m:ctrlPr>
                </m:sSubPr>
                <m:e>
                  <m:r>
                    <m:rPr>
                      <m:sty m:val="p"/>
                    </m:rPr>
                    <w:rPr>
                      <w:rFonts w:ascii="Cambria Math" w:hAnsi="Cambria Math"/>
                    </w:rPr>
                    <m:t>NRMSE</m:t>
                  </m:r>
                </m:e>
                <m:sub>
                  <m:r>
                    <m:rPr>
                      <m:sty m:val="p"/>
                    </m:rPr>
                    <w:rPr>
                      <w:rFonts w:ascii="Cambria Math" w:hAnsi="Cambria Math"/>
                    </w:rPr>
                    <m:t>regional</m:t>
                  </m:r>
                </m:sub>
              </m:sSub>
            </m:num>
            <m:den>
              <m:sSub>
                <m:sSubPr>
                  <m:ctrlPr>
                    <w:rPr>
                      <w:rFonts w:ascii="Cambria Math" w:hAnsi="Cambria Math"/>
                    </w:rPr>
                  </m:ctrlPr>
                </m:sSubPr>
                <m:e>
                  <m:r>
                    <m:rPr>
                      <m:sty m:val="p"/>
                    </m:rPr>
                    <w:rPr>
                      <w:rFonts w:ascii="Cambria Math" w:hAnsi="Cambria Math"/>
                    </w:rPr>
                    <m:t>NRMSE</m:t>
                  </m:r>
                </m:e>
                <m:sub>
                  <m:r>
                    <m:rPr>
                      <m:sty m:val="p"/>
                    </m:rPr>
                    <w:rPr>
                      <w:rFonts w:ascii="Cambria Math" w:hAnsi="Cambria Math"/>
                    </w:rPr>
                    <m:t>global</m:t>
                  </m:r>
                </m:sub>
              </m:sSub>
            </m:den>
          </m:f>
          <m:r>
            <w:rPr>
              <w:rFonts w:ascii="Cambria Math" w:hAnsi="Cambria Math"/>
            </w:rPr>
            <m:t>×100≥2</m:t>
            <w:br/>
          </m:r>
        </m:oMath>
      </m:oMathPara>
    </w:p>
    <w:p w14:paraId="4D3C5B5E" w14:textId="77777777" w:rsidR="00A469D3" w:rsidRDefault="00A469D3" w:rsidP="00A469D3">
      <w:pPr>
        <w:pStyle w:val="NormalWeb"/>
      </w:pPr>
      <w:r>
        <w:t>based on cross-validated predictions. This threshold avoids retaining corrections that add complexity without providing meaningful benefit. Across all crop–region combinations considered for regional correction, 138 of 236 (58%) met this criterion and retained a regional residual model.</w:t>
      </w:r>
    </w:p>
    <w:p w14:paraId="1F8A16BE" w14:textId="77777777" w:rsidR="008E3763" w:rsidRDefault="008E3763" w:rsidP="008E3763">
      <w:pPr>
        <w:pStyle w:val="NormalWeb"/>
      </w:pPr>
    </w:p>
    <w:p w14:paraId="0F973897" w14:textId="77777777" w:rsidR="00A469D3" w:rsidRDefault="00A469D3" w:rsidP="00A469D3">
      <w:pPr>
        <w:pStyle w:val="Heading2"/>
      </w:pPr>
      <w:r>
        <w:rPr>
          <w:rStyle w:val="Strong"/>
          <w:b/>
          <w:bCs/>
        </w:rPr>
        <w:t>Supplementary Methods S5. Extreme layer implementation</w:t>
      </w:r>
    </w:p>
    <w:p w14:paraId="3762A9DC" w14:textId="77777777" w:rsidR="00A469D3" w:rsidRDefault="00A469D3" w:rsidP="00A469D3">
      <w:pPr>
        <w:pStyle w:val="NormalWeb"/>
      </w:pPr>
      <w:r>
        <w:t>The extreme layer of HARM was designed to target rare, high-residual cases that remain after global and regional correction. It operates independently within each agro-climatic region rather than globally and uses a detector–corrector architecture.</w:t>
      </w:r>
    </w:p>
    <w:p w14:paraId="5F1B2ED1" w14:textId="77777777" w:rsidR="00A469D3" w:rsidRDefault="00A469D3" w:rsidP="00A469D3">
      <w:pPr>
        <w:pStyle w:val="NormalWeb"/>
      </w:pPr>
      <w:r>
        <w:t>We first defined an observation as “extreme” when the absolute residual from the combined global and regional prediction exceeded the 85th percentile of the absolute residual distribution within the corresponding region:</w:t>
      </w:r>
    </w:p>
    <w:p w14:paraId="30DFF639" w14:textId="77777777" w:rsidR="00A469D3" w:rsidRDefault="00A469D3" w:rsidP="00A469D3">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base</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85</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base</m:t>
              </m:r>
            </m:sub>
          </m:sSub>
          <m:r>
            <m:rPr>
              <m:sty m:val="p"/>
            </m:rPr>
            <w:rPr>
              <w:rFonts w:ascii="Cambria Math" w:hAnsi="Cambria Math"/>
            </w:rPr>
            <m:t>∣</m:t>
          </m:r>
          <m:r>
            <w:rPr>
              <w:rFonts w:ascii="Cambria Math" w:hAnsi="Cambria Math"/>
            </w:rPr>
            <m:t>)</m:t>
            <w:br/>
          </m:r>
        </m:oMath>
      </m:oMathPara>
    </w:p>
    <w:p w14:paraId="1AF5AA92" w14:textId="77777777" w:rsidR="00A469D3" w:rsidRDefault="00A469D3" w:rsidP="00A469D3">
      <w:pPr>
        <w:pStyle w:val="NormalWeb"/>
      </w:pPr>
      <w:r>
        <w:lastRenderedPageBreak/>
        <w:t>where</w:t>
      </w:r>
    </w:p>
    <w:p w14:paraId="5D9D6FEA" w14:textId="77777777" w:rsidR="00A469D3" w:rsidRDefault="00000000" w:rsidP="00A469D3">
      <m:oMathPara>
        <m:oMath>
          <m:sSub>
            <m:sSubPr>
              <m:ctrlPr>
                <w:rPr>
                  <w:rFonts w:ascii="Cambria Math" w:hAnsi="Cambria Math"/>
                </w:rPr>
              </m:ctrlPr>
            </m:sSubPr>
            <m:e>
              <m:r>
                <w:rPr>
                  <w:rFonts w:ascii="Cambria Math" w:hAnsi="Cambria Math"/>
                </w:rPr>
                <m:t>r</m:t>
              </m:r>
            </m:e>
            <m:sub>
              <m:r>
                <m:rPr>
                  <m:sty m:val="p"/>
                </m:rPr>
                <w:rPr>
                  <w:rFonts w:ascii="Cambria Math" w:hAnsi="Cambria Math"/>
                </w:rPr>
                <m:t>base</m:t>
              </m:r>
            </m:sub>
          </m:sSub>
          <m:r>
            <w:rPr>
              <w:rFonts w:ascii="Cambria Math" w:hAnsi="Cambria Math"/>
            </w:rPr>
            <m:t>=y-</m:t>
          </m:r>
          <m:sSub>
            <m:sSubPr>
              <m:ctrlPr>
                <w:rPr>
                  <w:rFonts w:ascii="Cambria Math" w:hAnsi="Cambria Math"/>
                </w:rPr>
              </m:ctrlPr>
            </m:sSubPr>
            <m:e>
              <m:r>
                <w:rPr>
                  <w:rFonts w:ascii="Cambria Math" w:hAnsi="Cambria Math"/>
                </w:rPr>
                <m:t>f</m:t>
              </m:r>
            </m:e>
            <m:sub>
              <m:r>
                <m:rPr>
                  <m:sty m:val="p"/>
                </m:rPr>
                <w:rPr>
                  <w:rFonts w:ascii="Cambria Math" w:hAnsi="Cambria Math"/>
                </w:rPr>
                <m:t>global</m:t>
              </m:r>
            </m:sub>
          </m:sSub>
          <m:r>
            <w:rPr>
              <w:rFonts w:ascii="Cambria Math" w:hAnsi="Cambria Math"/>
            </w:rPr>
            <m:t>(X)-</m:t>
          </m:r>
          <m:sSub>
            <m:sSubPr>
              <m:ctrlPr>
                <w:rPr>
                  <w:rFonts w:ascii="Cambria Math" w:hAnsi="Cambria Math"/>
                </w:rPr>
              </m:ctrlPr>
            </m:sSubPr>
            <m:e>
              <m:r>
                <w:rPr>
                  <w:rFonts w:ascii="Cambria Math" w:hAnsi="Cambria Math"/>
                </w:rPr>
                <m:t>f</m:t>
              </m:r>
            </m:e>
            <m:sub>
              <m:r>
                <m:rPr>
                  <m:sty m:val="p"/>
                </m:rPr>
                <w:rPr>
                  <w:rFonts w:ascii="Cambria Math" w:hAnsi="Cambria Math"/>
                </w:rPr>
                <m:t>regional</m:t>
              </m:r>
            </m:sub>
          </m:sSub>
          <m:r>
            <w:rPr>
              <w:rFonts w:ascii="Cambria Math" w:hAnsi="Cambria Math"/>
            </w:rPr>
            <m:t>(X)</m:t>
          </m:r>
          <m:r>
            <m:rPr>
              <m:sty m:val="p"/>
            </m:rPr>
            <w:rPr>
              <w:rFonts w:ascii="Cambria Math" w:hAnsi="Cambria Math"/>
            </w:rPr>
            <m:t>.</m:t>
            <w:br/>
          </m:r>
        </m:oMath>
      </m:oMathPara>
    </w:p>
    <w:p w14:paraId="7BDB4BC8" w14:textId="77777777" w:rsidR="00A469D3" w:rsidRDefault="00A469D3" w:rsidP="00A469D3">
      <w:pPr>
        <w:pStyle w:val="NormalWeb"/>
      </w:pPr>
      <w:r>
        <w:t>This threshold identifies the upper tail of cases for which the first two layers leave the largest unexplained variation. In addition, the detector–corrector mechanism was designed to focus primarily on substantial underestimation cases, because these are most relevant to severe water-stress episodes and aggregate CWS totals.</w:t>
      </w:r>
    </w:p>
    <w:p w14:paraId="26F72773" w14:textId="77777777" w:rsidR="00A469D3" w:rsidRDefault="00A469D3" w:rsidP="00A469D3">
      <w:pPr>
        <w:pStyle w:val="NormalWeb"/>
      </w:pPr>
      <w:r>
        <w:t xml:space="preserve">The detector was implemented as an XGBoost binary classifier with objective </w:t>
      </w:r>
      <w:r>
        <w:rPr>
          <w:rStyle w:val="HTMLCode"/>
        </w:rPr>
        <w:t>binary:logistic</w:t>
      </w:r>
      <w:r>
        <w:t xml:space="preserve">. It was trained on all samples within a region, with binary labels indicating whether each sample belonged to the extreme residual class. Class imbalance was handled using XGBoost’s class-weighting mechanism, defined from the ratio of normal to extreme samples within each region. The detector output is the probability </w:t>
      </w:r>
      <m:oMath>
        <m:r>
          <w:rPr>
            <w:rFonts w:ascii="Cambria Math" w:hAnsi="Cambria Math"/>
          </w:rPr>
          <m:t>P(</m:t>
        </m:r>
        <m:r>
          <m:rPr>
            <m:sty m:val="p"/>
          </m:rPr>
          <w:rPr>
            <w:rFonts w:ascii="Cambria Math" w:hAnsi="Cambria Math"/>
          </w:rPr>
          <m:t>extreme</m:t>
        </m:r>
        <m:r>
          <w:rPr>
            <w:rFonts w:ascii="Cambria Math" w:hAnsi="Cambria Math"/>
          </w:rPr>
          <m:t>∣X)</m:t>
        </m:r>
      </m:oMath>
      <w:r>
        <w:t>for each sample. Detector hyperparameters were selected from a deliberately conservative grid-search space.</w:t>
      </w:r>
    </w:p>
    <w:p w14:paraId="72B140EA" w14:textId="77777777" w:rsidR="00A469D3" w:rsidRDefault="00A469D3" w:rsidP="00A469D3">
      <w:pPr>
        <w:pStyle w:val="NormalWeb"/>
      </w:pPr>
      <w:r>
        <w:t xml:space="preserve">The corrector was trained only on samples classified as extreme in the training data. It consisted of three XGBoost-based prediction models (Q10, Q50, Q90) for the residual correction magnitude </w:t>
      </w:r>
      <m:oMath>
        <m:sSub>
          <m:sSubPr>
            <m:ctrlPr>
              <w:rPr>
                <w:rFonts w:ascii="Cambria Math" w:hAnsi="Cambria Math"/>
              </w:rPr>
            </m:ctrlPr>
          </m:sSubPr>
          <m:e>
            <m:r>
              <w:rPr>
                <w:rFonts w:ascii="Cambria Math" w:hAnsi="Cambria Math"/>
              </w:rPr>
              <m:t>r</m:t>
            </m:r>
          </m:e>
          <m:sub>
            <m:r>
              <m:rPr>
                <m:sty m:val="p"/>
              </m:rPr>
              <w:rPr>
                <w:rFonts w:ascii="Cambria Math" w:hAnsi="Cambria Math"/>
              </w:rPr>
              <m:t>base</m:t>
            </m:r>
          </m:sub>
        </m:sSub>
      </m:oMath>
      <w:r>
        <w:t>on these samples. A minimum number of extreme samples was required before training the corrector, and the corrector used more conservative settings than the detector to reduce overfitting on the much smaller extreme subset. The extreme layer also used its own MinMaxScaler fitted on the raw features of the regional subset, because the feature distribution of extreme samples differs from that of the full regional sample.</w:t>
      </w:r>
    </w:p>
    <w:p w14:paraId="15143E8E" w14:textId="77777777" w:rsidR="00A469D3" w:rsidRDefault="00A469D3" w:rsidP="00A469D3">
      <w:pPr>
        <w:pStyle w:val="NormalWeb"/>
      </w:pPr>
      <w:r>
        <w:t>The final correction was applied probabilistically as</w:t>
      </w:r>
    </w:p>
    <w:p w14:paraId="44B0967E" w14:textId="77777777" w:rsidR="00A469D3" w:rsidRDefault="00000000" w:rsidP="00A469D3">
      <m:oMathPara>
        <m:oMath>
          <m:sSub>
            <m:sSubPr>
              <m:ctrlPr>
                <w:rPr>
                  <w:rFonts w:ascii="Cambria Math" w:hAnsi="Cambria Math"/>
                </w:rPr>
              </m:ctrlPr>
            </m:sSubPr>
            <m:e>
              <m:r>
                <w:rPr>
                  <w:rFonts w:ascii="Cambria Math" w:hAnsi="Cambria Math"/>
                </w:rPr>
                <m:t>f</m:t>
              </m:r>
            </m:e>
            <m:sub>
              <m:r>
                <m:rPr>
                  <m:sty m:val="p"/>
                </m:rPr>
                <w:rPr>
                  <w:rFonts w:ascii="Cambria Math" w:hAnsi="Cambria Math"/>
                </w:rPr>
                <m:t>extreme</m:t>
              </m:r>
            </m:sub>
          </m:sSub>
          <m:r>
            <w:rPr>
              <w:rFonts w:ascii="Cambria Math" w:hAnsi="Cambria Math"/>
            </w:rPr>
            <m:t>(X)=P(</m:t>
          </m:r>
          <m:r>
            <m:rPr>
              <m:sty m:val="p"/>
            </m:rPr>
            <w:rPr>
              <w:rFonts w:ascii="Cambria Math" w:hAnsi="Cambria Math"/>
            </w:rPr>
            <m:t>extreme</m:t>
          </m:r>
          <m:r>
            <w:rPr>
              <w:rFonts w:ascii="Cambria Math" w:hAnsi="Cambria Math"/>
            </w:rPr>
            <m:t>∣X)×</m:t>
          </m:r>
          <m:sSubSup>
            <m:sSubSupPr>
              <m:ctrlPr>
                <w:rPr>
                  <w:rFonts w:ascii="Cambria Math" w:hAnsi="Cambria Math"/>
                </w:rPr>
              </m:ctrlPr>
            </m:sSubSupPr>
            <m:e>
              <m:r>
                <w:rPr>
                  <w:rFonts w:ascii="Cambria Math" w:hAnsi="Cambria Math"/>
                </w:rPr>
                <m:t>g</m:t>
              </m:r>
            </m:e>
            <m:sub>
              <m:r>
                <m:rPr>
                  <m:sty m:val="p"/>
                </m:rPr>
                <w:rPr>
                  <w:rFonts w:ascii="Cambria Math" w:hAnsi="Cambria Math"/>
                </w:rPr>
                <m:t>corrector</m:t>
              </m:r>
            </m:sub>
            <m:sup>
              <m:r>
                <w:rPr>
                  <w:rFonts w:ascii="Cambria Math" w:hAnsi="Cambria Math"/>
                </w:rPr>
                <m:t>Q50</m:t>
              </m:r>
            </m:sup>
          </m:sSubSup>
          <m:r>
            <w:rPr>
              <w:rFonts w:ascii="Cambria Math" w:hAnsi="Cambria Math"/>
            </w:rPr>
            <m:t>(X),</m:t>
            <w:br/>
          </m:r>
        </m:oMath>
      </m:oMathPara>
    </w:p>
    <w:p w14:paraId="458A2F7F" w14:textId="77777777" w:rsidR="00A469D3" w:rsidRDefault="00A469D3" w:rsidP="00A469D3">
      <w:pPr>
        <w:pStyle w:val="NormalWeb"/>
      </w:pPr>
      <w:r>
        <w:t xml:space="preserve">where </w:t>
      </w:r>
      <m:oMath>
        <m:sSubSup>
          <m:sSubSupPr>
            <m:ctrlPr>
              <w:rPr>
                <w:rFonts w:ascii="Cambria Math" w:hAnsi="Cambria Math"/>
              </w:rPr>
            </m:ctrlPr>
          </m:sSubSupPr>
          <m:e>
            <m:r>
              <w:rPr>
                <w:rFonts w:ascii="Cambria Math" w:hAnsi="Cambria Math"/>
              </w:rPr>
              <m:t>g</m:t>
            </m:r>
          </m:e>
          <m:sub>
            <m:r>
              <m:rPr>
                <m:sty m:val="p"/>
              </m:rPr>
              <w:rPr>
                <w:rFonts w:ascii="Cambria Math" w:hAnsi="Cambria Math"/>
              </w:rPr>
              <m:t>corrector</m:t>
            </m:r>
          </m:sub>
          <m:sup>
            <m:r>
              <w:rPr>
                <w:rFonts w:ascii="Cambria Math" w:hAnsi="Cambria Math"/>
              </w:rPr>
              <m:t>Q50</m:t>
            </m:r>
          </m:sup>
        </m:sSubSup>
        <m:r>
          <w:rPr>
            <w:rFonts w:ascii="Cambria Math" w:hAnsi="Cambria Math"/>
          </w:rPr>
          <m:t>(X)</m:t>
        </m:r>
      </m:oMath>
      <w:r>
        <w:t>is the median residual correction predicted by the corrector. This soft weighting yields smooth transitions around the decision boundary, avoids discontinuities associated with hard thresholds, and naturally reduces corrections for low-probability cases.</w:t>
      </w:r>
    </w:p>
    <w:p w14:paraId="614CFF2A" w14:textId="77777777" w:rsidR="00A469D3" w:rsidRDefault="00A469D3" w:rsidP="00A469D3">
      <w:pPr>
        <w:pStyle w:val="NormalWeb"/>
      </w:pPr>
      <w:r>
        <w:t>Additional safeguards were applied to ensure that the extreme layer acted as a controlled residual adjustment rather than a free secondary predictor. Corrections were therefore limited to the highest-probability extreme cases, their relative magnitude was bounded to avoid implausibly large pointwise adjustments, and a conservation constraint was imposed to prevent the extreme layer from systematically shifting total predicted CWS within a region. If the corrected regional total deviated beyond the allowed tolerance from the uncorrected total, all corrections within that region were rescaled by a common multiplicative factor. This procedure limits unintended shifts in regional totals while still allowing targeted improvements on severe underestimation cases.</w:t>
      </w:r>
    </w:p>
    <w:p w14:paraId="61E5DAE7" w14:textId="77777777" w:rsidR="00A469D3" w:rsidRDefault="00A469D3" w:rsidP="00A469D3">
      <w:pPr>
        <w:pStyle w:val="NormalWeb"/>
      </w:pPr>
      <w:r>
        <w:t>The extreme layer was adopted only when all of the following cross-validated criteria were satisfied: overall RMSE degradation no greater than 5%, NRMSE improvement of at least 2%, and conservation deviation no greater than 5%. When the base model already achieved high accuracy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&gt;0.8</m:t>
        </m:r>
      </m:oMath>
      <w:r>
        <w:t xml:space="preserve">), we additionally required that PICP degradation not exceed 10%, so that uncertainty calibration would not be materially worsened. Extreme-layer cross-validation </w:t>
        <w:lastRenderedPageBreak/>
        <w:t xml:space="preserve">used three folds. Before any detector–corrector training was attempted, regions were also required to contain at least 5,000 total samples and at least 100 extreme samples. Adoption criteria were applied uniformly across all crop–region combinations, with no crop-specific exceptions. Across all crop–region combinations considered for extreme correction, 89 of 235 (38%) satisfied the adoption criteria and retained the extreme layer. The grid-level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obtained under each candidate pipeline combination and the final pipeline selected for each crop are reported in Supplementary Table S5.1.</w:t>
      </w:r>
    </w:p>
    <w:p w14:paraId="4A0BB84B" w14:textId="77777777" w:rsidR="008E3763" w:rsidRDefault="008E3763" w:rsidP="008E3763">
      <w:pPr>
        <w:pStyle w:val="NormalWeb"/>
      </w:pPr>
    </w:p>
    <w:p w14:paraId="3EA9F00F" w14:textId="77777777" w:rsidR="00B92D06" w:rsidRPr="00B92D06" w:rsidRDefault="00B92D06" w:rsidP="00B92D06">
      <w:pPr>
        <w:spacing w:before="100" w:beforeAutospacing="1" w:after="100" w:afterAutospacing="1"/>
        <w:outlineLvl w:val="1"/>
        <w:rPr>
          <w:b/>
          <w:bCs/>
          <w:sz w:val="36"/>
          <w:szCs w:val="36"/>
        </w:rPr>
      </w:pPr>
      <w:r>
        <w:rPr>
          <w:b/>
          <w:bCs/>
          <w:sz w:val="36"/>
          <w:szCs w:val="36"/>
        </w:rPr>
        <w:t>Supplementary Methods S6. Validation framework and external plausibility checks</w:t>
      </w:r>
    </w:p>
    <w:p w14:paraId="186B4EFC" w14:textId="77777777" w:rsidR="00A469D3" w:rsidRDefault="00A469D3" w:rsidP="00B92D06">
      <w:pPr>
        <w:spacing w:before="100" w:beforeAutospacing="1" w:after="100" w:afterAutospacing="1"/>
        <w:outlineLvl w:val="2"/>
      </w:pPr>
      <w:r>
        <w:t>We evaluated HARM using complementary diagnostics spanning predictive accuracy, uncertainty calibration, aggregation behaviour, ranking consistency, climate-event plausibility, and external plausibility checks. Internal validation focused on the held-out 2017–2018 period, which was not used during model training or hyperparameter selection. Additional diagnostics examined whether the model preserved country-level ordering, reproduced plausible temporal variability, responded coherently to documented climate anomalies, and remained broadly consistent with external datasets. A comparison with the GLORIA agricultural water-stress satellite is reported separately in Section S6.8.</w:t>
      </w:r>
    </w:p>
    <w:p w14:paraId="67C1E3B9" w14:textId="77777777" w:rsidR="00B92D06" w:rsidRPr="00B92D06" w:rsidRDefault="00B92D06" w:rsidP="00B92D06">
      <w:pPr>
        <w:spacing w:before="100" w:beforeAutospacing="1" w:after="100" w:afterAutospacing="1"/>
        <w:outlineLvl w:val="2"/>
        <w:rPr>
          <w:b/>
          <w:bCs/>
          <w:sz w:val="27"/>
          <w:szCs w:val="27"/>
        </w:rPr>
      </w:pPr>
      <w:r>
        <w:rPr>
          <w:b/>
          <w:bCs/>
          <w:sz w:val="27"/>
          <w:szCs w:val="27"/>
        </w:rPr>
        <w:t>S6.1 Hold-out design</w:t>
      </w:r>
    </w:p>
    <w:p w14:paraId="144A29AB" w14:textId="77777777" w:rsidR="00A469D3" w:rsidRDefault="00A469D3" w:rsidP="00A469D3">
      <w:pPr>
        <w:pStyle w:val="NormalWeb"/>
      </w:pPr>
      <w:r>
        <w:t>Model training and hyperparameter selection used data from 2000 through 2016. The years 2017 and 2018 were held out entirely and used only for validation. For each crop, predictions were generated by the full staged HARM sequence so that the contribution of each layer could be evaluated separately: Global (G), Global + Regional (G + R), and Global + Regional + Extreme (G + R + E). For crops assigned to the weighted pipeline, the corresponding weighted sequence (GW, GW + RW, GW + RW + EW) was used instead.</w:t>
      </w:r>
      <w:r>
        <w:rPr>
          <w:lang w:val="en-US"/>
        </w:rPr>
        <w:t xml:space="preserve"> </w:t>
      </w:r>
      <w:r>
        <w:rPr>
          <w:rFonts w:hint="eastAsia"/>
        </w:rPr>
        <w:t>P</w:t>
      </w:r>
      <w:r>
        <w:t xml:space="preserve">oint predictions were evaluated using the median model output (Q50). Quantile predictions were produced at Q10, Q50, and Q90. </w:t>
      </w:r>
    </w:p>
    <w:p w14:paraId="7C2D4974" w14:textId="77777777" w:rsidR="00FC728F" w:rsidRPr="00FC728F" w:rsidRDefault="00FC728F" w:rsidP="00FC728F">
      <w:pPr>
        <w:spacing w:before="100" w:beforeAutospacing="1" w:after="100" w:afterAutospacing="1"/>
        <w:outlineLvl w:val="2"/>
        <w:rPr>
          <w:b/>
          <w:bCs/>
          <w:sz w:val="27"/>
          <w:szCs w:val="27"/>
        </w:rPr>
      </w:pPr>
      <w:r>
        <w:rPr>
          <w:b/>
          <w:bCs/>
          <w:sz w:val="27"/>
          <w:szCs w:val="27"/>
        </w:rPr>
        <w:t>S6.2 Metric definitions</w:t>
      </w:r>
    </w:p>
    <w:p w14:paraId="7067DA27" w14:textId="77777777" w:rsidR="00FC728F" w:rsidRPr="00FC728F" w:rsidRDefault="00FC728F" w:rsidP="00FC728F">
      <w:pPr>
        <w:spacing w:before="100" w:beforeAutospacing="1" w:after="100" w:afterAutospacing="1"/>
      </w:pPr>
      <w:r>
        <w:t xml:space="preserve">Given observations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t xml:space="preserve">and predictions </w:t>
      </w:r>
      <m:oMath>
        <m:sSub>
          <m:sSubPr>
            <m:ctrlPr>
              <w:rPr>
                <w:rFonts w:ascii="Cambria Math" w:hAnsi="Cambria Math"/>
              </w:rPr>
            </m:ctrlPr>
          </m:sSubPr>
          <m:e>
            <m:r>
              <w:rPr>
                <w:rFonts w:ascii="Cambria Math" w:hAnsi="Cambria Math"/>
              </w:rPr>
              <m:t>y</m:t>
            </m:r>
          </m:e>
          <m:sub>
            <m:r>
              <w:rPr>
                <w:rFonts w:ascii="Cambria Math" w:hAnsi="Cambria Math"/>
              </w:rPr>
              <m:t>p</m:t>
            </m:r>
          </m:sub>
        </m:sSub>
      </m:oMath>
      <w:r>
        <w:t>, we evaluated predictive performance using a set of complementary metrics that characterize goodness of fit, error magnitude, systematic bias, correlation structure, and conservation of totals. The coefficient of determination was computed as</w:t>
      </w:r>
    </w:p>
    <w:p w14:paraId="5B29037A" w14:textId="77777777" w:rsidR="00FC728F" w:rsidRPr="00FC728F" w:rsidRDefault="00000000" w:rsidP="00FC728F">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r>
            <m:rPr>
              <m:sty m:val="p"/>
            </m:rPr>
            <w:rPr>
              <w:rFonts w:ascii="Cambria Math" w:hAnsi="Cambria Math"/>
            </w:rPr>
            <w:br/>
          </m:r>
        </m:oMath>
      </m:oMathPara>
    </w:p>
    <w:p w14:paraId="4F773C28" w14:textId="77777777" w:rsidR="00FC728F" w:rsidRPr="00FC728F" w:rsidRDefault="00FC728F" w:rsidP="00FC728F">
      <w:pPr>
        <w:spacing w:before="100" w:beforeAutospacing="1" w:after="100" w:afterAutospacing="1"/>
      </w:pPr>
      <w:r>
        <w:t xml:space="preserve">where </w:t>
      </w:r>
      <m:oMath>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t</m:t>
            </m:r>
          </m:sub>
        </m:sSub>
      </m:oMath>
      <w:r>
        <w:t>is the mean of the observed values. Error magnitude was assessed using the root mean squared error,</w:t>
      </w:r>
    </w:p>
    <w:p w14:paraId="2C4BA665" w14:textId="77777777" w:rsidR="00FC728F" w:rsidRPr="00FC728F" w:rsidRDefault="00FC728F" w:rsidP="00FC728F">
      <m:oMathPara>
        <m:oMath>
          <m:r>
            <w:rPr>
              <w:rFonts w:ascii="Cambria Math" w:hAnsi="Cambria Math"/>
            </w:rPr>
            <w:lastRenderedPageBreak/>
            <m:t>RMSE=</m:t>
          </m:r>
          <m:rad>
            <m:radPr>
              <m:degHide m:val="1"/>
              <m:ctrlPr>
                <w:rPr>
                  <w:rFonts w:ascii="Cambria Math" w:hAnsi="Cambria Math"/>
                </w:rPr>
              </m:ctrlPr>
            </m:radPr>
            <m:deg/>
            <m:e>
              <m:r>
                <m:rPr>
                  <m:sty m:val="p"/>
                </m:rPr>
                <w:rPr>
                  <w:rFonts w:ascii="Cambria Math" w:hAnsi="Cambria Math"/>
                </w:rPr>
                <m:t>mean</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sSup>
                    <m:sSupPr>
                      <m:ctrlPr>
                        <w:rPr>
                          <w:rFonts w:ascii="Cambria Math" w:hAnsi="Cambria Math"/>
                        </w:rPr>
                      </m:ctrlPr>
                    </m:sSupPr>
                    <m:e>
                      <m:r>
                        <w:rPr>
                          <w:rFonts w:ascii="Cambria Math" w:hAnsi="Cambria Math"/>
                        </w:rPr>
                        <m:t>)</m:t>
                      </m:r>
                    </m:e>
                    <m:sup>
                      <m:r>
                        <w:rPr>
                          <w:rFonts w:ascii="Cambria Math" w:hAnsi="Cambria Math"/>
                        </w:rPr>
                        <m:t>2</m:t>
                      </m:r>
                    </m:sup>
                  </m:sSup>
                </m:e>
              </m:d>
            </m:e>
          </m:rad>
          <m:r>
            <w:rPr>
              <w:rFonts w:ascii="Cambria Math" w:hAnsi="Cambria Math"/>
            </w:rPr>
            <m:t>,</m:t>
          </m:r>
          <m:r>
            <m:rPr>
              <m:sty m:val="p"/>
            </m:rPr>
            <w:rPr>
              <w:rFonts w:ascii="Cambria Math" w:hAnsi="Cambria Math"/>
            </w:rPr>
            <w:br/>
          </m:r>
        </m:oMath>
      </m:oMathPara>
    </w:p>
    <w:p w14:paraId="6D3B3EB0" w14:textId="77777777" w:rsidR="00FC728F" w:rsidRPr="00FC728F" w:rsidRDefault="00FC728F" w:rsidP="00FC728F">
      <w:pPr>
        <w:spacing w:before="100" w:beforeAutospacing="1" w:after="100" w:afterAutospacing="1"/>
      </w:pPr>
      <w:r>
        <w:t>the normalized root mean squared error,</w:t>
      </w:r>
    </w:p>
    <w:p w14:paraId="14E0E984" w14:textId="77777777" w:rsidR="00FC728F" w:rsidRPr="00FC728F" w:rsidRDefault="00FC728F" w:rsidP="00FC728F">
      <m:oMathPara>
        <m:oMath>
          <m:r>
            <w:rPr>
              <w:rFonts w:ascii="Cambria Math" w:hAnsi="Cambria Math"/>
            </w:rPr>
            <m:t>NRMSE=</m:t>
          </m:r>
          <m:f>
            <m:fPr>
              <m:ctrlPr>
                <w:rPr>
                  <w:rFonts w:ascii="Cambria Math" w:hAnsi="Cambria Math"/>
                </w:rPr>
              </m:ctrlPr>
            </m:fPr>
            <m:num>
              <m:r>
                <w:rPr>
                  <w:rFonts w:ascii="Cambria Math" w:hAnsi="Cambria Math"/>
                </w:rPr>
                <m:t>RMSE</m:t>
              </m:r>
            </m:num>
            <m:den>
              <m:r>
                <m:rPr>
                  <m:sty m:val="p"/>
                </m:rPr>
                <w:rPr>
                  <w:rFonts w:ascii="Cambria Math" w:hAnsi="Cambria Math"/>
                </w:rPr>
                <m:t>mean</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en>
          </m:f>
          <m:r>
            <w:rPr>
              <w:rFonts w:ascii="Cambria Math" w:hAnsi="Cambria Math"/>
            </w:rPr>
            <m:t>,</m:t>
          </m:r>
          <m:r>
            <m:rPr>
              <m:sty m:val="p"/>
            </m:rPr>
            <w:rPr>
              <w:rFonts w:ascii="Cambria Math" w:hAnsi="Cambria Math"/>
            </w:rPr>
            <w:br/>
          </m:r>
        </m:oMath>
      </m:oMathPara>
    </w:p>
    <w:p w14:paraId="136B1EEF" w14:textId="77777777" w:rsidR="00FC728F" w:rsidRPr="00FC728F" w:rsidRDefault="00FC728F" w:rsidP="00FC728F">
      <w:pPr>
        <w:spacing w:before="100" w:beforeAutospacing="1" w:after="100" w:afterAutospacing="1"/>
      </w:pPr>
      <w:r>
        <w:t>and the mean absolute error,</w:t>
      </w:r>
    </w:p>
    <w:p w14:paraId="0F8E7039" w14:textId="77777777" w:rsidR="00FC728F" w:rsidRPr="00FC728F" w:rsidRDefault="00FC728F" w:rsidP="00FC728F">
      <m:oMathPara>
        <m:oMath>
          <m:r>
            <w:rPr>
              <w:rFonts w:ascii="Cambria Math" w:hAnsi="Cambria Math"/>
            </w:rPr>
            <m:t>MAE=</m:t>
          </m:r>
          <m:r>
            <m:rPr>
              <m:sty m:val="p"/>
            </m:rPr>
            <w:rPr>
              <w:rFonts w:ascii="Cambria Math" w:hAnsi="Cambria Math"/>
            </w:rPr>
            <m:t>mean</m:t>
          </m:r>
          <m:d>
            <m:dPr>
              <m:sep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e>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e>
          </m:d>
          <m:r>
            <m:rPr>
              <m:sty m:val="p"/>
            </m:rPr>
            <w:rPr>
              <w:rFonts w:ascii="Cambria Math" w:hAnsi="Cambria Math"/>
            </w:rPr>
            <m:t>.</m:t>
            <w:br/>
          </m:r>
        </m:oMath>
      </m:oMathPara>
    </w:p>
    <w:p w14:paraId="6673F36D" w14:textId="77777777" w:rsidR="00FC728F" w:rsidRPr="00FC728F" w:rsidRDefault="00FC728F" w:rsidP="00FC728F">
      <w:pPr>
        <w:spacing w:before="100" w:beforeAutospacing="1" w:after="100" w:afterAutospacing="1"/>
      </w:pPr>
      <w:r>
        <w:t>Systematic offset was quantified using the mean signed bias,</w:t>
      </w:r>
    </w:p>
    <w:p w14:paraId="094E89B2" w14:textId="77777777" w:rsidR="00FC728F" w:rsidRPr="00FC728F" w:rsidRDefault="00FC728F" w:rsidP="00FC728F">
      <m:oMathPara>
        <m:oMath>
          <m:r>
            <w:rPr>
              <w:rFonts w:ascii="Cambria Math" w:hAnsi="Cambria Math"/>
            </w:rPr>
            <m:t>Bias=</m:t>
          </m:r>
          <m:r>
            <m:rPr>
              <m:sty m:val="p"/>
            </m:rPr>
            <w:rPr>
              <w:rFonts w:ascii="Cambria Math" w:hAnsi="Cambria Math"/>
            </w:rPr>
            <m:t>mean</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w:br/>
          </m:r>
        </m:oMath>
      </m:oMathPara>
    </w:p>
    <w:p w14:paraId="25053720" w14:textId="77777777" w:rsidR="00FC728F" w:rsidRPr="00FC728F" w:rsidRDefault="00FC728F" w:rsidP="00FC728F">
      <w:pPr>
        <w:spacing w:before="100" w:beforeAutospacing="1" w:after="100" w:afterAutospacing="1"/>
      </w:pPr>
      <w:r>
        <w:t>and the percent bias,</w:t>
      </w:r>
    </w:p>
    <w:p w14:paraId="542088B6" w14:textId="77777777" w:rsidR="00FC728F" w:rsidRPr="00FC728F" w:rsidRDefault="00FC728F" w:rsidP="00FC728F">
      <m:oMathPara>
        <m:oMath>
          <m:r>
            <w:rPr>
              <w:rFonts w:ascii="Cambria Math" w:hAnsi="Cambria Math"/>
            </w:rPr>
            <m:t>PBIAS=100⋅</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den>
          </m:f>
          <m:r>
            <m:rPr>
              <m:sty m:val="p"/>
            </m:rPr>
            <w:rPr>
              <w:rFonts w:ascii="Cambria Math" w:hAnsi="Cambria Math"/>
            </w:rPr>
            <m:t>.</m:t>
            <w:br/>
          </m:r>
        </m:oMath>
      </m:oMathPara>
    </w:p>
    <w:p w14:paraId="7F298FE5" w14:textId="77777777" w:rsidR="00FC728F" w:rsidRPr="00FC728F" w:rsidRDefault="00FC728F" w:rsidP="00FC728F">
      <w:pPr>
        <w:spacing w:before="100" w:beforeAutospacing="1" w:after="100" w:afterAutospacing="1"/>
      </w:pPr>
      <w:r>
        <w:t xml:space="preserve">We also report Pearson’s correlation coefficient </w:t>
      </w:r>
      <m:oMath>
        <m:r>
          <w:rPr>
            <w:rFonts w:ascii="Cambria Math" w:hAnsi="Cambria Math"/>
          </w:rPr>
          <m:t>r</m:t>
        </m:r>
      </m:oMath>
      <w:r>
        <w:t>as a measure of linear association between truth and prediction, and the Kling–Gupta Efficiency (KGE) [15], which combines correlation, relative variability and relative bias into a single diagnostic:</w:t>
      </w:r>
    </w:p>
    <w:p w14:paraId="788245F7" w14:textId="77777777" w:rsidR="00FC728F" w:rsidRPr="00FC728F" w:rsidRDefault="00FC728F" w:rsidP="00FC728F">
      <m:oMathPara>
        <m:oMath>
          <m:r>
            <w:rPr>
              <w:rFonts w:ascii="Cambria Math" w:hAnsi="Cambria Math"/>
            </w:rPr>
            <m:t>KGE=1-</m:t>
          </m:r>
          <m:rad>
            <m:radPr>
              <m:degHide m:val="1"/>
              <m:ctrlPr>
                <w:rPr>
                  <w:rFonts w:ascii="Cambria Math" w:hAnsi="Cambria Math"/>
                </w:rPr>
              </m:ctrlPr>
            </m:radPr>
            <m:deg/>
            <m:e>
              <m:d>
                <m:dPr>
                  <m:endChr m:val=""/>
                  <m:ctrlPr>
                    <w:rPr>
                      <w:rFonts w:ascii="Cambria Math" w:hAnsi="Cambria Math"/>
                    </w:rPr>
                  </m:ctrlPr>
                </m:dPr>
                <m:e>
                  <m:r>
                    <w:rPr>
                      <w:rFonts w:ascii="Cambria Math" w:hAnsi="Cambria Math"/>
                    </w:rPr>
                    <m:t>r-1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+(α-1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+(β-1</m:t>
                  </m:r>
                  <m:sSup>
                    <m:sSupPr>
                      <m:ctrlPr>
                        <w:rPr>
                          <w:rFonts w:ascii="Cambria Math" w:hAnsi="Cambria Math"/>
                        </w:rPr>
                      </m:ctrlPr>
                    </m:sSupPr>
                    <m:e>
                      <m:r>
                        <w:rPr>
                          <w:rFonts w:ascii="Cambria Math" w:hAnsi="Cambria Math"/>
                        </w:rPr>
                        <m:t>)</m:t>
                      </m:r>
                    </m:e>
                    <m:sup>
                      <m:r>
                        <w:rPr>
                          <w:rFonts w:ascii="Cambria Math" w:hAnsi="Cambria Math"/>
                        </w:rPr>
                        <m:t>2</m:t>
                      </m:r>
                    </m:sup>
                  </m:sSup>
                </m:e>
              </m:d>
            </m:e>
          </m:rad>
          <m:r>
            <w:rPr>
              <w:rFonts w:ascii="Cambria Math" w:hAnsi="Cambria Math"/>
            </w:rPr>
            <m:t>,</m:t>
          </m:r>
          <m:r>
            <m:rPr>
              <m:sty m:val="p"/>
            </m:rPr>
            <w:rPr>
              <w:rFonts w:ascii="Cambria Math" w:hAnsi="Cambria Math"/>
            </w:rPr>
            <w:br/>
          </m:r>
        </m:oMath>
      </m:oMathPara>
    </w:p>
    <w:p w14:paraId="38C305A6" w14:textId="77777777" w:rsidR="00FC728F" w:rsidRPr="00FC728F" w:rsidRDefault="00FC728F" w:rsidP="00FC728F">
      <w:pPr>
        <w:spacing w:before="100" w:beforeAutospacing="1" w:after="100" w:afterAutospacing="1"/>
      </w:pPr>
      <w:r>
        <w:t xml:space="preserve">where </w:t>
      </w:r>
      <m:oMath>
        <m:r>
          <w:rPr>
            <w:rFonts w:ascii="Cambria Math" w:hAnsi="Cambria Math"/>
          </w:rPr>
          <m:t>α=</m:t>
        </m:r>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and </w:t>
      </w:r>
      <m:oMath>
        <m:r>
          <w:rPr>
            <w:rFonts w:ascii="Cambria Math" w:hAnsi="Cambria Math"/>
          </w:rPr>
          <m:t>β=</m:t>
        </m:r>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t</m:t>
            </m:r>
          </m:sub>
        </m:sSub>
      </m:oMath>
      <w:r>
        <w:t>. In addition, we quantified the fraction of observed high-stress cases captured by the model using the hit rate at the 90th percentile threshold, and assessed aggregate conservation using the total ratio,</w:t>
      </w:r>
    </w:p>
    <w:p w14:paraId="2CBC80F4" w14:textId="77777777" w:rsidR="00FC728F" w:rsidRPr="00FC728F" w:rsidRDefault="00FC728F" w:rsidP="00FC728F">
      <m:oMathPara>
        <m:oMath>
          <m:r>
            <m:rPr>
              <m:sty m:val="p"/>
            </m:rPr>
            <w:rPr>
              <w:rFonts w:ascii="Cambria Math" w:hAnsi="Cambria Math"/>
            </w:rPr>
            <m:t>Total</m:t>
          </m:r>
          <m:r>
            <m:rPr>
              <m:nor/>
            </m:rPr>
            <m:t xml:space="preserve"> </m:t>
          </m:r>
          <m:r>
            <m:rPr>
              <m:sty m:val="p"/>
            </m:rPr>
            <w:rPr>
              <w:rFonts w:ascii="Cambria Math" w:hAnsi="Cambria Math"/>
            </w:rPr>
            <m:t>ratio</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den>
          </m:f>
          <m:r>
            <m:rPr>
              <m:sty m:val="p"/>
            </m:rPr>
            <w:rPr>
              <w:rFonts w:ascii="Cambria Math" w:hAnsi="Cambria Math"/>
            </w:rPr>
            <m:t>.</m:t>
            <w:br/>
          </m:r>
        </m:oMath>
      </m:oMathPara>
    </w:p>
    <w:p w14:paraId="56ABEDB3" w14:textId="77777777" w:rsidR="00FC728F" w:rsidRPr="00FC728F" w:rsidRDefault="00FC728F" w:rsidP="00FC728F">
      <w:pPr>
        <w:spacing w:before="100" w:beforeAutospacing="1" w:after="100" w:afterAutospacing="1"/>
      </w:pPr>
      <w:r>
        <w:t>These metrics were computed at multiple aggregation levels as described below. Unless otherwise noted, all reported values refer to the held-out 2017–2018 period.</w:t>
      </w:r>
    </w:p>
    <w:p w14:paraId="1CCADCCC" w14:textId="77777777" w:rsidR="00FC728F" w:rsidRPr="00FC728F" w:rsidRDefault="00FC728F" w:rsidP="00FC728F">
      <w:pPr>
        <w:spacing w:before="100" w:beforeAutospacing="1" w:after="100" w:afterAutospacing="1"/>
        <w:outlineLvl w:val="2"/>
        <w:rPr>
          <w:b/>
          <w:bCs/>
          <w:sz w:val="27"/>
          <w:szCs w:val="27"/>
        </w:rPr>
      </w:pPr>
      <w:r>
        <w:rPr>
          <w:b/>
          <w:bCs/>
          <w:sz w:val="27"/>
          <w:szCs w:val="27"/>
        </w:rPr>
        <w:t>S6.3 Prediction-interval diagnostics</w:t>
      </w:r>
    </w:p>
    <w:p w14:paraId="2D853FBF" w14:textId="77777777" w:rsidR="00FC728F" w:rsidRPr="00FC728F" w:rsidRDefault="00FC728F" w:rsidP="00FC728F">
      <w:pPr>
        <w:spacing w:before="100" w:beforeAutospacing="1" w:after="100" w:afterAutospacing="1"/>
      </w:pPr>
      <w:r>
        <w:t xml:space="preserve">The global and regional layers were each fit as three quantile regressors at </w:t>
      </w:r>
      <m:oMath>
        <m:r>
          <w:rPr>
            <w:rFonts w:ascii="Cambria Math" w:hAnsi="Cambria Math"/>
          </w:rPr>
          <m:t>τ∈{0.10, 0.50, 0.90}</m:t>
        </m:r>
      </m:oMath>
      <w:r>
        <w:t xml:space="preserve">, yielding a nominal 80% prediction interval </w:t>
      </w:r>
      <m:oMath>
        <m:d>
          <m:dPr>
            <m:begChr m:val="["/>
            <m:sep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10</m:t>
                </m:r>
              </m:sub>
            </m:sSub>
          </m:e>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90</m:t>
                </m:r>
              </m:sub>
            </m:sSub>
          </m:e>
        </m:d>
      </m:oMath>
      <w:r>
        <w:t>for each sample. We evaluated the calibration of these intervals using the prediction interval coverage probability (PICP),</w:t>
      </w:r>
    </w:p>
    <w:p w14:paraId="6BEB60B8" w14:textId="77777777" w:rsidR="00FC728F" w:rsidRPr="00FC728F" w:rsidRDefault="00FC728F" w:rsidP="00FC728F">
      <m:oMathPara>
        <m:oMath>
          <m:r>
            <w:rPr>
              <w:rFonts w:ascii="Cambria Math" w:hAnsi="Cambria Math"/>
            </w:rPr>
            <w:lastRenderedPageBreak/>
            <m:t>PICP=</m:t>
          </m:r>
          <m:r>
            <m:rPr>
              <m:sty m:val="p"/>
            </m:rPr>
            <w:rPr>
              <w:rFonts w:ascii="Cambria Math" w:hAnsi="Cambria Math"/>
            </w:rPr>
            <m:t>Pr</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90</m:t>
              </m:r>
            </m:sub>
          </m:sSub>
          <m:r>
            <w:rPr>
              <w:rFonts w:ascii="Cambria Math" w:hAnsi="Cambria Math"/>
            </w:rPr>
            <m:t>),</m:t>
          </m:r>
          <m:r>
            <m:rPr>
              <m:sty m:val="p"/>
            </m:rPr>
            <w:rPr>
              <w:rFonts w:ascii="Cambria Math" w:hAnsi="Cambria Math"/>
            </w:rPr>
            <w:br/>
          </m:r>
        </m:oMath>
      </m:oMathPara>
    </w:p>
    <w:p w14:paraId="3FEA66FC" w14:textId="77777777" w:rsidR="00FC728F" w:rsidRPr="00FC728F" w:rsidRDefault="00FC728F" w:rsidP="00FC728F">
      <w:pPr>
        <w:spacing w:before="100" w:beforeAutospacing="1" w:after="100" w:afterAutospacing="1"/>
      </w:pPr>
      <w:r>
        <w:t xml:space="preserve">for which the nominal target is 0.80. We also examined lower-tail and upper-tail exceedance rates, </w:t>
      </w:r>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&lt;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10</m:t>
            </m:r>
          </m:sub>
        </m:sSub>
        <m:r>
          <w:rPr>
            <w:rFonts w:ascii="Cambria Math" w:hAnsi="Cambria Math"/>
          </w:rPr>
          <m:t>)</m:t>
        </m:r>
      </m:oMath>
      <w:r>
        <w:t xml:space="preserve">and </w:t>
      </w:r>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90</m:t>
            </m:r>
          </m:sub>
        </m:sSub>
        <m:r>
          <w:rPr>
            <w:rFonts w:ascii="Cambria Math" w:hAnsi="Cambria Math"/>
          </w:rPr>
          <m:t>)</m:t>
        </m:r>
      </m:oMath>
      <w:r>
        <w:t>, each with a nominal target of 0.10, and the prediction interval width,</w:t>
      </w:r>
    </w:p>
    <w:p w14:paraId="1E7D99DB" w14:textId="77777777" w:rsidR="00FC728F" w:rsidRPr="00FC728F" w:rsidRDefault="00FC728F" w:rsidP="00FC728F">
      <m:oMathPara>
        <m:oMath>
          <m:r>
            <w:rPr>
              <w:rFonts w:ascii="Cambria Math" w:hAnsi="Cambria Math"/>
            </w:rPr>
            <m:t>PIW=</m:t>
          </m:r>
          <m:r>
            <m:rPr>
              <m:sty m:val="p"/>
            </m:rPr>
            <w:rPr>
              <w:rFonts w:ascii="Cambria Math" w:hAnsi="Cambria Math"/>
            </w:rPr>
            <m:t>mean</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90</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10</m:t>
              </m:r>
            </m:sub>
          </m:sSub>
          <m:r>
            <w:rPr>
              <w:rFonts w:ascii="Cambria Math" w:hAnsi="Cambria Math"/>
            </w:rPr>
            <m:t>),</m:t>
          </m:r>
          <m:r>
            <m:rPr>
              <m:sty m:val="p"/>
            </m:rPr>
            <w:rPr>
              <w:rFonts w:ascii="Cambria Math" w:hAnsi="Cambria Math"/>
            </w:rPr>
            <w:br/>
          </m:r>
        </m:oMath>
      </m:oMathPara>
    </w:p>
    <w:p w14:paraId="538424E6" w14:textId="77777777" w:rsidR="00FC728F" w:rsidRPr="00FC728F" w:rsidRDefault="00FC728F" w:rsidP="00FC728F">
      <w:pPr>
        <w:spacing w:before="100" w:beforeAutospacing="1" w:after="100" w:afterAutospacing="1"/>
      </w:pPr>
      <w:r>
        <w:t>as a compactness diagnostic. In addition, we report an approximate CRPS, computed here as the mean pinball loss averaged across the three fitted quantiles [16].</w:t>
      </w:r>
    </w:p>
    <w:p w14:paraId="0F886A31" w14:textId="77777777" w:rsidR="00FC728F" w:rsidRPr="00FC728F" w:rsidRDefault="00FC728F" w:rsidP="00FC728F">
      <w:pPr>
        <w:spacing w:before="100" w:beforeAutospacing="1" w:after="100" w:afterAutospacing="1"/>
      </w:pPr>
      <w:r>
        <w:t>Because the extreme layer adjusts only the median prediction (Q50), these interval diagnostics primarily assess the calibration of the global-plus-regional quantile structure rather than a fully recalibrated post-extreme uncertainty envelope.</w:t>
      </w:r>
    </w:p>
    <w:p w14:paraId="7F5E9D15" w14:textId="77777777" w:rsidR="00FC728F" w:rsidRPr="00FC728F" w:rsidRDefault="00FC728F" w:rsidP="00FC728F">
      <w:pPr>
        <w:spacing w:before="100" w:beforeAutospacing="1" w:after="100" w:afterAutospacing="1"/>
        <w:outlineLvl w:val="2"/>
        <w:rPr>
          <w:b/>
          <w:bCs/>
          <w:sz w:val="27"/>
          <w:szCs w:val="27"/>
        </w:rPr>
      </w:pPr>
      <w:r>
        <w:rPr>
          <w:b/>
          <w:bCs/>
          <w:sz w:val="27"/>
          <w:szCs w:val="27"/>
        </w:rPr>
        <w:t>S6.4 Aggregation levels</w:t>
      </w:r>
    </w:p>
    <w:p w14:paraId="6BBD332D" w14:textId="77777777" w:rsidR="00A469D3" w:rsidRDefault="00A469D3" w:rsidP="00A469D3">
      <w:pPr>
        <w:pStyle w:val="NormalWeb"/>
      </w:pPr>
      <w:r>
        <w:t>To evaluate performance at scales relevant to both physical prediction and downstream MRIO integration, we computed the same metric set at five temporal–spatial aggregation levels. At the monthly grid level, predictions were evaluated directly at 5-arcminute grid resolution. At the yearly grid level, both truth and prediction were summed across months within each grid cell before scoring. At the monthly country level, all grid cells within a country were summed for each month. At the yearly country level, all grid cells within a country were summed over the full year. Finally, at the yearly global level, country totals were further summed to obtain annual global values.</w:t>
      </w:r>
    </w:p>
    <w:p w14:paraId="54612BA0" w14:textId="77777777" w:rsidR="00A469D3" w:rsidRDefault="00A469D3" w:rsidP="00A469D3">
      <w:pPr>
        <w:pStyle w:val="NormalWeb"/>
      </w:pPr>
      <w:r>
        <w:t>Country labels were assigned by a point-in-polygon join between each 5-arcminute grid-cell centre and Natural Earth admin-0 country boundaries. Grid cells not matched to any country were excluded from country-level aggregation. Among these aggregation levels, yearly country is the primary evaluation scale for comparison with external country-scale datasets and for subsequent MRIO integration, whereas monthly grid level reflects local predictive fidelity. The per-crop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at four of these aggregation levels (grid-level monthly, grid-level yearly, country-level monthly, country-level yearly), together with pooled and mean-across-crops summaries, is reported in Supplementary Table S6.4.</w:t>
      </w:r>
    </w:p>
    <w:p w14:paraId="2ED370B8" w14:textId="77777777" w:rsidR="00B92D06" w:rsidRPr="00B92D06" w:rsidRDefault="00B92D06" w:rsidP="00B92D06">
      <w:pPr>
        <w:spacing w:before="100" w:beforeAutospacing="1" w:after="100" w:afterAutospacing="1"/>
        <w:outlineLvl w:val="2"/>
        <w:rPr>
          <w:b/>
          <w:bCs/>
          <w:sz w:val="27"/>
          <w:szCs w:val="27"/>
        </w:rPr>
      </w:pPr>
      <w:r>
        <w:rPr>
          <w:b/>
          <w:bCs/>
          <w:sz w:val="27"/>
          <w:szCs w:val="27"/>
        </w:rPr>
        <w:t>S6.5 Pooling strategy</w:t>
      </w:r>
    </w:p>
    <w:p w14:paraId="00980349" w14:textId="77777777" w:rsidR="00A469D3" w:rsidRDefault="00A469D3" w:rsidP="00A469D3">
      <w:pPr>
        <w:pStyle w:val="NormalWeb"/>
      </w:pPr>
      <w:r>
        <w:t>Whenever we report a summary across all crops, we distinguish between two aggregation strategies.</w:t>
      </w:r>
    </w:p>
    <w:p w14:paraId="62C2C316" w14:textId="77777777" w:rsidR="00A469D3" w:rsidRDefault="00A469D3" w:rsidP="00A469D3">
      <w:pPr>
        <w:pStyle w:val="NormalWeb"/>
      </w:pPr>
      <w:r>
        <w:t xml:space="preserve">In the </w:t>
      </w:r>
      <w:r>
        <w:rPr>
          <w:rStyle w:val="Strong"/>
        </w:rPr>
        <w:t>per-crop mean</w:t>
      </w:r>
      <w:r>
        <w:t>, the metric is computed separately for each crop and then averaged across crops, so that all crops contribute equally regardless of their magnitude.</w:t>
      </w:r>
    </w:p>
    <w:p w14:paraId="64C30C57" w14:textId="77777777" w:rsidR="00A469D3" w:rsidRDefault="00A469D3" w:rsidP="00A469D3">
      <w:pPr>
        <w:pStyle w:val="NormalWeb"/>
      </w:pPr>
      <w:r>
        <w:t xml:space="preserve">In the </w:t>
      </w:r>
      <w:r>
        <w:rPr>
          <w:rStyle w:val="Strong"/>
        </w:rPr>
        <w:t>pooled evaluation</w:t>
      </w:r>
      <w:r>
        <w:t>, records from all crops are concatenated, aggregated at the relevant temporal–spatial level, and the metric is computed once on the combined dataset. This pooled value is the primary summary used in the manuscript because it corresponds most directly to the crop-summed quantity that enters the GLORIA MRIO framework. The per-crop mean is retained as a companion diagnostic because it is more sensitive to performance on smaller crops that contribute relatively little to the pooled total.</w:t>
      </w:r>
    </w:p>
    <w:p w14:paraId="29BD59BF" w14:textId="77777777" w:rsidR="00B92D06" w:rsidRPr="00B92D06" w:rsidRDefault="00B92D06" w:rsidP="00B92D06">
      <w:pPr>
        <w:spacing w:before="100" w:beforeAutospacing="1" w:after="100" w:afterAutospacing="1"/>
        <w:outlineLvl w:val="2"/>
        <w:rPr>
          <w:b/>
          <w:bCs/>
          <w:sz w:val="27"/>
          <w:szCs w:val="27"/>
        </w:rPr>
      </w:pPr>
      <w:r>
        <w:rPr>
          <w:b/>
          <w:bCs/>
          <w:sz w:val="27"/>
          <w:szCs w:val="27"/>
        </w:rPr>
        <w:lastRenderedPageBreak/>
        <w:t>S6.6 Ranking and temporal-consistency diagnostics</w:t>
      </w:r>
    </w:p>
    <w:p w14:paraId="6028BCB1" w14:textId="77777777" w:rsidR="00A469D3" w:rsidRDefault="00A469D3" w:rsidP="00A469D3">
      <w:pPr>
        <w:pStyle w:val="NormalWeb"/>
      </w:pPr>
      <w:r>
        <w:t xml:space="preserve">At the yearly country level, we additionally evaluated whether the model preserved the relative ordering of countries by crop-specific CWS. For each crop, countries with non-zero values were ranked and compared between predictions and the reference dataset using Spearman’s </w:t>
      </w:r>
      <m:oMath>
        <m:r>
          <w:rPr>
            <w:rFonts w:ascii="Cambria Math" w:hAnsi="Cambria Math"/>
          </w:rPr>
          <m:t>ρ</m:t>
        </m:r>
      </m:oMath>
      <w:r>
        <w:t>. We summarised rank consistency using three descriptive categories: strong (</w:t>
      </w:r>
      <m:oMath>
        <m:r>
          <w:rPr>
            <w:rFonts w:ascii="Cambria Math" w:hAnsi="Cambria Math"/>
          </w:rPr>
          <m:t>ρ≥0.5</m:t>
        </m:r>
      </m:oMath>
      <w:r>
        <w:t>), moderate (</w:t>
      </w:r>
      <m:oMath>
        <m:r>
          <w:rPr>
            <w:rFonts w:ascii="Cambria Math" w:hAnsi="Cambria Math"/>
          </w:rPr>
          <m:t>0.3≤ρ&lt;0.5</m:t>
        </m:r>
      </m:oMath>
      <w:r>
        <w:t>), and weak (</w:t>
      </w:r>
      <m:oMath>
        <m:r>
          <w:rPr>
            <w:rFonts w:ascii="Cambria Math" w:hAnsi="Cambria Math"/>
          </w:rPr>
          <m:t>ρ&lt;0.3</m:t>
        </m:r>
      </m:oMath>
      <w:r>
        <w:t>). These thresholds are used only as interpretive labels. The per-crop country-ranking Spearman coefficients, together with the corresponding historical baseline and the strong/moderate/weak tier assignments, are reported in Supplementary Table S6.6.</w:t>
      </w:r>
    </w:p>
    <w:p w14:paraId="15DBB702" w14:textId="77777777" w:rsidR="00A469D3" w:rsidRDefault="00A469D3" w:rsidP="00A469D3">
      <w:pPr>
        <w:pStyle w:val="NormalWeb"/>
      </w:pPr>
      <w:r>
        <w:t>To place prediction-period ranking results in context, we also computed two temporal diagnostics. First, for each crop we calculated the association between annual global predicted and observed CWS totals over the full available study window; the corresponding per-crop Spearman and Pearson coefficients over 1996–2024 are reported in Supplementary Table S6.6b. Second, because the prediction period covers only six years (2019–2024), we computed an equivalent six-year historical baseline over 2011–2016 and compared its rank consistency with that of the prediction period. This short-window baseline provides a fairer reference than direct comparison with correlations computed over the full historical record, which are naturally more stable. As a complementary consistency check at monthly scale, we also compared the global 12-month seasonal profile of CWS between the 2014–2018 historical window and the 2019–2024 prediction window, both globally and per crop; these results are reported in Supplementary Table S6.6c.</w:t>
      </w:r>
    </w:p>
    <w:p w14:paraId="29088000" w14:textId="77777777" w:rsidR="00B92D06" w:rsidRPr="00B92D06" w:rsidRDefault="00B92D06" w:rsidP="00B92D06">
      <w:pPr>
        <w:spacing w:before="100" w:beforeAutospacing="1" w:after="100" w:afterAutospacing="1"/>
        <w:outlineLvl w:val="2"/>
        <w:rPr>
          <w:b/>
          <w:bCs/>
          <w:sz w:val="27"/>
          <w:szCs w:val="27"/>
        </w:rPr>
      </w:pPr>
      <w:r>
        <w:rPr>
          <w:b/>
          <w:bCs/>
          <w:sz w:val="27"/>
          <w:szCs w:val="27"/>
        </w:rPr>
        <w:t>S6.7 Climate-event plausibility</w:t>
      </w:r>
    </w:p>
    <w:p w14:paraId="46234349" w14:textId="77777777" w:rsidR="00B92D06" w:rsidRPr="00B92D06" w:rsidRDefault="00B92D06" w:rsidP="00B92D06">
      <w:pPr>
        <w:spacing w:before="100" w:beforeAutospacing="1" w:after="100" w:afterAutospacing="1"/>
      </w:pPr>
      <w:r>
        <w:t>As an event-based plausibility check, we compiled a catalogue of documented droughts, heat waves, El Niño–related anomalies and other extreme climate events over 2019–2024. The catalogue was assembled from three independent reference sources: the EM-DAT international disaster database [23], the WMO State of the Global Climate annual reports [24], and the FAO/GIEWS country briefs and food-security monitoring bulletins [25]. For each event, we compared the modelled crop water stress (CWS) anomaly in the affected country–year against a country-specific 2010–2018 baseline. Where relevant, we also examined the corresponding FAOSTAT production anomaly for the dominant crop [8].</w:t>
      </w:r>
    </w:p>
    <w:p w14:paraId="51D925B4" w14:textId="77777777" w:rsidR="00B92D06" w:rsidRPr="00B92D06" w:rsidRDefault="00B92D06" w:rsidP="00B92D06">
      <w:pPr>
        <w:spacing w:before="100" w:beforeAutospacing="1" w:after="100" w:afterAutospacing="1"/>
      </w:pPr>
      <w:r>
        <w:t xml:space="preserve">Events were classified in advance into two groups. </w:t>
      </w:r>
      <w:r>
        <w:rPr>
          <w:b/>
          <w:bCs/>
        </w:rPr>
        <w:t>Direct water-stress events</w:t>
      </w:r>
      <w:r>
        <w:t xml:space="preserve"> are those for which the physical mechanism is expected to affect crop water stress directly, such as meteorological or agricultural drought, sustained precipitation deficit or heat stress over major cropping regions. </w:t>
      </w:r>
      <w:r>
        <w:rPr>
          <w:b/>
          <w:bCs/>
        </w:rPr>
        <w:t>Indirect or averaged-out events</w:t>
      </w:r>
      <w:r>
        <w:t xml:space="preserve"> include non-hydrological shocks, subnational anomalies, or events primarily affecting non-irrigated areas that are expected to be diluted at country scale. For direct events, we report the share of cases in which predicted CWS increased by more than 10% relative to baseline. This analysis is intended as a physical-plausibility check rather than a formal event-detection benchmark.</w:t>
      </w:r>
    </w:p>
    <w:p w14:paraId="12885099" w14:textId="77777777" w:rsidR="00B92D06" w:rsidRPr="00B92D06" w:rsidRDefault="00B92D06" w:rsidP="00B92D06">
      <w:pPr>
        <w:spacing w:before="100" w:beforeAutospacing="1" w:after="100" w:afterAutospacing="1"/>
        <w:outlineLvl w:val="3"/>
        <w:rPr>
          <w:b/>
          <w:bCs/>
        </w:rPr>
      </w:pPr>
      <w:r>
        <w:rPr>
          <w:b/>
          <w:bCs/>
        </w:rPr>
        <w:t>S6.7.1 Direct water-stress events</w:t>
      </w:r>
    </w:p>
    <w:p w14:paraId="1288A7C5" w14:textId="77777777" w:rsidR="00B92D06" w:rsidRPr="00B92D06" w:rsidRDefault="00B92D06" w:rsidP="00B92D06">
      <w:pPr>
        <w:spacing w:before="100" w:beforeAutospacing="1" w:after="100" w:afterAutospacing="1"/>
      </w:pPr>
      <w:r>
        <w:t xml:space="preserve">Eight documented direct events were retained. (i) The 2019 Southern African drought, which affected Zimbabwe, Zambia and Mozambique following Cyclone Idai and rainfall deficits across the 2018/2019 summer growing season [26]. (ii) The 2020–2021 and (iii) 2022 Horn of Africa droughts, which were among the longest and most severe on record and affected Ethiopia, Somalia and Kenya through multiple failed rainy seasons [27,28]. (iv) The 2021 </w:t>
        <w:lastRenderedPageBreak/>
        <w:t>Western North American heat dome and drought, which affected maize and wheat production in the western United States and Canada [29]. (v) The 2021–2022 Madagascar drought, which was classified by the WMO and FAO as the most severe in four decades in the southern part of the country [30]. (vi) The 2022 European summer drought, which affected France, Italy, Spain, Germany and the Iberian Peninsula and was reported as the most severe in at least 500 years [31]. (vii) The 2023–2024 El Niño–driven drought in South-East Asia and the Caribbean, which reduced rice and maize production in Indonesia, the Philippines and several Central American countries [32]. (viii) The 2023–2024 Amazon and northern South American drought, which produced record-low river levels and crop-calendar disruptions in Brazil, Peru and Colombia [33].</w:t>
      </w:r>
    </w:p>
    <w:p w14:paraId="1F98EE29" w14:textId="77777777" w:rsidR="00B92D06" w:rsidRPr="00B92D06" w:rsidRDefault="00B92D06" w:rsidP="00B92D06">
      <w:pPr>
        <w:spacing w:before="100" w:beforeAutospacing="1" w:after="100" w:afterAutospacing="1"/>
        <w:outlineLvl w:val="3"/>
        <w:rPr>
          <w:b/>
          <w:bCs/>
        </w:rPr>
      </w:pPr>
      <w:r>
        <w:rPr>
          <w:b/>
          <w:bCs/>
        </w:rPr>
        <w:t>S6.7.2 Indirect or averaged-out events</w:t>
      </w:r>
    </w:p>
    <w:p w14:paraId="48F55A35" w14:textId="77777777" w:rsidR="00B92D06" w:rsidRPr="00B92D06" w:rsidRDefault="00B92D06" w:rsidP="00B92D06">
      <w:pPr>
        <w:spacing w:before="100" w:beforeAutospacing="1" w:after="100" w:afterAutospacing="1"/>
      </w:pPr>
      <w:r>
        <w:t>Four further events were included as negative or dilution controls. (i) The 2019–2020 Australian “Black Summer” bushfires, which affected predominantly forested and rangeland areas outside the main irrigated cropping zones and whose agricultural signal is known to be subnational [34]. (ii) The 2020 Central American hurricane season (Eta and Iota), which caused acute but spatially concentrated damage in Honduras, Guatemala and Nicaragua and whose water-stress signal is diluted at country scale [35]. (iii) The 2022 Pakistan monsoon floods, which physically represent water excess rather than water stress and are therefore not expected to appear as elevated CWS [36]. (iv) The 2023 Indian monsoon variability, which produced compensating regional anomalies across northern and southern India and whose net country-level signal is expected to be attenuated [37]. For these events, no directional prediction was imposed; their role is to confirm that the pipeline does not spuriously amplify non-water-stress or averaged-out shocks into large CWS anomalies.</w:t>
      </w:r>
    </w:p>
    <w:p w14:paraId="07928FC1" w14:textId="77777777" w:rsidR="00B92D06" w:rsidRPr="00B92D06" w:rsidRDefault="00B92D06" w:rsidP="00B92D06">
      <w:pPr>
        <w:spacing w:before="100" w:beforeAutospacing="1" w:after="100" w:afterAutospacing="1"/>
      </w:pPr>
      <w:r>
        <w:t>Event boundaries and affected countries were taken from the reference sources listed above and cross-checked against peer-reviewed attribution studies where available. For each retained event we recorded the canonical affected country set, the dominant growing-season window, and the principal crop or crop group indicated by the source. Reported CWS anomalies were then restricted to country–year pairs that matched the documented event window, so that the catalogue provides a crop- and region-specific plausibility check rather than a global anomaly screen.</w:t>
      </w:r>
    </w:p>
    <w:p w14:paraId="1CA19331" w14:textId="77777777" w:rsidR="00B92D06" w:rsidRPr="00B92D06" w:rsidRDefault="00B92D06" w:rsidP="00B92D06">
      <w:pPr>
        <w:spacing w:before="100" w:beforeAutospacing="1" w:after="100" w:afterAutospacing="1"/>
        <w:outlineLvl w:val="2"/>
        <w:rPr>
          <w:b/>
          <w:bCs/>
          <w:sz w:val="27"/>
          <w:szCs w:val="27"/>
        </w:rPr>
      </w:pPr>
      <w:r>
        <w:rPr>
          <w:b/>
          <w:bCs/>
          <w:sz w:val="27"/>
          <w:szCs w:val="27"/>
        </w:rPr>
        <w:t>S6.8 External plausibility checks</w:t>
      </w:r>
    </w:p>
    <w:p w14:paraId="7D987B7D" w14:textId="77777777" w:rsidR="00B92D06" w:rsidRPr="00B92D06" w:rsidRDefault="00B92D06" w:rsidP="00B92D06">
      <w:pPr>
        <w:spacing w:before="100" w:beforeAutospacing="1" w:after="100" w:afterAutospacing="1"/>
        <w:outlineLvl w:val="3"/>
        <w:rPr>
          <w:b/>
          <w:bCs/>
        </w:rPr>
      </w:pPr>
      <w:r>
        <w:rPr>
          <w:b/>
          <w:bCs/>
        </w:rPr>
        <w:t>S6.8.1 FAOSTAT comparison</w:t>
      </w:r>
    </w:p>
    <w:p w14:paraId="5DC66F8E" w14:textId="77777777" w:rsidR="00B92D06" w:rsidRPr="00B92D06" w:rsidRDefault="00B92D06" w:rsidP="00B92D06">
      <w:pPr>
        <w:spacing w:before="100" w:beforeAutospacing="1" w:after="100" w:afterAutospacing="1"/>
      </w:pPr>
      <w:r>
        <w:t xml:space="preserve">As an external plausibility check, we compared model-predicted CWS against FAOSTAT production data. Because CWS and harvested production are measured in different units and capture different physical quantities, they are not expected to agree in magnitude. We therefore compared them in rank space. For each crop, country-year CWS totals and FAOSTAT production totals were separately ranked across countries and compared using Spearman’s </w:t>
      </w:r>
      <m:oMath>
        <m:r>
          <w:rPr>
            <w:rFonts w:ascii="Cambria Math" w:hAnsi="Cambria Math"/>
          </w:rPr>
          <m:t>ρ</m:t>
        </m:r>
      </m:oMath>
      <w:r>
        <w:t>. Positive rank consistency indicates that countries with large agricultural production also tend to have large aggregate crop water stress, providing a basic external plausibility criterion.</w:t>
      </w:r>
    </w:p>
    <w:p w14:paraId="20B29240" w14:textId="77777777" w:rsidR="00B92D06" w:rsidRPr="00B92D06" w:rsidRDefault="00B92D06" w:rsidP="00B92D06">
      <w:pPr>
        <w:spacing w:before="100" w:beforeAutospacing="1" w:after="100" w:afterAutospacing="1"/>
      </w:pPr>
      <w:r>
        <w:t>FAOSTAT data were harmonised to the same country taxonomy as the model outputs before comparison. The resulting per-crop country-ranking and global-temporal correlations, together with the FAOSTAT concordance used for each of the 27 CWS categories, are reported in Supplementary Table S6.8.1.</w:t>
      </w:r>
    </w:p>
    <w:p w14:paraId="7DA157CB" w14:textId="77777777" w:rsidR="00B92D06" w:rsidRPr="00B92D06" w:rsidRDefault="00B92D06" w:rsidP="00B92D06">
      <w:pPr>
        <w:spacing w:before="100" w:beforeAutospacing="1" w:after="100" w:afterAutospacing="1"/>
        <w:outlineLvl w:val="3"/>
        <w:rPr>
          <w:b/>
          <w:bCs/>
        </w:rPr>
      </w:pPr>
      <w:r>
        <w:rPr>
          <w:b/>
          <w:bCs/>
        </w:rPr>
        <w:lastRenderedPageBreak/>
        <w:t>S6.8.2 GLORIA overlap comparison</w:t>
      </w:r>
    </w:p>
    <w:p w14:paraId="31B20FF1" w14:textId="77777777" w:rsidR="00B92D06" w:rsidRPr="00B92D06" w:rsidRDefault="00B92D06" w:rsidP="00B92D06">
      <w:pPr>
        <w:spacing w:before="100" w:beforeAutospacing="1" w:after="100" w:afterAutospacing="1"/>
      </w:pPr>
      <w:r>
        <w:t>We compared the reconstructed 14-sector CWS satellite against the agricultural water-stress satellite already provided in GLORIA (the agriculture row of the TQ table) over their 30-year overlap (1995–2024). This check was intended to assess whether the replacement preserves the broad spatial allocation expected at the country–sector level while adding crop resolution and climate-driven interannual variability. Both products are expressed in the same units (million m³ world-equivalent), which allows a direct quantitative comparison of totals and patterns.</w:t>
      </w:r>
    </w:p>
    <w:p w14:paraId="171A5A82" w14:textId="77777777" w:rsidR="00B92D06" w:rsidRPr="00B92D06" w:rsidRDefault="00B92D06" w:rsidP="00B92D06">
      <w:pPr>
        <w:spacing w:before="100" w:beforeAutospacing="1" w:after="100" w:afterAutospacing="1"/>
      </w:pPr>
      <w:r>
        <w:t>Agreement was strong at the country scale. The Pearson correlation between the two products, computed on the 164 country totals of agricultural water stress, had a median of 0.97 across the 30 overlap years (interquartile range 0.95–0.98). The finer cell-level Pearson correlation on the full 164 × 14 country-by-sector matrix had a median of 0.76 across years. The median ratio of global totals (reconstructed over GLORIA) was 1.18 (interquartile range 1.14–1.23), consistent with the range typically observed between independently constructed water-stress products. Representative-year snapshots and multi-year summary statistics are reported in Supplementary Table S6.8.2.</w:t>
      </w:r>
    </w:p>
    <w:p w14:paraId="690EEB6A" w14:textId="77777777" w:rsidR="00B92D06" w:rsidRPr="00B92D06" w:rsidRDefault="00B92D06" w:rsidP="00B92D06">
      <w:pPr>
        <w:spacing w:before="100" w:beforeAutospacing="1" w:after="100" w:afterAutospacing="1"/>
      </w:pPr>
      <w:r>
        <w:t>To characterise the scope of the replacement, we also decomposed the 20-sector agricultural block used to construct the extended satellite into (i) the 14 crop-growing sectors that are replaced by the reconstructed CWS values and (ii) the 6 agriculture-related sectors (seeds and plant propagation; raising of cattle, sheep and goats, swine, poultry, and other animals/services) that are retained from GLORIA. Across 1995–2024 the reconstructed 14-sector block accounted for a median of 95.9% of total agricultural water stress in the extended satellite (range 95.6–96.4%), closely tracking the corresponding pure-GLORIA reference share of 95.1%. The crop-growing block therefore contributes the large majority of agricultural water stress in every reporting year, and the replacement is structurally consistent with GLORIA’s own classification. Full annual values are reported in Supplementary Table S6.8.3.</w:t>
      </w:r>
    </w:p>
    <w:p w14:paraId="7C6A3891" w14:textId="77777777" w:rsidR="00B92D06" w:rsidRPr="00B92D06" w:rsidRDefault="00B92D06" w:rsidP="00B92D06">
      <w:pPr>
        <w:spacing w:before="100" w:beforeAutospacing="1" w:after="100" w:afterAutospacing="1"/>
        <w:outlineLvl w:val="2"/>
        <w:rPr>
          <w:b/>
          <w:bCs/>
          <w:sz w:val="27"/>
          <w:szCs w:val="27"/>
        </w:rPr>
      </w:pPr>
      <w:r>
        <w:rPr>
          <w:b/>
          <w:bCs/>
          <w:sz w:val="27"/>
          <w:szCs w:val="27"/>
        </w:rPr>
        <w:t>S6.9 Reporting</w:t>
      </w:r>
    </w:p>
    <w:p w14:paraId="12090492" w14:textId="77777777" w:rsidR="00B92D06" w:rsidRPr="00B92D06" w:rsidRDefault="00B92D06" w:rsidP="00B92D06">
      <w:pPr>
        <w:spacing w:before="100" w:beforeAutospacing="1" w:after="100" w:afterAutospacing="1"/>
      </w:pPr>
      <w:r>
        <w:t>Validation outputs included multilevel predictive metrics, interval diagnostics, country-ranking summaries, temporal-consistency diagnostics, climate-event plausibility summaries, and external plausibility comparisons. These outputs were generated automatically by the validation pipeline and used to assemble the supplementary tables and figures reported in this study.</w:t>
      </w:r>
    </w:p>
    <w:p w14:paraId="7F010C1C" w14:textId="77777777" w:rsidR="00B92D06" w:rsidRDefault="00B92D06" w:rsidP="008E3763">
      <w:pPr>
        <w:pStyle w:val="NormalWeb"/>
      </w:pPr>
    </w:p>
    <w:p w14:paraId="663A7B6A" w14:textId="77777777" w:rsidR="00B92D06" w:rsidRDefault="00B92D06" w:rsidP="008E3763">
      <w:pPr>
        <w:pStyle w:val="NormalWeb"/>
      </w:pPr>
    </w:p>
    <w:p w14:paraId="6C9D8B44" w14:textId="77777777" w:rsidR="008E3763" w:rsidRDefault="008E3763" w:rsidP="008E3763">
      <w:pPr>
        <w:pStyle w:val="Heading2"/>
      </w:pPr>
      <w:r>
        <w:t>Supplementary Methods S7. Crop aggregation weights and robustness</w:t>
      </w:r>
    </w:p>
    <w:p w14:paraId="72F48FE9" w14:textId="77777777" w:rsidR="008E3763" w:rsidRPr="00B92D06" w:rsidRDefault="008E3763" w:rsidP="00B92D06">
      <w:pPr>
        <w:spacing w:before="100" w:beforeAutospacing="1" w:after="100" w:afterAutospacing="1"/>
        <w:outlineLvl w:val="2"/>
        <w:rPr>
          <w:b/>
          <w:bCs/>
          <w:sz w:val="27"/>
          <w:szCs w:val="27"/>
        </w:rPr>
      </w:pPr>
      <w:r>
        <w:rPr>
          <w:b/>
          <w:bCs/>
          <w:sz w:val="27"/>
          <w:szCs w:val="27"/>
        </w:rPr>
        <w:t>S7.1 Rationale and data sources</w:t>
      </w:r>
    </w:p>
    <w:p w14:paraId="2B41C02D" w14:textId="77777777" w:rsidR="008E3763" w:rsidRDefault="008E3763" w:rsidP="008E3763">
      <w:pPr>
        <w:pStyle w:val="NormalWeb"/>
      </w:pPr>
      <w:r>
        <w:t xml:space="preserve">The crop water stress (CWS) reference dataset resolves production into 27 crop categories, whereas the GLORIA multi-regional input–output framework recognizes 14 primary crop-growing sectors. To integrate the physical CWS estimates into GLORIA, we </w:t>
        <w:lastRenderedPageBreak/>
        <w:t>therefore harmonized the two systems through a two-step concordance: 175 crop items → 27 CWS crop categories → 14 GLORIA crop-growing sectors.</w:t>
      </w:r>
    </w:p>
    <w:p w14:paraId="147652CB" w14:textId="77777777" w:rsidR="008E3763" w:rsidRDefault="008E3763" w:rsidP="008E3763">
      <w:pPr>
        <w:pStyle w:val="NormalWeb"/>
      </w:pPr>
      <w:r>
        <w:t xml:space="preserve">Country-specific allocation weights were derived from the yearly crop-specific dataset </w:t>
      </w:r>
      <w:r>
        <w:rPr>
          <w:rStyle w:val="Emphasis"/>
        </w:rPr>
        <w:t>Water footprints and crop water use of 175 individual crops for 1990–2019 simulated with a global crop model</w:t>
      </w:r>
      <w:r>
        <w:t xml:space="preserve"> [17], which provides annual values for 175 individual crops at finer crop resolution than the 27-category CWS dataset. To make these data consistent with the CWS framework, we aggregated the 175-crop values to country level and combined them with yearly AWARE irrigation factors [18] to construct annual country-level crop-specific water-stress values over 1995–2018. These values were then used to derive allocation weights for the concordance. This higher-resolution yearly dataset was used because it provides finer crop detail than the 27-category CWS dataset while remaining physically consistent with the CWS framework in terms of units and interpretation.</w:t>
      </w:r>
      <w:r>
        <w:rPr>
          <w:rFonts w:hint="eastAsia"/>
        </w:rPr>
        <w:t xml:space="preserve"> </w:t>
      </w:r>
      <w:r>
        <w:t>The resulting concordance preserves the physical crop basis of the water-stress estimates while aligning them with the coarser sectoral structure required for MRIO analysis.</w:t>
      </w:r>
    </w:p>
    <w:p w14:paraId="1A53046C" w14:textId="77777777" w:rsidR="008E3763" w:rsidRPr="00B92D06" w:rsidRDefault="008E3763" w:rsidP="00B92D06">
      <w:pPr>
        <w:spacing w:before="100" w:beforeAutospacing="1" w:after="100" w:afterAutospacing="1"/>
        <w:outlineLvl w:val="2"/>
        <w:rPr>
          <w:b/>
          <w:bCs/>
          <w:sz w:val="27"/>
          <w:szCs w:val="27"/>
        </w:rPr>
      </w:pPr>
      <w:r>
        <w:rPr>
          <w:b/>
          <w:bCs/>
          <w:sz w:val="27"/>
          <w:szCs w:val="27"/>
        </w:rPr>
        <w:t>S7.2 Harmonisation of 175 crops to 27 CWS categories</w:t>
      </w:r>
    </w:p>
    <w:p w14:paraId="7DDD726E" w14:textId="77777777" w:rsidR="008E3763" w:rsidRDefault="008E3763" w:rsidP="008E3763">
      <w:pPr>
        <w:pStyle w:val="NormalWeb"/>
      </w:pPr>
      <w:r>
        <w:t>Each of the 175 crop items was assigned to exactly one of the 27 crop categories used in the CWS dataset on the basis of botanical identity, agronomic management and the category definitions of the underlying physical dataset. The complete assignment is provided in the crop concordance file and summarized in Table S7.1.</w:t>
      </w:r>
    </w:p>
    <w:p w14:paraId="337BE5F1" w14:textId="77777777" w:rsidR="008E3763" w:rsidRDefault="008E3763" w:rsidP="008E3763">
      <w:pPr>
        <w:pStyle w:val="NormalWeb"/>
      </w:pPr>
      <w:r>
        <w:t xml:space="preserve">Twenty-one of the 27 categories correspond to specific crops, such as Wheat, Oil palm fruit and Sugar cane, and absorb one to three crop items each. Three categories act as mid-level aggregates, namely Beans, Cow peas and Vegetables, which pool closely related items; Vegetables is the largest of these and includes 30 vegetable and melon items. Three additional categories represent broad residual groups: Other annual crops (57 items), Perennial deciduous crops (31 items), and Perennial evergreen crops (26 items). Two CWS crop codes, </w:t>
      </w:r>
      <w:r>
        <w:rPr>
          <w:rStyle w:val="HTMLCode"/>
        </w:rPr>
        <w:t>ri1</w:t>
      </w:r>
      <w:r>
        <w:t xml:space="preserve"> and </w:t>
      </w:r>
      <w:r>
        <w:rPr>
          <w:rStyle w:val="HTMLCode"/>
        </w:rPr>
        <w:t>ri2</w:t>
      </w:r>
      <w:r>
        <w:t>, represent main-season and second-season rice within the physical dataset itself; both were subsequently mapped to the single GLORIA sector Growing rice and summed.</w:t>
      </w:r>
    </w:p>
    <w:p w14:paraId="33310B52" w14:textId="77777777" w:rsidR="008E3763" w:rsidRPr="00B92D06" w:rsidRDefault="008E3763" w:rsidP="00B92D06">
      <w:pPr>
        <w:spacing w:before="100" w:beforeAutospacing="1" w:after="100" w:afterAutospacing="1"/>
        <w:outlineLvl w:val="2"/>
        <w:rPr>
          <w:b/>
          <w:bCs/>
          <w:sz w:val="27"/>
          <w:szCs w:val="27"/>
        </w:rPr>
      </w:pPr>
      <w:r>
        <w:rPr>
          <w:b/>
          <w:bCs/>
          <w:sz w:val="27"/>
          <w:szCs w:val="27"/>
        </w:rPr>
        <w:t>S7.3 Mapping 27 CWS categories to 14 GLORIA sectors</w:t>
      </w:r>
    </w:p>
    <w:p w14:paraId="7B8C082D" w14:textId="77777777" w:rsidR="008E3763" w:rsidRDefault="008E3763" w:rsidP="008E3763">
      <w:pPr>
        <w:pStyle w:val="NormalWeb"/>
      </w:pPr>
      <w:r>
        <w:t>Twenty-four of the 27 CWS crop categories map directly and unambiguously to individual GLORIA crop-growing sectors (Table S7.2, upper panel). For these direct mappings, no allocation weight is required: the full CWS value of that category in each country is transferred to the corresponding GLORIA sector. For example, Wheat maps directly to Growing wheat, Sugar cane and Sugar beet map to Growing sugar beet and cane, and Coffee and Cocoa beans map to Growing beverage crops.</w:t>
      </w:r>
    </w:p>
    <w:p w14:paraId="462299D0" w14:textId="77777777" w:rsidR="008E3763" w:rsidRDefault="008E3763" w:rsidP="008E3763">
      <w:pPr>
        <w:pStyle w:val="NormalWeb"/>
      </w:pPr>
      <w:r>
        <w:t>Three CWS categories are composite and span multiple GLORIA sectors: Other annual crops (</w:t>
      </w:r>
      <w:r>
        <w:rPr>
          <w:rStyle w:val="HTMLCode"/>
        </w:rPr>
        <w:t>oac</w:t>
      </w:r>
      <w:r>
        <w:t>), Perennial deciduous crops (</w:t>
      </w:r>
      <w:r>
        <w:rPr>
          <w:rStyle w:val="HTMLCode"/>
        </w:rPr>
        <w:t>pdc</w:t>
      </w:r>
      <w:r>
        <w:t>) and Perennial evergreen crops (</w:t>
      </w:r>
      <w:r>
        <w:rPr>
          <w:rStyle w:val="HTMLCode"/>
        </w:rPr>
        <w:t>pec</w:t>
      </w:r>
      <w:r>
        <w:t>) (Table S7.2, lower panel). Other annual crops spans six GLORIA sectors; Perennial deciduous crops spans two; and Perennial evergreen crops spans three. These three categories therefore require country-specific allocation weights to split their total CWS values across the relevant GLORIA sectors.</w:t>
      </w:r>
    </w:p>
    <w:p w14:paraId="387396F5" w14:textId="77777777" w:rsidR="008E3763" w:rsidRPr="00B92D06" w:rsidRDefault="008E3763" w:rsidP="00B92D06">
      <w:pPr>
        <w:spacing w:before="100" w:beforeAutospacing="1" w:after="100" w:afterAutospacing="1"/>
        <w:outlineLvl w:val="2"/>
        <w:rPr>
          <w:b/>
          <w:bCs/>
          <w:sz w:val="27"/>
          <w:szCs w:val="27"/>
        </w:rPr>
      </w:pPr>
      <w:r>
        <w:rPr>
          <w:b/>
          <w:bCs/>
          <w:sz w:val="27"/>
          <w:szCs w:val="27"/>
        </w:rPr>
        <w:t>S7.4 Derivation of allocation weights</w:t>
      </w:r>
    </w:p>
    <w:p w14:paraId="4572F90A" w14:textId="77777777" w:rsidR="008E3763" w:rsidRDefault="008E3763" w:rsidP="008E3763">
      <w:pPr>
        <w:pStyle w:val="NormalWeb"/>
      </w:pPr>
      <w:r>
        <w:lastRenderedPageBreak/>
        <w:t xml:space="preserve">For each country </w:t>
      </w:r>
      <m:oMath>
        <m:r>
          <w:rPr>
            <w:rFonts w:ascii="Cambria Math" w:hAnsi="Cambria Math"/>
          </w:rPr>
          <m:t>c</m:t>
        </m:r>
      </m:oMath>
      <w:r>
        <w:t xml:space="preserve">, each composite category </w:t>
      </w:r>
      <m:oMath>
        <m:r>
          <w:rPr>
            <w:rFonts w:ascii="Cambria Math" w:hAnsi="Cambria Math"/>
          </w:rPr>
          <m:t>k∈{oac,pdc,pec}</m:t>
        </m:r>
      </m:oMath>
      <w:r>
        <w:t xml:space="preserve">, each target GLORIA sector </w:t>
      </w:r>
      <m:oMath>
        <m:r>
          <w:rPr>
            <w:rFonts w:ascii="Cambria Math" w:hAnsi="Cambria Math"/>
          </w:rPr>
          <m:t>s</m:t>
        </m:r>
      </m:oMath>
      <w:r>
        <w:t xml:space="preserve">to which category </w:t>
      </w:r>
      <m:oMath>
        <m:r>
          <w:rPr>
            <w:rFonts w:ascii="Cambria Math" w:hAnsi="Cambria Math"/>
          </w:rPr>
          <m:t>k</m:t>
        </m:r>
      </m:oMath>
      <w:r>
        <w:t xml:space="preserve">maps, and each year </w:t>
      </w:r>
      <m:oMath>
        <m:r>
          <w:rPr>
            <w:rFonts w:ascii="Cambria Math" w:hAnsi="Cambria Math"/>
          </w:rPr>
          <m:t>t</m:t>
        </m:r>
      </m:oMath>
      <w:r>
        <w:t>, the allocation weight was defined as</w:t>
      </w:r>
    </w:p>
    <w:p w14:paraId="66C8CBC6" w14:textId="77777777" w:rsidR="008E3763" w:rsidRDefault="00000000" w:rsidP="008E3763">
      <m:oMathPara>
        <m:oMath>
          <m:sSub>
            <m:sSubPr>
              <m:ctrlPr>
                <w:rPr>
                  <w:rFonts w:ascii="Cambria Math" w:hAnsi="Cambria Math"/>
                </w:rPr>
              </m:ctrlPr>
            </m:sSubPr>
            <m:e>
              <m:r>
                <w:rPr>
                  <w:rFonts w:ascii="Cambria Math" w:hAnsi="Cambria Math"/>
                </w:rPr>
                <m:t>w</m:t>
              </m:r>
            </m:e>
            <m:sub>
              <m:r>
                <w:rPr>
                  <w:rFonts w:ascii="Cambria Math" w:hAnsi="Cambria Math"/>
                </w:rPr>
                <m:t>c,k,s,t</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i∈S(k,s)</m:t>
                  </m:r>
                </m:sub>
                <m:sup/>
                <m:e>
                  <m:r>
                    <w:rPr>
                      <w:rFonts w:ascii="Cambria Math" w:hAnsi="Cambria Math"/>
                    </w:rPr>
                    <m:t>W</m:t>
                  </m:r>
                </m:e>
              </m:nary>
              <m:sSub>
                <m:sSubPr>
                  <m:ctrlPr>
                    <w:rPr>
                      <w:rFonts w:ascii="Cambria Math" w:hAnsi="Cambria Math"/>
                    </w:rPr>
                  </m:ctrlPr>
                </m:sSubPr>
                <m:e>
                  <m:r>
                    <w:rPr>
                      <w:rFonts w:ascii="Cambria Math" w:hAnsi="Cambria Math"/>
                    </w:rPr>
                    <m:t>S</m:t>
                  </m:r>
                </m:e>
                <m:sub>
                  <m:r>
                    <w:rPr>
                      <w:rFonts w:ascii="Cambria Math" w:hAnsi="Cambria Math"/>
                    </w:rPr>
                    <m:t>c,i,t</m:t>
                  </m:r>
                </m:sub>
              </m:sSub>
            </m:num>
            <m:den>
              <m:nary>
                <m:naryPr>
                  <m:chr m:val="∑"/>
                  <m:limLoc m:val="undOvr"/>
                  <m:grow m:val="1"/>
                  <m:supHide m:val="1"/>
                  <m:ctrlPr>
                    <w:rPr>
                      <w:rFonts w:ascii="Cambria Math" w:hAnsi="Cambria Math"/>
                    </w:rPr>
                  </m:ctrlPr>
                </m:naryPr>
                <m:sub>
                  <m:r>
                    <w:rPr>
                      <w:rFonts w:ascii="Cambria Math" w:hAnsi="Cambria Math"/>
                    </w:rPr>
                    <m:t>i∈M(k)</m:t>
                  </m:r>
                </m:sub>
                <m:sup/>
                <m:e>
                  <m:r>
                    <w:rPr>
                      <w:rFonts w:ascii="Cambria Math" w:hAnsi="Cambria Math"/>
                    </w:rPr>
                    <m:t>W</m:t>
                  </m:r>
                </m:e>
              </m:nary>
              <m:sSub>
                <m:sSubPr>
                  <m:ctrlPr>
                    <w:rPr>
                      <w:rFonts w:ascii="Cambria Math" w:hAnsi="Cambria Math"/>
                    </w:rPr>
                  </m:ctrlPr>
                </m:sSubPr>
                <m:e>
                  <m:r>
                    <w:rPr>
                      <w:rFonts w:ascii="Cambria Math" w:hAnsi="Cambria Math"/>
                    </w:rPr>
                    <m:t>S</m:t>
                  </m:r>
                </m:e>
                <m:sub>
                  <m:r>
                    <w:rPr>
                      <w:rFonts w:ascii="Cambria Math" w:hAnsi="Cambria Math"/>
                    </w:rPr>
                    <m:t>c,i,t</m:t>
                  </m:r>
                </m:sub>
              </m:sSub>
            </m:den>
          </m:f>
          <m:r>
            <m:rPr>
              <m:sty m:val="p"/>
            </m:rPr>
            <w:rPr>
              <w:rFonts w:ascii="Cambria Math" w:hAnsi="Cambria Math"/>
            </w:rPr>
            <w:br/>
          </m:r>
        </m:oMath>
      </m:oMathPara>
    </w:p>
    <w:p w14:paraId="403E4E49" w14:textId="77777777" w:rsidR="008E3763" w:rsidRDefault="008E3763" w:rsidP="008E3763">
      <w:pPr>
        <w:pStyle w:val="NormalWeb"/>
      </w:pPr>
      <w:r>
        <w:t xml:space="preserve">where </w:t>
      </w:r>
      <m:oMath>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c,i,t</m:t>
            </m:r>
          </m:sub>
        </m:sSub>
      </m:oMath>
      <w:r>
        <w:t xml:space="preserve">is the annual crop-specific irrigated water stress for crop item </w:t>
      </w:r>
      <m:oMath>
        <m:r>
          <w:rPr>
            <w:rFonts w:ascii="Cambria Math" w:hAnsi="Cambria Math"/>
          </w:rPr>
          <m:t>i</m:t>
        </m:r>
      </m:oMath>
      <w:r>
        <w:t xml:space="preserve">in country </w:t>
      </w:r>
      <m:oMath>
        <m:r>
          <w:rPr>
            <w:rFonts w:ascii="Cambria Math" w:hAnsi="Cambria Math"/>
          </w:rPr>
          <m:t>c</m:t>
        </m:r>
      </m:oMath>
      <w:r>
        <w:t xml:space="preserve">and year </w:t>
      </w:r>
      <m:oMath>
        <m:r>
          <w:rPr>
            <w:rFonts w:ascii="Cambria Math" w:hAnsi="Cambria Math"/>
          </w:rPr>
          <m:t>t</m:t>
        </m:r>
      </m:oMath>
      <w:r>
        <w:t xml:space="preserve">, </w:t>
      </w:r>
      <m:oMath>
        <m:r>
          <w:rPr>
            <w:rFonts w:ascii="Cambria Math" w:hAnsi="Cambria Math"/>
          </w:rPr>
          <m:t>M(k)</m:t>
        </m:r>
      </m:oMath>
      <w:r>
        <w:t xml:space="preserve">is the set of 175 crop items mapped to CWS category </w:t>
      </w:r>
      <m:oMath>
        <m:r>
          <w:rPr>
            <w:rFonts w:ascii="Cambria Math" w:hAnsi="Cambria Math"/>
          </w:rPr>
          <m:t>k</m:t>
        </m:r>
      </m:oMath>
      <w:r>
        <w:t xml:space="preserve">, and </w:t>
      </w:r>
      <m:oMath>
        <m:r>
          <w:rPr>
            <w:rFonts w:ascii="Cambria Math" w:hAnsi="Cambria Math"/>
          </w:rPr>
          <m:t>S(k,s)⊆M(k)</m:t>
        </m:r>
      </m:oMath>
      <w:r>
        <w:t xml:space="preserve">is the subset of those items whose GLORIA sector is </w:t>
      </w:r>
      <m:oMath>
        <m:r>
          <w:rPr>
            <w:rFonts w:ascii="Cambria Math" w:hAnsi="Cambria Math"/>
          </w:rPr>
          <m:t>s</m:t>
        </m:r>
      </m:oMath>
      <w:r>
        <w:t xml:space="preserve">. By construction, </w:t>
      </w:r>
      <m:oMath>
        <m:nary>
          <m:naryPr>
            <m:chr m:val="∑"/>
            <m:limLoc m:val="subSup"/>
            <m:grow m:val="1"/>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w:rPr>
                    <w:rFonts w:ascii="Cambria Math" w:hAnsi="Cambria Math"/>
                  </w:rPr>
                  <m:t>w</m:t>
                </m:r>
              </m:e>
              <m:sub>
                <m:r>
                  <w:rPr>
                    <w:rFonts w:ascii="Cambria Math" w:hAnsi="Cambria Math"/>
                  </w:rPr>
                  <m:t>c,k,s,t</m:t>
                </m:r>
              </m:sub>
            </m:sSub>
          </m:e>
        </m:nary>
        <m:r>
          <w:rPr>
            <w:rFonts w:ascii="Cambria Math" w:hAnsi="Cambria Math"/>
          </w:rPr>
          <m:t>=1</m:t>
        </m:r>
      </m:oMath>
      <w:r>
        <w:t xml:space="preserve">whenever </w:t>
      </w:r>
      <m:oMath>
        <m:nary>
          <m:naryPr>
            <m:chr m:val="∑"/>
            <m:limLoc m:val="subSup"/>
            <m:grow m:val="1"/>
            <m:supHide m:val="1"/>
            <m:ctrlPr>
              <w:rPr>
                <w:rFonts w:ascii="Cambria Math" w:hAnsi="Cambria Math"/>
              </w:rPr>
            </m:ctrlPr>
          </m:naryPr>
          <m:sub>
            <m:r>
              <w:rPr>
                <w:rFonts w:ascii="Cambria Math" w:hAnsi="Cambria Math"/>
              </w:rPr>
              <m:t>i∈M(k)</m:t>
            </m:r>
          </m:sub>
          <m:sup/>
          <m:e>
            <m:r>
              <w:rPr>
                <w:rFonts w:ascii="Cambria Math" w:hAnsi="Cambria Math"/>
              </w:rPr>
              <m:t>W</m:t>
            </m:r>
          </m:e>
        </m:nary>
        <m:sSub>
          <m:sSubPr>
            <m:ctrlPr>
              <w:rPr>
                <w:rFonts w:ascii="Cambria Math" w:hAnsi="Cambria Math"/>
              </w:rPr>
            </m:ctrlPr>
          </m:sSubPr>
          <m:e>
            <m:r>
              <w:rPr>
                <w:rFonts w:ascii="Cambria Math" w:hAnsi="Cambria Math"/>
              </w:rPr>
              <m:t>S</m:t>
            </m:r>
          </m:e>
          <m:sub>
            <m:r>
              <w:rPr>
                <w:rFonts w:ascii="Cambria Math" w:hAnsi="Cambria Math"/>
              </w:rPr>
              <m:t>c,i,t</m:t>
            </m:r>
          </m:sub>
        </m:sSub>
        <m:r>
          <w:rPr>
            <w:rFonts w:ascii="Cambria Math" w:hAnsi="Cambria Math"/>
          </w:rPr>
          <m:t>&gt;0</m:t>
        </m:r>
      </m:oMath>
      <w:r>
        <w:t>. Where the denominator is zero, all sector weights were set to zero and the country’s CWS value for that category, itself necessarily zero, remained unallocated. Because the weights within each composite category sum to one across sectors, national total water stress is preserved exactly under the concordance.</w:t>
      </w:r>
    </w:p>
    <w:p w14:paraId="314E1AD1" w14:textId="77777777" w:rsidR="008E3763" w:rsidRDefault="008E3763" w:rsidP="008E3763">
      <w:pPr>
        <w:pStyle w:val="NormalWeb"/>
      </w:pPr>
      <w:r>
        <w:t xml:space="preserve">To reduce year-to-year noise, we calculated </w:t>
      </w:r>
      <m:oMath>
        <m:sSub>
          <m:sSubPr>
            <m:ctrlPr>
              <w:rPr>
                <w:rFonts w:ascii="Cambria Math" w:hAnsi="Cambria Math"/>
              </w:rPr>
            </m:ctrlPr>
          </m:sSubPr>
          <m:e>
            <m:r>
              <w:rPr>
                <w:rFonts w:ascii="Cambria Math" w:hAnsi="Cambria Math"/>
              </w:rPr>
              <m:t>w</m:t>
            </m:r>
          </m:e>
          <m:sub>
            <m:r>
              <w:rPr>
                <w:rFonts w:ascii="Cambria Math" w:hAnsi="Cambria Math"/>
              </w:rPr>
              <m:t>c,k,s,t</m:t>
            </m:r>
          </m:sub>
        </m:sSub>
      </m:oMath>
      <w:r>
        <w:t xml:space="preserve">from a centred five-year rolling mean of </w:t>
      </w:r>
      <m:oMath>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c,i,t</m:t>
            </m:r>
          </m:sub>
        </m:sSub>
      </m:oMath>
      <w:r>
        <w:t xml:space="preserve">(window </w:t>
      </w:r>
      <m:oMath>
        <m:r>
          <w:rPr>
            <w:rFonts w:ascii="Cambria Math" w:hAnsi="Cambria Math"/>
          </w:rPr>
          <m:t>t±2</m:t>
        </m:r>
      </m:oMath>
      <w:r>
        <w:t>, truncated at the panel edges) rather than from single-year values. This rolling scheme was applied for 1995–2018. For 2019 onward, corresponding 175-crop annual water-stress values were not available in the same harmonized form, and the weights were therefore held fixed at the 2015–2018 mean. This extrapolation assumes that the within-category stress structure changes slowly relative to the interannual variability in total water stress. Historical year-varying weights and recent-period fixed weights were stored separately and used consistently in the concordance pipeline.</w:t>
      </w:r>
    </w:p>
    <w:p w14:paraId="1C6784AB" w14:textId="77777777" w:rsidR="008E3763" w:rsidRPr="00B92D06" w:rsidRDefault="008E3763" w:rsidP="00B92D06">
      <w:pPr>
        <w:spacing w:before="100" w:beforeAutospacing="1" w:after="100" w:afterAutospacing="1"/>
        <w:outlineLvl w:val="2"/>
        <w:rPr>
          <w:b/>
          <w:bCs/>
          <w:sz w:val="27"/>
          <w:szCs w:val="27"/>
        </w:rPr>
      </w:pPr>
      <w:r>
        <w:rPr>
          <w:b/>
          <w:bCs/>
          <w:sz w:val="27"/>
          <w:szCs w:val="27"/>
        </w:rPr>
        <w:t>S7.5 Temporal stability of allocation weights</w:t>
      </w:r>
    </w:p>
    <w:p w14:paraId="4A594533" w14:textId="77777777" w:rsidR="008E3763" w:rsidRDefault="008E3763" w:rsidP="008E3763">
      <w:pPr>
        <w:pStyle w:val="NormalWeb"/>
      </w:pPr>
      <w:r>
        <w:t>We evaluated the temporal stability of the rolling allocation weights over 1995–2018 at both global and country levels. At the global level, aggregated across countries, the maximum absolute shift between the 1995–1999 and 2015–2018 average allocations across all sector components of the three composite categories was 0.042 share points, and the mean absolute shift was 0.014. The single largest change was a +4.2 percentage-point increase in the Growing fruits and nuts share of Perennial deciduous crops, offset by a corresponding −4.2 percentage-point decrease in the Growing grapes share, reflecting gradual shifts in the underlying crop composition. All remaining global shifts were below 0.030.</w:t>
      </w:r>
    </w:p>
    <w:p w14:paraId="5DC08E64" w14:textId="77777777" w:rsidR="008E3763" w:rsidRDefault="008E3763" w:rsidP="008E3763">
      <w:pPr>
        <w:pStyle w:val="NormalWeb"/>
      </w:pPr>
      <w:r>
        <w:t xml:space="preserve">At the country level, we computed the coefficient of variation (CV) of </w:t>
      </w:r>
      <m:oMath>
        <m:sSub>
          <m:sSubPr>
            <m:ctrlPr>
              <w:rPr>
                <w:rFonts w:ascii="Cambria Math" w:hAnsi="Cambria Math"/>
              </w:rPr>
            </m:ctrlPr>
          </m:sSubPr>
          <m:e>
            <m:r>
              <w:rPr>
                <w:rFonts w:ascii="Cambria Math" w:hAnsi="Cambria Math"/>
              </w:rPr>
              <m:t>w</m:t>
            </m:r>
          </m:e>
          <m:sub>
            <m:r>
              <w:rPr>
                <w:rFonts w:ascii="Cambria Math" w:hAnsi="Cambria Math"/>
              </w:rPr>
              <m:t>c,k,s,t</m:t>
            </m:r>
          </m:sub>
        </m:sSub>
      </m:oMath>
      <w:r>
        <w:t>across the rolling historical years for each non-trivial country × composite × sector combination. The median CV was 0.084 for Perennial deciduous crops, 0.196 for Perennial evergreen crops, and 0.336 for Other annual crops. Stability was therefore highest for Perennial deciduous crops, intermediate for Perennial evergreen crops, and lowest for Other annual crops, which is expected because the latter contains a wider mixture of annual crop types, including relatively small shares of fibre, tobacco and spice crops. Across the three composite categories, the median absolute range (maximum minus minimum over 1995–2018) of the rolling weight was 0.06 share points. Together, these results indicate that the within-category sectoral composition is close to stationary over the historical period.</w:t>
      </w:r>
    </w:p>
    <w:p w14:paraId="3F237C80" w14:textId="77777777" w:rsidR="008E3763" w:rsidRPr="00B92D06" w:rsidRDefault="008E3763" w:rsidP="00B92D06">
      <w:pPr>
        <w:spacing w:before="100" w:beforeAutospacing="1" w:after="100" w:afterAutospacing="1"/>
        <w:outlineLvl w:val="2"/>
        <w:rPr>
          <w:b/>
          <w:bCs/>
          <w:sz w:val="27"/>
          <w:szCs w:val="27"/>
        </w:rPr>
      </w:pPr>
      <w:r>
        <w:rPr>
          <w:b/>
          <w:bCs/>
          <w:sz w:val="27"/>
          <w:szCs w:val="27"/>
        </w:rPr>
        <w:t>S7.6 Robustness to alternative weighting strategies</w:t>
      </w:r>
    </w:p>
    <w:p w14:paraId="4F6C2319" w14:textId="77777777" w:rsidR="008E3763" w:rsidRDefault="008E3763" w:rsidP="008E3763">
      <w:pPr>
        <w:pStyle w:val="NormalWeb"/>
      </w:pPr>
      <w:r>
        <w:t xml:space="preserve">We quantified the sensitivity of the final 14-sector CWS tables to the weighting scheme by rerunning the full concordance pipeline under three alternatives: (A) the baseline time-varying </w:t>
        <w:lastRenderedPageBreak/>
        <w:t>rolling weights, (B) fixed weights set to the 1995–2018 mean stress-share structure, and (C) fixed weights set to the 2015–2018 mean stress-share structure. Results are summarized in Table S7.4.</w:t>
      </w:r>
    </w:p>
    <w:p w14:paraId="028B65CE" w14:textId="77777777" w:rsidR="008E3763" w:rsidRDefault="008E3763" w:rsidP="008E3763">
      <w:pPr>
        <w:pStyle w:val="NormalWeb"/>
      </w:pPr>
      <w:r>
        <w:t>First, total national water stress was identical across schemes to within floating-point precision, confirming that the concordance is mass-conserving irrespective of weight choice. Second, the allocation weights themselves were largely insensitive to the choice of historical averaging period. Across all country × composite × sector combinations, the mean absolute difference between the 1995–2018 mean weights (B) and the rolling baseline (A) was 0.013 share points, and at most 7% of combinations differed by more than 0.05. Deviations were slightly larger for the 2015–2018 mean weights (C), whose mean absolute difference relative to the baseline ranged from 0.019 to 0.039 share points across the three composite categories, with the largest deviations confined to a small subset of countries whose crop composition shifted over the historical record. Perennial evergreen crops were the most stable composite across all three schemes (mean absolute difference below 0.020 for all pairwise comparisons).</w:t>
      </w:r>
    </w:p>
    <w:p w14:paraId="38CD3CA5" w14:textId="77777777" w:rsidR="008E3763" w:rsidRDefault="008E3763" w:rsidP="008E3763">
      <w:pPr>
        <w:pStyle w:val="NormalWeb"/>
      </w:pPr>
      <w:r>
        <w:t>Third, the upper-tail differences between schemes were concentrated in minor sectors whose absolute contribution to total crop water stress is small, so that the same differences in share points correspond to negligible differences in reported CWS magnitudes. The full summary statistics, per composite category and per pairwise comparison, are reported in Table S7.4.</w:t>
      </w:r>
    </w:p>
    <w:p w14:paraId="349C513F" w14:textId="77777777" w:rsidR="008E3763" w:rsidRDefault="008E3763" w:rsidP="008E3763">
      <w:pPr>
        <w:pStyle w:val="NormalWeb"/>
      </w:pPr>
      <w:r>
        <w:t>We adopted the time-varying rolling weights for historical years (1995–2018), because they use all available information while preserving local temporal smoothness, and used fixed recent-period weights for 2019–2024, when newer 175-crop annual water-stress data were not available in the same harmonized form. The magnitude and sectoral distribution of the residual scheme-to-scheme differences (Table S7.4) indicate that this choice has no meaningful effect on the sectoral or country-level CWS values reported in the main text.</w:t>
      </w:r>
    </w:p>
    <w:p w14:paraId="6BE5BD6B" w14:textId="77777777" w:rsidR="00A469D3" w:rsidRDefault="00A469D3" w:rsidP="008E3763">
      <w:pPr>
        <w:pStyle w:val="NormalWeb"/>
      </w:pPr>
    </w:p>
    <w:p w14:paraId="67A0A269" w14:textId="77777777" w:rsidR="00E824FA" w:rsidRDefault="00000000">
      <w:pPr>
        <w:pStyle w:val="Heading2"/>
      </w:pPr>
      <w:r>
        <w:t>Supplementary Methods S8. MRIO Attribution Framework</w:t>
      </w:r>
    </w:p>
    <w:p w14:paraId="18838F9B" w14:textId="77777777" w:rsidR="00E824FA" w:rsidRPr="00466348" w:rsidRDefault="00000000" w:rsidP="00466348">
      <w:pPr>
        <w:spacing w:before="100" w:beforeAutospacing="1" w:after="100" w:afterAutospacing="1"/>
        <w:outlineLvl w:val="2"/>
        <w:rPr>
          <w:b/>
          <w:bCs/>
          <w:sz w:val="27"/>
          <w:szCs w:val="27"/>
        </w:rPr>
      </w:pPr>
      <w:r>
        <w:rPr>
          <w:b/>
          <w:bCs/>
          <w:sz w:val="27"/>
          <w:szCs w:val="27"/>
        </w:rPr>
        <w:t>S8.1 The GLORIA MRIO database</w:t>
      </w:r>
    </w:p>
    <w:p w14:paraId="0A28F1A6" w14:textId="77777777" w:rsidR="00E824FA" w:rsidRDefault="00000000">
      <w:pPr>
        <w:pStyle w:val="NormalWeb"/>
      </w:pPr>
      <w:r>
        <w:t xml:space="preserve">We used the global environmentally-extended multi-regional input–output (MRIO) database GLORIA, Release 060 (GLORIA v060) [19], constructed in the Global MRIO Lab [19a]. GLORIA provides annual global multi-region supply-use tables (MR-SUTs) for 164 regions, comprising 160 individual countries and four rest-of-world aggregates (XAM, XEU, XAF, XAS), with 120 sectors per region and a continuous annual time series from 1990 to 2028. According to the GLORIA Release 060 documentation, the database was updated with source data to 2023, while later years are projected from 2024 onward using GDP projections and related balancing procedures [19]. For each year, the release provides a multi-region supply-use system together with final-demand, value-added, and satellite-account tables. We derived an industry-by-industry input–output representation from the GLORIA MR-SUT using the industry-technology assumption [20], and used the resulting system as the economic backbone for the supply-chain attribution of crop water stress. The complete GLORIA v060 sector and region lists are documented in the release notes distributed with the </w:t>
        <w:lastRenderedPageBreak/>
        <w:t>database (GLORIA_ReleaseNotes_060.pdf) and are reproduced, for the sectors and regions relevant to this study, in Supplementary Table S8.1 and Supplementary Table S8.2.</w:t>
      </w:r>
    </w:p>
    <w:p w14:paraId="5FCB1397" w14:textId="77777777" w:rsidR="00E824FA" w:rsidRDefault="00000000">
      <w:pPr>
        <w:pStyle w:val="NormalWeb"/>
      </w:pPr>
      <w:r>
        <w:t>Formally, after conversion of the MR-SUT to an industry-by-industry system, each annual instance contains an inter-industry transaction matrix for 164 regions (</w:t>
      </w:r>
      <w:r>
        <w:rPr>
          <w:i/>
          <w:iCs/>
        </w:rPr>
        <w:t>R</w:t>
      </w:r>
      <w:r>
        <w:t xml:space="preserve"> = 164) and 120 sectors (</w:t>
      </w:r>
      <w:r>
        <w:rPr>
          <w:i/>
          <w:iCs/>
        </w:rPr>
        <w:t>S</w:t>
      </w:r>
      <w:r>
        <w:t xml:space="preserve"> = 120), yielding </w:t>
      </w:r>
      <w:r>
        <w:rPr>
          <w:i/>
          <w:iCs/>
        </w:rPr>
        <w:t>n</w:t>
      </w:r>
      <w:r>
        <w:t xml:space="preserve"> = </w:t>
      </w:r>
      <w:r>
        <w:rPr>
          <w:i/>
          <w:iCs/>
        </w:rPr>
        <w:t>R</w:t>
      </w:r>
      <w:r>
        <w:t xml:space="preserve"> × </w:t>
      </w:r>
      <w:r>
        <w:rPr>
          <w:i/>
          <w:iCs/>
        </w:rPr>
        <w:t>S</w:t>
      </w:r>
      <w:r>
        <w:t xml:space="preserve"> = 19,680 region-sector combinations. The derived system is represented by a transaction matrix </w:t>
      </w:r>
      <w:r>
        <w:rPr>
          <w:b/>
          <w:bCs/>
        </w:rPr>
        <w:t>Z</w:t>
      </w:r>
      <w:r>
        <w:t xml:space="preserve"> (</w:t>
      </w:r>
      <w:r>
        <w:rPr>
          <w:i/>
          <w:iCs/>
        </w:rPr>
        <w:t>n</w:t>
      </w:r>
      <w:r>
        <w:t xml:space="preserve"> × </w:t>
      </w:r>
      <w:r>
        <w:rPr>
          <w:i/>
          <w:iCs/>
        </w:rPr>
        <w:t>n</w:t>
      </w:r>
      <w:r>
        <w:t xml:space="preserve">), a final-demand matrix </w:t>
      </w:r>
      <w:r>
        <w:rPr>
          <w:b/>
          <w:bCs/>
        </w:rPr>
        <w:t>Y</w:t>
      </w:r>
      <w:r>
        <w:t xml:space="preserve"> (</w:t>
      </w:r>
      <w:r>
        <w:rPr>
          <w:i/>
          <w:iCs/>
        </w:rPr>
        <w:t>n</w:t>
      </w:r>
      <w:r>
        <w:t xml:space="preserve"> × </w:t>
      </w:r>
      <w:r>
        <w:rPr>
          <w:i/>
          <w:iCs/>
        </w:rPr>
        <w:t>R</w:t>
      </w:r>
      <w:r>
        <w:t xml:space="preserve">), and a satellite account </w:t>
      </w:r>
      <w:r>
        <w:rPr>
          <w:b/>
          <w:bCs/>
        </w:rPr>
        <w:t>Q</w:t>
      </w:r>
      <w:r>
        <w:t xml:space="preserve"> containing environmental indicators.</w:t>
      </w:r>
    </w:p>
    <w:p w14:paraId="0CBB8118" w14:textId="77777777" w:rsidR="00E824FA" w:rsidRPr="00466348" w:rsidRDefault="00000000" w:rsidP="00466348">
      <w:pPr>
        <w:spacing w:before="100" w:beforeAutospacing="1" w:after="100" w:afterAutospacing="1"/>
        <w:outlineLvl w:val="2"/>
        <w:rPr>
          <w:b/>
          <w:bCs/>
          <w:sz w:val="27"/>
          <w:szCs w:val="27"/>
        </w:rPr>
      </w:pPr>
      <w:r>
        <w:rPr>
          <w:b/>
          <w:bCs/>
          <w:sz w:val="27"/>
          <w:szCs w:val="27"/>
        </w:rPr>
        <w:t>S8.2 Extended satellite account construction</w:t>
      </w:r>
    </w:p>
    <w:p w14:paraId="10542527" w14:textId="77777777" w:rsidR="00E824FA" w:rsidRDefault="00000000">
      <w:pPr>
        <w:pStyle w:val="NormalWeb"/>
      </w:pPr>
      <w:r>
        <w:t>To integrate the crop water stress (CWS) estimates into the GLORIA framework, we constructed an extended satellite account on the 164-region, 120-sector GLORIA classification for each year from 1995 to 2024, corresponding to the study period analysed here. The monthly grid-level CWS values from HARM were first aggregated to annual country-by-crop totals, then mapped to the 14 GLORIA crop-growing sectors through the 27→14 concordance described in Supplementary Methods S7, and finally expressed in million cubic metres world-equivalent to match the unit convention used in the GLORIA water-related satellite accounts.</w:t>
      </w:r>
    </w:p>
    <w:p w14:paraId="0721FBD3" w14:textId="77777777" w:rsidR="00E824FA" w:rsidRDefault="00000000">
      <w:pPr>
        <w:pStyle w:val="NormalWeb"/>
      </w:pPr>
      <w:r>
        <w:t>For each year, the resulting 164 × 14 crop-growing block was combined with GLORIA-based values for the six remaining agriculture-related sectors (sectors 15–20: seeds and plant propagation; raising of cattle, sheep and goats, swine, poultry, and other animals and related services) to form a 164 × 20 extended agricultural block. The remaining sectors 21–120, which cover non-agricultural industries, were set to zero in the extended satellite for the attribution framework used in this study.</w:t>
      </w:r>
    </w:p>
    <w:p w14:paraId="3DC67909" w14:textId="77777777" w:rsidR="00E824FA" w:rsidRDefault="00000000">
      <w:pPr>
        <w:pStyle w:val="NormalWeb"/>
      </w:pPr>
      <w:r>
        <w:t>Before applying the extended satellite in the supply-chain attribution, we verified that the reconstructed 14-sector crop-growing block agreed closely with the corresponding GLORIA-based agricultural water-stress totals at country scale, with a median country-aggregated Pearson correlation of 0.97 across the 30 overlap years (Supplementary Table S6.8.2) despite some differences in temporal trends due to the economic forecasting applied in GLORIA (see Discussion). We also confirmed that the reconstructed block accounted for the large majority of total agricultural water stress in the extended 20-sector block, with a median share of 95.9% across 1995–2024, consistent with the corresponding GLORIA reference share (Supplementary Table S6.8.3). The extended-satellite integration therefore replaces the crop-growing component with estimates that are crop-resolved, scarcity-weighted and responsive to interannual environmental variation, while preserving the GLORIA-based accounting for the remaining agriculture-related sectors.</w:t>
      </w:r>
    </w:p>
    <w:p w14:paraId="021E2EA2" w14:textId="77777777" w:rsidR="00E824FA" w:rsidRPr="00466348" w:rsidRDefault="00000000" w:rsidP="00466348">
      <w:pPr>
        <w:spacing w:before="100" w:beforeAutospacing="1" w:after="100" w:afterAutospacing="1"/>
        <w:outlineLvl w:val="2"/>
        <w:rPr>
          <w:b/>
          <w:bCs/>
          <w:sz w:val="27"/>
          <w:szCs w:val="27"/>
        </w:rPr>
      </w:pPr>
      <w:r>
        <w:rPr>
          <w:b/>
          <w:bCs/>
          <w:sz w:val="27"/>
          <w:szCs w:val="27"/>
        </w:rPr>
        <w:t>S8.3 Leontief model</w:t>
      </w:r>
    </w:p>
    <w:p w14:paraId="5AEFA097" w14:textId="77777777" w:rsidR="00E824FA" w:rsidRDefault="00000000">
      <w:pPr>
        <w:pStyle w:val="NormalWeb"/>
      </w:pPr>
      <w:r>
        <w:t xml:space="preserve">Following standard multi-regional input–output conventions [20], the transaction matrix </w:t>
      </w:r>
      <w:r>
        <w:rPr>
          <w:b/>
          <w:bCs/>
        </w:rPr>
        <w:t>Z</w:t>
      </w:r>
      <w:r>
        <w:t xml:space="preserve">, final-demand matrix </w:t>
      </w:r>
      <w:r>
        <w:rPr>
          <w:b/>
          <w:bCs/>
        </w:rPr>
        <w:t>Y</w:t>
      </w:r>
      <w:r>
        <w:t xml:space="preserve">, and satellite account </w:t>
      </w:r>
      <w:r>
        <w:rPr>
          <w:b/>
          <w:bCs/>
        </w:rPr>
        <w:t>Q</w:t>
      </w:r>
      <w:r>
        <w:t xml:space="preserve"> imply total output</w:t>
      </w:r>
    </w:p>
    <w:p w14:paraId="35F0B359" w14:textId="77777777" w:rsidR="00E824FA" w:rsidRDefault="00000000">
      <w:pPr>
        <w:pStyle w:val="NormalWeb"/>
      </w:pPr>
      <m:oMathPara>
        <m:oMathParaPr>
          <m:jc m:val="center"/>
        </m:oMathParaPr>
        <m:oMath>
          <m:r>
            <m:rPr>
              <m:sty m:val="b"/>
            </m:rPr>
            <w:rPr>
              <w:rFonts w:ascii="Cambria Math" w:hAnsi="Cambria Math"/>
            </w:rPr>
            <m:t>x</m:t>
          </m:r>
          <m:r>
            <m:rPr>
              <m:sty m:val="p"/>
            </m:rPr>
            <w:rPr>
              <w:rFonts w:ascii="Cambria Math" w:hAnsi="Cambria Math"/>
            </w:rPr>
            <m:t>=</m:t>
          </m:r>
          <m:r>
            <m:rPr>
              <m:sty m:val="b"/>
            </m:rPr>
            <w:rPr>
              <w:rFonts w:ascii="Cambria Math" w:hAnsi="Cambria Math"/>
            </w:rPr>
            <m:t>Z1</m:t>
          </m:r>
          <m:r>
            <m:rPr>
              <m:sty m:val="p"/>
            </m:rPr>
            <w:rPr>
              <w:rFonts w:ascii="Cambria Math" w:hAnsi="Cambria Math"/>
            </w:rPr>
            <m:t>+</m:t>
          </m:r>
          <m:r>
            <m:rPr>
              <m:sty m:val="b"/>
            </m:rPr>
            <w:rPr>
              <w:rFonts w:ascii="Cambria Math" w:hAnsi="Cambria Math"/>
            </w:rPr>
            <m:t>Y1</m:t>
          </m:r>
          <m:r>
            <m:rPr>
              <m:sty m:val="p"/>
            </m:rPr>
            <w:rPr>
              <w:rFonts w:ascii="Cambria Math" w:hAnsi="Cambria Math"/>
            </w:rPr>
            <m:t>,</m:t>
          </m:r>
        </m:oMath>
      </m:oMathPara>
    </w:p>
    <w:p w14:paraId="6E1D3CCA" w14:textId="77777777" w:rsidR="00E824FA" w:rsidRDefault="00000000">
      <w:pPr>
        <w:pStyle w:val="NormalWeb"/>
      </w:pPr>
      <w:r>
        <w:t>the technical coefficient matrix</w:t>
      </w:r>
    </w:p>
    <w:p w14:paraId="72B1FAF4" w14:textId="77777777" w:rsidR="00E824FA" w:rsidRDefault="00000000">
      <w:pPr>
        <w:pStyle w:val="NormalWeb"/>
      </w:pPr>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Z</m:t>
          </m:r>
          <m:r>
            <w:rPr>
              <w:rFonts w:ascii="Cambria Math" w:hAnsi="Cambria Math"/>
            </w:rPr>
            <m:t> </m:t>
          </m:r>
          <m:r>
            <m:rPr>
              <m:sty m:val="p"/>
            </m:rPr>
            <w:rPr>
              <w:rFonts w:ascii="Cambria Math" w:hAnsi="Cambria Math"/>
            </w:rPr>
            <m:t>diag</m:t>
          </m:r>
          <m:sSup>
            <m:sSupPr>
              <m:ctrlPr>
                <w:rPr>
                  <w:rFonts w:ascii="Cambria Math" w:hAnsi="Cambria Math"/>
                </w:rPr>
              </m:ctrlPr>
            </m:sSupPr>
            <m:e>
              <m:d>
                <m:dPr>
                  <m:ctrlPr>
                    <w:rPr>
                      <w:rFonts w:ascii="Cambria Math" w:hAnsi="Cambria Math"/>
                    </w:rPr>
                  </m:ctrlPr>
                </m:dPr>
                <m:e>
                  <m:r>
                    <m:rPr>
                      <m:sty m:val="b"/>
                    </m:rPr>
                    <w:rPr>
                      <w:rFonts w:ascii="Cambria Math" w:hAnsi="Cambria Math"/>
                    </w:rPr>
                    <m:t>x</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30F5604C" w14:textId="77777777" w:rsidR="00E824FA" w:rsidRDefault="00000000">
      <w:pPr>
        <w:pStyle w:val="NormalWeb"/>
      </w:pPr>
      <w:r>
        <w:lastRenderedPageBreak/>
        <w:t>the Leontief inverse</w:t>
      </w:r>
    </w:p>
    <w:p w14:paraId="507C0E9D" w14:textId="77777777" w:rsidR="00E824FA" w:rsidRDefault="00000000">
      <w:pPr>
        <w:pStyle w:val="NormalWeb"/>
      </w:pPr>
      <m:oMathPara>
        <m:oMathParaPr>
          <m:jc m:val="center"/>
        </m:oMathParaPr>
        <m:oMath>
          <m:r>
            <m:rPr>
              <m:sty m:val="b"/>
            </m:rPr>
            <w:rPr>
              <w:rFonts w:ascii="Cambria Math" w:hAnsi="Cambria Math"/>
            </w:rPr>
            <m:t>L</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A</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4249700E" w14:textId="77777777" w:rsidR="00E824FA" w:rsidRDefault="00000000">
      <w:pPr>
        <w:pStyle w:val="NormalWeb"/>
      </w:pPr>
      <w:r>
        <w:t>and the environmental intensity vector</w:t>
      </w:r>
    </w:p>
    <w:p w14:paraId="165CACD2" w14:textId="77777777" w:rsidR="00E824FA" w:rsidRDefault="00000000">
      <w:pPr>
        <w:pStyle w:val="NormalWeb"/>
      </w:pPr>
      <m:oMathPara>
        <m:oMathParaPr>
          <m:jc m:val="center"/>
        </m:oMathParaPr>
        <m:oMath>
          <m:r>
            <m:rPr>
              <m:sty m:val="b"/>
            </m:rPr>
            <w:rPr>
              <w:rFonts w:ascii="Cambria Math" w:hAnsi="Cambria Math"/>
            </w:rPr>
            <m:t>d</m:t>
          </m:r>
          <m:r>
            <m:rPr>
              <m:sty m:val="p"/>
            </m:rPr>
            <w:rPr>
              <w:rFonts w:ascii="Cambria Math" w:hAnsi="Cambria Math"/>
            </w:rPr>
            <m:t>=</m:t>
          </m:r>
          <m:r>
            <m:rPr>
              <m:sty m:val="b"/>
            </m:rPr>
            <w:rPr>
              <w:rFonts w:ascii="Cambria Math" w:hAnsi="Cambria Math"/>
            </w:rPr>
            <m:t>Q</m:t>
          </m:r>
          <m:r>
            <m:rPr>
              <m:sty m:val="p"/>
            </m:rPr>
            <w:rPr>
              <w:rFonts w:ascii="Cambria Math" w:hAnsi="Cambria Math"/>
            </w:rPr>
            <m:t>/</m:t>
          </m:r>
          <m:r>
            <m:rPr>
              <m:sty m:val="b"/>
            </m:rPr>
            <w:rPr>
              <w:rFonts w:ascii="Cambria Math" w:hAnsi="Cambria Math"/>
            </w:rPr>
            <m:t>x</m:t>
          </m:r>
          <m:r>
            <m:rPr>
              <m:sty m:val="p"/>
            </m:rPr>
            <w:rPr>
              <w:rFonts w:ascii="Cambria Math" w:hAnsi="Cambria Math"/>
            </w:rPr>
            <m:t>,</m:t>
          </m:r>
        </m:oMath>
      </m:oMathPara>
    </w:p>
    <w:p w14:paraId="7C5E9EB2" w14:textId="77777777" w:rsidR="00E824FA" w:rsidRDefault="00000000">
      <w:pPr>
        <w:pStyle w:val="NormalWeb"/>
      </w:pPr>
      <w:r>
        <w:t xml:space="preserve">defined element-wise where </w:t>
      </w:r>
      <m:oMath>
        <m:r>
          <w:rPr>
            <w:rFonts w:ascii="Cambria Math" w:hAnsi="Cambria Math"/>
          </w:rPr>
          <m:t>x</m:t>
        </m:r>
        <m:r>
          <m:rPr>
            <m:sty m:val="p"/>
          </m:rPr>
          <w:rPr>
            <w:rFonts w:ascii="Cambria Math" w:hAnsi="Cambria Math"/>
          </w:rPr>
          <m:t>&gt;</m:t>
        </m:r>
        <m:r>
          <w:rPr>
            <w:rFonts w:ascii="Cambria Math" w:hAnsi="Cambria Math"/>
          </w:rPr>
          <m:t>0</m:t>
        </m:r>
      </m:oMath>
      <w:r>
        <w:t xml:space="preserve"> and set to zero otherwise. The standard consumption-based footprint attributed to a final-demand vector </w:t>
      </w:r>
      <m:oMath>
        <m:r>
          <m:rPr>
            <m:sty m:val="b"/>
          </m:rPr>
          <w:rPr>
            <w:rFonts w:ascii="Cambria Math" w:hAnsi="Cambria Math"/>
          </w:rPr>
          <m:t>y</m:t>
        </m:r>
      </m:oMath>
      <w:r>
        <w:t xml:space="preserve"> is then</w:t>
      </w:r>
    </w:p>
    <w:p w14:paraId="54FB0B86" w14:textId="77777777" w:rsidR="00E824FA" w:rsidRDefault="00000000">
      <w:pPr>
        <w:pStyle w:val="NormalWeb"/>
      </w:pPr>
      <m:oMathPara>
        <m:oMathParaPr>
          <m:jc m:val="center"/>
        </m:oMathParaPr>
        <m:oMath>
          <m:r>
            <m:rPr>
              <m:sty m:val="b"/>
            </m:rPr>
            <w:rPr>
              <w:rFonts w:ascii="Cambria Math" w:hAnsi="Cambria Math"/>
            </w:rPr>
            <m:t>e</m:t>
          </m:r>
          <m:r>
            <m:rPr>
              <m:sty m:val="p"/>
            </m:rPr>
            <w:rPr>
              <w:rFonts w:ascii="Cambria Math" w:hAnsi="Cambria Math"/>
            </w:rPr>
            <m:t>=</m:t>
          </m:r>
          <m:sSup>
            <m:sSupPr>
              <m:ctrlPr>
                <w:rPr>
                  <w:rFonts w:ascii="Cambria Math" w:hAnsi="Cambria Math"/>
                </w:rPr>
              </m:ctrlPr>
            </m:sSupPr>
            <m:e>
              <m:r>
                <m:rPr>
                  <m:sty m:val="b"/>
                </m:rPr>
                <w:rPr>
                  <w:rFonts w:ascii="Cambria Math" w:hAnsi="Cambria Math"/>
                </w:rPr>
                <m:t>d</m:t>
              </m:r>
            </m:e>
            <m:sup>
              <m:r>
                <m:rPr>
                  <m:sty m:val="p"/>
                </m:rPr>
                <w:rPr>
                  <w:rFonts w:ascii="Cambria Math" w:hAnsi="Cambria Math"/>
                </w:rPr>
                <m:t>⊤</m:t>
              </m:r>
            </m:sup>
          </m:sSup>
          <m:r>
            <m:rPr>
              <m:sty m:val="b"/>
            </m:rPr>
            <w:rPr>
              <w:rFonts w:ascii="Cambria Math" w:hAnsi="Cambria Math"/>
            </w:rPr>
            <m:t>Ly</m:t>
          </m:r>
          <m:r>
            <m:rPr>
              <m:sty m:val="p"/>
            </m:rPr>
            <w:rPr>
              <w:rFonts w:ascii="Cambria Math" w:hAnsi="Cambria Math"/>
            </w:rPr>
            <m:t>.</m:t>
          </m:r>
        </m:oMath>
      </m:oMathPara>
    </w:p>
    <w:p w14:paraId="3DF5ED12" w14:textId="77777777" w:rsidR="00E824FA" w:rsidRDefault="00000000">
      <w:pPr>
        <w:pStyle w:val="NormalWeb"/>
      </w:pPr>
      <w:r>
        <w:t>This gives the correct aggregate footprint, but it does not distinguish the supply-chain stage through which crop water stress is attributed. The framework below extends the standard Leontief model to a multi-dimensional attribution without double counting.</w:t>
      </w:r>
    </w:p>
    <w:p w14:paraId="1E9499C4" w14:textId="77777777" w:rsidR="00E824FA" w:rsidRPr="00466348" w:rsidRDefault="00000000" w:rsidP="00466348">
      <w:pPr>
        <w:spacing w:before="100" w:beforeAutospacing="1" w:after="100" w:afterAutospacing="1"/>
        <w:outlineLvl w:val="2"/>
        <w:rPr>
          <w:b/>
          <w:bCs/>
          <w:sz w:val="27"/>
          <w:szCs w:val="27"/>
        </w:rPr>
      </w:pPr>
      <w:r>
        <w:rPr>
          <w:b/>
          <w:bCs/>
          <w:sz w:val="27"/>
          <w:szCs w:val="27"/>
        </w:rPr>
        <w:t>S8.4 Target economy and non-target economy</w:t>
      </w:r>
    </w:p>
    <w:p w14:paraId="45DBBFF5" w14:textId="77777777" w:rsidR="00E824FA" w:rsidRDefault="00000000">
      <w:pPr>
        <w:pStyle w:val="NormalWeb"/>
      </w:pPr>
      <w:r>
        <w:t xml:space="preserve">Following the supply chain impact mapping framework of Cabernard et al. [21] and Dente et al. [22], we partitioned all </w:t>
      </w:r>
      <m:oMath>
        <m:r>
          <w:rPr>
            <w:rFonts w:ascii="Cambria Math" w:hAnsi="Cambria Math"/>
          </w:rPr>
          <m:t>n</m:t>
        </m:r>
      </m:oMath>
      <w:r>
        <w:t xml:space="preserve"> industry–region combinations into a target economy (</w:t>
      </w:r>
      <m:oMath>
        <m:r>
          <w:rPr>
            <w:rFonts w:ascii="Cambria Math" w:hAnsi="Cambria Math"/>
          </w:rPr>
          <m:t>T</m:t>
        </m:r>
      </m:oMath>
      <w:r>
        <w:t>) and a non-target economy (</w:t>
      </w:r>
      <m:oMath>
        <m:r>
          <w:rPr>
            <w:rFonts w:ascii="Cambria Math" w:hAnsi="Cambria Math"/>
          </w:rPr>
          <m:t>O</m:t>
        </m:r>
      </m:oMath>
      <w:r>
        <w:t xml:space="preserve">). Target sectors comprise the industries involved in the extraction, cultivation, and processing of agricultural and bio-based products whose embodied water stress we seek to decompose. In this study, we defined seven target-sector families containing 43 individual GLORIA sectors: crop production, livestock, food processing, textiles, biomass-based products, biochemicals, and plastics. Across all 164 GLORIA regions, this yields </w:t>
      </w:r>
      <m:oMath>
        <m:r>
          <w:rPr>
            <w:rFonts w:ascii="Cambria Math" w:hAnsi="Cambria Math"/>
          </w:rPr>
          <m:t>43</m:t>
        </m:r>
        <m:r>
          <m:rPr>
            <m:sty m:val="p"/>
          </m:rPr>
          <w:rPr>
            <w:rFonts w:ascii="Cambria Math" w:hAnsi="Cambria Math"/>
          </w:rPr>
          <m:t>×</m:t>
        </m:r>
        <m:r>
          <w:rPr>
            <w:rFonts w:ascii="Cambria Math" w:hAnsi="Cambria Math"/>
          </w:rPr>
          <m:t>164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052</m:t>
        </m:r>
      </m:oMath>
      <w:r>
        <w:t xml:space="preserve"> target-sector–region combinations, while the remaining 77 sectors across 164 regions form the non-target economy.</w:t>
      </w:r>
    </w:p>
    <w:p w14:paraId="1A5FE5FC" w14:textId="77777777" w:rsidR="00E824FA" w:rsidRDefault="00000000">
      <w:pPr>
        <w:pStyle w:val="NormalWeb"/>
      </w:pPr>
      <w:r>
        <w:t>This partition induces a block structure on the technical coefficient matrix:</w:t>
      </w:r>
    </w:p>
    <w:p w14:paraId="6C06AF10" w14:textId="77777777" w:rsidR="00E824FA" w:rsidRDefault="00000000">
      <w:pPr>
        <w:pStyle w:val="NormalWeb"/>
      </w:pPr>
      <m:oMathPara>
        <m:oMathParaPr>
          <m:jc m:val="center"/>
        </m:oMathParaPr>
        <m:oMath>
          <m:r>
            <m:rPr>
              <m:sty m:val="b"/>
            </m:rP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A</m:t>
                        </m:r>
                      </m:e>
                      <m:sub>
                        <m:r>
                          <w:rPr>
                            <w:rFonts w:ascii="Cambria Math" w:hAnsi="Cambria Math"/>
                          </w:rPr>
                          <m:t>TT</m:t>
                        </m:r>
                      </m:sub>
                    </m:sSub>
                  </m:e>
                  <m:e>
                    <m:sSub>
                      <m:sSubPr>
                        <m:ctrlPr>
                          <w:rPr>
                            <w:rFonts w:ascii="Cambria Math" w:hAnsi="Cambria Math"/>
                          </w:rPr>
                        </m:ctrlPr>
                      </m:sSubPr>
                      <m:e>
                        <m:r>
                          <m:rPr>
                            <m:sty m:val="b"/>
                          </m:rPr>
                          <w:rPr>
                            <w:rFonts w:ascii="Cambria Math" w:hAnsi="Cambria Math"/>
                          </w:rPr>
                          <m:t>A</m:t>
                        </m:r>
                      </m:e>
                      <m:sub>
                        <m:r>
                          <w:rPr>
                            <w:rFonts w:ascii="Cambria Math" w:hAnsi="Cambria Math"/>
                          </w:rPr>
                          <m:t>TO</m:t>
                        </m:r>
                      </m:sub>
                    </m:sSub>
                  </m:e>
                </m:mr>
                <m:mr>
                  <m:e>
                    <m:sSub>
                      <m:sSubPr>
                        <m:ctrlPr>
                          <w:rPr>
                            <w:rFonts w:ascii="Cambria Math" w:hAnsi="Cambria Math"/>
                          </w:rPr>
                        </m:ctrlPr>
                      </m:sSubPr>
                      <m:e>
                        <m:r>
                          <m:rPr>
                            <m:sty m:val="b"/>
                          </m:rPr>
                          <w:rPr>
                            <w:rFonts w:ascii="Cambria Math" w:hAnsi="Cambria Math"/>
                          </w:rPr>
                          <m:t>A</m:t>
                        </m:r>
                      </m:e>
                      <m:sub>
                        <m:r>
                          <w:rPr>
                            <w:rFonts w:ascii="Cambria Math" w:hAnsi="Cambria Math"/>
                          </w:rPr>
                          <m:t>OT</m:t>
                        </m:r>
                      </m:sub>
                    </m:sSub>
                  </m:e>
                  <m:e>
                    <m:sSub>
                      <m:sSubPr>
                        <m:ctrlPr>
                          <w:rPr>
                            <w:rFonts w:ascii="Cambria Math" w:hAnsi="Cambria Math"/>
                          </w:rPr>
                        </m:ctrlPr>
                      </m:sSubPr>
                      <m:e>
                        <m:r>
                          <m:rPr>
                            <m:sty m:val="b"/>
                          </m:rPr>
                          <w:rPr>
                            <w:rFonts w:ascii="Cambria Math" w:hAnsi="Cambria Math"/>
                          </w:rPr>
                          <m:t>A</m:t>
                        </m:r>
                      </m:e>
                      <m:sub>
                        <m:r>
                          <w:rPr>
                            <w:rFonts w:ascii="Cambria Math" w:hAnsi="Cambria Math"/>
                          </w:rPr>
                          <m:t>OO</m:t>
                        </m:r>
                      </m:sub>
                    </m:sSub>
                  </m:e>
                </m:mr>
              </m:m>
            </m:e>
          </m:d>
          <m:r>
            <m:rPr>
              <m:sty m:val="p"/>
            </m:rPr>
            <w:rPr>
              <w:rFonts w:ascii="Cambria Math" w:hAnsi="Cambria Math"/>
            </w:rPr>
            <m:t>,</m:t>
          </m:r>
        </m:oMath>
      </m:oMathPara>
    </w:p>
    <w:p w14:paraId="5776F3B2" w14:textId="77777777" w:rsidR="00E824FA" w:rsidRDefault="00000000">
      <w:pPr>
        <w:pStyle w:val="NormalWeb"/>
      </w:pPr>
      <w:r>
        <w:t xml:space="preserve">where </w:t>
      </w:r>
      <m:oMath>
        <m:sSub>
          <m:sSubPr>
            <m:ctrlPr>
              <w:rPr>
                <w:rFonts w:ascii="Cambria Math" w:hAnsi="Cambria Math"/>
              </w:rPr>
            </m:ctrlPr>
          </m:sSubPr>
          <m:e>
            <m:r>
              <m:rPr>
                <m:sty m:val="b"/>
              </m:rPr>
              <w:rPr>
                <w:rFonts w:ascii="Cambria Math" w:hAnsi="Cambria Math"/>
              </w:rPr>
              <m:t>A</m:t>
            </m:r>
          </m:e>
          <m:sub>
            <m:r>
              <w:rPr>
                <w:rFonts w:ascii="Cambria Math" w:hAnsi="Cambria Math"/>
              </w:rPr>
              <m:t>OO</m:t>
            </m:r>
          </m:sub>
        </m:sSub>
      </m:oMath>
      <w:r>
        <w:t xml:space="preserve"> contains transactions among non-target sectors only. The corresponding non-target Leontief inverse is</w:t>
      </w:r>
    </w:p>
    <w:p w14:paraId="096FC950" w14:textId="77777777" w:rsidR="00E824FA" w:rsidRDefault="00000000">
      <w:pPr>
        <w:pStyle w:val="NormalWeb"/>
      </w:pPr>
      <m:oMathPara>
        <m:oMathParaPr>
          <m:jc m:val="center"/>
        </m:oMathParaPr>
        <m:oMath>
          <m:sSub>
            <m:sSubPr>
              <m:ctrlPr>
                <w:rPr>
                  <w:rFonts w:ascii="Cambria Math" w:hAnsi="Cambria Math"/>
                </w:rPr>
              </m:ctrlPr>
            </m:sSubPr>
            <m:e>
              <m:r>
                <m:rPr>
                  <m:sty m:val="b"/>
                </m:rPr>
                <w:rPr>
                  <w:rFonts w:ascii="Cambria Math" w:hAnsi="Cambria Math"/>
                </w:rPr>
                <m:t>L</m:t>
              </m:r>
            </m:e>
            <m:sub>
              <m:r>
                <w:rPr>
                  <w:rFonts w:ascii="Cambria Math" w:hAnsi="Cambria Math"/>
                </w:rPr>
                <m:t>OO</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b"/>
                    </m:rP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OO</m:t>
                      </m:r>
                    </m:sub>
                  </m:sSub>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208AA6C8" w14:textId="77777777" w:rsidR="00E824FA" w:rsidRDefault="00000000">
      <w:pPr>
        <w:pStyle w:val="NormalWeb"/>
      </w:pPr>
      <w:r>
        <w:t>This matrix captures inter-industry multiplier effects within the non-target economy only and is the key mechanism that prevents double counting in the indirect attribution step.</w:t>
      </w:r>
    </w:p>
    <w:p w14:paraId="022CFA49" w14:textId="77777777" w:rsidR="00E824FA" w:rsidRPr="00466348" w:rsidRDefault="00000000" w:rsidP="00466348">
      <w:pPr>
        <w:spacing w:before="100" w:beforeAutospacing="1" w:after="100" w:afterAutospacing="1"/>
        <w:outlineLvl w:val="2"/>
        <w:rPr>
          <w:b/>
          <w:bCs/>
          <w:sz w:val="27"/>
          <w:szCs w:val="27"/>
        </w:rPr>
      </w:pPr>
      <w:r>
        <w:rPr>
          <w:b/>
          <w:bCs/>
          <w:sz w:val="27"/>
          <w:szCs w:val="27"/>
        </w:rPr>
        <w:t>S8.5 Double-counting-free decomposition of full supply chain impacts</w:t>
      </w:r>
    </w:p>
    <w:p w14:paraId="128A7BC5" w14:textId="77777777" w:rsidR="00E824FA" w:rsidRDefault="00000000">
      <w:pPr>
        <w:pStyle w:val="NormalWeb"/>
      </w:pPr>
      <w:r>
        <w:t>The calculation can be divided into the assessment of full supply chain impacts of both direct and indirect demand for target-sector outputs.</w:t>
      </w:r>
    </w:p>
    <w:p w14:paraId="65BADF5A" w14:textId="77777777" w:rsidR="00E824FA" w:rsidRPr="00466348" w:rsidRDefault="00000000" w:rsidP="00466348">
      <w:pPr>
        <w:pStyle w:val="Heading2"/>
        <w:rPr>
          <w:sz w:val="24"/>
          <w:szCs w:val="24"/>
        </w:rPr>
      </w:pPr>
      <w:r>
        <w:rPr>
          <w:sz w:val="24"/>
          <w:szCs w:val="24"/>
        </w:rPr>
        <w:t>S8.5.1 Direct demand for target-attributed impact</w:t>
      </w:r>
    </w:p>
    <w:p w14:paraId="4D1765AC" w14:textId="77777777" w:rsidR="00E824FA" w:rsidRDefault="00000000">
      <w:pPr>
        <w:pStyle w:val="NormalWeb"/>
      </w:pPr>
      <w:r>
        <w:lastRenderedPageBreak/>
        <w:t xml:space="preserve">The direct demand component captures all crop water stress in the production system that is required to produce the output of target sector </w:t>
      </w:r>
      <m:oMath>
        <m:r>
          <w:rPr>
            <w:rFonts w:ascii="Cambria Math" w:hAnsi="Cambria Math"/>
          </w:rPr>
          <m:t>t</m:t>
        </m:r>
      </m:oMath>
      <w:r>
        <w:t xml:space="preserve"> which is directly consumed by final-demand region </w:t>
      </w:r>
      <m:oMath>
        <m:r>
          <w:rPr>
            <w:rFonts w:ascii="Cambria Math" w:hAnsi="Cambria Math"/>
          </w:rPr>
          <m:t>k</m:t>
        </m:r>
      </m:oMath>
      <w:r>
        <w:t xml:space="preserve"> (e.g., food via retail). Formally, the direct demand for target-attributed impact can be expressed as</w:t>
      </w:r>
    </w:p>
    <w:p w14:paraId="15A4597E" w14:textId="77777777" w:rsidR="00E824FA" w:rsidRDefault="00000000">
      <w:pPr>
        <w:pStyle w:val="NormalWeb"/>
      </w:pPr>
      <m:oMathPara>
        <m:oMathParaPr>
          <m:jc m:val="center"/>
        </m:oMathParaPr>
        <m:oMath>
          <m:sSubSup>
            <m:sSubSupPr>
              <m:ctrlPr>
                <w:rPr>
                  <w:rFonts w:ascii="Cambria Math" w:hAnsi="Cambria Math"/>
                </w:rPr>
              </m:ctrlPr>
            </m:sSubSupPr>
            <m:e>
              <m:r>
                <m:rPr>
                  <m:sty m:val="b"/>
                </m:rPr>
                <w:rPr>
                  <w:rFonts w:ascii="Cambria Math" w:hAnsi="Cambria Math"/>
                </w:rPr>
                <m:t>E</m:t>
              </m:r>
            </m:e>
            <m:sub>
              <m:d>
                <m:dPr>
                  <m:ctrlPr>
                    <w:rPr>
                      <w:rFonts w:ascii="Cambria Math" w:hAnsi="Cambria Math"/>
                    </w:rPr>
                  </m:ctrlPr>
                </m:dPr>
                <m:e>
                  <m:r>
                    <w:rPr>
                      <w:rFonts w:ascii="Cambria Math" w:hAnsi="Cambria Math"/>
                    </w:rPr>
                    <m:t>k</m:t>
                  </m:r>
                </m:e>
              </m:d>
            </m:sub>
            <m:sup>
              <m:r>
                <m:rPr>
                  <m:sty m:val="p"/>
                </m:rPr>
                <w:rPr>
                  <w:rFonts w:ascii="Cambria Math" w:hAnsi="Cambria Math"/>
                </w:rPr>
                <m:t>direct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d>
                <m:dPr>
                  <m:ctrlPr>
                    <w:rPr>
                      <w:rFonts w:ascii="Cambria Math" w:hAnsi="Cambria Math"/>
                    </w:rPr>
                  </m:ctrlPr>
                </m:dPr>
                <m:e>
                  <m:r>
                    <w:rPr>
                      <w:rFonts w:ascii="Cambria Math" w:hAnsi="Cambria Math"/>
                    </w:rPr>
                    <m:t>s</m:t>
                  </m:r>
                </m:e>
              </m:d>
            </m:sub>
          </m:sSub>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e>
              </m:d>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e>
              </m:d>
            </m:sub>
          </m:sSub>
          <m:r>
            <m:rPr>
              <m:sty m:val="p"/>
            </m:rPr>
            <w:rPr>
              <w:rFonts w:ascii="Cambria Math" w:hAnsi="Cambria Math"/>
            </w:rPr>
            <m:t>,</m:t>
          </m:r>
        </m:oMath>
      </m:oMathPara>
    </w:p>
    <w:p w14:paraId="5D0A00BA" w14:textId="77777777" w:rsidR="00E824FA" w:rsidRDefault="00000000">
      <w:pPr>
        <w:pStyle w:val="NormalWeb"/>
      </w:pPr>
      <w:r>
        <w:t xml:space="preserve">where </w:t>
      </w:r>
      <m:oMath>
        <m:d>
          <m:dPr>
            <m:ctrlPr>
              <w:rPr>
                <w:rFonts w:ascii="Cambria Math" w:hAnsi="Cambria Math"/>
              </w:rPr>
            </m:ctrlPr>
          </m:dPr>
          <m:e>
            <m:r>
              <w:rPr>
                <w:rFonts w:ascii="Cambria Math" w:hAnsi="Cambria Math"/>
              </w:rPr>
              <m:t>s</m:t>
            </m:r>
          </m:e>
        </m:d>
      </m:oMath>
      <w:r>
        <w:t xml:space="preserve"> denotes the entire economy (all production sectors and regions) in which CWS physically occurs, and </w:t>
      </w:r>
      <m:oMath>
        <m:d>
          <m:dPr>
            <m:ctrlPr>
              <w:rPr>
                <w:rFonts w:ascii="Cambria Math" w:hAnsi="Cambria Math"/>
              </w:rPr>
            </m:ctrlPr>
          </m:dPr>
          <m:e>
            <m:r>
              <w:rPr>
                <w:rFonts w:ascii="Cambria Math" w:hAnsi="Cambria Math"/>
              </w:rPr>
              <m:t>t</m:t>
            </m:r>
            <m:r>
              <m:rPr>
                <m:sty m:val="p"/>
              </m:rPr>
              <w:rPr>
                <w:rFonts w:ascii="Cambria Math" w:hAnsi="Cambria Math"/>
              </w:rPr>
              <m:t>'</m:t>
            </m:r>
          </m:e>
        </m:d>
      </m:oMath>
      <w:r>
        <w:t xml:space="preserve"> refers to the target economy. The full Leontief inverse </w:t>
      </w:r>
      <m:oMath>
        <m:r>
          <m:rPr>
            <m:sty m:val="b"/>
          </m:rPr>
          <w:rPr>
            <w:rFonts w:ascii="Cambria Math" w:hAnsi="Cambria Math"/>
          </w:rPr>
          <m:t>L</m:t>
        </m:r>
      </m:oMath>
      <w:r>
        <w:t xml:space="preserve"> is used, so this component includes both the target sector’s own CWS and all upstream requirements needed to produce its output.</w:t>
      </w:r>
    </w:p>
    <w:p w14:paraId="63CAC41F" w14:textId="77777777" w:rsidR="00E824FA" w:rsidRPr="00466348" w:rsidRDefault="00000000" w:rsidP="00466348">
      <w:pPr>
        <w:pStyle w:val="Heading2"/>
        <w:rPr>
          <w:sz w:val="24"/>
          <w:szCs w:val="24"/>
        </w:rPr>
      </w:pPr>
      <w:r>
        <w:rPr>
          <w:sz w:val="24"/>
          <w:szCs w:val="24"/>
        </w:rPr>
        <w:t>S8.5.2 Indirect demand for target-attributed impact</w:t>
      </w:r>
    </w:p>
    <w:p w14:paraId="74D2D052" w14:textId="77777777" w:rsidR="00E824FA" w:rsidRDefault="00000000">
      <w:pPr>
        <w:pStyle w:val="NormalWeb"/>
      </w:pPr>
      <w:r>
        <w:t xml:space="preserve">The indirect demand component captures crop water stress related to target sectors </w:t>
      </w:r>
      <m:oMath>
        <m:r>
          <w:rPr>
            <w:rFonts w:ascii="Cambria Math" w:hAnsi="Cambria Math"/>
          </w:rPr>
          <m:t>t</m:t>
        </m:r>
      </m:oMath>
      <w:r>
        <w:t xml:space="preserve"> that supply non-target sectors before reaching final demand (e.g., food consumed via restaurants and canteens, biofuels used in transportation, textiles in construction). This can be written as</w:t>
      </w:r>
    </w:p>
    <w:p w14:paraId="568ECBAE" w14:textId="77777777" w:rsidR="00E824FA" w:rsidRDefault="00000000">
      <w:pPr>
        <w:pStyle w:val="NormalWeb"/>
      </w:pPr>
      <m:oMathPara>
        <m:oMathParaPr>
          <m:jc m:val="center"/>
        </m:oMathParaPr>
        <m:oMath>
          <m:sSubSup>
            <m:sSubSupPr>
              <m:ctrlPr>
                <w:rPr>
                  <w:rFonts w:ascii="Cambria Math" w:hAnsi="Cambria Math"/>
                </w:rPr>
              </m:ctrlPr>
            </m:sSubSupPr>
            <m:e>
              <m:r>
                <m:rPr>
                  <m:sty m:val="b"/>
                </m:rPr>
                <w:rPr>
                  <w:rFonts w:ascii="Cambria Math" w:hAnsi="Cambria Math"/>
                </w:rPr>
                <m:t>E</m:t>
              </m:r>
            </m:e>
            <m:sub>
              <m:d>
                <m:dPr>
                  <m:ctrlPr>
                    <w:rPr>
                      <w:rFonts w:ascii="Cambria Math" w:hAnsi="Cambria Math"/>
                    </w:rPr>
                  </m:ctrlPr>
                </m:dPr>
                <m:e>
                  <m:r>
                    <w:rPr>
                      <w:rFonts w:ascii="Cambria Math" w:hAnsi="Cambria Math"/>
                    </w:rPr>
                    <m:t>k</m:t>
                  </m:r>
                </m:e>
              </m:d>
            </m:sub>
            <m:sup>
              <m:r>
                <m:rPr>
                  <m:sty m:val="p"/>
                </m:rPr>
                <w:rPr>
                  <w:rFonts w:ascii="Cambria Math" w:hAnsi="Cambria Math"/>
                </w:rPr>
                <m:t>indirect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d>
                <m:dPr>
                  <m:ctrlPr>
                    <w:rPr>
                      <w:rFonts w:ascii="Cambria Math" w:hAnsi="Cambria Math"/>
                    </w:rPr>
                  </m:ctrlPr>
                </m:dPr>
                <m:e>
                  <m:r>
                    <w:rPr>
                      <w:rFonts w:ascii="Cambria Math" w:hAnsi="Cambria Math"/>
                    </w:rPr>
                    <m:t>s</m:t>
                  </m:r>
                </m:e>
              </m:d>
            </m:sub>
          </m:sSub>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e>
              </m:d>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O</m:t>
                  </m:r>
                </m:e>
              </m:d>
            </m:sub>
          </m:sSub>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w:rPr>
                  <w:rFonts w:ascii="Cambria Math" w:hAnsi="Cambria Math"/>
                </w:rPr>
                <m:t>OO</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k</m:t>
                  </m:r>
                </m:e>
              </m:d>
            </m:sub>
          </m:sSub>
          <m:r>
            <m:rPr>
              <m:sty m:val="p"/>
            </m:rPr>
            <w:rPr>
              <w:rFonts w:ascii="Cambria Math" w:hAnsi="Cambria Math"/>
            </w:rPr>
            <m:t>,</m:t>
          </m:r>
        </m:oMath>
      </m:oMathPara>
    </w:p>
    <w:p w14:paraId="3F28AFA6" w14:textId="77777777" w:rsidR="00E824FA" w:rsidRDefault="00000000">
      <w:pPr>
        <w:pStyle w:val="NormalWeb"/>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indexes the non-target final-supply sector through which the flow continues. Again, the environmental intensity (</w:t>
      </w:r>
      <m:oMath>
        <m:r>
          <m:rPr>
            <m:sty m:val="b"/>
          </m:rPr>
          <w:rPr>
            <w:rFonts w:ascii="Cambria Math" w:hAnsi="Cambria Math"/>
          </w:rPr>
          <m:t>d</m:t>
        </m:r>
      </m:oMath>
      <w:r>
        <w:t xml:space="preserve">) is multiplied with the Leontief inverse </w:t>
      </w:r>
      <m:oMath>
        <m:r>
          <m:rPr>
            <m:sty m:val="b"/>
          </m:rPr>
          <w:rPr>
            <w:rFonts w:ascii="Cambria Math" w:hAnsi="Cambria Math"/>
          </w:rPr>
          <m:t>L</m:t>
        </m:r>
      </m:oMath>
      <w:r>
        <w:t xml:space="preserve"> to assess the full supply chain impacts (own and upstream) of the target economy, but multiplied with the indirect demand for the target economy. This indirect demand is the product of the direct input of the target economy into the non-target economy (</w:t>
      </w:r>
      <m:oMath>
        <m:sSub>
          <m:sSubPr>
            <m:ctrlPr>
              <w:rPr>
                <w:rFonts w:ascii="Cambria Math" w:hAnsi="Cambria Math"/>
              </w:rPr>
            </m:ctrlPr>
          </m:sSubPr>
          <m:e>
            <m:r>
              <m:rPr>
                <m:sty m:val="b"/>
              </m:rPr>
              <w:rPr>
                <w:rFonts w:ascii="Cambria Math" w:hAnsi="Cambria Math"/>
              </w:rPr>
              <m:t>A</m:t>
            </m:r>
          </m:e>
          <m:sub>
            <m:r>
              <w:rPr>
                <w:rFonts w:ascii="Cambria Math" w:hAnsi="Cambria Math"/>
              </w:rPr>
              <m:t>TO</m:t>
            </m:r>
          </m:sub>
        </m:sSub>
      </m:oMath>
      <w:r>
        <w:t>), the Leontief inverse of the non-target economy (</w:t>
      </w:r>
      <m:oMath>
        <m:sSub>
          <m:sSubPr>
            <m:ctrlPr>
              <w:rPr>
                <w:rFonts w:ascii="Cambria Math" w:hAnsi="Cambria Math"/>
              </w:rPr>
            </m:ctrlPr>
          </m:sSubPr>
          <m:e>
            <m:r>
              <m:rPr>
                <m:sty m:val="b"/>
              </m:rPr>
              <w:rPr>
                <w:rFonts w:ascii="Cambria Math" w:hAnsi="Cambria Math"/>
              </w:rPr>
              <m:t>L</m:t>
            </m:r>
          </m:e>
          <m:sub>
            <m:r>
              <w:rPr>
                <w:rFonts w:ascii="Cambria Math" w:hAnsi="Cambria Math"/>
              </w:rPr>
              <m:t>OO</m:t>
            </m:r>
          </m:sub>
        </m:sSub>
      </m:oMath>
      <w:r>
        <w:t>), and the final demand for outputs of the non-target economy (</w:t>
      </w:r>
      <m:oMath>
        <m:sSub>
          <m:sSubPr>
            <m:ctrlPr>
              <w:rPr>
                <w:rFonts w:ascii="Cambria Math" w:hAnsi="Cambria Math"/>
              </w:rPr>
            </m:ctrlPr>
          </m:sSubPr>
          <m:e>
            <m:r>
              <m:rPr>
                <m:sty m:val="b"/>
              </m:rPr>
              <w:rPr>
                <w:rFonts w:ascii="Cambria Math" w:hAnsi="Cambria Math"/>
              </w:rPr>
              <m:t>Y</m:t>
            </m:r>
          </m:e>
          <m:sub>
            <m:r>
              <w:rPr>
                <w:rFonts w:ascii="Cambria Math" w:hAnsi="Cambria Math"/>
              </w:rPr>
              <m:t>O</m:t>
            </m:r>
          </m:sub>
        </m:sSub>
      </m:oMath>
      <w:r>
        <w:t xml:space="preserve">). The defining feature of this term is the use of </w:t>
      </w:r>
      <m:oMath>
        <m:sSub>
          <m:sSubPr>
            <m:ctrlPr>
              <w:rPr>
                <w:rFonts w:ascii="Cambria Math" w:hAnsi="Cambria Math"/>
              </w:rPr>
            </m:ctrlPr>
          </m:sSubPr>
          <m:e>
            <m:r>
              <m:rPr>
                <m:sty m:val="b"/>
              </m:rPr>
              <w:rPr>
                <w:rFonts w:ascii="Cambria Math" w:hAnsi="Cambria Math"/>
              </w:rPr>
              <m:t>A</m:t>
            </m:r>
          </m:e>
          <m:sub>
            <m:r>
              <w:rPr>
                <w:rFonts w:ascii="Cambria Math" w:hAnsi="Cambria Math"/>
              </w:rPr>
              <m:t>TO</m:t>
            </m:r>
          </m:sub>
        </m:sSub>
      </m:oMath>
      <w:r>
        <w:t xml:space="preserve"> and </w:t>
      </w:r>
      <m:oMath>
        <m:sSub>
          <m:sSubPr>
            <m:ctrlPr>
              <w:rPr>
                <w:rFonts w:ascii="Cambria Math" w:hAnsi="Cambria Math"/>
              </w:rPr>
            </m:ctrlPr>
          </m:sSubPr>
          <m:e>
            <m:r>
              <m:rPr>
                <m:sty m:val="b"/>
              </m:rPr>
              <w:rPr>
                <w:rFonts w:ascii="Cambria Math" w:hAnsi="Cambria Math"/>
              </w:rPr>
              <m:t>L</m:t>
            </m:r>
          </m:e>
          <m:sub>
            <m:r>
              <w:rPr>
                <w:rFonts w:ascii="Cambria Math" w:hAnsi="Cambria Math"/>
              </w:rPr>
              <m:t>OO</m:t>
            </m:r>
          </m:sub>
        </m:sSub>
      </m:oMath>
      <w:r>
        <w:t xml:space="preserve"> rather than the single full </w:t>
      </w:r>
      <m:oMath>
        <m:r>
          <m:rPr>
            <m:sty m:val="b"/>
          </m:rPr>
          <w:rPr>
            <w:rFonts w:ascii="Cambria Math" w:hAnsi="Cambria Math"/>
          </w:rPr>
          <m:t>L</m:t>
        </m:r>
      </m:oMath>
      <w:r>
        <w:t>: once a pathway leaves the target economy (</w:t>
      </w:r>
      <m:oMath>
        <m:sSub>
          <m:sSubPr>
            <m:ctrlPr>
              <w:rPr>
                <w:rFonts w:ascii="Cambria Math" w:hAnsi="Cambria Math"/>
              </w:rPr>
            </m:ctrlPr>
          </m:sSubPr>
          <m:e>
            <m:r>
              <m:rPr>
                <m:sty m:val="b"/>
              </m:rPr>
              <w:rPr>
                <w:rFonts w:ascii="Cambria Math" w:hAnsi="Cambria Math"/>
              </w:rPr>
              <m:t>A</m:t>
            </m:r>
          </m:e>
          <m:sub>
            <m:r>
              <w:rPr>
                <w:rFonts w:ascii="Cambria Math" w:hAnsi="Cambria Math"/>
              </w:rPr>
              <m:t>TO</m:t>
            </m:r>
          </m:sub>
        </m:sSub>
      </m:oMath>
      <w:r>
        <w:t>), it is traced only through non-target sectors (</w:t>
      </w:r>
      <m:oMath>
        <m:sSub>
          <m:sSubPr>
            <m:ctrlPr>
              <w:rPr>
                <w:rFonts w:ascii="Cambria Math" w:hAnsi="Cambria Math"/>
              </w:rPr>
            </m:ctrlPr>
          </m:sSubPr>
          <m:e>
            <m:r>
              <m:rPr>
                <m:sty m:val="b"/>
              </m:rPr>
              <w:rPr>
                <w:rFonts w:ascii="Cambria Math" w:hAnsi="Cambria Math"/>
              </w:rPr>
              <m:t>L</m:t>
            </m:r>
          </m:e>
          <m:sub>
            <m:r>
              <w:rPr>
                <w:rFonts w:ascii="Cambria Math" w:hAnsi="Cambria Math"/>
              </w:rPr>
              <m:t>OO</m:t>
            </m:r>
          </m:sub>
        </m:sSub>
      </m:oMath>
      <w:r>
        <w:t>). Any path that would re-enter another target sector is excluded from the indirect component and instead attributed to that target sector’s own direct component to prevent double counting.</w:t>
      </w:r>
    </w:p>
    <w:p w14:paraId="055F548E" w14:textId="662B0D72" w:rsidR="00E824FA" w:rsidRPr="00466348" w:rsidRDefault="00000000" w:rsidP="00466348">
      <w:pPr>
        <w:pStyle w:val="Heading2"/>
        <w:rPr>
          <w:sz w:val="24"/>
          <w:szCs w:val="24"/>
        </w:rPr>
      </w:pPr>
      <w:r>
        <w:rPr>
          <w:sz w:val="24"/>
          <w:szCs w:val="24"/>
        </w:rPr>
        <w:t>S8.5.</w:t>
      </w:r>
      <w:r>
        <w:rPr>
          <w:rFonts w:hint="eastAsia"/>
          <w:sz w:val="24"/>
          <w:szCs w:val="24"/>
        </w:rPr>
        <w:t>3</w:t>
      </w:r>
      <w:r>
        <w:rPr>
          <w:sz w:val="24"/>
          <w:szCs w:val="24"/>
        </w:rPr>
        <w:t xml:space="preserve"> Mass balance verification</w:t>
      </w:r>
    </w:p>
    <w:p w14:paraId="353B6CEE" w14:textId="19BCE685" w:rsidR="00E824FA" w:rsidRDefault="00000000">
      <w:pPr>
        <w:pStyle w:val="NormalWeb"/>
      </w:pPr>
      <w:r>
        <w:t>The decomposition satisfies mass balance in the sense that the sum of all direct</w:t>
      </w:r>
      <w:r>
        <w:rPr>
          <w:lang w:val="en-US"/>
        </w:rPr>
        <w:t xml:space="preserve"> and </w:t>
      </w:r>
      <w:r>
        <w:rPr>
          <w:rFonts w:hint="eastAsia"/>
        </w:rPr>
        <w:t>i</w:t>
      </w:r>
      <w:r>
        <w:t>ndirect components reproduces the standard Leontief total. This identity was verified for each year, with relative errors consistently below 0.1%, attributable to floating-point arithmetic.</w:t>
      </w:r>
    </w:p>
    <w:p w14:paraId="43CEB9C8" w14:textId="1DE168BB" w:rsidR="00E824FA" w:rsidRPr="00466348" w:rsidRDefault="00000000" w:rsidP="00466348">
      <w:pPr>
        <w:pStyle w:val="Heading2"/>
        <w:rPr>
          <w:sz w:val="24"/>
          <w:szCs w:val="24"/>
        </w:rPr>
      </w:pPr>
      <w:r>
        <w:rPr>
          <w:sz w:val="24"/>
          <w:szCs w:val="24"/>
        </w:rPr>
        <w:t>S8.5.</w:t>
      </w:r>
      <w:r>
        <w:rPr>
          <w:rFonts w:hint="eastAsia"/>
          <w:sz w:val="24"/>
          <w:szCs w:val="24"/>
        </w:rPr>
        <w:t>4</w:t>
      </w:r>
      <w:r>
        <w:rPr>
          <w:sz w:val="24"/>
          <w:szCs w:val="24"/>
        </w:rPr>
        <w:t xml:space="preserve"> Why double counting is eliminated</w:t>
      </w:r>
    </w:p>
    <w:p w14:paraId="6CBA06E5" w14:textId="77777777" w:rsidR="00E824FA" w:rsidRDefault="00000000">
      <w:pPr>
        <w:pStyle w:val="NormalWeb"/>
      </w:pPr>
      <w:r>
        <w:t>The logic can be illustrated with a simple example. If oil crops are used to feed animals and produce meat, impacts related to these crops are allocated to the meat sector, but not counted in the oil crops sector. This is done in the calculations above by multiplying the supply chain impacts of oil crops only with the output of those oil crops that do not supply the meat sector, as the meat sector already includes these impacts in the upstream supply chain — both for direct (e.g., via retail) and indirect consumption (e.g., via restaurants).</w:t>
      </w:r>
    </w:p>
    <w:p w14:paraId="37A765D8" w14:textId="77777777" w:rsidR="00E824FA" w:rsidRPr="00466348" w:rsidRDefault="00000000" w:rsidP="00466348">
      <w:pPr>
        <w:spacing w:before="100" w:beforeAutospacing="1" w:after="100" w:afterAutospacing="1"/>
        <w:outlineLvl w:val="2"/>
        <w:rPr>
          <w:b/>
          <w:bCs/>
          <w:sz w:val="27"/>
          <w:szCs w:val="27"/>
        </w:rPr>
      </w:pPr>
      <w:r>
        <w:rPr>
          <w:b/>
          <w:bCs/>
          <w:sz w:val="27"/>
          <w:szCs w:val="27"/>
        </w:rPr>
        <w:t>S8.6 Multi-dimensional impact array</w:t>
      </w:r>
    </w:p>
    <w:p w14:paraId="2BFAE377" w14:textId="4C13D44A" w:rsidR="00E824FA" w:rsidRDefault="00000000">
      <w:pPr>
        <w:pStyle w:val="NormalWeb"/>
      </w:pPr>
      <w:r>
        <w:lastRenderedPageBreak/>
        <w:t xml:space="preserve">For each year from 1995 to 2024, we constructed a six-dimensional impact array with dimensions </w:t>
      </w:r>
      <m:oMath>
        <m:r>
          <w:rPr>
            <w:rFonts w:ascii="Cambria Math" w:hAnsi="Cambria Math"/>
          </w:rPr>
          <m:t>164</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43</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164</m:t>
        </m:r>
        <m:r>
          <m:rPr>
            <m:sty m:val="p"/>
          </m:rPr>
          <w:rPr>
            <w:rFonts w:ascii="Cambria Math" w:hAnsi="Cambria Math"/>
          </w:rPr>
          <m:t>×</m:t>
        </m:r>
        <m:r>
          <w:rPr>
            <w:rFonts w:ascii="Cambria Math" w:hAnsi="Cambria Math"/>
          </w:rPr>
          <m:t>2</m:t>
        </m:r>
      </m:oMath>
      <w:r>
        <w:t>. The first dimension represents the producing regions in which crop water stress physically occurs. The second dimension corresponds to the producing sectors responsible for that stress.</w:t>
      </w:r>
      <w:r>
        <w:rPr>
          <w:lang w:val="en-US"/>
        </w:rPr>
        <w:t xml:space="preserve"> Although the full 120-sector GLORIA classification is used in the Leontief computation, only the 20 agricultural sectors (sectors 0–19) carry non-zero crop water stress in the extended satellite; the remaining 100 sectors are structurally zero in this dimension.</w:t>
      </w:r>
      <w:r>
        <w:rPr>
          <w:rFonts w:hint="eastAsia"/>
        </w:rPr>
        <w:t xml:space="preserve"> </w:t>
      </w:r>
      <w:r>
        <w:t>The third dimension represents the 43 target sectors through which the stress is uniquely attributed in the double-counting-free framework. The fourth dimension records the final-supply sectors through which flows reach final demand. The fifth dimension corresponds to the final-demand regions in which consumption occurs. The sixth dimension distinguishes direct and indirect demand of the attributed impact (e.g., for food this would be retail vs restaurants and canteens).</w:t>
      </w:r>
    </w:p>
    <w:p w14:paraId="52F51775" w14:textId="77777777" w:rsidR="00E824FA" w:rsidRDefault="00000000">
      <w:pPr>
        <w:pStyle w:val="NormalWeb"/>
      </w:pPr>
      <w:r>
        <w:t>The intermediate perspective represented by the third dimension is based on the division of the global economy into a target economy and a non-target economy, as described in §S8.4. Specifically, we considered sectors involved in crop production, livestock, food processing, textiles, biochemicals, bioplastics and other biomass-based products as target sectors. The allocation follows the principle that if crop outputs are used, for example, to produce meat, textiles, or bio-based chemicals, the associated crop water stress is allocated to either crops in the 2nd dimension (production sector) or to these produced goods in the 3rd dimension (target sector), which prevents double counting across overlapping supply chains.</w:t>
      </w:r>
    </w:p>
    <w:p w14:paraId="1F91CB6F" w14:textId="77777777" w:rsidR="00E824FA" w:rsidRDefault="00000000">
      <w:pPr>
        <w:pStyle w:val="NormalWeb"/>
      </w:pPr>
      <w:r>
        <w:t>This structure allows us to retain the full region-to-region and sector-to-sector detail of the underlying MRIO system while uniquely attributing each unit of crop water stress to one target-sector pathway. In essence, summing the six-dimensional impact array over all dimensions recovers the standard Leontief total implied by the extended satellite, while selected summations yield production-based, consumption-based, trade-based, and target-sector-based perspectives on the global irrigated crop water footprint.</w:t>
      </w:r>
    </w:p>
    <w:p w14:paraId="37361254" w14:textId="77777777" w:rsidR="00E824FA" w:rsidRPr="00466348" w:rsidRDefault="00000000" w:rsidP="00466348">
      <w:pPr>
        <w:spacing w:before="100" w:beforeAutospacing="1" w:after="100" w:afterAutospacing="1"/>
        <w:outlineLvl w:val="2"/>
        <w:rPr>
          <w:rFonts w:hint="eastAsia"/>
          <w:b/>
          <w:bCs/>
          <w:sz w:val="27"/>
          <w:szCs w:val="27"/>
        </w:rPr>
      </w:pPr>
      <w:r>
        <w:rPr>
          <w:b/>
          <w:bCs/>
          <w:sz w:val="27"/>
          <w:szCs w:val="27"/>
        </w:rPr>
        <w:t>S8.7 Reporting aggregations</w:t>
      </w:r>
    </w:p>
    <w:p w14:paraId="3069F26A" w14:textId="77777777" w:rsidR="00E824FA" w:rsidRDefault="00000000">
      <w:pPr>
        <w:pStyle w:val="NormalWeb"/>
      </w:pPr>
      <w:r>
        <w:t>For presentation in the main text, we applied two post hoc aggregations to the computed array: one along the target-sector dimension and one along the region dimensions. Neither aggregation affects the MRIO calculation itself; both are applied only after the impact array has been computed.</w:t>
      </w:r>
    </w:p>
    <w:p w14:paraId="6B859470" w14:textId="77777777" w:rsidR="00E824FA" w:rsidRDefault="00000000">
      <w:pPr>
        <w:pStyle w:val="NormalWeb"/>
      </w:pPr>
      <w:r>
        <w:rPr>
          <w:b/>
          <w:bCs/>
        </w:rPr>
        <w:t>Target-sector aggregation.</w:t>
      </w:r>
      <w:r>
        <w:t xml:space="preserve"> The 43 target sectors used in the partition (§S8.4) were aggregated into 12 reporting groups corresponding to broad end-use categories for agricultural and bio-based goods: Cereals, Rice, Vegetables, Fruits &amp; nuts, Oil products, Sugar &amp; chocolate, Beverages, Fibre &amp; textile, Meat &amp; fish, Dairy, Other agri-food products, and Biochemicals. This 43→12 crosswalk is distinct from, and finer than, the seven target families used in the MRIO partition (§S8.4); it is specific to the reporting step and is not used elsewhere in the calculation. The full correspondence between GLORIA sector index, partition family, and reporting group is given in Supplementary Table S8.1.</w:t>
      </w:r>
    </w:p>
    <w:p w14:paraId="7E9C74E9" w14:textId="77777777" w:rsidR="00E824FA" w:rsidRDefault="00000000">
      <w:pPr>
        <w:pStyle w:val="NormalWeb"/>
      </w:pPr>
      <w:r>
        <w:rPr>
          <w:b/>
          <w:bCs/>
        </w:rPr>
        <w:t>Region aggregation.</w:t>
      </w:r>
      <w:r>
        <w:t xml:space="preserve"> The 164 GLORIA regions were aggregated into 11 reporting groups for the producing-region and consuming-region dimensions. Six countries that each account for roughly 5% or more of global crop water stress, namely China, India, the United States, Egypt, Iran, and Pakistan, were reported separately. The remaining 158 regions were organised into five broader regional clusters: Europe, Sub-Saharan Africa, Other Middle East </w:t>
        <w:lastRenderedPageBreak/>
        <w:t>&amp; North Africa, Other America, and Other Asia-Pacific. The full 164-region to 11-group crosswalk is provided in Supplementary Table S8.2.</w:t>
      </w:r>
    </w:p>
    <w:p w14:paraId="533E01F5" w14:textId="77777777" w:rsidR="00E824FA" w:rsidRDefault="00000000">
      <w:pPr>
        <w:pStyle w:val="NormalWeb"/>
      </w:pPr>
      <w:r>
        <w:t>Summing the impact array over selected dimensions after applying these aggregations yields the production-based, consumption-based, trade-based, and target-sector-based footprints reported in the main text. Summing over all dimensions recovers the standard Leontief total for the extended satellite, as required by the mass-balance identity in §S8.5.4.</w:t>
      </w:r>
    </w:p>
    <w:p w14:paraId="0CDE02D4" w14:textId="77777777" w:rsidR="00E824FA" w:rsidRPr="00466348" w:rsidRDefault="00000000" w:rsidP="00466348">
      <w:pPr>
        <w:spacing w:before="100" w:beforeAutospacing="1" w:after="100" w:afterAutospacing="1"/>
        <w:outlineLvl w:val="2"/>
        <w:rPr>
          <w:b/>
          <w:bCs/>
          <w:sz w:val="27"/>
          <w:szCs w:val="27"/>
        </w:rPr>
      </w:pPr>
      <w:r>
        <w:rPr>
          <w:b/>
          <w:bCs/>
          <w:sz w:val="27"/>
          <w:szCs w:val="27"/>
        </w:rPr>
        <w:t>S8.8 Computational implementation</w:t>
      </w:r>
    </w:p>
    <w:p w14:paraId="3C1F24EE" w14:textId="77777777" w:rsidR="00E824FA" w:rsidRDefault="00000000">
      <w:pPr>
        <w:pStyle w:val="NormalWeb"/>
      </w:pPr>
      <w:r>
        <w:t>The GLORIA system (</w:t>
      </w:r>
      <m:oMath>
        <m:r>
          <w:rPr>
            <w:rFonts w:ascii="Cambria Math" w:hAnsi="Cambria Math"/>
          </w:rPr>
          <m:t>19</m:t>
        </m:r>
        <m:r>
          <m:rPr>
            <m:sty m:val="p"/>
          </m:rPr>
          <w:rPr>
            <w:rFonts w:ascii="Cambria Math" w:hAnsi="Cambria Math"/>
          </w:rPr>
          <m:t>,</m:t>
        </m:r>
        <m:r>
          <w:rPr>
            <w:rFonts w:ascii="Cambria Math" w:hAnsi="Cambria Math"/>
          </w:rPr>
          <m:t>680</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680</m:t>
        </m:r>
      </m:oMath>
      <w:r>
        <w:t>), together with 164 final-demand regions and 43 target sectors, poses substantial computational demands. Earlier implementations of the Cabernard [21] supply-chain attribution framework were developed in MATLAB and were highly effective for the aggregated applications for which they were originally designed. To keep those calculations computationally feasible, sectoral and regional aggregation was often introduced during the attribution procedure itself. As a consequence, those implementations were not intended to preserve the full region-to-region and sector-to-sector detail of the original MRIO system throughout the computation. Extending the framework to additional indicators or revised target-sector definitions also generally required manual code adjustments. In our own tests, computing a single indicator under this earlier workflow could take on the order of one month on an Apple M1 system.</w:t>
      </w:r>
    </w:p>
    <w:p w14:paraId="11D894DB" w14:textId="77777777" w:rsidR="00E824FA" w:rsidRDefault="00000000">
      <w:pPr>
        <w:pStyle w:val="NormalWeb"/>
      </w:pPr>
      <w:r>
        <w:t>We therefore implemented a vectorized, batched workflow that preserves the full region-by-region and sector-by-sector structure throughout the calculation and externalizes the attribution setup into a configurable parameter file. In the present implementation, new indicators and target-sector groupings can be specified directly in the configuration without rewriting the core code. On a 38-core HPC node, this workflow reduced runtime to approximately 17 minutes per year, compared with roughly 18 hours per year for a conventional direct implementation on the same hardware, while preserving numerical equivalence to the standard Leontief total within 0.1% relative error.</w:t>
      </w:r>
    </w:p>
    <w:p w14:paraId="3CD35998" w14:textId="77777777" w:rsidR="00E824FA" w:rsidRDefault="00000000">
      <w:pPr>
        <w:pStyle w:val="NormalWeb"/>
      </w:pPr>
      <w:r>
        <w:t xml:space="preserve">Three optimizations underlie this speed-up. First, sector-level aggregation loops were eliminated using reshape-based operations and pre-computed binary aggregation matrices, replacing large numbers of Python-level iterations with dense matrix multiplications handled by optimized BLAS routines. Second, the large matrix inversions for </w:t>
      </w:r>
      <m:oMath>
        <m:r>
          <m:rPr>
            <m:sty m:val="b"/>
          </m:rPr>
          <w:rPr>
            <w:rFonts w:ascii="Cambria Math" w:hAnsi="Cambria Math"/>
          </w:rPr>
          <m:t>L</m:t>
        </m:r>
      </m:oMath>
      <w:r>
        <w:t xml:space="preserve"> and </w:t>
      </w:r>
      <m:oMath>
        <m:sSub>
          <m:sSubPr>
            <m:ctrlPr>
              <w:rPr>
                <w:rFonts w:ascii="Cambria Math" w:hAnsi="Cambria Math"/>
              </w:rPr>
            </m:ctrlPr>
          </m:sSubPr>
          <m:e>
            <m:r>
              <m:rPr>
                <m:sty m:val="b"/>
              </m:rPr>
              <w:rPr>
                <w:rFonts w:ascii="Cambria Math" w:hAnsi="Cambria Math"/>
              </w:rPr>
              <m:t>L</m:t>
            </m:r>
          </m:e>
          <m:sub>
            <m:r>
              <w:rPr>
                <w:rFonts w:ascii="Cambria Math" w:hAnsi="Cambria Math"/>
              </w:rPr>
              <m:t>OO</m:t>
            </m:r>
          </m:sub>
        </m:sSub>
      </m:oMath>
      <w:r>
        <w:t xml:space="preserve"> were implemented through a single LU factorization followed by block back-substitution, rather than repeated solves. Third, the loop over 164 final-demand regions was eliminated by stacking all demand vectors into a single matrix and reordering the computation as a loop over final-supply sectors, each involving a smaller matrix multiplication batched across all demand regions simultaneously. A memory-optimized variant further reduced peak memory requirements to approximately 7 GB, allowing the framework to run on standard workstations with only moderate speed loss.</w:t>
      </w:r>
    </w:p>
    <w:p w14:paraId="1320F35D" w14:textId="77777777" w:rsidR="008E3763" w:rsidRDefault="008E3763" w:rsidP="008E3763">
      <w:pPr>
        <w:pStyle w:val="Heading2"/>
      </w:pPr>
      <w:r>
        <w:t>References</w:t>
      </w:r>
    </w:p>
    <w:p w14:paraId="7224F3C6" w14:textId="77777777" w:rsidR="008E3763" w:rsidRDefault="008E3763" w:rsidP="008E3763">
      <w:pPr>
        <w:pStyle w:val="NormalWeb"/>
      </w:pPr>
      <w:r>
        <w:t>[1] Muñoz-Sabater, J., Dutra, E., Agustí-Panareda, A. et al. ERA5-Land: a state-of-the-art global reanalysis dataset for land applications. Earth System Science Data 13, 4349–4383 (2021). https://doi.org/10.5194/essd-13-4349-2021.</w:t>
      </w:r>
    </w:p>
    <w:p w14:paraId="0EA8ED97" w14:textId="77777777" w:rsidR="008E3763" w:rsidRDefault="008E3763" w:rsidP="008E3763">
      <w:pPr>
        <w:pStyle w:val="NormalWeb"/>
      </w:pPr>
      <w:r>
        <w:lastRenderedPageBreak/>
        <w:t>[2] Didan, K. MOD13C2 MODIS/Terra Vegetation Indices Monthly L3 Global 0.05 Deg CMG V006. NASA EOSDIS Land Processes Distributed Active Archive Center (2015). https://doi.org/10.5067/MODIS/MOD13C2.006.</w:t>
      </w:r>
    </w:p>
    <w:p w14:paraId="01AF7AAC" w14:textId="77777777" w:rsidR="008E3763" w:rsidRDefault="008E3763" w:rsidP="008E3763">
      <w:pPr>
        <w:pStyle w:val="NormalWeb"/>
      </w:pPr>
      <w:r>
        <w:t>[3] Cammalleri, C., Barbosa, P. &amp; Vogt, J. V. Analysing the Relationship between Multiple-Timescale SPI and GRACE Terrestrial Water Storage in the Framework of Drought Monitoring. Water 11, 1672 (2019). European Drought Observatory, Copernicus Emergency Management Service. https://drought.emergency.copernicus.eu/.</w:t>
      </w:r>
    </w:p>
    <w:p w14:paraId="4401D088" w14:textId="77777777" w:rsidR="008E3763" w:rsidRDefault="008E3763" w:rsidP="008E3763">
      <w:pPr>
        <w:pStyle w:val="NormalWeb"/>
      </w:pPr>
      <w:r>
        <w:t>[4] Landerer, F. W. &amp; Swenson, S. C. Accuracy of scaled GRACE terrestrial water storage estimates. Water Resources Research 48, W04531 (2012). https://doi.org/10.1029/2011WR011453.</w:t>
      </w:r>
    </w:p>
    <w:p w14:paraId="14A9C628" w14:textId="77777777" w:rsidR="008E3763" w:rsidRDefault="008E3763" w:rsidP="008E3763">
      <w:pPr>
        <w:pStyle w:val="NormalWeb"/>
      </w:pPr>
      <w:r>
        <w:t>[5] ECMWF. Issue affecting ERA5-Land monthly averaged reanalysis for the period September 2022 to February 2024. ECMWF Copernicus Knowledge Base / User Forum (2024). https://forum.ecmwf.int/t/issue-affecting-era5-land-monthly-averaged-reanalysis-for-the-period-september-2022-to-february-2024/2370.</w:t>
      </w:r>
    </w:p>
    <w:p w14:paraId="5023A15B" w14:textId="77777777" w:rsidR="008E3763" w:rsidRDefault="008E3763" w:rsidP="008E3763">
      <w:pPr>
        <w:pStyle w:val="NormalWeb"/>
      </w:pPr>
      <w:r>
        <w:t>[6] Tang, F. H. M., Nguyen, T. H., Conchedda, G. et al. CROPGRIDS: a global geo-referenced dataset of 173 crops. Scientific Data 11, 413 (2024). https://doi.org/10.1038/s41597-024-03247-7.</w:t>
      </w:r>
    </w:p>
    <w:p w14:paraId="01F1FC13" w14:textId="77777777" w:rsidR="008E3763" w:rsidRDefault="008E3763" w:rsidP="008E3763">
      <w:pPr>
        <w:pStyle w:val="NormalWeb"/>
      </w:pPr>
      <w:r>
        <w:t>[7] Hurtt, G. C., Chini, L., Sahajpal, R. et al. Harmonization of global land use change and management for the period 850–2100 (LUH2) for CMIP6. Geoscientific Model Development 13, 5425–5464 (2020). https://doi.org/10.5194/gmd-13-5425-2020.</w:t>
      </w:r>
    </w:p>
    <w:p w14:paraId="3B601A7A" w14:textId="77777777" w:rsidR="008E3763" w:rsidRDefault="008E3763" w:rsidP="008E3763">
      <w:pPr>
        <w:pStyle w:val="NormalWeb"/>
      </w:pPr>
      <w:r>
        <w:t>[8] FAO. FAOSTAT statistical database. Food and Agriculture Organization of the United Nations (2024). https://www.fao.org/faostat/.</w:t>
      </w:r>
    </w:p>
    <w:p w14:paraId="70E48F4A" w14:textId="77777777" w:rsidR="008E3763" w:rsidRDefault="008E3763" w:rsidP="008E3763">
      <w:pPr>
        <w:pStyle w:val="NormalWeb"/>
      </w:pPr>
      <w:r>
        <w:t>[9] Jägermeyr, J., Müller, C., Ruane, A. C. et al. Climate impacts on global agriculture emerge earlier in new generation of climate and crop models. Nature Food 2, 873–885 (2021). https://doi.org/10.1038/s43016-021-00400-y.</w:t>
      </w:r>
    </w:p>
    <w:p w14:paraId="0B59F9FB" w14:textId="77777777" w:rsidR="008E3763" w:rsidRDefault="008E3763" w:rsidP="008E3763">
      <w:pPr>
        <w:pStyle w:val="NormalWeb"/>
      </w:pPr>
      <w:r>
        <w:t>[10] International Food Policy Research Institute (IFPRI). Global Spatially-Disaggregated Crop Production Statistics Data for 2020 Version 2.0 Release 2. Harvard Dataverse (2026). https://doi.org/10.7910/DVN/SWPENT.</w:t>
      </w:r>
    </w:p>
    <w:p w14:paraId="15D7BB79" w14:textId="77777777" w:rsidR="008E3763" w:rsidRDefault="008E3763" w:rsidP="008E3763">
      <w:pPr>
        <w:pStyle w:val="NormalWeb"/>
      </w:pPr>
      <w:r>
        <w:t>[11] Chen, T. &amp; Guestrin, C. XGBoost: A scalable tree boosting system. Proceedings of the 22nd ACM SIGKDD International Conference on Knowledge Discovery and Data Mining, 785–794 (2016). https://doi.org/10.1145/2939672.2939785.</w:t>
      </w:r>
    </w:p>
    <w:p w14:paraId="103FC7A8" w14:textId="77777777" w:rsidR="008E3763" w:rsidRDefault="008E3763" w:rsidP="008E3763">
      <w:pPr>
        <w:pStyle w:val="NormalWeb"/>
      </w:pPr>
      <w:r>
        <w:t>[12] Akiba, T., Sano, S., Yanase, T., Ohta, T. &amp; Koyama, M. Optuna: A next-generation hyperparameter optimization framework. Proceedings of the 25th ACM SIGKDD International Conference on Knowledge Discovery &amp; Data Mining, 2623–2631 (2019). https://doi.org/10.1145/3292500.3330701.</w:t>
      </w:r>
    </w:p>
    <w:p w14:paraId="79DB426F" w14:textId="77777777" w:rsidR="008E3763" w:rsidRDefault="008E3763" w:rsidP="008E3763">
      <w:pPr>
        <w:pStyle w:val="NormalWeb"/>
      </w:pPr>
      <w:r>
        <w:t>[13] Fischer, G., Nachtergaele, F., Prieler, S., van Velthuizen, H. T., Verelst, L. &amp; Wiberg, D. Global Agro-Ecological Zones Assessment for Agriculture (GAEZ 2008). IIASA, Laxenburg, Austria and FAO, Rome, Italy (2008).</w:t>
      </w:r>
    </w:p>
    <w:p w14:paraId="6B908453" w14:textId="77777777" w:rsidR="008E3763" w:rsidRDefault="008E3763" w:rsidP="008E3763">
      <w:pPr>
        <w:pStyle w:val="NormalWeb"/>
      </w:pPr>
      <w:r>
        <w:lastRenderedPageBreak/>
        <w:t>[14] Beck, H. E., Zimmermann, N. E., McVicar, T. R., Vergopolan, N., Berg, A. &amp; Wood, E. F. Present and future Köppen-Geiger climate classification maps at 1-km resolution. Scientific Data 5, 180214 (2018). https://doi.org/10.1038/sdata.2018.214.</w:t>
      </w:r>
    </w:p>
    <w:p w14:paraId="2231427D" w14:textId="77777777" w:rsidR="008E3763" w:rsidRDefault="008E3763" w:rsidP="008E3763">
      <w:pPr>
        <w:pStyle w:val="NormalWeb"/>
      </w:pPr>
      <w:r>
        <w:t>[15] Kling, H., Fuchs, M. &amp; Paulin, M. Runoff conditions in the upper Danube basin under an ensemble of climate change scenarios. Journal of Hydrology 424–425, 264–277 (2012). https://doi.org/10.1016/j.jhydrol.2012.01.011.</w:t>
      </w:r>
    </w:p>
    <w:p w14:paraId="56D08342" w14:textId="77777777" w:rsidR="008E3763" w:rsidRDefault="008E3763" w:rsidP="008E3763">
      <w:pPr>
        <w:pStyle w:val="NormalWeb"/>
      </w:pPr>
      <w:r>
        <w:t>[16] Gneiting, T. &amp; Raftery, A. E. Strictly proper scoring rules, prediction, and estimation. Journal of the American Statistical Association 102, 359–378 (2007). https://doi.org/10.1198/016214506000001437.</w:t>
      </w:r>
    </w:p>
    <w:p w14:paraId="1848709E" w14:textId="77777777" w:rsidR="008E3763" w:rsidRDefault="008E3763" w:rsidP="008E3763">
      <w:pPr>
        <w:pStyle w:val="NormalWeb"/>
      </w:pPr>
      <w:r>
        <w:t>[17] Mialyk, O., Schyns, J. F., Booij, M. J., Su, H., Hogeboom, R. J. &amp; Berger, M. Water footprints and crop water use of 175 individual crops for 1990–2019 simulated with a global crop model. Scientific Data 11, 206 (2024). https://doi.org/10.1038/s41597-024-03051-3.</w:t>
      </w:r>
    </w:p>
    <w:p w14:paraId="2E15179F" w14:textId="77777777" w:rsidR="008E3763" w:rsidRDefault="008E3763" w:rsidP="008E3763">
      <w:pPr>
        <w:pStyle w:val="NormalWeb"/>
      </w:pPr>
      <w:r>
        <w:t>[18] Boulay, A.-M., Bare, J., Benini, L. et al. The WULCA consensus characterization model for water scarcity footprints: assessing impacts of water consumption based on available water remaining (AWARE). International Journal of Life Cycle Assessment 23, 368–378 (2018). https://doi.org/10.1007/s11367-017-1333-8.</w:t>
      </w:r>
    </w:p>
    <w:p w14:paraId="7A37E767" w14:textId="77777777" w:rsidR="008E3763" w:rsidRDefault="008E3763" w:rsidP="008E3763">
      <w:pPr>
        <w:pStyle w:val="NormalWeb"/>
      </w:pPr>
      <w:r>
        <w:t>[19] Lenzen, M., Geschke, A., West, J. et al. Implementing the material footprint to measure progress towards Sustainable Development Goals 8 and 12. Nature Sustainability 5, 157–166 (2022). GLORIA Database v060, https://ielab.info/resources/gloria.</w:t>
      </w:r>
    </w:p>
    <w:p w14:paraId="4DB566E8" w14:textId="77777777" w:rsidR="008E3763" w:rsidRDefault="008E3763" w:rsidP="008E3763">
      <w:pPr>
        <w:pStyle w:val="NormalWeb"/>
      </w:pPr>
      <w:r>
        <w:t>[19a] Lenzen, M., Geschke, A., Abd Rahman, M. D. et al. The Global MRIO Lab — charting the world economy. Economic Systems Research 29, 158–186 (2017). https://doi.org/10.1080/09535314.2017.1315331.</w:t>
      </w:r>
    </w:p>
    <w:p w14:paraId="4339C24D" w14:textId="77777777" w:rsidR="008E3763" w:rsidRDefault="008E3763" w:rsidP="008E3763">
      <w:pPr>
        <w:pStyle w:val="NormalWeb"/>
      </w:pPr>
      <w:r>
        <w:t>[20] Miller, R. E. &amp; Blair, P. D. Input-Output Analysis: Foundations and Extensions, 2nd edition. Cambridge University Press (2009). https://doi.org/10.1017/CBO9780511626982.</w:t>
      </w:r>
    </w:p>
    <w:p w14:paraId="19DFCCA8" w14:textId="77777777" w:rsidR="008E3763" w:rsidRDefault="008E3763" w:rsidP="008E3763">
      <w:pPr>
        <w:pStyle w:val="NormalWeb"/>
      </w:pPr>
      <w:r>
        <w:t>[21] Cabernard, L., Pfister, S. &amp; Hellweg, S. A new method for analyzing sustainability performance of global supply chains and its application to material resources. Science of the Total Environment 684, 164–177 (2019). https://doi.org/10.1016/j.scitotenv.2019.04.434.</w:t>
      </w:r>
    </w:p>
    <w:p w14:paraId="39BB03DA" w14:textId="77777777" w:rsidR="008E3763" w:rsidRDefault="008E3763" w:rsidP="008E3763">
      <w:pPr>
        <w:pStyle w:val="NormalWeb"/>
      </w:pPr>
      <w:r>
        <w:t>[22] Dente, S. M. R., Aoki-Suzuki, C., Tanaka, D. &amp; Hashimoto, S. Revealing the life cycle greenhouse gas emissions of materials: The Japanese case. Resources, Conservation and Recycling 133, 395–403 (2018). https://doi.org/10.1016/j.resconrec.2017.12.011.</w:t>
      </w:r>
    </w:p>
    <w:p w14:paraId="568F8C39" w14:textId="77777777" w:rsidR="008E3763" w:rsidRDefault="008E3763" w:rsidP="008E3763">
      <w:pPr>
        <w:pStyle w:val="NormalWeb"/>
      </w:pPr>
      <w:r>
        <w:t>[23] CRED. EM-DAT: The OFDA/CRED International Disaster Database. Centre for Research on the Epidemiology of Disasters, Université Catholique de Louvain, Brussels, Belgium (2024). https://www.emdat.be/.</w:t>
      </w:r>
    </w:p>
    <w:p w14:paraId="5C03523A" w14:textId="77777777" w:rsidR="008E3763" w:rsidRDefault="008E3763" w:rsidP="008E3763">
      <w:pPr>
        <w:pStyle w:val="NormalWeb"/>
      </w:pPr>
      <w:r>
        <w:t>[24] World Meteorological Organization. State of the Global Climate 2023. WMO-No. 1347, Geneva (2024). https://library.wmo.int/idurl/4/68835.</w:t>
      </w:r>
    </w:p>
    <w:p w14:paraId="06766E04" w14:textId="77777777" w:rsidR="008E3763" w:rsidRDefault="008E3763" w:rsidP="008E3763">
      <w:pPr>
        <w:pStyle w:val="NormalWeb"/>
      </w:pPr>
      <w:r>
        <w:t>[25] FAO. GIEWS Global Information and Early Warning System on Food and Agriculture, Country Briefs. Food and Agriculture Organization of the United Nations. https://www.fao.org/giews/country-analysis/country-briefs/.</w:t>
      </w:r>
    </w:p>
    <w:p w14:paraId="086734FF" w14:textId="77777777" w:rsidR="008E3763" w:rsidRDefault="008E3763" w:rsidP="008E3763">
      <w:pPr>
        <w:pStyle w:val="NormalWeb"/>
      </w:pPr>
      <w:r>
        <w:lastRenderedPageBreak/>
        <w:t>[26] FAO. Drought in Southern Africa Situation Report. Food and Agriculture Organization of the United Nations (2019). https://www.fao.org/emergencies/resources/documents/resources-detail/en/c/1198569/.</w:t>
      </w:r>
    </w:p>
    <w:p w14:paraId="7A68CE2F" w14:textId="77777777" w:rsidR="008E3763" w:rsidRDefault="008E3763" w:rsidP="008E3763">
      <w:pPr>
        <w:pStyle w:val="NormalWeb"/>
      </w:pPr>
      <w:r>
        <w:t>[27] OCHA. Horn of Africa Drought: Regional Humanitarian Overview &amp; Call to Action. United Nations Office for the Coordination of Humanitarian Affairs (2022). https://reliefweb.int/report/ethiopia/horn-africa-drought-regional-humanitarian-overview-call-action-revised-21-september-2022.</w:t>
      </w:r>
    </w:p>
    <w:p w14:paraId="21BAE014" w14:textId="77777777" w:rsidR="008E3763" w:rsidRDefault="008E3763" w:rsidP="008E3763">
      <w:pPr>
        <w:pStyle w:val="NormalWeb"/>
      </w:pPr>
      <w:r>
        <w:t>[28] Kimutai, J., Barnes, C., Zachariah, M. et al. Human-induced climate change increased drought severity in the Horn of Africa. World Weather Attribution (2023). https://www.worldweatherattribution.org/human-induced-climate-change-increased-drought-severity-in-horn-of-africa/.</w:t>
      </w:r>
    </w:p>
    <w:p w14:paraId="1933349D" w14:textId="77777777" w:rsidR="008E3763" w:rsidRDefault="008E3763" w:rsidP="008E3763">
      <w:pPr>
        <w:pStyle w:val="NormalWeb"/>
      </w:pPr>
      <w:r>
        <w:t>[29] Philip, S. Y., Kew, S. F., van Oldenborgh, G. J. et al. Rapid attribution analysis of the extraordinary heat wave on the Pacific coast of the US and Canada in June 2021. Earth System Dynamics 13, 1689–1713 (2022). https://doi.org/10.5194/esd-13-1689-2022.</w:t>
      </w:r>
    </w:p>
    <w:p w14:paraId="5C761A3D" w14:textId="77777777" w:rsidR="008E3763" w:rsidRDefault="008E3763" w:rsidP="008E3763">
      <w:pPr>
        <w:pStyle w:val="NormalWeb"/>
      </w:pPr>
      <w:r>
        <w:t>[30] Harrington, L. J., Wolski, P., Pinto, I. et al. Limited role of climate change in extreme low rainfall associated with southern Madagascar food insecurity, 2019–2021. Environmental Research: Climate 1, 021003 (2022). https://doi.org/10.1088/2752-5295/aca695.</w:t>
      </w:r>
    </w:p>
    <w:p w14:paraId="39D980A2" w14:textId="77777777" w:rsidR="008E3763" w:rsidRDefault="008E3763" w:rsidP="008E3763">
      <w:pPr>
        <w:pStyle w:val="NormalWeb"/>
      </w:pPr>
      <w:r>
        <w:t>[31] Tripathy, K. P., Mukherjee, S., Mishra, A. K., Mann, M. E. &amp; Williams, A. P. Climate change will accelerate the high-end risk of compound drought and heatwave events. Proceedings of the National Academy of Sciences 120, e2219825120 (2023). https://doi.org/10.1073/pnas.2219825120.</w:t>
      </w:r>
    </w:p>
    <w:p w14:paraId="6828A4F6" w14:textId="77777777" w:rsidR="008E3763" w:rsidRDefault="008E3763" w:rsidP="008E3763">
      <w:pPr>
        <w:pStyle w:val="NormalWeb"/>
      </w:pPr>
      <w:r>
        <w:t>[32] World Meteorological Organization. El Niño/La Niña Update. WMO Global Seasonal Climate Update Series (2024). https://wmo.int/publication-series/el-nino-la-nina-update.</w:t>
      </w:r>
    </w:p>
    <w:p w14:paraId="7A4D5099" w14:textId="77777777" w:rsidR="008E3763" w:rsidRDefault="008E3763" w:rsidP="008E3763">
      <w:pPr>
        <w:pStyle w:val="NormalWeb"/>
      </w:pPr>
      <w:r>
        <w:t>[33] Espinoza, J. C., Jimenez, J. C., Marengo, J. A. et al. The new record of drought and warmth in the Amazon in 2023 related to regional and global climatic features. Scientific Reports 14, 8107 (2024). https://doi.org/10.1038/s41598-024-58782-5.</w:t>
      </w:r>
    </w:p>
    <w:p w14:paraId="0319F89E" w14:textId="77777777" w:rsidR="008E3763" w:rsidRDefault="008E3763" w:rsidP="008E3763">
      <w:pPr>
        <w:pStyle w:val="NormalWeb"/>
      </w:pPr>
      <w:r>
        <w:t>[34] van Oldenborgh, G. J., Krikken, F., Lewis, S. et al. Attribution of the Australian bushfire risk to anthropogenic climate change. Natural Hazards and Earth System Sciences 21, 941–960 (2021). https://doi.org/10.5194/nhess-21-941-2021.</w:t>
      </w:r>
    </w:p>
    <w:p w14:paraId="1663829E" w14:textId="77777777" w:rsidR="008E3763" w:rsidRDefault="008E3763" w:rsidP="008E3763">
      <w:pPr>
        <w:pStyle w:val="NormalWeb"/>
      </w:pPr>
      <w:r>
        <w:t>[35] FAO. Central America: Hurricanes Eta and Iota – Situation Report. Food and Agriculture Organization of the United Nations (2021). https://www.fao.org/emergencies/resources/documents/resources-detail/en/c/1370525/.</w:t>
      </w:r>
    </w:p>
    <w:p w14:paraId="0296AA3E" w14:textId="77777777" w:rsidR="008E3763" w:rsidRDefault="008E3763" w:rsidP="008E3763">
      <w:pPr>
        <w:pStyle w:val="NormalWeb"/>
      </w:pPr>
      <w:r>
        <w:t>[36] Otto, F. E. L., Zachariah, M., Saeed, F. et al. Climate change increased extreme monsoon rainfall, flooding highly vulnerable communities in Pakistan. Environmental Research: Climate 2, 025001 (2023). https://doi.org/10.1088/2752-5295/acbfd5.</w:t>
      </w:r>
    </w:p>
    <w:p w14:paraId="690DB189" w14:textId="77777777" w:rsidR="008E3763" w:rsidRDefault="008E3763" w:rsidP="008E3763">
      <w:pPr>
        <w:pStyle w:val="NormalWeb"/>
      </w:pPr>
      <w:r>
        <w:t>[37] India Meteorological Department. Statement on Climate of India during 2023. Ministry of Earth Sciences, Government of India (2024). https://mausam.imd.gov.in/.</w:t>
      </w:r>
    </w:p>
    <w:sectPr w:rsidR="008E376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6876" w14:textId="77777777" w:rsidR="001F4908" w:rsidRDefault="001F4908" w:rsidP="00987D73">
      <w:r>
        <w:separator/>
      </w:r>
    </w:p>
  </w:endnote>
  <w:endnote w:type="continuationSeparator" w:id="0">
    <w:p w14:paraId="3B4D7C9A" w14:textId="77777777" w:rsidR="001F4908" w:rsidRDefault="001F4908" w:rsidP="00987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651ED" w14:textId="77777777" w:rsidR="001F4908" w:rsidRDefault="001F4908" w:rsidP="00987D73">
      <w:r>
        <w:separator/>
      </w:r>
    </w:p>
  </w:footnote>
  <w:footnote w:type="continuationSeparator" w:id="0">
    <w:p w14:paraId="3F0225E0" w14:textId="77777777" w:rsidR="001F4908" w:rsidRDefault="001F4908" w:rsidP="00987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0107"/>
    <w:multiLevelType w:val="multilevel"/>
    <w:tmpl w:val="3F8A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C7122"/>
    <w:multiLevelType w:val="multilevel"/>
    <w:tmpl w:val="C93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579B5"/>
    <w:multiLevelType w:val="multilevel"/>
    <w:tmpl w:val="AAF8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B7D74"/>
    <w:multiLevelType w:val="multilevel"/>
    <w:tmpl w:val="4E7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979849">
    <w:abstractNumId w:val="0"/>
  </w:num>
  <w:num w:numId="2" w16cid:durableId="504519520">
    <w:abstractNumId w:val="2"/>
  </w:num>
  <w:num w:numId="3" w16cid:durableId="2036148699">
    <w:abstractNumId w:val="1"/>
  </w:num>
  <w:num w:numId="4" w16cid:durableId="1513032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D55"/>
    <w:rsid w:val="000870FB"/>
    <w:rsid w:val="001B4D55"/>
    <w:rsid w:val="001F4908"/>
    <w:rsid w:val="0020486C"/>
    <w:rsid w:val="00245E9C"/>
    <w:rsid w:val="002822C7"/>
    <w:rsid w:val="00355BCE"/>
    <w:rsid w:val="00376B85"/>
    <w:rsid w:val="003E5AC3"/>
    <w:rsid w:val="00466348"/>
    <w:rsid w:val="00473FE8"/>
    <w:rsid w:val="00577740"/>
    <w:rsid w:val="0067660D"/>
    <w:rsid w:val="007429C0"/>
    <w:rsid w:val="00861CFA"/>
    <w:rsid w:val="00883862"/>
    <w:rsid w:val="008A4130"/>
    <w:rsid w:val="008E3763"/>
    <w:rsid w:val="00987D73"/>
    <w:rsid w:val="00A469D3"/>
    <w:rsid w:val="00AC7C38"/>
    <w:rsid w:val="00B92D06"/>
    <w:rsid w:val="00BB2840"/>
    <w:rsid w:val="00CC3CF0"/>
    <w:rsid w:val="00DE78E9"/>
    <w:rsid w:val="00DF1AA4"/>
    <w:rsid w:val="00E824FA"/>
    <w:rsid w:val="00FC728F"/>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1BB2"/>
  <w15:chartTrackingRefBased/>
  <w15:docId w15:val="{205791A8-5CDA-5048-950E-33EFB713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28F"/>
    <w:rPr>
      <w:rFonts w:ascii="Times New Roman" w:eastAsia="Times New Roman" w:hAnsi="Times New Roman" w:cs="Times New Roman"/>
      <w:kern w:val="0"/>
      <w:lang w:val="en-DE" w:eastAsia="zh-CN"/>
      <w14:ligatures w14:val="none"/>
    </w:rPr>
  </w:style>
  <w:style w:type="paragraph" w:styleId="Heading1">
    <w:name w:val="heading 1"/>
    <w:basedOn w:val="Normal"/>
    <w:next w:val="Normal"/>
    <w:link w:val="Heading1Char"/>
    <w:uiPriority w:val="9"/>
    <w:qFormat/>
    <w:rsid w:val="00376B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76B8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376B8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E376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870FB"/>
  </w:style>
  <w:style w:type="character" w:styleId="CommentReference">
    <w:name w:val="annotation reference"/>
    <w:basedOn w:val="DefaultParagraphFont"/>
    <w:uiPriority w:val="99"/>
    <w:semiHidden/>
    <w:unhideWhenUsed/>
    <w:rsid w:val="000870FB"/>
    <w:rPr>
      <w:sz w:val="16"/>
      <w:szCs w:val="16"/>
    </w:rPr>
  </w:style>
  <w:style w:type="paragraph" w:styleId="CommentText">
    <w:name w:val="annotation text"/>
    <w:basedOn w:val="Normal"/>
    <w:link w:val="CommentTextChar"/>
    <w:uiPriority w:val="99"/>
    <w:semiHidden/>
    <w:unhideWhenUsed/>
    <w:rsid w:val="000870FB"/>
    <w:rPr>
      <w:sz w:val="20"/>
      <w:szCs w:val="20"/>
    </w:rPr>
  </w:style>
  <w:style w:type="character" w:customStyle="1" w:styleId="CommentTextChar">
    <w:name w:val="Comment Text Char"/>
    <w:basedOn w:val="DefaultParagraphFont"/>
    <w:link w:val="CommentText"/>
    <w:uiPriority w:val="99"/>
    <w:semiHidden/>
    <w:rsid w:val="000870FB"/>
    <w:rPr>
      <w:sz w:val="20"/>
      <w:szCs w:val="20"/>
    </w:rPr>
  </w:style>
  <w:style w:type="paragraph" w:styleId="CommentSubject">
    <w:name w:val="annotation subject"/>
    <w:basedOn w:val="CommentText"/>
    <w:next w:val="CommentText"/>
    <w:link w:val="CommentSubjectChar"/>
    <w:uiPriority w:val="99"/>
    <w:semiHidden/>
    <w:unhideWhenUsed/>
    <w:rsid w:val="000870FB"/>
    <w:rPr>
      <w:b/>
      <w:bCs/>
    </w:rPr>
  </w:style>
  <w:style w:type="character" w:customStyle="1" w:styleId="CommentSubjectChar">
    <w:name w:val="Comment Subject Char"/>
    <w:basedOn w:val="CommentTextChar"/>
    <w:link w:val="CommentSubject"/>
    <w:uiPriority w:val="99"/>
    <w:semiHidden/>
    <w:rsid w:val="000870FB"/>
    <w:rPr>
      <w:b/>
      <w:bCs/>
      <w:sz w:val="20"/>
      <w:szCs w:val="20"/>
    </w:rPr>
  </w:style>
  <w:style w:type="paragraph" w:styleId="Revision">
    <w:name w:val="Revision"/>
    <w:hidden/>
    <w:uiPriority w:val="99"/>
    <w:semiHidden/>
    <w:rsid w:val="00BB2840"/>
  </w:style>
  <w:style w:type="character" w:customStyle="1" w:styleId="Heading2Char">
    <w:name w:val="Heading 2 Char"/>
    <w:basedOn w:val="DefaultParagraphFont"/>
    <w:link w:val="Heading2"/>
    <w:uiPriority w:val="9"/>
    <w:rsid w:val="00376B85"/>
    <w:rPr>
      <w:rFonts w:ascii="Times New Roman" w:eastAsia="Times New Roman" w:hAnsi="Times New Roman" w:cs="Times New Roman"/>
      <w:b/>
      <w:bCs/>
      <w:kern w:val="0"/>
      <w:sz w:val="36"/>
      <w:szCs w:val="36"/>
      <w:lang w:val="en-DE" w:eastAsia="zh-CN"/>
      <w14:ligatures w14:val="none"/>
    </w:rPr>
  </w:style>
  <w:style w:type="paragraph" w:styleId="NormalWeb">
    <w:name w:val="Normal (Web)"/>
    <w:basedOn w:val="Normal"/>
    <w:uiPriority w:val="99"/>
    <w:semiHidden/>
    <w:unhideWhenUsed/>
    <w:rsid w:val="00376B85"/>
    <w:pPr>
      <w:spacing w:before="100" w:beforeAutospacing="1" w:after="100" w:afterAutospacing="1"/>
    </w:pPr>
  </w:style>
  <w:style w:type="character" w:styleId="Strong">
    <w:name w:val="Strong"/>
    <w:basedOn w:val="DefaultParagraphFont"/>
    <w:uiPriority w:val="22"/>
    <w:qFormat/>
    <w:rsid w:val="00376B85"/>
    <w:rPr>
      <w:b/>
      <w:bCs/>
    </w:rPr>
  </w:style>
  <w:style w:type="character" w:styleId="Emphasis">
    <w:name w:val="Emphasis"/>
    <w:basedOn w:val="DefaultParagraphFont"/>
    <w:uiPriority w:val="20"/>
    <w:qFormat/>
    <w:rsid w:val="00376B85"/>
    <w:rPr>
      <w:i/>
      <w:iCs/>
    </w:rPr>
  </w:style>
  <w:style w:type="character" w:customStyle="1" w:styleId="Heading1Char">
    <w:name w:val="Heading 1 Char"/>
    <w:basedOn w:val="DefaultParagraphFont"/>
    <w:link w:val="Heading1"/>
    <w:uiPriority w:val="9"/>
    <w:rsid w:val="00376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6B85"/>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8E376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E3763"/>
    <w:rPr>
      <w:rFonts w:asciiTheme="majorHAnsi" w:eastAsiaTheme="majorEastAsia" w:hAnsiTheme="majorHAnsi" w:cstheme="majorBidi"/>
      <w:i/>
      <w:iCs/>
      <w:color w:val="2F5496" w:themeColor="accent1" w:themeShade="BF"/>
      <w:kern w:val="0"/>
      <w:lang w:val="en-DE" w:eastAsia="zh-CN"/>
      <w14:ligatures w14:val="none"/>
    </w:rPr>
  </w:style>
  <w:style w:type="paragraph" w:styleId="Header">
    <w:name w:val="header"/>
    <w:basedOn w:val="Normal"/>
    <w:link w:val="HeaderChar"/>
    <w:uiPriority w:val="99"/>
    <w:unhideWhenUsed/>
    <w:rsid w:val="00987D73"/>
    <w:pPr>
      <w:tabs>
        <w:tab w:val="center" w:pos="4513"/>
        <w:tab w:val="right" w:pos="9026"/>
      </w:tabs>
    </w:pPr>
  </w:style>
  <w:style w:type="character" w:customStyle="1" w:styleId="HeaderChar">
    <w:name w:val="Header Char"/>
    <w:basedOn w:val="DefaultParagraphFont"/>
    <w:link w:val="Header"/>
    <w:uiPriority w:val="99"/>
    <w:rsid w:val="00987D73"/>
    <w:rPr>
      <w:rFonts w:ascii="Times New Roman" w:eastAsia="Times New Roman" w:hAnsi="Times New Roman" w:cs="Times New Roman"/>
      <w:kern w:val="0"/>
      <w:lang w:val="en-DE" w:eastAsia="zh-CN"/>
      <w14:ligatures w14:val="none"/>
    </w:rPr>
  </w:style>
  <w:style w:type="paragraph" w:styleId="Footer">
    <w:name w:val="footer"/>
    <w:basedOn w:val="Normal"/>
    <w:link w:val="FooterChar"/>
    <w:uiPriority w:val="99"/>
    <w:unhideWhenUsed/>
    <w:rsid w:val="00987D73"/>
    <w:pPr>
      <w:tabs>
        <w:tab w:val="center" w:pos="4513"/>
        <w:tab w:val="right" w:pos="9026"/>
      </w:tabs>
    </w:pPr>
  </w:style>
  <w:style w:type="character" w:customStyle="1" w:styleId="FooterChar">
    <w:name w:val="Footer Char"/>
    <w:basedOn w:val="DefaultParagraphFont"/>
    <w:link w:val="Footer"/>
    <w:uiPriority w:val="99"/>
    <w:rsid w:val="00987D73"/>
    <w:rPr>
      <w:rFonts w:ascii="Times New Roman" w:eastAsia="Times New Roman" w:hAnsi="Times New Roman" w:cs="Times New Roman"/>
      <w:kern w:val="0"/>
      <w:lang w:val="en-DE"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403313">
      <w:bodyDiv w:val="1"/>
      <w:marLeft w:val="0"/>
      <w:marRight w:val="0"/>
      <w:marTop w:val="0"/>
      <w:marBottom w:val="0"/>
      <w:divBdr>
        <w:top w:val="none" w:sz="0" w:space="0" w:color="auto"/>
        <w:left w:val="none" w:sz="0" w:space="0" w:color="auto"/>
        <w:bottom w:val="none" w:sz="0" w:space="0" w:color="auto"/>
        <w:right w:val="none" w:sz="0" w:space="0" w:color="auto"/>
      </w:divBdr>
      <w:divsChild>
        <w:div w:id="1637488250">
          <w:marLeft w:val="0"/>
          <w:marRight w:val="0"/>
          <w:marTop w:val="0"/>
          <w:marBottom w:val="0"/>
          <w:divBdr>
            <w:top w:val="none" w:sz="0" w:space="0" w:color="auto"/>
            <w:left w:val="none" w:sz="0" w:space="0" w:color="auto"/>
            <w:bottom w:val="none" w:sz="0" w:space="0" w:color="auto"/>
            <w:right w:val="none" w:sz="0" w:space="0" w:color="auto"/>
          </w:divBdr>
        </w:div>
        <w:div w:id="1720936267">
          <w:marLeft w:val="0"/>
          <w:marRight w:val="0"/>
          <w:marTop w:val="0"/>
          <w:marBottom w:val="0"/>
          <w:divBdr>
            <w:top w:val="none" w:sz="0" w:space="0" w:color="auto"/>
            <w:left w:val="none" w:sz="0" w:space="0" w:color="auto"/>
            <w:bottom w:val="none" w:sz="0" w:space="0" w:color="auto"/>
            <w:right w:val="none" w:sz="0" w:space="0" w:color="auto"/>
          </w:divBdr>
        </w:div>
        <w:div w:id="1125662583">
          <w:marLeft w:val="0"/>
          <w:marRight w:val="0"/>
          <w:marTop w:val="0"/>
          <w:marBottom w:val="0"/>
          <w:divBdr>
            <w:top w:val="none" w:sz="0" w:space="0" w:color="auto"/>
            <w:left w:val="none" w:sz="0" w:space="0" w:color="auto"/>
            <w:bottom w:val="none" w:sz="0" w:space="0" w:color="auto"/>
            <w:right w:val="none" w:sz="0" w:space="0" w:color="auto"/>
          </w:divBdr>
        </w:div>
        <w:div w:id="1151872931">
          <w:marLeft w:val="0"/>
          <w:marRight w:val="0"/>
          <w:marTop w:val="0"/>
          <w:marBottom w:val="0"/>
          <w:divBdr>
            <w:top w:val="none" w:sz="0" w:space="0" w:color="auto"/>
            <w:left w:val="none" w:sz="0" w:space="0" w:color="auto"/>
            <w:bottom w:val="none" w:sz="0" w:space="0" w:color="auto"/>
            <w:right w:val="none" w:sz="0" w:space="0" w:color="auto"/>
          </w:divBdr>
        </w:div>
      </w:divsChild>
    </w:div>
    <w:div w:id="870384112">
      <w:bodyDiv w:val="1"/>
      <w:marLeft w:val="0"/>
      <w:marRight w:val="0"/>
      <w:marTop w:val="0"/>
      <w:marBottom w:val="0"/>
      <w:divBdr>
        <w:top w:val="none" w:sz="0" w:space="0" w:color="auto"/>
        <w:left w:val="none" w:sz="0" w:space="0" w:color="auto"/>
        <w:bottom w:val="none" w:sz="0" w:space="0" w:color="auto"/>
        <w:right w:val="none" w:sz="0" w:space="0" w:color="auto"/>
      </w:divBdr>
      <w:divsChild>
        <w:div w:id="1041629633">
          <w:marLeft w:val="0"/>
          <w:marRight w:val="0"/>
          <w:marTop w:val="0"/>
          <w:marBottom w:val="0"/>
          <w:divBdr>
            <w:top w:val="none" w:sz="0" w:space="0" w:color="auto"/>
            <w:left w:val="none" w:sz="0" w:space="0" w:color="auto"/>
            <w:bottom w:val="none" w:sz="0" w:space="0" w:color="auto"/>
            <w:right w:val="none" w:sz="0" w:space="0" w:color="auto"/>
          </w:divBdr>
        </w:div>
        <w:div w:id="1253663379">
          <w:marLeft w:val="0"/>
          <w:marRight w:val="0"/>
          <w:marTop w:val="0"/>
          <w:marBottom w:val="0"/>
          <w:divBdr>
            <w:top w:val="none" w:sz="0" w:space="0" w:color="auto"/>
            <w:left w:val="none" w:sz="0" w:space="0" w:color="auto"/>
            <w:bottom w:val="none" w:sz="0" w:space="0" w:color="auto"/>
            <w:right w:val="none" w:sz="0" w:space="0" w:color="auto"/>
          </w:divBdr>
        </w:div>
      </w:divsChild>
    </w:div>
    <w:div w:id="1070346330">
      <w:bodyDiv w:val="1"/>
      <w:marLeft w:val="0"/>
      <w:marRight w:val="0"/>
      <w:marTop w:val="0"/>
      <w:marBottom w:val="0"/>
      <w:divBdr>
        <w:top w:val="none" w:sz="0" w:space="0" w:color="auto"/>
        <w:left w:val="none" w:sz="0" w:space="0" w:color="auto"/>
        <w:bottom w:val="none" w:sz="0" w:space="0" w:color="auto"/>
        <w:right w:val="none" w:sz="0" w:space="0" w:color="auto"/>
      </w:divBdr>
      <w:divsChild>
        <w:div w:id="1541359580">
          <w:marLeft w:val="0"/>
          <w:marRight w:val="0"/>
          <w:marTop w:val="0"/>
          <w:marBottom w:val="0"/>
          <w:divBdr>
            <w:top w:val="none" w:sz="0" w:space="0" w:color="auto"/>
            <w:left w:val="none" w:sz="0" w:space="0" w:color="auto"/>
            <w:bottom w:val="none" w:sz="0" w:space="0" w:color="auto"/>
            <w:right w:val="none" w:sz="0" w:space="0" w:color="auto"/>
          </w:divBdr>
        </w:div>
        <w:div w:id="1308050061">
          <w:marLeft w:val="0"/>
          <w:marRight w:val="0"/>
          <w:marTop w:val="0"/>
          <w:marBottom w:val="0"/>
          <w:divBdr>
            <w:top w:val="none" w:sz="0" w:space="0" w:color="auto"/>
            <w:left w:val="none" w:sz="0" w:space="0" w:color="auto"/>
            <w:bottom w:val="none" w:sz="0" w:space="0" w:color="auto"/>
            <w:right w:val="none" w:sz="0" w:space="0" w:color="auto"/>
          </w:divBdr>
        </w:div>
        <w:div w:id="632176230">
          <w:marLeft w:val="0"/>
          <w:marRight w:val="0"/>
          <w:marTop w:val="0"/>
          <w:marBottom w:val="0"/>
          <w:divBdr>
            <w:top w:val="none" w:sz="0" w:space="0" w:color="auto"/>
            <w:left w:val="none" w:sz="0" w:space="0" w:color="auto"/>
            <w:bottom w:val="none" w:sz="0" w:space="0" w:color="auto"/>
            <w:right w:val="none" w:sz="0" w:space="0" w:color="auto"/>
          </w:divBdr>
        </w:div>
        <w:div w:id="1612858475">
          <w:marLeft w:val="0"/>
          <w:marRight w:val="0"/>
          <w:marTop w:val="0"/>
          <w:marBottom w:val="0"/>
          <w:divBdr>
            <w:top w:val="none" w:sz="0" w:space="0" w:color="auto"/>
            <w:left w:val="none" w:sz="0" w:space="0" w:color="auto"/>
            <w:bottom w:val="none" w:sz="0" w:space="0" w:color="auto"/>
            <w:right w:val="none" w:sz="0" w:space="0" w:color="auto"/>
          </w:divBdr>
        </w:div>
        <w:div w:id="1554584429">
          <w:marLeft w:val="0"/>
          <w:marRight w:val="0"/>
          <w:marTop w:val="0"/>
          <w:marBottom w:val="0"/>
          <w:divBdr>
            <w:top w:val="none" w:sz="0" w:space="0" w:color="auto"/>
            <w:left w:val="none" w:sz="0" w:space="0" w:color="auto"/>
            <w:bottom w:val="none" w:sz="0" w:space="0" w:color="auto"/>
            <w:right w:val="none" w:sz="0" w:space="0" w:color="auto"/>
          </w:divBdr>
        </w:div>
        <w:div w:id="1095249495">
          <w:marLeft w:val="0"/>
          <w:marRight w:val="0"/>
          <w:marTop w:val="0"/>
          <w:marBottom w:val="0"/>
          <w:divBdr>
            <w:top w:val="none" w:sz="0" w:space="0" w:color="auto"/>
            <w:left w:val="none" w:sz="0" w:space="0" w:color="auto"/>
            <w:bottom w:val="none" w:sz="0" w:space="0" w:color="auto"/>
            <w:right w:val="none" w:sz="0" w:space="0" w:color="auto"/>
          </w:divBdr>
        </w:div>
        <w:div w:id="1151866436">
          <w:marLeft w:val="0"/>
          <w:marRight w:val="0"/>
          <w:marTop w:val="0"/>
          <w:marBottom w:val="0"/>
          <w:divBdr>
            <w:top w:val="none" w:sz="0" w:space="0" w:color="auto"/>
            <w:left w:val="none" w:sz="0" w:space="0" w:color="auto"/>
            <w:bottom w:val="none" w:sz="0" w:space="0" w:color="auto"/>
            <w:right w:val="none" w:sz="0" w:space="0" w:color="auto"/>
          </w:divBdr>
        </w:div>
      </w:divsChild>
    </w:div>
    <w:div w:id="2102800239">
      <w:bodyDiv w:val="1"/>
      <w:marLeft w:val="0"/>
      <w:marRight w:val="0"/>
      <w:marTop w:val="0"/>
      <w:marBottom w:val="0"/>
      <w:divBdr>
        <w:top w:val="none" w:sz="0" w:space="0" w:color="auto"/>
        <w:left w:val="none" w:sz="0" w:space="0" w:color="auto"/>
        <w:bottom w:val="none" w:sz="0" w:space="0" w:color="auto"/>
        <w:right w:val="none" w:sz="0" w:space="0" w:color="auto"/>
      </w:divBdr>
      <w:divsChild>
        <w:div w:id="663556216">
          <w:marLeft w:val="0"/>
          <w:marRight w:val="0"/>
          <w:marTop w:val="0"/>
          <w:marBottom w:val="0"/>
          <w:divBdr>
            <w:top w:val="none" w:sz="0" w:space="0" w:color="auto"/>
            <w:left w:val="none" w:sz="0" w:space="0" w:color="auto"/>
            <w:bottom w:val="none" w:sz="0" w:space="0" w:color="auto"/>
            <w:right w:val="none" w:sz="0" w:space="0" w:color="auto"/>
          </w:divBdr>
          <w:divsChild>
            <w:div w:id="1276134138">
              <w:marLeft w:val="0"/>
              <w:marRight w:val="0"/>
              <w:marTop w:val="0"/>
              <w:marBottom w:val="0"/>
              <w:divBdr>
                <w:top w:val="none" w:sz="0" w:space="0" w:color="auto"/>
                <w:left w:val="none" w:sz="0" w:space="0" w:color="auto"/>
                <w:bottom w:val="none" w:sz="0" w:space="0" w:color="auto"/>
                <w:right w:val="none" w:sz="0" w:space="0" w:color="auto"/>
              </w:divBdr>
            </w:div>
            <w:div w:id="261113162">
              <w:marLeft w:val="0"/>
              <w:marRight w:val="0"/>
              <w:marTop w:val="0"/>
              <w:marBottom w:val="0"/>
              <w:divBdr>
                <w:top w:val="none" w:sz="0" w:space="0" w:color="auto"/>
                <w:left w:val="none" w:sz="0" w:space="0" w:color="auto"/>
                <w:bottom w:val="none" w:sz="0" w:space="0" w:color="auto"/>
                <w:right w:val="none" w:sz="0" w:space="0" w:color="auto"/>
              </w:divBdr>
            </w:div>
            <w:div w:id="1240602456">
              <w:marLeft w:val="0"/>
              <w:marRight w:val="0"/>
              <w:marTop w:val="0"/>
              <w:marBottom w:val="0"/>
              <w:divBdr>
                <w:top w:val="none" w:sz="0" w:space="0" w:color="auto"/>
                <w:left w:val="none" w:sz="0" w:space="0" w:color="auto"/>
                <w:bottom w:val="none" w:sz="0" w:space="0" w:color="auto"/>
                <w:right w:val="none" w:sz="0" w:space="0" w:color="auto"/>
              </w:divBdr>
              <w:divsChild>
                <w:div w:id="866140097">
                  <w:marLeft w:val="0"/>
                  <w:marRight w:val="0"/>
                  <w:marTop w:val="0"/>
                  <w:marBottom w:val="0"/>
                  <w:divBdr>
                    <w:top w:val="none" w:sz="0" w:space="0" w:color="auto"/>
                    <w:left w:val="none" w:sz="0" w:space="0" w:color="auto"/>
                    <w:bottom w:val="none" w:sz="0" w:space="0" w:color="auto"/>
                    <w:right w:val="none" w:sz="0" w:space="0" w:color="auto"/>
                  </w:divBdr>
                </w:div>
                <w:div w:id="1499735552">
                  <w:marLeft w:val="0"/>
                  <w:marRight w:val="0"/>
                  <w:marTop w:val="0"/>
                  <w:marBottom w:val="0"/>
                  <w:divBdr>
                    <w:top w:val="none" w:sz="0" w:space="0" w:color="auto"/>
                    <w:left w:val="none" w:sz="0" w:space="0" w:color="auto"/>
                    <w:bottom w:val="none" w:sz="0" w:space="0" w:color="auto"/>
                    <w:right w:val="none" w:sz="0" w:space="0" w:color="auto"/>
                  </w:divBdr>
                </w:div>
                <w:div w:id="1485243824">
                  <w:marLeft w:val="0"/>
                  <w:marRight w:val="0"/>
                  <w:marTop w:val="0"/>
                  <w:marBottom w:val="0"/>
                  <w:divBdr>
                    <w:top w:val="none" w:sz="0" w:space="0" w:color="auto"/>
                    <w:left w:val="none" w:sz="0" w:space="0" w:color="auto"/>
                    <w:bottom w:val="none" w:sz="0" w:space="0" w:color="auto"/>
                    <w:right w:val="none" w:sz="0" w:space="0" w:color="auto"/>
                  </w:divBdr>
                </w:div>
              </w:divsChild>
            </w:div>
            <w:div w:id="394477048">
              <w:marLeft w:val="0"/>
              <w:marRight w:val="0"/>
              <w:marTop w:val="0"/>
              <w:marBottom w:val="0"/>
              <w:divBdr>
                <w:top w:val="none" w:sz="0" w:space="0" w:color="auto"/>
                <w:left w:val="none" w:sz="0" w:space="0" w:color="auto"/>
                <w:bottom w:val="none" w:sz="0" w:space="0" w:color="auto"/>
                <w:right w:val="none" w:sz="0" w:space="0" w:color="auto"/>
              </w:divBdr>
            </w:div>
            <w:div w:id="1596939201">
              <w:marLeft w:val="0"/>
              <w:marRight w:val="0"/>
              <w:marTop w:val="0"/>
              <w:marBottom w:val="0"/>
              <w:divBdr>
                <w:top w:val="none" w:sz="0" w:space="0" w:color="auto"/>
                <w:left w:val="none" w:sz="0" w:space="0" w:color="auto"/>
                <w:bottom w:val="none" w:sz="0" w:space="0" w:color="auto"/>
                <w:right w:val="none" w:sz="0" w:space="0" w:color="auto"/>
              </w:divBdr>
            </w:div>
            <w:div w:id="386101450">
              <w:marLeft w:val="0"/>
              <w:marRight w:val="0"/>
              <w:marTop w:val="0"/>
              <w:marBottom w:val="0"/>
              <w:divBdr>
                <w:top w:val="none" w:sz="0" w:space="0" w:color="auto"/>
                <w:left w:val="none" w:sz="0" w:space="0" w:color="auto"/>
                <w:bottom w:val="none" w:sz="0" w:space="0" w:color="auto"/>
                <w:right w:val="none" w:sz="0" w:space="0" w:color="auto"/>
              </w:divBdr>
            </w:div>
          </w:divsChild>
        </w:div>
        <w:div w:id="411900142">
          <w:marLeft w:val="600"/>
          <w:marRight w:val="0"/>
          <w:marTop w:val="0"/>
          <w:marBottom w:val="0"/>
          <w:divBdr>
            <w:top w:val="none" w:sz="0" w:space="0" w:color="auto"/>
            <w:left w:val="none" w:sz="0" w:space="0" w:color="auto"/>
            <w:bottom w:val="none" w:sz="0" w:space="0" w:color="auto"/>
            <w:right w:val="none" w:sz="0" w:space="0" w:color="auto"/>
          </w:divBdr>
          <w:divsChild>
            <w:div w:id="740255594">
              <w:marLeft w:val="0"/>
              <w:marRight w:val="0"/>
              <w:marTop w:val="0"/>
              <w:marBottom w:val="0"/>
              <w:divBdr>
                <w:top w:val="none" w:sz="0" w:space="0" w:color="auto"/>
                <w:left w:val="none" w:sz="0" w:space="0" w:color="auto"/>
                <w:bottom w:val="none" w:sz="0" w:space="0" w:color="auto"/>
                <w:right w:val="none" w:sz="0" w:space="0" w:color="auto"/>
              </w:divBdr>
              <w:divsChild>
                <w:div w:id="855579087">
                  <w:marLeft w:val="0"/>
                  <w:marRight w:val="0"/>
                  <w:marTop w:val="0"/>
                  <w:marBottom w:val="0"/>
                  <w:divBdr>
                    <w:top w:val="none" w:sz="0" w:space="0" w:color="auto"/>
                    <w:left w:val="none" w:sz="0" w:space="0" w:color="auto"/>
                    <w:bottom w:val="none" w:sz="0" w:space="0" w:color="auto"/>
                    <w:right w:val="none" w:sz="0" w:space="0" w:color="auto"/>
                  </w:divBdr>
                  <w:divsChild>
                    <w:div w:id="1686128700">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 w:id="449512434">
              <w:marLeft w:val="0"/>
              <w:marRight w:val="0"/>
              <w:marTop w:val="0"/>
              <w:marBottom w:val="0"/>
              <w:divBdr>
                <w:top w:val="none" w:sz="0" w:space="0" w:color="auto"/>
                <w:left w:val="none" w:sz="0" w:space="0" w:color="auto"/>
                <w:bottom w:val="none" w:sz="0" w:space="0" w:color="auto"/>
                <w:right w:val="none" w:sz="0" w:space="0" w:color="auto"/>
              </w:divBdr>
              <w:divsChild>
                <w:div w:id="383482829">
                  <w:marLeft w:val="0"/>
                  <w:marRight w:val="0"/>
                  <w:marTop w:val="0"/>
                  <w:marBottom w:val="0"/>
                  <w:divBdr>
                    <w:top w:val="none" w:sz="0" w:space="0" w:color="auto"/>
                    <w:left w:val="none" w:sz="0" w:space="0" w:color="auto"/>
                    <w:bottom w:val="none" w:sz="0" w:space="0" w:color="auto"/>
                    <w:right w:val="none" w:sz="0" w:space="0" w:color="auto"/>
                  </w:divBdr>
                  <w:divsChild>
                    <w:div w:id="1882671049">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 w:id="1476533869">
              <w:marLeft w:val="0"/>
              <w:marRight w:val="0"/>
              <w:marTop w:val="0"/>
              <w:marBottom w:val="0"/>
              <w:divBdr>
                <w:top w:val="none" w:sz="0" w:space="0" w:color="auto"/>
                <w:left w:val="none" w:sz="0" w:space="0" w:color="auto"/>
                <w:bottom w:val="none" w:sz="0" w:space="0" w:color="auto"/>
                <w:right w:val="none" w:sz="0" w:space="0" w:color="auto"/>
              </w:divBdr>
              <w:divsChild>
                <w:div w:id="144708535">
                  <w:marLeft w:val="0"/>
                  <w:marRight w:val="0"/>
                  <w:marTop w:val="0"/>
                  <w:marBottom w:val="0"/>
                  <w:divBdr>
                    <w:top w:val="none" w:sz="0" w:space="0" w:color="auto"/>
                    <w:left w:val="none" w:sz="0" w:space="0" w:color="auto"/>
                    <w:bottom w:val="none" w:sz="0" w:space="0" w:color="auto"/>
                    <w:right w:val="none" w:sz="0" w:space="0" w:color="auto"/>
                  </w:divBdr>
                  <w:divsChild>
                    <w:div w:id="1659068193">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 w:id="637537072">
              <w:marLeft w:val="0"/>
              <w:marRight w:val="0"/>
              <w:marTop w:val="0"/>
              <w:marBottom w:val="0"/>
              <w:divBdr>
                <w:top w:val="none" w:sz="0" w:space="0" w:color="auto"/>
                <w:left w:val="none" w:sz="0" w:space="0" w:color="auto"/>
                <w:bottom w:val="none" w:sz="0" w:space="0" w:color="auto"/>
                <w:right w:val="none" w:sz="0" w:space="0" w:color="auto"/>
              </w:divBdr>
              <w:divsChild>
                <w:div w:id="373043891">
                  <w:marLeft w:val="0"/>
                  <w:marRight w:val="0"/>
                  <w:marTop w:val="0"/>
                  <w:marBottom w:val="0"/>
                  <w:divBdr>
                    <w:top w:val="none" w:sz="0" w:space="0" w:color="auto"/>
                    <w:left w:val="none" w:sz="0" w:space="0" w:color="auto"/>
                    <w:bottom w:val="none" w:sz="0" w:space="0" w:color="auto"/>
                    <w:right w:val="none" w:sz="0" w:space="0" w:color="auto"/>
                  </w:divBdr>
                  <w:divsChild>
                    <w:div w:id="1137257439">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 w:id="245384818">
              <w:marLeft w:val="0"/>
              <w:marRight w:val="0"/>
              <w:marTop w:val="0"/>
              <w:marBottom w:val="0"/>
              <w:divBdr>
                <w:top w:val="none" w:sz="0" w:space="0" w:color="auto"/>
                <w:left w:val="none" w:sz="0" w:space="0" w:color="auto"/>
                <w:bottom w:val="none" w:sz="0" w:space="0" w:color="auto"/>
                <w:right w:val="none" w:sz="0" w:space="0" w:color="auto"/>
              </w:divBdr>
              <w:divsChild>
                <w:div w:id="486171475">
                  <w:marLeft w:val="0"/>
                  <w:marRight w:val="0"/>
                  <w:marTop w:val="0"/>
                  <w:marBottom w:val="0"/>
                  <w:divBdr>
                    <w:top w:val="none" w:sz="0" w:space="0" w:color="auto"/>
                    <w:left w:val="none" w:sz="0" w:space="0" w:color="auto"/>
                    <w:bottom w:val="none" w:sz="0" w:space="0" w:color="auto"/>
                    <w:right w:val="none" w:sz="0" w:space="0" w:color="auto"/>
                  </w:divBdr>
                  <w:divsChild>
                    <w:div w:id="947737757">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28</Pages>
  <Words>12350</Words>
  <Characters>70401</Characters>
  <Application>Microsoft Office Word</Application>
  <DocSecurity>0</DocSecurity>
  <Lines>586</Lines>
  <Paragraphs>165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Cabernard</dc:creator>
  <cp:keywords/>
  <dc:description/>
  <cp:lastModifiedBy>Yanfei Shan</cp:lastModifiedBy>
  <cp:revision>16</cp:revision>
  <dcterms:created xsi:type="dcterms:W3CDTF">2026-04-07T08:57:00Z</dcterms:created>
  <dcterms:modified xsi:type="dcterms:W3CDTF">2026-04-23T01:40:00Z</dcterms:modified>
</cp:coreProperties>
</file>