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2E7D6E"/>
          <w:sz w:val="26"/>
          <w:szCs w:val="26"/>
        </w:rPr>
        <w:t xml:space="preserve">DOKUMEN INISIASI &amp; SPESIFIKASI TEKNIS</w:t>
      </w:r>
    </w:p>
    <w:p>
      <w:pPr>
        <w:spacing w:after="200" w:before="200"/>
        <w:jc w:val="center"/>
      </w:pPr>
      <w:r>
        <w:rPr>
          <w:b/>
          <w:bCs/>
          <w:color w:val="1F4E5F"/>
          <w:sz w:val="44"/>
          <w:szCs w:val="44"/>
        </w:rPr>
        <w:t xml:space="preserve">SISTEM E-SUPERVISI KLINIS PENDIDIKAN</w:t>
      </w:r>
    </w:p>
    <w:p>
      <w:pPr>
        <w:spacing w:after="100"/>
        <w:jc w:val="center"/>
      </w:pPr>
      <w:r>
        <w:rPr>
          <w:i/>
          <w:iCs/>
          <w:color w:val="2E7D6E"/>
          <w:sz w:val="24"/>
          <w:szCs w:val="24"/>
        </w:rPr>
        <w:t xml:space="preserve">Versi 2.0 — Dibangun dari Nol, Evidence-Informed</w:t>
      </w:r>
    </w:p>
    <w:p>
      <w:pPr>
        <w:spacing w:after="700"/>
        <w:jc w:val="center"/>
      </w:pPr>
      <w:r>
        <w:rPr>
          <w:i/>
          <w:iCs/>
          <w:sz w:val="19"/>
          <w:szCs w:val="19"/>
        </w:rPr>
        <w:t xml:space="preserve">Living Document — berjalan paralel dengan Systematic Literature Review (Artikel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EAF3F1" w:val="clear"/>
            <w:tcMar>
              <w:top w:type="dxa" w:w="160"/>
              <w:left w:type="dxa" w:w="200"/>
              <w:bottom w:type="dxa" w:w="160"/>
              <w:right w:type="dxa" w:w="200"/>
            </w:tcMar>
          </w:tcPr>
          <w:p>
            <w:pPr>
              <w:spacing w:after="80"/>
            </w:pPr>
            <w:r>
              <w:rPr>
                <w:b/>
                <w:bCs/>
                <w:color w:val="2E7D6E"/>
                <w:sz w:val="21"/>
                <w:szCs w:val="21"/>
              </w:rPr>
              <w:t xml:space="preserve">Status Dokumen</w:t>
            </w:r>
          </w:p>
          <w:p>
            <w:pPr>
              <w:spacing w:after="60"/>
              <w:jc w:val="both"/>
            </w:pPr>
            <w:r>
              <w:rPr>
                <w:sz w:val="20"/>
                <w:szCs w:val="20"/>
              </w:rPr>
              <w:t xml:space="preserve">Dokumen ini menggantikan spesifikasi teknis versi sebelumnya (17 modul, 10-status state machine) yang disusun sebelum kerangka teoretis dan protokol SLR dikunci.</w:t>
            </w:r>
          </w:p>
          <w:p>
            <w:pPr>
              <w:spacing w:after="60"/>
              <w:jc w:val="both"/>
            </w:pPr>
            <w:r>
              <w:rPr>
                <w:sz w:val="20"/>
                <w:szCs w:val="20"/>
              </w:rPr>
              <w:t xml:space="preserve">Seluruh struktur siklus, modul, dan prioritas pengembangan di sini disusun ulang agar selaras 1:1 dengan kerangka teoretis yang sudah divalidasi untuk Artikel 1 (Acheson &amp; Gall, 1997 — tiga tahap makro dengan empat sub-kode pasca-observasi).</w:t>
            </w:r>
          </w:p>
          <w:p>
            <w:pPr>
              <w:spacing w:after="60"/>
              <w:jc w:val="both"/>
            </w:pPr>
            <w:r>
              <w:rPr>
                <w:sz w:val="20"/>
                <w:szCs w:val="20"/>
              </w:rPr>
              <w:t xml:space="preserve">Karena SLR masih berjalan (Fase 4 dari 18), sebagian keputusan modul di dokumen ini bersifat PROVISIONAL — akan direvisi formal begitu evidence map (RQ2/RQ3) selesai. Lihat Bagian 13.</w:t>
            </w:r>
          </w:p>
        </w:tc>
      </w:tr>
    </w:tbl>
    <w:p>
      <w:r>
        <w:br w:type="page"/>
      </w:r>
    </w:p>
    <w:p>
      <w:pPr>
        <w:pStyle w:val="Heading1"/>
        <w:spacing w:after="160" w:before="360"/>
      </w:pPr>
      <w:r>
        <w:rPr>
          <w:b/>
          <w:bCs/>
          <w:color w:val="1F4E5F"/>
          <w:sz w:val="30"/>
          <w:szCs w:val="30"/>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4E5F"/>
          <w:sz w:val="30"/>
          <w:szCs w:val="30"/>
        </w:rPr>
        <w:t xml:space="preserve">1. Pendahuluan dan Status Dokumen</w:t>
      </w:r>
    </w:p>
    <w:p>
      <w:pPr>
        <w:pStyle w:val="Heading2"/>
        <w:spacing w:after="120" w:before="260"/>
      </w:pPr>
      <w:r>
        <w:rPr>
          <w:b/>
          <w:bCs/>
          <w:color w:val="1F4E5F"/>
          <w:sz w:val="25"/>
          <w:szCs w:val="25"/>
        </w:rPr>
        <w:t xml:space="preserve">1.1 Tujuan Dokumen</w:t>
      </w:r>
    </w:p>
    <w:p>
      <w:pPr>
        <w:spacing w:after="160" w:line="300"/>
        <w:jc w:val="both"/>
      </w:pPr>
      <w:r>
        <w:rPr>
          <w:sz w:val="21"/>
          <w:szCs w:val="21"/>
        </w:rPr>
        <w:t xml:space="preserve">Dokumen ini menjadi acuan inisiasi pengembangan Sistem E-Supervisi Klinis Pendidikan versi baru: platform digital yang mendukung pelaksanaan supervisi klinis secara komprehensif mulai dari perencanaan, observasi pembelajaran, analisis hasil observasi, pemberian umpan balik, tindak lanjut, hingga pelaporan berbasis data. Dokumen menggantikan spesifikasi versi sebelumnya secara total — bukan revisi, melainkan penyusunan ulang dari nol dengan kerangka teoretis dan justifikasi bukti sebagai titik tolak, bukan asumsi desain.</w:t>
      </w:r>
    </w:p>
    <w:p>
      <w:pPr>
        <w:pStyle w:val="Heading2"/>
        <w:spacing w:after="120" w:before="260"/>
      </w:pPr>
      <w:r>
        <w:rPr>
          <w:b/>
          <w:bCs/>
          <w:color w:val="1F4E5F"/>
          <w:sz w:val="25"/>
          <w:szCs w:val="25"/>
        </w:rPr>
        <w:t xml:space="preserve">1.2 Mengapa Disusun Ulang dari Nol</w:t>
      </w:r>
    </w:p>
    <w:p>
      <w:pPr>
        <w:spacing w:after="160" w:line="300"/>
        <w:jc w:val="both"/>
      </w:pPr>
      <w:r>
        <w:rPr>
          <w:b/>
          <w:bCs/>
          <w:sz w:val="21"/>
          <w:szCs w:val="21"/>
        </w:rPr>
        <w:t xml:space="preserve">Spesifikasi lama (17 modul, state machine 10-status, ~35 endpoint) disusun sebelum kerangka teoretis siklus supervisi klinis dan protokol SLR difinalisasi. </w:t>
      </w:r>
      <w:r>
        <w:rPr>
          <w:sz w:val="21"/>
          <w:szCs w:val="21"/>
        </w:rPr>
        <w:t xml:space="preserve">Ini masalah metodologis, bukan sekadar preferensi desain: jika Artikel 3 nanti diposisikan sebagai Design Science Research (Peffers dkk., 2007), tahap pertamanya — problem identification and motivation — harus bersumber dari bukti eksplisit tentang tahap siklus supervisi mana yang paling minim dukungan digital (hasil RQ2/RQ3 Artikel 1). Spesifikasi yang dirancang sebelum bukti itu ada berisiko dianggap merancang solusi lebih dulu, baru mencari pembenaran metodologis belakangan — sebuah kelemahan yang biasa disebut </w:t>
      </w:r>
    </w:p>
    <w:p>
      <w:pPr>
        <w:spacing w:after="160" w:line="300"/>
        <w:jc w:val="both"/>
      </w:pPr>
      <w:r>
        <w:rPr>
          <w:i/>
          <w:iCs/>
          <w:sz w:val="21"/>
          <w:szCs w:val="21"/>
        </w:rPr>
        <w:t xml:space="preserve">solution-first bias</w:t>
      </w:r>
      <w:r>
        <w:rPr>
          <w:sz w:val="21"/>
          <w:szCs w:val="21"/>
        </w:rPr>
        <w:t xml:space="preserve"> dalam literatur DSR, dan akan dipertanyakan reviewer jurnal manajemen pendidikan maupun sistem informasi.</w:t>
      </w:r>
    </w:p>
    <w:p>
      <w:pPr>
        <w:pStyle w:val="Heading2"/>
        <w:spacing w:after="120" w:before="260"/>
      </w:pPr>
      <w:r>
        <w:rPr>
          <w:b/>
          <w:bCs/>
          <w:color w:val="1F4E5F"/>
          <w:sz w:val="25"/>
          <w:szCs w:val="25"/>
        </w:rPr>
        <w:t xml:space="preserve">1.3 Keterkaitan dengan Trilogi Riset</w:t>
      </w:r>
    </w:p>
    <w:p>
      <w:pPr>
        <w:spacing w:after="160" w:line="300"/>
        <w:jc w:val="both"/>
      </w:pPr>
      <w:r>
        <w:rPr>
          <w:sz w:val="21"/>
          <w:szCs w:val="21"/>
        </w:rPr>
        <w:t xml:space="preserve">Dokumen ini adalah artefak kerja untuk Artikel 3 (pengembangan sistem, DSR), tetapi disusun agar tetap konsisten dengan kerangka teoretis Artikel 1 (SLR) dan cakupan instrumen Artikel 2 (validasi Format A–E).</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157"/>
        <w:gridCol w:w="2891"/>
        <w:gridCol w:w="1735"/>
        <w:gridCol w:w="3855"/>
      </w:tblGrid>
      <w:tr>
        <w:trPr>
          <w:tblHeader/>
        </w:trPr>
        <w:tc>
          <w:tcPr>
            <w:tcW w:type="dxa" w:w="1157"/>
            <w:shd w:fill="1F4E5F" w:val="clear"/>
            <w:tcMar>
              <w:top w:type="dxa" w:w="80"/>
              <w:left w:type="dxa" w:w="100"/>
              <w:bottom w:type="dxa" w:w="80"/>
              <w:right w:type="dxa" w:w="100"/>
            </w:tcMar>
            <w:vAlign w:val="center"/>
          </w:tcPr>
          <w:p>
            <w:pPr>
              <w:jc w:val="left"/>
            </w:pPr>
            <w:r>
              <w:rPr>
                <w:b/>
                <w:bCs/>
                <w:color w:val="FFFFFF"/>
                <w:sz w:val="19"/>
                <w:szCs w:val="19"/>
              </w:rPr>
              <w:t xml:space="preserve">Artikel</w:t>
            </w:r>
          </w:p>
        </w:tc>
        <w:tc>
          <w:tcPr>
            <w:tcW w:type="dxa" w:w="2891"/>
            <w:shd w:fill="1F4E5F" w:val="clear"/>
            <w:tcMar>
              <w:top w:type="dxa" w:w="80"/>
              <w:left w:type="dxa" w:w="100"/>
              <w:bottom w:type="dxa" w:w="80"/>
              <w:right w:type="dxa" w:w="100"/>
            </w:tcMar>
            <w:vAlign w:val="center"/>
          </w:tcPr>
          <w:p>
            <w:pPr>
              <w:jc w:val="left"/>
            </w:pPr>
            <w:r>
              <w:rPr>
                <w:b/>
                <w:bCs/>
                <w:color w:val="FFFFFF"/>
                <w:sz w:val="19"/>
                <w:szCs w:val="19"/>
              </w:rPr>
              <w:t xml:space="preserve">Fungsi</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3855"/>
            <w:shd w:fill="1F4E5F" w:val="clear"/>
            <w:tcMar>
              <w:top w:type="dxa" w:w="80"/>
              <w:left w:type="dxa" w:w="100"/>
              <w:bottom w:type="dxa" w:w="80"/>
              <w:right w:type="dxa" w:w="100"/>
            </w:tcMar>
            <w:vAlign w:val="center"/>
          </w:tcPr>
          <w:p>
            <w:pPr>
              <w:jc w:val="left"/>
            </w:pPr>
            <w:r>
              <w:rPr>
                <w:b/>
                <w:bCs/>
                <w:color w:val="FFFFFF"/>
                <w:sz w:val="19"/>
                <w:szCs w:val="19"/>
              </w:rPr>
              <w:t xml:space="preserve">Ketergantungan terhadap Dokumen Ini</w:t>
            </w:r>
          </w:p>
        </w:tc>
      </w:tr>
      <w:tr>
        <w:tc>
          <w:tcPr>
            <w:tcW w:type="dxa" w:w="1157"/>
            <w:tcMar>
              <w:top w:type="dxa" w:w="80"/>
              <w:left w:type="dxa" w:w="100"/>
              <w:bottom w:type="dxa" w:w="80"/>
              <w:right w:type="dxa" w:w="100"/>
            </w:tcMar>
            <w:vAlign w:val="center"/>
          </w:tcPr>
          <w:p>
            <w:pPr>
              <w:jc w:val="left"/>
            </w:pPr>
            <w:r>
              <w:rPr>
                <w:b w:val="false"/>
                <w:bCs w:val="false"/>
                <w:color w:val="000000"/>
                <w:sz w:val="19"/>
                <w:szCs w:val="19"/>
              </w:rPr>
              <w:t xml:space="preserve">1 — SLR</w:t>
            </w:r>
          </w:p>
        </w:tc>
        <w:tc>
          <w:tcPr>
            <w:tcW w:type="dxa" w:w="2891"/>
            <w:tcMar>
              <w:top w:type="dxa" w:w="80"/>
              <w:left w:type="dxa" w:w="100"/>
              <w:bottom w:type="dxa" w:w="80"/>
              <w:right w:type="dxa" w:w="100"/>
            </w:tcMar>
            <w:vAlign w:val="center"/>
          </w:tcPr>
          <w:p>
            <w:pPr>
              <w:jc w:val="left"/>
            </w:pPr>
            <w:r>
              <w:rPr>
                <w:b w:val="false"/>
                <w:bCs w:val="false"/>
                <w:color w:val="000000"/>
                <w:sz w:val="19"/>
                <w:szCs w:val="19"/>
              </w:rPr>
              <w:t xml:space="preserve">Membangun evidence map: tahap siklus mana yang paling minim dukungan digital</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Berjalan (Fase 4/18)</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Dokumen ini MENUNGGU hasil RQ2/RQ3 untuk penguncian prioritas modul final</w:t>
            </w:r>
          </w:p>
        </w:tc>
      </w:tr>
      <w:tr>
        <w:tc>
          <w:tcPr>
            <w:tcW w:type="dxa" w:w="115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 — Validasi Instrumen</w:t>
            </w:r>
          </w:p>
        </w:tc>
        <w:tc>
          <w:tcPr>
            <w:tcW w:type="dxa" w:w="289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Validasi psikometrik Format A–E (CVR/Aiken's V)</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Belum dimulai</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Format A–E menjadi bagian dari Modul Observasi &amp; Analisis (Bagian 6.1)</w:t>
            </w:r>
          </w:p>
        </w:tc>
      </w:tr>
      <w:tr>
        <w:tc>
          <w:tcPr>
            <w:tcW w:type="dxa" w:w="1157"/>
            <w:tcMar>
              <w:top w:type="dxa" w:w="80"/>
              <w:left w:type="dxa" w:w="100"/>
              <w:bottom w:type="dxa" w:w="80"/>
              <w:right w:type="dxa" w:w="100"/>
            </w:tcMar>
            <w:vAlign w:val="center"/>
          </w:tcPr>
          <w:p>
            <w:pPr>
              <w:jc w:val="left"/>
            </w:pPr>
            <w:r>
              <w:rPr>
                <w:b w:val="false"/>
                <w:bCs w:val="false"/>
                <w:color w:val="000000"/>
                <w:sz w:val="19"/>
                <w:szCs w:val="19"/>
              </w:rPr>
              <w:t xml:space="preserve">3 — DSR Sistem</w:t>
            </w:r>
          </w:p>
        </w:tc>
        <w:tc>
          <w:tcPr>
            <w:tcW w:type="dxa" w:w="2891"/>
            <w:tcMar>
              <w:top w:type="dxa" w:w="80"/>
              <w:left w:type="dxa" w:w="100"/>
              <w:bottom w:type="dxa" w:w="80"/>
              <w:right w:type="dxa" w:w="100"/>
            </w:tcMar>
            <w:vAlign w:val="center"/>
          </w:tcPr>
          <w:p>
            <w:pPr>
              <w:jc w:val="left"/>
            </w:pPr>
            <w:r>
              <w:rPr>
                <w:b w:val="false"/>
                <w:bCs w:val="false"/>
                <w:color w:val="000000"/>
                <w:sz w:val="19"/>
                <w:szCs w:val="19"/>
              </w:rPr>
              <w:t xml:space="preserve">Pengembangan artefak sistem, didemonstrasikan &amp; dievaluasi ahli</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Draf awal (dokumen ini)</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Dokumen ini adalah cetak biru kerja tahap problem identification &amp; design</w:t>
            </w:r>
          </w:p>
        </w:tc>
      </w:tr>
    </w:tbl>
    <w:p>
      <w:r>
        <w:br w:type="page"/>
      </w:r>
    </w:p>
    <w:p>
      <w:pPr>
        <w:pStyle w:val="Heading1"/>
        <w:spacing w:after="160" w:before="360"/>
      </w:pPr>
      <w:r>
        <w:rPr>
          <w:b/>
          <w:bCs/>
          <w:color w:val="1F4E5F"/>
          <w:sz w:val="30"/>
          <w:szCs w:val="30"/>
        </w:rPr>
        <w:t xml:space="preserve">2. Kerangka Teoretis Sistem</w:t>
      </w:r>
    </w:p>
    <w:p>
      <w:pPr>
        <w:pStyle w:val="Heading2"/>
        <w:spacing w:after="120" w:before="260"/>
      </w:pPr>
      <w:r>
        <w:rPr>
          <w:b/>
          <w:bCs/>
          <w:color w:val="1F4E5F"/>
          <w:sz w:val="25"/>
          <w:szCs w:val="25"/>
        </w:rPr>
        <w:t xml:space="preserve">2.1 Model Siklus Supervisi Klinis</w:t>
      </w:r>
    </w:p>
    <w:p>
      <w:pPr>
        <w:spacing w:after="160" w:line="300"/>
        <w:jc w:val="both"/>
      </w:pPr>
      <w:r>
        <w:rPr>
          <w:sz w:val="21"/>
          <w:szCs w:val="21"/>
        </w:rPr>
        <w:t xml:space="preserve">Sistem ini mengadopsi kerangka tiga tahap makro Acheson &amp; Gall (1997) — pra-observasi, observasi, pasca-observasi — sebagai jangkar teoretis utama, dengan tahap pasca-observasi dipecah menjadi empat sub-kode operasional agar resolusi datanya cukup tajam untuk desain sistem. Pemilihan kerangka ini BUKAN keputusan teknis independen — ia identik dengan skema koding yang dipakai dalam ekstraksi data Artikel 1, sehingga peta gap dari SLR dapat dipetakan langsung ke modul sistem tanpa penerjemahan tambahan.</w:t>
      </w:r>
    </w:p>
    <w:p>
      <w:pPr>
        <w:pStyle w:val="Heading2"/>
        <w:spacing w:after="120" w:before="260"/>
      </w:pPr>
      <w:r>
        <w:rPr>
          <w:b/>
          <w:bCs/>
          <w:color w:val="1F4E5F"/>
          <w:sz w:val="25"/>
          <w:szCs w:val="25"/>
        </w:rPr>
        <w:t xml:space="preserve">2.2 Pemetaan Tahap Teoretis ke Tahap Operasional Sistem</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3067"/>
        <w:gridCol w:w="3286"/>
        <w:gridCol w:w="3286"/>
      </w:tblGrid>
      <w:tr>
        <w:trPr>
          <w:tblHeader/>
        </w:trPr>
        <w:tc>
          <w:tcPr>
            <w:tcW w:type="dxa" w:w="3067"/>
            <w:shd w:fill="1F4E5F" w:val="clear"/>
            <w:tcMar>
              <w:top w:type="dxa" w:w="80"/>
              <w:left w:type="dxa" w:w="100"/>
              <w:bottom w:type="dxa" w:w="80"/>
              <w:right w:type="dxa" w:w="100"/>
            </w:tcMar>
            <w:vAlign w:val="center"/>
          </w:tcPr>
          <w:p>
            <w:pPr>
              <w:jc w:val="left"/>
            </w:pPr>
            <w:r>
              <w:rPr>
                <w:b/>
                <w:bCs/>
                <w:color w:val="FFFFFF"/>
                <w:sz w:val="19"/>
                <w:szCs w:val="19"/>
              </w:rPr>
              <w:t xml:space="preserve">Tahap Makro (Acheson &amp; Gall, 1997)</w:t>
            </w:r>
          </w:p>
        </w:tc>
        <w:tc>
          <w:tcPr>
            <w:tcW w:type="dxa" w:w="3286"/>
            <w:shd w:fill="1F4E5F" w:val="clear"/>
            <w:tcMar>
              <w:top w:type="dxa" w:w="80"/>
              <w:left w:type="dxa" w:w="100"/>
              <w:bottom w:type="dxa" w:w="80"/>
              <w:right w:type="dxa" w:w="100"/>
            </w:tcMar>
            <w:vAlign w:val="center"/>
          </w:tcPr>
          <w:p>
            <w:pPr>
              <w:jc w:val="left"/>
            </w:pPr>
            <w:r>
              <w:rPr>
                <w:b/>
                <w:bCs/>
                <w:color w:val="FFFFFF"/>
                <w:sz w:val="19"/>
                <w:szCs w:val="19"/>
              </w:rPr>
              <w:t xml:space="preserve">Sub-kode (selaras Artikel 1)</w:t>
            </w:r>
          </w:p>
        </w:tc>
        <w:tc>
          <w:tcPr>
            <w:tcW w:type="dxa" w:w="3286"/>
            <w:shd w:fill="1F4E5F" w:val="clear"/>
            <w:tcMar>
              <w:top w:type="dxa" w:w="80"/>
              <w:left w:type="dxa" w:w="100"/>
              <w:bottom w:type="dxa" w:w="80"/>
              <w:right w:type="dxa" w:w="100"/>
            </w:tcMar>
            <w:vAlign w:val="center"/>
          </w:tcPr>
          <w:p>
            <w:pPr>
              <w:jc w:val="left"/>
            </w:pPr>
            <w:r>
              <w:rPr>
                <w:b/>
                <w:bCs/>
                <w:color w:val="FFFFFF"/>
                <w:sz w:val="19"/>
                <w:szCs w:val="19"/>
              </w:rPr>
              <w:t xml:space="preserve">Tahap Operasional Sistem</w:t>
            </w:r>
          </w:p>
        </w:tc>
      </w:tr>
      <w:tr>
        <w:tc>
          <w:tcPr>
            <w:tcW w:type="dxa" w:w="3067"/>
            <w:tcMar>
              <w:top w:type="dxa" w:w="80"/>
              <w:left w:type="dxa" w:w="100"/>
              <w:bottom w:type="dxa" w:w="80"/>
              <w:right w:type="dxa" w:w="100"/>
            </w:tcMar>
            <w:vAlign w:val="center"/>
          </w:tcPr>
          <w:p>
            <w:pPr>
              <w:jc w:val="left"/>
            </w:pPr>
            <w:r>
              <w:rPr>
                <w:b w:val="false"/>
                <w:bCs w:val="false"/>
                <w:color w:val="000000"/>
                <w:sz w:val="19"/>
                <w:szCs w:val="19"/>
              </w:rPr>
              <w:t xml:space="preserve">1. Pra-observasi</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Perencanaan</w:t>
            </w:r>
          </w:p>
        </w:tc>
      </w:tr>
      <w:tr>
        <w:tc>
          <w:tcPr>
            <w:tcW w:type="dxa" w:w="306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 Observasi</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Observasi Pembelajaran</w:t>
            </w:r>
          </w:p>
        </w:tc>
      </w:tr>
      <w:tr>
        <w:tc>
          <w:tcPr>
            <w:tcW w:type="dxa" w:w="3067"/>
            <w:tcMar>
              <w:top w:type="dxa" w:w="80"/>
              <w:left w:type="dxa" w:w="100"/>
              <w:bottom w:type="dxa" w:w="80"/>
              <w:right w:type="dxa" w:w="100"/>
            </w:tcMar>
            <w:vAlign w:val="center"/>
          </w:tcPr>
          <w:p>
            <w:pPr>
              <w:jc w:val="left"/>
            </w:pPr>
            <w:r>
              <w:rPr>
                <w:b w:val="false"/>
                <w:bCs w:val="false"/>
                <w:color w:val="000000"/>
                <w:sz w:val="19"/>
                <w:szCs w:val="19"/>
              </w:rPr>
              <w:t xml:space="preserve">3. Pasca-observasi</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3a. Analisis hasil observasi</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Analisis Hasil Observasi</w:t>
            </w:r>
          </w:p>
        </w:tc>
      </w:tr>
      <w:tr>
        <w:tc>
          <w:tcPr>
            <w:tcW w:type="dxa" w:w="306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 Pasca-observasi</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3b. Pemberian umpan balik</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Pemberian Umpan Balik</w:t>
            </w:r>
          </w:p>
        </w:tc>
      </w:tr>
      <w:tr>
        <w:tc>
          <w:tcPr>
            <w:tcW w:type="dxa" w:w="3067"/>
            <w:tcMar>
              <w:top w:type="dxa" w:w="80"/>
              <w:left w:type="dxa" w:w="100"/>
              <w:bottom w:type="dxa" w:w="80"/>
              <w:right w:type="dxa" w:w="100"/>
            </w:tcMar>
            <w:vAlign w:val="center"/>
          </w:tcPr>
          <w:p>
            <w:pPr>
              <w:jc w:val="left"/>
            </w:pPr>
            <w:r>
              <w:rPr>
                <w:b w:val="false"/>
                <w:bCs w:val="false"/>
                <w:color w:val="000000"/>
                <w:sz w:val="19"/>
                <w:szCs w:val="19"/>
              </w:rPr>
              <w:t xml:space="preserve">3. Pasca-observasi</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3c. Tindak lanjut</w:t>
            </w:r>
          </w:p>
        </w:tc>
        <w:tc>
          <w:tcPr>
            <w:tcW w:type="dxa" w:w="3286"/>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r>
      <w:tr>
        <w:tc>
          <w:tcPr>
            <w:tcW w:type="dxa" w:w="306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 Pasca-observasi</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3d. Pelaporan berbasis data</w:t>
            </w:r>
          </w:p>
        </w:tc>
        <w:tc>
          <w:tcPr>
            <w:tcW w:type="dxa" w:w="328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Pelaporan Berbasis Data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DF3E7" w:val="clear"/>
            <w:tcMar>
              <w:top w:type="dxa" w:w="160"/>
              <w:left w:type="dxa" w:w="200"/>
              <w:bottom w:type="dxa" w:w="160"/>
              <w:right w:type="dxa" w:w="200"/>
            </w:tcMar>
          </w:tcPr>
          <w:p>
            <w:pPr>
              <w:spacing w:after="80"/>
            </w:pPr>
            <w:r>
              <w:rPr>
                <w:b/>
                <w:bCs/>
                <w:color w:val="1F4E5F"/>
                <w:sz w:val="21"/>
                <w:szCs w:val="21"/>
              </w:rPr>
              <w:t xml:space="preserve">Implikasi Desain</w:t>
            </w:r>
          </w:p>
          <w:p>
            <w:pPr>
              <w:spacing w:after="60"/>
              <w:jc w:val="both"/>
            </w:pPr>
            <w:r>
              <w:rPr>
                <w:sz w:val="20"/>
                <w:szCs w:val="20"/>
              </w:rPr>
              <w:t xml:space="preserve">Sistem dibangun mengelilingi ENAM tahap operasional ini, bukan sepuluh status arbitrer seperti versi sebelumnya. Setiap modul, setiap status dalam state machine, dan setiap kebutuhan data ekstraksi di SLR harus bisa ditelusuri balik ke salah satu dari enam tahap ini — memastikan kesamaan bahasa penuh antara riset dan sistem.</w:t>
            </w:r>
          </w:p>
        </w:tc>
      </w:tr>
    </w:tbl>
    <w:p>
      <w:r>
        <w:br w:type="page"/>
      </w:r>
    </w:p>
    <w:p>
      <w:pPr>
        <w:pStyle w:val="Heading1"/>
        <w:spacing w:after="160" w:before="360"/>
      </w:pPr>
      <w:r>
        <w:rPr>
          <w:b/>
          <w:bCs/>
          <w:color w:val="1F4E5F"/>
          <w:sz w:val="30"/>
          <w:szCs w:val="30"/>
        </w:rPr>
        <w:t xml:space="preserve">3. Tujuan dan Prinsip Desain Sistem</w:t>
      </w:r>
    </w:p>
    <w:p>
      <w:pPr>
        <w:pStyle w:val="Heading2"/>
        <w:spacing w:after="120" w:before="260"/>
      </w:pPr>
      <w:r>
        <w:rPr>
          <w:b/>
          <w:bCs/>
          <w:color w:val="1F4E5F"/>
          <w:sz w:val="25"/>
          <w:szCs w:val="25"/>
        </w:rPr>
        <w:t xml:space="preserve">3.1 Tujuan Sistem</w:t>
      </w:r>
    </w:p>
    <w:p>
      <w:pPr>
        <w:pStyle w:val="ListParagraph"/>
        <w:numPr>
          <w:ilvl w:val="0"/>
          <w:numId w:val="2"/>
        </w:numPr>
        <w:spacing w:after="80" w:line="280"/>
      </w:pPr>
      <w:r>
        <w:rPr>
          <w:sz w:val="21"/>
          <w:szCs w:val="21"/>
        </w:rPr>
        <w:t xml:space="preserve">Menyediakan satu platform terintegrasi untuk keenam tahap siklus supervisi klinis, menggantikan dokumentasi manual yang selama ini terfragmentasi antar tahap.</w:t>
      </w:r>
    </w:p>
    <w:p>
      <w:pPr>
        <w:pStyle w:val="ListParagraph"/>
        <w:numPr>
          <w:ilvl w:val="0"/>
          <w:numId w:val="2"/>
        </w:numPr>
        <w:spacing w:after="80" w:line="280"/>
      </w:pPr>
      <w:r>
        <w:rPr>
          <w:sz w:val="21"/>
          <w:szCs w:val="21"/>
        </w:rPr>
        <w:t xml:space="preserve">Memastikan tahap yang secara literatur/bukti paling minim dukungan digital (hasil sementara: diduga tindak lanjut dan pelaporan berbasis data — akan dikonfirmasi RQ2/RQ3) menjadi prioritas rekayasa, bukan tahap yang sudah banyak difasilitasi alat lain (mis. observasi via video call generik).</w:t>
      </w:r>
    </w:p>
    <w:p>
      <w:pPr>
        <w:pStyle w:val="ListParagraph"/>
        <w:numPr>
          <w:ilvl w:val="0"/>
          <w:numId w:val="2"/>
        </w:numPr>
        <w:spacing w:after="80" w:line="280"/>
      </w:pPr>
      <w:r>
        <w:rPr>
          <w:sz w:val="21"/>
          <w:szCs w:val="21"/>
        </w:rPr>
        <w:t xml:space="preserve">Tetap dapat digunakan pada kondisi infrastruktur terbatas — selaras temuan bagian Latar Belakang SLR tentang kesenjangan akses internet di wilayah 3T seperti Mahakam Ulu.</w:t>
      </w:r>
    </w:p>
    <w:p>
      <w:pPr>
        <w:pStyle w:val="ListParagraph"/>
        <w:numPr>
          <w:ilvl w:val="0"/>
          <w:numId w:val="2"/>
        </w:numPr>
        <w:spacing w:after="80" w:line="280"/>
      </w:pPr>
      <w:r>
        <w:rPr>
          <w:sz w:val="21"/>
          <w:szCs w:val="21"/>
        </w:rPr>
        <w:t xml:space="preserve">Menghasilkan artefak yang dapat dievaluasi ahli (expert judgment) sebagai bagian siklus DSR Artikel 3.</w:t>
      </w:r>
    </w:p>
    <w:p>
      <w:pPr>
        <w:spacing w:after="80"/>
      </w:pPr>
    </w:p>
    <w:p>
      <w:pPr>
        <w:pStyle w:val="Heading2"/>
        <w:spacing w:after="120" w:before="260"/>
      </w:pPr>
      <w:r>
        <w:rPr>
          <w:b/>
          <w:bCs/>
          <w:color w:val="1F4E5F"/>
          <w:sz w:val="25"/>
          <w:szCs w:val="25"/>
        </w:rPr>
        <w:t xml:space="preserve">3.2 Prinsip Desain</w:t>
      </w:r>
    </w:p>
    <w:p>
      <w:pPr>
        <w:pStyle w:val="ListParagraph"/>
        <w:numPr>
          <w:ilvl w:val="0"/>
          <w:numId w:val="3"/>
        </w:numPr>
        <w:spacing w:after="80" w:line="280"/>
      </w:pPr>
      <w:r>
        <w:rPr>
          <w:sz w:val="21"/>
          <w:szCs w:val="21"/>
        </w:rPr>
        <w:t xml:space="preserve">Evidence-first: prioritas modul mengikuti gap SLR, bukan asumsi kelengkapan fitur.</w:t>
      </w:r>
    </w:p>
    <w:p>
      <w:pPr>
        <w:pStyle w:val="ListParagraph"/>
        <w:numPr>
          <w:ilvl w:val="0"/>
          <w:numId w:val="3"/>
        </w:numPr>
        <w:spacing w:after="80" w:line="280"/>
      </w:pPr>
      <w:r>
        <w:rPr>
          <w:sz w:val="21"/>
          <w:szCs w:val="21"/>
        </w:rPr>
        <w:t xml:space="preserve">Ringan &amp; tangguh-jaringan: arsitektur PWA dengan mode luring untuk tahap observasi/pengisian instrumen di lapangan.</w:t>
      </w:r>
    </w:p>
    <w:p>
      <w:pPr>
        <w:pStyle w:val="ListParagraph"/>
        <w:numPr>
          <w:ilvl w:val="0"/>
          <w:numId w:val="3"/>
        </w:numPr>
        <w:spacing w:after="80" w:line="280"/>
      </w:pPr>
      <w:r>
        <w:rPr>
          <w:sz w:val="21"/>
          <w:szCs w:val="21"/>
        </w:rPr>
        <w:t xml:space="preserve">Modular monolith: kompleksitas operasional rendah untuk tim pengembang kecil/individual, tanpa mengorbankan kejelasan batas domain modul.</w:t>
      </w:r>
    </w:p>
    <w:p>
      <w:pPr>
        <w:pStyle w:val="ListParagraph"/>
        <w:numPr>
          <w:ilvl w:val="0"/>
          <w:numId w:val="3"/>
        </w:numPr>
        <w:spacing w:after="80" w:line="280"/>
      </w:pPr>
      <w:r>
        <w:rPr>
          <w:sz w:val="21"/>
          <w:szCs w:val="21"/>
        </w:rPr>
        <w:t xml:space="preserve">Human-in-the-loop pada seluruh kapabilitas AI: sistem membantu menyusun draf, bukan menggantikan keputusan profesional supervisor.</w:t>
      </w:r>
    </w:p>
    <w:p>
      <w:pPr>
        <w:pStyle w:val="ListParagraph"/>
        <w:numPr>
          <w:ilvl w:val="0"/>
          <w:numId w:val="3"/>
        </w:numPr>
        <w:spacing w:after="80" w:line="280"/>
      </w:pPr>
      <w:r>
        <w:rPr>
          <w:sz w:val="21"/>
          <w:szCs w:val="21"/>
        </w:rPr>
        <w:t xml:space="preserve">Traceable ke kerangka teoretis: setiap modul mencantumkan tahap siklus yang didukungnya dan status buktinya (lihat tag Evidence Status di Bagian 6).</w:t>
      </w:r>
    </w:p>
    <w:p>
      <w:r>
        <w:br w:type="page"/>
      </w:r>
    </w:p>
    <w:p>
      <w:pPr>
        <w:pStyle w:val="Heading1"/>
        <w:spacing w:after="160" w:before="360"/>
      </w:pPr>
      <w:r>
        <w:rPr>
          <w:b/>
          <w:bCs/>
          <w:color w:val="1F4E5F"/>
          <w:sz w:val="30"/>
          <w:szCs w:val="30"/>
        </w:rPr>
        <w:t xml:space="preserve">4. Aktor dan Model Hak Akses (RBAC)</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120"/>
        <w:gridCol w:w="3181"/>
        <w:gridCol w:w="4337"/>
      </w:tblGrid>
      <w:tr>
        <w:trPr>
          <w:tblHeader/>
        </w:trPr>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Aktor</w:t>
            </w:r>
          </w:p>
        </w:tc>
        <w:tc>
          <w:tcPr>
            <w:tcW w:type="dxa" w:w="3181"/>
            <w:shd w:fill="1F4E5F" w:val="clear"/>
            <w:tcMar>
              <w:top w:type="dxa" w:w="80"/>
              <w:left w:type="dxa" w:w="100"/>
              <w:bottom w:type="dxa" w:w="80"/>
              <w:right w:type="dxa" w:w="100"/>
            </w:tcMar>
            <w:vAlign w:val="center"/>
          </w:tcPr>
          <w:p>
            <w:pPr>
              <w:jc w:val="left"/>
            </w:pPr>
            <w:r>
              <w:rPr>
                <w:b/>
                <w:bCs/>
                <w:color w:val="FFFFFF"/>
                <w:sz w:val="19"/>
                <w:szCs w:val="19"/>
              </w:rPr>
              <w:t xml:space="preserve">Peran dalam Siklus</w:t>
            </w:r>
          </w:p>
        </w:tc>
        <w:tc>
          <w:tcPr>
            <w:tcW w:type="dxa" w:w="4337"/>
            <w:shd w:fill="1F4E5F" w:val="clear"/>
            <w:tcMar>
              <w:top w:type="dxa" w:w="80"/>
              <w:left w:type="dxa" w:w="100"/>
              <w:bottom w:type="dxa" w:w="80"/>
              <w:right w:type="dxa" w:w="100"/>
            </w:tcMar>
            <w:vAlign w:val="center"/>
          </w:tcPr>
          <w:p>
            <w:pPr>
              <w:jc w:val="left"/>
            </w:pPr>
            <w:r>
              <w:rPr>
                <w:b/>
                <w:bCs/>
                <w:color w:val="FFFFFF"/>
                <w:sz w:val="19"/>
                <w:szCs w:val="19"/>
              </w:rPr>
              <w:t xml:space="preserve">Hak Akses Utama</w:t>
            </w:r>
          </w:p>
        </w:tc>
      </w:tr>
      <w:tr>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Guru</w:t>
            </w:r>
          </w:p>
        </w:tc>
        <w:tc>
          <w:tcPr>
            <w:tcW w:type="dxa" w:w="3181"/>
            <w:tcMar>
              <w:top w:type="dxa" w:w="80"/>
              <w:left w:type="dxa" w:w="100"/>
              <w:bottom w:type="dxa" w:w="80"/>
              <w:right w:type="dxa" w:w="100"/>
            </w:tcMar>
            <w:vAlign w:val="center"/>
          </w:tcPr>
          <w:p>
            <w:pPr>
              <w:jc w:val="left"/>
            </w:pPr>
            <w:r>
              <w:rPr>
                <w:b w:val="false"/>
                <w:bCs w:val="false"/>
                <w:color w:val="000000"/>
                <w:sz w:val="19"/>
                <w:szCs w:val="19"/>
              </w:rPr>
              <w:t xml:space="preserve">Subjek supervisi; mengisi refleksi diri, menerima umpan balik, melaksanakan tindak lanjut</w:t>
            </w:r>
          </w:p>
        </w:tc>
        <w:tc>
          <w:tcPr>
            <w:tcW w:type="dxa" w:w="4337"/>
            <w:tcMar>
              <w:top w:type="dxa" w:w="80"/>
              <w:left w:type="dxa" w:w="100"/>
              <w:bottom w:type="dxa" w:w="80"/>
              <w:right w:type="dxa" w:w="100"/>
            </w:tcMar>
            <w:vAlign w:val="center"/>
          </w:tcPr>
          <w:p>
            <w:pPr>
              <w:jc w:val="left"/>
            </w:pPr>
            <w:r>
              <w:rPr>
                <w:b w:val="false"/>
                <w:bCs w:val="false"/>
                <w:color w:val="000000"/>
                <w:sz w:val="19"/>
                <w:szCs w:val="19"/>
              </w:rPr>
              <w:t xml:space="preserve">Lihat jadwal, isi refleksi pra-observasi, lihat hasil observasi &amp; umpan balik, unggah bukti tindak lanjut</w:t>
            </w:r>
          </w:p>
        </w:tc>
      </w:tr>
      <w:tr>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Kepala Sekolah / Pengawas (Supervisor)</w:t>
            </w:r>
          </w:p>
        </w:tc>
        <w:tc>
          <w:tcPr>
            <w:tcW w:type="dxa" w:w="318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Pelaksana keenam tahap siklus untuk guru binaan</w:t>
            </w:r>
          </w:p>
        </w:tc>
        <w:tc>
          <w:tcPr>
            <w:tcW w:type="dxa" w:w="433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CRUD penuh atas siklus supervisi binaannya: perencanaan → pelaporan</w:t>
            </w:r>
          </w:p>
        </w:tc>
      </w:tr>
      <w:tr>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Admin Dinas Pendidikan</w:t>
            </w:r>
          </w:p>
        </w:tc>
        <w:tc>
          <w:tcPr>
            <w:tcW w:type="dxa" w:w="3181"/>
            <w:tcMar>
              <w:top w:type="dxa" w:w="80"/>
              <w:left w:type="dxa" w:w="100"/>
              <w:bottom w:type="dxa" w:w="80"/>
              <w:right w:type="dxa" w:w="100"/>
            </w:tcMar>
            <w:vAlign w:val="center"/>
          </w:tcPr>
          <w:p>
            <w:pPr>
              <w:jc w:val="left"/>
            </w:pPr>
            <w:r>
              <w:rPr>
                <w:b w:val="false"/>
                <w:bCs w:val="false"/>
                <w:color w:val="000000"/>
                <w:sz w:val="19"/>
                <w:szCs w:val="19"/>
              </w:rPr>
              <w:t xml:space="preserve">Pemantauan lintas sekolah/kabupaten, kebijakan indikator</w:t>
            </w:r>
          </w:p>
        </w:tc>
        <w:tc>
          <w:tcPr>
            <w:tcW w:type="dxa" w:w="4337"/>
            <w:tcMar>
              <w:top w:type="dxa" w:w="80"/>
              <w:left w:type="dxa" w:w="100"/>
              <w:bottom w:type="dxa" w:w="80"/>
              <w:right w:type="dxa" w:w="100"/>
            </w:tcMar>
            <w:vAlign w:val="center"/>
          </w:tcPr>
          <w:p>
            <w:pPr>
              <w:jc w:val="left"/>
            </w:pPr>
            <w:r>
              <w:rPr>
                <w:b w:val="false"/>
                <w:bCs w:val="false"/>
                <w:color w:val="000000"/>
                <w:sz w:val="19"/>
                <w:szCs w:val="19"/>
              </w:rPr>
              <w:t xml:space="preserve">Lihat agregat lintas sekolah, kelola bank indikator, ekspor laporan kebijakan</w:t>
            </w:r>
          </w:p>
        </w:tc>
      </w:tr>
      <w:tr>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Admin Sistem</w:t>
            </w:r>
          </w:p>
        </w:tc>
        <w:tc>
          <w:tcPr>
            <w:tcW w:type="dxa" w:w="318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Pengelolaan teknis platform</w:t>
            </w:r>
          </w:p>
        </w:tc>
        <w:tc>
          <w:tcPr>
            <w:tcW w:type="dxa" w:w="433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Manajemen pengguna, konfigurasi, audit log, backup</w:t>
            </w:r>
          </w:p>
        </w:tc>
      </w:tr>
      <w:tr>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Asisten AI (agen sistem)</w:t>
            </w:r>
          </w:p>
        </w:tc>
        <w:tc>
          <w:tcPr>
            <w:tcW w:type="dxa" w:w="3181"/>
            <w:tcMar>
              <w:top w:type="dxa" w:w="80"/>
              <w:left w:type="dxa" w:w="100"/>
              <w:bottom w:type="dxa" w:w="80"/>
              <w:right w:type="dxa" w:w="100"/>
            </w:tcMar>
            <w:vAlign w:val="center"/>
          </w:tcPr>
          <w:p>
            <w:pPr>
              <w:jc w:val="left"/>
            </w:pPr>
            <w:r>
              <w:rPr>
                <w:b w:val="false"/>
                <w:bCs w:val="false"/>
                <w:color w:val="000000"/>
                <w:sz w:val="19"/>
                <w:szCs w:val="19"/>
              </w:rPr>
              <w:t xml:space="preserve">Pendukung analisis &amp; draf, bukan pengambil keputusan</w:t>
            </w:r>
          </w:p>
        </w:tc>
        <w:tc>
          <w:tcPr>
            <w:tcW w:type="dxa" w:w="4337"/>
            <w:tcMar>
              <w:top w:type="dxa" w:w="80"/>
              <w:left w:type="dxa" w:w="100"/>
              <w:bottom w:type="dxa" w:w="80"/>
              <w:right w:type="dxa" w:w="100"/>
            </w:tcMar>
            <w:vAlign w:val="center"/>
          </w:tcPr>
          <w:p>
            <w:pPr>
              <w:jc w:val="left"/>
            </w:pPr>
            <w:r>
              <w:rPr>
                <w:b w:val="false"/>
                <w:bCs w:val="false"/>
                <w:color w:val="000000"/>
                <w:sz w:val="19"/>
                <w:szCs w:val="19"/>
              </w:rPr>
              <w:t xml:space="preserve">Baca data observasi untuk menyusun draf analisis/umpan balik; tidak punya hak tulis final</w:t>
            </w:r>
          </w:p>
        </w:tc>
      </w:tr>
    </w:tbl>
    <w:p>
      <w:r>
        <w:br w:type="page"/>
      </w:r>
    </w:p>
    <w:p>
      <w:pPr>
        <w:pStyle w:val="Heading1"/>
        <w:spacing w:after="160" w:before="360"/>
      </w:pPr>
      <w:r>
        <w:rPr>
          <w:b/>
          <w:bCs/>
          <w:color w:val="1F4E5F"/>
          <w:sz w:val="30"/>
          <w:szCs w:val="30"/>
        </w:rPr>
        <w:t xml:space="preserve">5. Siklus Supervisi sebagai State Machine</w:t>
      </w:r>
    </w:p>
    <w:p>
      <w:pPr>
        <w:spacing w:after="160" w:line="300"/>
        <w:jc w:val="both"/>
      </w:pPr>
      <w:r>
        <w:rPr>
          <w:sz w:val="21"/>
          <w:szCs w:val="21"/>
        </w:rPr>
        <w:t xml:space="preserve">Berbeda dari versi lama yang memakai 10 status generik, state machine versi ini dipetakan langsung 1:1 ke enam tahap operasional pada Bagian 2.2, ditambah status meta (draf, dibatalkan, diarsipkan) untuk menangani siklus hidup administratif.</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578"/>
        <w:gridCol w:w="1928"/>
        <w:gridCol w:w="1928"/>
        <w:gridCol w:w="1928"/>
        <w:gridCol w:w="3277"/>
      </w:tblGrid>
      <w:tr>
        <w:trPr>
          <w:tblHeader/>
        </w:trPr>
        <w:tc>
          <w:tcPr>
            <w:tcW w:type="dxa" w:w="578"/>
            <w:shd w:fill="1F4E5F" w:val="clear"/>
            <w:tcMar>
              <w:top w:type="dxa" w:w="80"/>
              <w:left w:type="dxa" w:w="100"/>
              <w:bottom w:type="dxa" w:w="80"/>
              <w:right w:type="dxa" w:w="100"/>
            </w:tcMar>
            <w:vAlign w:val="center"/>
          </w:tcPr>
          <w:p>
            <w:pPr>
              <w:jc w:val="left"/>
            </w:pPr>
            <w:r>
              <w:rPr>
                <w:b/>
                <w:bCs/>
                <w:color w:val="FFFFFF"/>
                <w:sz w:val="19"/>
                <w:szCs w:val="19"/>
              </w:rPr>
              <w:t xml:space="preserve">#</w:t>
            </w:r>
          </w:p>
        </w:tc>
        <w:tc>
          <w:tcPr>
            <w:tcW w:type="dxa" w:w="1928"/>
            <w:shd w:fill="1F4E5F" w:val="clear"/>
            <w:tcMar>
              <w:top w:type="dxa" w:w="80"/>
              <w:left w:type="dxa" w:w="100"/>
              <w:bottom w:type="dxa" w:w="80"/>
              <w:right w:type="dxa" w:w="100"/>
            </w:tcMar>
            <w:vAlign w:val="center"/>
          </w:tcPr>
          <w:p>
            <w:pPr>
              <w:jc w:val="left"/>
            </w:pPr>
            <w:r>
              <w:rPr>
                <w:b/>
                <w:bCs/>
                <w:color w:val="FFFFFF"/>
                <w:sz w:val="19"/>
                <w:szCs w:val="19"/>
              </w:rPr>
              <w:t xml:space="preserve">Status</w:t>
            </w:r>
          </w:p>
        </w:tc>
        <w:tc>
          <w:tcPr>
            <w:tcW w:type="dxa" w:w="1928"/>
            <w:shd w:fill="1F4E5F" w:val="clear"/>
            <w:tcMar>
              <w:top w:type="dxa" w:w="80"/>
              <w:left w:type="dxa" w:w="100"/>
              <w:bottom w:type="dxa" w:w="80"/>
              <w:right w:type="dxa" w:w="100"/>
            </w:tcMar>
            <w:vAlign w:val="center"/>
          </w:tcPr>
          <w:p>
            <w:pPr>
              <w:jc w:val="left"/>
            </w:pPr>
            <w:r>
              <w:rPr>
                <w:b/>
                <w:bCs/>
                <w:color w:val="FFFFFF"/>
                <w:sz w:val="19"/>
                <w:szCs w:val="19"/>
              </w:rPr>
              <w:t xml:space="preserve">Tahap Terkait</w:t>
            </w:r>
          </w:p>
        </w:tc>
        <w:tc>
          <w:tcPr>
            <w:tcW w:type="dxa" w:w="1928"/>
            <w:shd w:fill="1F4E5F" w:val="clear"/>
            <w:tcMar>
              <w:top w:type="dxa" w:w="80"/>
              <w:left w:type="dxa" w:w="100"/>
              <w:bottom w:type="dxa" w:w="80"/>
              <w:right w:type="dxa" w:w="100"/>
            </w:tcMar>
            <w:vAlign w:val="center"/>
          </w:tcPr>
          <w:p>
            <w:pPr>
              <w:jc w:val="left"/>
            </w:pPr>
            <w:r>
              <w:rPr>
                <w:b/>
                <w:bCs/>
                <w:color w:val="FFFFFF"/>
                <w:sz w:val="19"/>
                <w:szCs w:val="19"/>
              </w:rPr>
              <w:t xml:space="preserve">Aktor Pemicu</w:t>
            </w:r>
          </w:p>
        </w:tc>
        <w:tc>
          <w:tcPr>
            <w:tcW w:type="dxa" w:w="3277"/>
            <w:shd w:fill="1F4E5F" w:val="clear"/>
            <w:tcMar>
              <w:top w:type="dxa" w:w="80"/>
              <w:left w:type="dxa" w:w="100"/>
              <w:bottom w:type="dxa" w:w="80"/>
              <w:right w:type="dxa" w:w="100"/>
            </w:tcMar>
            <w:vAlign w:val="center"/>
          </w:tcPr>
          <w:p>
            <w:pPr>
              <w:jc w:val="left"/>
            </w:pPr>
            <w:r>
              <w:rPr>
                <w:b/>
                <w:bCs/>
                <w:color w:val="FFFFFF"/>
                <w:sz w:val="19"/>
                <w:szCs w:val="19"/>
              </w:rPr>
              <w:t xml:space="preserve">Aksi Sistem Utama</w:t>
            </w:r>
          </w:p>
        </w:tc>
      </w:tr>
      <w:tr>
        <w:tc>
          <w:tcPr>
            <w:tcW w:type="dxa" w:w="578"/>
            <w:tcMar>
              <w:top w:type="dxa" w:w="80"/>
              <w:left w:type="dxa" w:w="100"/>
              <w:bottom w:type="dxa" w:w="80"/>
              <w:right w:type="dxa" w:w="100"/>
            </w:tcMar>
            <w:vAlign w:val="center"/>
          </w:tcPr>
          <w:p>
            <w:pPr>
              <w:jc w:val="left"/>
            </w:pPr>
            <w:r>
              <w:rPr>
                <w:b w:val="false"/>
                <w:bCs w:val="false"/>
                <w:color w:val="000000"/>
                <w:sz w:val="19"/>
                <w:szCs w:val="19"/>
              </w:rPr>
              <w:t xml:space="preserve">0</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Draf</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Supervisor</w:t>
            </w:r>
          </w:p>
        </w:tc>
        <w:tc>
          <w:tcPr>
            <w:tcW w:type="dxa" w:w="3277"/>
            <w:tcMar>
              <w:top w:type="dxa" w:w="80"/>
              <w:left w:type="dxa" w:w="100"/>
              <w:bottom w:type="dxa" w:w="80"/>
              <w:right w:type="dxa" w:w="100"/>
            </w:tcMar>
            <w:vAlign w:val="center"/>
          </w:tcPr>
          <w:p>
            <w:pPr>
              <w:jc w:val="left"/>
            </w:pPr>
            <w:r>
              <w:rPr>
                <w:b w:val="false"/>
                <w:bCs w:val="false"/>
                <w:color w:val="000000"/>
                <w:sz w:val="19"/>
                <w:szCs w:val="19"/>
              </w:rPr>
              <w:t xml:space="preserve">Siklus dibuat, belum dikunci</w:t>
            </w:r>
          </w:p>
        </w:tc>
      </w:tr>
      <w:tr>
        <w:tc>
          <w:tcPr>
            <w:tcW w:type="dxa" w:w="57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Terjadwal</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Perencanaan</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 + Guru</w:t>
            </w:r>
          </w:p>
        </w:tc>
        <w:tc>
          <w:tcPr>
            <w:tcW w:type="dxa" w:w="327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Kesepakatan fokus &amp; jadwal observasi disimpan; notifikasi ke guru</w:t>
            </w:r>
          </w:p>
        </w:tc>
      </w:tr>
      <w:tr>
        <w:tc>
          <w:tcPr>
            <w:tcW w:type="dxa" w:w="578"/>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Observasi Selesai</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Observasi Pembelajaran</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Supervisor</w:t>
            </w:r>
          </w:p>
        </w:tc>
        <w:tc>
          <w:tcPr>
            <w:tcW w:type="dxa" w:w="3277"/>
            <w:tcMar>
              <w:top w:type="dxa" w:w="80"/>
              <w:left w:type="dxa" w:w="100"/>
              <w:bottom w:type="dxa" w:w="80"/>
              <w:right w:type="dxa" w:w="100"/>
            </w:tcMar>
            <w:vAlign w:val="center"/>
          </w:tcPr>
          <w:p>
            <w:pPr>
              <w:jc w:val="left"/>
            </w:pPr>
            <w:r>
              <w:rPr>
                <w:b w:val="false"/>
                <w:bCs w:val="false"/>
                <w:color w:val="000000"/>
                <w:sz w:val="19"/>
                <w:szCs w:val="19"/>
              </w:rPr>
              <w:t xml:space="preserve">Data observasi (Format B) tersimpan; kunci status Observasi di PRISMA-style audit trail internal</w:t>
            </w:r>
          </w:p>
        </w:tc>
      </w:tr>
      <w:tr>
        <w:tc>
          <w:tcPr>
            <w:tcW w:type="dxa" w:w="57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Analisis Selesai</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Analisis Hasil Observasi</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 / Asisten AI (draf)</w:t>
            </w:r>
          </w:p>
        </w:tc>
        <w:tc>
          <w:tcPr>
            <w:tcW w:type="dxa" w:w="327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Skor &amp; pola hasil observasi dihitung; draf analisis tersedia untuk direview supervisor</w:t>
            </w:r>
          </w:p>
        </w:tc>
      </w:tr>
      <w:tr>
        <w:tc>
          <w:tcPr>
            <w:tcW w:type="dxa" w:w="578"/>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Umpan Balik Diberikan</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Pemberian Umpan Balik</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Supervisor + Guru</w:t>
            </w:r>
          </w:p>
        </w:tc>
        <w:tc>
          <w:tcPr>
            <w:tcW w:type="dxa" w:w="3277"/>
            <w:tcMar>
              <w:top w:type="dxa" w:w="80"/>
              <w:left w:type="dxa" w:w="100"/>
              <w:bottom w:type="dxa" w:w="80"/>
              <w:right w:type="dxa" w:w="100"/>
            </w:tcMar>
            <w:vAlign w:val="center"/>
          </w:tcPr>
          <w:p>
            <w:pPr>
              <w:jc w:val="left"/>
            </w:pPr>
            <w:r>
              <w:rPr>
                <w:b w:val="false"/>
                <w:bCs w:val="false"/>
                <w:color w:val="000000"/>
                <w:sz w:val="19"/>
                <w:szCs w:val="19"/>
              </w:rPr>
              <w:t xml:space="preserve">Sesi umpan balik terekam; guru mengonfirmasi penerimaan</w:t>
            </w:r>
          </w:p>
        </w:tc>
      </w:tr>
      <w:tr>
        <w:tc>
          <w:tcPr>
            <w:tcW w:type="dxa" w:w="57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Tindak Lanjut Berjalan</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Guru</w:t>
            </w:r>
          </w:p>
        </w:tc>
        <w:tc>
          <w:tcPr>
            <w:tcW w:type="dxa" w:w="327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RTL (rencana tindak lanjut) aktif; pengingat otomatis terjadwal</w:t>
            </w:r>
          </w:p>
        </w:tc>
      </w:tr>
      <w:tr>
        <w:tc>
          <w:tcPr>
            <w:tcW w:type="dxa" w:w="578"/>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Tindak Lanjut Terlambat</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Sistem (otomatis)</w:t>
            </w:r>
          </w:p>
        </w:tc>
        <w:tc>
          <w:tcPr>
            <w:tcW w:type="dxa" w:w="3277"/>
            <w:tcMar>
              <w:top w:type="dxa" w:w="80"/>
              <w:left w:type="dxa" w:w="100"/>
              <w:bottom w:type="dxa" w:w="80"/>
              <w:right w:type="dxa" w:w="100"/>
            </w:tcMar>
            <w:vAlign w:val="center"/>
          </w:tcPr>
          <w:p>
            <w:pPr>
              <w:jc w:val="left"/>
            </w:pPr>
            <w:r>
              <w:rPr>
                <w:b w:val="false"/>
                <w:bCs w:val="false"/>
                <w:color w:val="000000"/>
                <w:sz w:val="19"/>
                <w:szCs w:val="19"/>
              </w:rPr>
              <w:t xml:space="preserve">Eskalasi notifikasi ke supervisor jika tenggat RTL terlewati</w:t>
            </w:r>
          </w:p>
        </w:tc>
      </w:tr>
      <w:tr>
        <w:tc>
          <w:tcPr>
            <w:tcW w:type="dxa" w:w="57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Dilaporkan</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Pelaporan Berbasis Data</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c>
          <w:tcPr>
            <w:tcW w:type="dxa" w:w="327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Laporan final disusun &amp; dapat diekspor untuk Admin Dinas</w:t>
            </w:r>
          </w:p>
        </w:tc>
      </w:tr>
      <w:tr>
        <w:tc>
          <w:tcPr>
            <w:tcW w:type="dxa" w:w="578"/>
            <w:tcMar>
              <w:top w:type="dxa" w:w="80"/>
              <w:left w:type="dxa" w:w="100"/>
              <w:bottom w:type="dxa" w:w="80"/>
              <w:right w:type="dxa" w:w="100"/>
            </w:tcMar>
            <w:vAlign w:val="center"/>
          </w:tcPr>
          <w:p>
            <w:pPr>
              <w:jc w:val="left"/>
            </w:pPr>
            <w:r>
              <w:rPr>
                <w:b w:val="false"/>
                <w:bCs w:val="false"/>
                <w:color w:val="000000"/>
                <w:sz w:val="19"/>
                <w:szCs w:val="19"/>
              </w:rPr>
              <w:t xml:space="preserve">8</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Diarsipkan</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Sistem (otomatis)</w:t>
            </w:r>
          </w:p>
        </w:tc>
        <w:tc>
          <w:tcPr>
            <w:tcW w:type="dxa" w:w="3277"/>
            <w:tcMar>
              <w:top w:type="dxa" w:w="80"/>
              <w:left w:type="dxa" w:w="100"/>
              <w:bottom w:type="dxa" w:w="80"/>
              <w:right w:type="dxa" w:w="100"/>
            </w:tcMar>
            <w:vAlign w:val="center"/>
          </w:tcPr>
          <w:p>
            <w:pPr>
              <w:jc w:val="left"/>
            </w:pPr>
            <w:r>
              <w:rPr>
                <w:b w:val="false"/>
                <w:bCs w:val="false"/>
                <w:color w:val="000000"/>
                <w:sz w:val="19"/>
                <w:szCs w:val="19"/>
              </w:rPr>
              <w:t xml:space="preserve">Siklus dikunci sebagai data historis untuk analitik &amp; PKB</w:t>
            </w:r>
          </w:p>
        </w:tc>
      </w:tr>
      <w:tr>
        <w:tc>
          <w:tcPr>
            <w:tcW w:type="dxa" w:w="57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9</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Dibatalkan</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c>
          <w:tcPr>
            <w:tcW w:type="dxa" w:w="3277"/>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Siklus dihentikan dengan alasan tercatat (audit)</w:t>
            </w:r>
          </w:p>
        </w:tc>
      </w:tr>
    </w:tbl>
    <w:p>
      <w:r>
        <w:br w:type="page"/>
      </w:r>
    </w:p>
    <w:p>
      <w:pPr>
        <w:pStyle w:val="Heading1"/>
        <w:spacing w:after="160" w:before="360"/>
      </w:pPr>
      <w:r>
        <w:rPr>
          <w:b/>
          <w:bCs/>
          <w:color w:val="1F4E5F"/>
          <w:sz w:val="30"/>
          <w:szCs w:val="30"/>
        </w:rPr>
        <w:t xml:space="preserve">6. Modul Sistem</w:t>
      </w:r>
    </w:p>
    <w:p>
      <w:pPr>
        <w:pStyle w:val="Heading2"/>
        <w:spacing w:after="120" w:before="260"/>
      </w:pPr>
      <w:r>
        <w:rPr>
          <w:b/>
          <w:bCs/>
          <w:color w:val="1F4E5F"/>
          <w:sz w:val="25"/>
          <w:szCs w:val="25"/>
        </w:rPr>
        <w:t xml:space="preserve">6.1 Domain A — Siklus Supervisi Inti</w:t>
      </w:r>
    </w:p>
    <w:p>
      <w:pPr>
        <w:spacing w:after="160" w:line="300"/>
        <w:jc w:val="both"/>
      </w:pPr>
      <w:r>
        <w:rPr>
          <w:sz w:val="21"/>
          <w:szCs w:val="21"/>
        </w:rPr>
        <w:t xml:space="preserve">Modul yang secara langsung mengoperasionalkan keenam tahap pada Bagian 2.2. Modul di domain ini WAJIB ada terlepas hasil SLR — yang berubah nanti adalah kedalaman fitur per modul, bukan keberadaannya.</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Perencanaan Supervisi</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Perencanaan</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Penjadwalan, kesepakatan fokus observasi, pemilihan instrumen (Format A–E)</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M2</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Observasi Pembelajaran</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Observasi</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Pencatatan observasi terstruktur (sinkron/asinkron), unggah rekaman, pengisian instrumen</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M3</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Analisis Hasil Observasi</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Analisis</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Skoring otomatis, identifikasi pola, draf awal analisis (dibantu Asisten AI)</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M4</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Pemberian Umpan Balik</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Umpan Balik</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Ruang percakapan terstruktur, template umpan balik reflektif kolaboratif</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M5</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Tindak Lanjut (RTL)</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Prioritas Tinggi*</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Rencana tindak lanjut terikat tenggat, pengingat, bukti pelaksanaan, eskalasi</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M6</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Pelaporan Berbasis Data</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Pelaporan</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Prioritas Tinggi*</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Dashboard analitik per guru/sekolah/dinas, ekspor laporan resmi</w:t>
            </w:r>
          </w:p>
        </w:tc>
      </w:tr>
    </w:tbl>
    <w:p>
      <w:pPr>
        <w:spacing w:after="160" w:line="300"/>
        <w:jc w:val="both"/>
      </w:pPr>
      <w:r>
        <w:rPr>
          <w:i/>
          <w:iCs/>
          <w:sz w:val="21"/>
          <w:szCs w:val="21"/>
        </w:rPr>
        <w:t xml:space="preserve">*Prioritas Tinggi: berdasarkan temuan awal (belum final) bahwa tindak lanjut dan pelaporan cenderung menjadi mata rantai paling lemah pada praktik supervisi konvensional di Indonesia (lihat Latar Belakang SLR, Bagian 2). Status ini WAJIB dikonfirmasi ulang setelah RQ2/RQ3 selesai — lihat Bagian 13.</w:t>
      </w:r>
    </w:p>
    <w:p>
      <w:pPr>
        <w:pStyle w:val="Heading2"/>
        <w:spacing w:after="120" w:before="260"/>
      </w:pPr>
      <w:r>
        <w:rPr>
          <w:b/>
          <w:bCs/>
          <w:color w:val="1F4E5F"/>
          <w:sz w:val="25"/>
          <w:szCs w:val="25"/>
        </w:rPr>
        <w:t xml:space="preserve">6.2 Domain B — Manajemen Program dan Instrumen</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M7</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Manajemen Program Tahunan</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Lintas tahap</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Perencanaan supervisi lintas guru/sekolah per tahun ajaran, delegasi tugas pengawas</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M8</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Bank Indikator &amp; Instrumen</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Perencanaan, Observasi</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Repositori Format A–E, dapat dikustomisasi mengikuti kebijakan daerah/SNP</w:t>
            </w:r>
          </w:p>
        </w:tc>
      </w:tr>
    </w:tbl>
    <w:p>
      <w:pPr>
        <w:pStyle w:val="Heading2"/>
        <w:spacing w:after="120" w:before="260"/>
      </w:pPr>
      <w:r>
        <w:rPr>
          <w:b/>
          <w:bCs/>
          <w:color w:val="1F4E5F"/>
          <w:sz w:val="25"/>
          <w:szCs w:val="25"/>
        </w:rPr>
        <w:t xml:space="preserve">6.3 Domain C — Pengembangan Profesional Guru</w:t>
      </w:r>
    </w:p>
    <w:p>
      <w:pPr>
        <w:spacing w:after="160" w:line="300"/>
        <w:jc w:val="both"/>
      </w:pPr>
      <w:r>
        <w:rPr>
          <w:sz w:val="21"/>
          <w:szCs w:val="21"/>
        </w:rPr>
        <w:t xml:space="preserve">Domain ini mendukung keberlanjutan tahap Tindak Lanjut agar tidak berhenti di pencatatan administratif.</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M9</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Katalog PKB</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Rekomendasi pengembangan keprofesian berkelanjutan berdasarkan hasil analisis &amp; RTL</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M10</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Perpustakaan Praktik Baik</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Kurasi praktik pembelajaran baik antar-guru sebagai referensi tindak lanjut</w:t>
            </w:r>
          </w:p>
        </w:tc>
      </w:tr>
    </w:tbl>
    <w:p>
      <w:pPr>
        <w:pStyle w:val="Heading2"/>
        <w:spacing w:after="120" w:before="260"/>
      </w:pPr>
      <w:r>
        <w:rPr>
          <w:b/>
          <w:bCs/>
          <w:color w:val="1F4E5F"/>
          <w:sz w:val="25"/>
          <w:szCs w:val="25"/>
        </w:rPr>
        <w:t xml:space="preserve">6.4 Domain D — Akuntabilitas dan Kualitas Supervisor</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M11</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Akuntabilitas Supervisor (360°)</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Umpan Balik</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Guru menilai kualitas proses supervisi yang diterima, bukan menilai performa mengajarnya</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M12</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Kalibrasi Antar-Penilai</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Analisis</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Provisional — hanya relevan bila multi-supervisor</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Uji konsistensi penilaian antar pengawas/kepala sekolah (mendukung reliabilitas Artikel 2)</w:t>
            </w:r>
          </w:p>
        </w:tc>
      </w:tr>
    </w:tbl>
    <w:p>
      <w:pPr>
        <w:pStyle w:val="Heading2"/>
        <w:spacing w:after="120" w:before="260"/>
      </w:pPr>
      <w:r>
        <w:rPr>
          <w:b/>
          <w:bCs/>
          <w:color w:val="1F4E5F"/>
          <w:sz w:val="25"/>
          <w:szCs w:val="25"/>
        </w:rPr>
        <w:t xml:space="preserve">6.5 Domain E — Fondasi Sistem</w:t>
      </w:r>
    </w:p>
    <w:p>
      <w:pPr>
        <w:spacing w:after="160" w:line="300"/>
        <w:jc w:val="both"/>
      </w:pPr>
      <w:r>
        <w:rPr>
          <w:sz w:val="21"/>
          <w:szCs w:val="21"/>
        </w:rPr>
        <w:t xml:space="preserve">Modul non-siklus yang tidak bergantung pada temuan SLR — dapat mulai dikembangkan tanpa menunggu Gate 6/7.</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M13</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Identitas &amp; Manajemen Pengguna</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Autentikasi, profil, RBAC sesuai Bagian 4</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M14</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Notifikasi &amp; Pengingat</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Lintas tahap</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Notifikasi jadwal, tenggat RTL, eskalasi</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M15</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Administrasi &amp; Konfigurasi Kebijakan</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Pengaturan indikator, struktur organisasi sekolah/dinas</w:t>
            </w:r>
          </w:p>
        </w:tc>
      </w:tr>
      <w:tr>
        <w:tc>
          <w:tcPr>
            <w:tcW w:type="dxa" w:w="771"/>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M16</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Keamanan &amp; Audit Log</w:t>
            </w:r>
          </w:p>
        </w:tc>
        <w:tc>
          <w:tcPr>
            <w:tcW w:type="dxa" w:w="173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Jejak audit seluruh perubahan data siklus, kepatuhan UU PDP</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M17</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Bantuan &amp; Dukungan Pengguna</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Confirmed</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Panduan penggunaan, FAQ, kanal pelaporan kendala</w:t>
            </w:r>
          </w:p>
        </w:tc>
      </w:tr>
    </w:tbl>
    <w:p>
      <w:pPr>
        <w:pStyle w:val="Heading2"/>
        <w:spacing w:after="120" w:before="260"/>
      </w:pPr>
      <w:r>
        <w:rPr>
          <w:b/>
          <w:bCs/>
          <w:color w:val="1F4E5F"/>
          <w:sz w:val="25"/>
          <w:szCs w:val="25"/>
        </w:rPr>
        <w:t xml:space="preserve">6.6 Domain F — Kecerdasan Buatan (Human-in-the-Loop)</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771"/>
        <w:gridCol w:w="2120"/>
        <w:gridCol w:w="1735"/>
        <w:gridCol w:w="1542"/>
        <w:gridCol w:w="3470"/>
      </w:tblGrid>
      <w:tr>
        <w:trPr>
          <w:tblHeader/>
        </w:trPr>
        <w:tc>
          <w:tcPr>
            <w:tcW w:type="dxa" w:w="771"/>
            <w:shd w:fill="1F4E5F" w:val="clear"/>
            <w:tcMar>
              <w:top w:type="dxa" w:w="80"/>
              <w:left w:type="dxa" w:w="100"/>
              <w:bottom w:type="dxa" w:w="80"/>
              <w:right w:type="dxa" w:w="100"/>
            </w:tcMar>
            <w:vAlign w:val="center"/>
          </w:tcPr>
          <w:p>
            <w:pPr>
              <w:jc w:val="left"/>
            </w:pPr>
            <w:r>
              <w:rPr>
                <w:b/>
                <w:bCs/>
                <w:color w:val="FFFFFF"/>
                <w:sz w:val="19"/>
                <w:szCs w:val="19"/>
              </w:rPr>
              <w:t xml:space="preserve">Kode</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Modul</w:t>
            </w:r>
          </w:p>
        </w:tc>
        <w:tc>
          <w:tcPr>
            <w:tcW w:type="dxa" w:w="1735"/>
            <w:shd w:fill="1F4E5F" w:val="clear"/>
            <w:tcMar>
              <w:top w:type="dxa" w:w="80"/>
              <w:left w:type="dxa" w:w="100"/>
              <w:bottom w:type="dxa" w:w="80"/>
              <w:right w:type="dxa" w:w="100"/>
            </w:tcMar>
            <w:vAlign w:val="center"/>
          </w:tcPr>
          <w:p>
            <w:pPr>
              <w:jc w:val="left"/>
            </w:pPr>
            <w:r>
              <w:rPr>
                <w:b/>
                <w:bCs/>
                <w:color w:val="FFFFFF"/>
                <w:sz w:val="19"/>
                <w:szCs w:val="19"/>
              </w:rPr>
              <w:t xml:space="preserve">Tahap Siklus</w:t>
            </w:r>
          </w:p>
        </w:tc>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Evidence Status</w:t>
            </w:r>
          </w:p>
        </w:tc>
        <w:tc>
          <w:tcPr>
            <w:tcW w:type="dxa" w:w="3470"/>
            <w:shd w:fill="1F4E5F" w:val="clear"/>
            <w:tcMar>
              <w:top w:type="dxa" w:w="80"/>
              <w:left w:type="dxa" w:w="100"/>
              <w:bottom w:type="dxa" w:w="80"/>
              <w:right w:type="dxa" w:w="100"/>
            </w:tcMar>
            <w:vAlign w:val="center"/>
          </w:tcPr>
          <w:p>
            <w:pPr>
              <w:jc w:val="left"/>
            </w:pPr>
            <w:r>
              <w:rPr>
                <w:b/>
                <w:bCs/>
                <w:color w:val="FFFFFF"/>
                <w:sz w:val="19"/>
                <w:szCs w:val="19"/>
              </w:rPr>
              <w:t xml:space="preserve">Deskripsi Singkat</w:t>
            </w:r>
          </w:p>
        </w:tc>
      </w:tr>
      <w:tr>
        <w:tc>
          <w:tcPr>
            <w:tcW w:type="dxa" w:w="771"/>
            <w:tcMar>
              <w:top w:type="dxa" w:w="80"/>
              <w:left w:type="dxa" w:w="100"/>
              <w:bottom w:type="dxa" w:w="80"/>
              <w:right w:type="dxa" w:w="100"/>
            </w:tcMar>
            <w:vAlign w:val="center"/>
          </w:tcPr>
          <w:p>
            <w:pPr>
              <w:jc w:val="left"/>
            </w:pPr>
            <w:r>
              <w:rPr>
                <w:b w:val="false"/>
                <w:bCs w:val="false"/>
                <w:color w:val="000000"/>
                <w:sz w:val="19"/>
                <w:szCs w:val="19"/>
              </w:rPr>
              <w:t xml:space="preserve">M18</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Asisten AI Supervisi</w:t>
            </w:r>
          </w:p>
        </w:tc>
        <w:tc>
          <w:tcPr>
            <w:tcW w:type="dxa" w:w="1735"/>
            <w:tcMar>
              <w:top w:type="dxa" w:w="80"/>
              <w:left w:type="dxa" w:w="100"/>
              <w:bottom w:type="dxa" w:w="80"/>
              <w:right w:type="dxa" w:w="100"/>
            </w:tcMar>
            <w:vAlign w:val="center"/>
          </w:tcPr>
          <w:p>
            <w:pPr>
              <w:jc w:val="left"/>
            </w:pPr>
            <w:r>
              <w:rPr>
                <w:b w:val="false"/>
                <w:bCs w:val="false"/>
                <w:color w:val="000000"/>
                <w:sz w:val="19"/>
                <w:szCs w:val="19"/>
              </w:rPr>
              <w:t xml:space="preserve">Analisis, Umpan Balik</w:t>
            </w:r>
          </w:p>
        </w:tc>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Provisional</w:t>
            </w:r>
          </w:p>
        </w:tc>
        <w:tc>
          <w:tcPr>
            <w:tcW w:type="dxa" w:w="3470"/>
            <w:tcMar>
              <w:top w:type="dxa" w:w="80"/>
              <w:left w:type="dxa" w:w="100"/>
              <w:bottom w:type="dxa" w:w="80"/>
              <w:right w:type="dxa" w:w="100"/>
            </w:tcMar>
            <w:vAlign w:val="center"/>
          </w:tcPr>
          <w:p>
            <w:pPr>
              <w:jc w:val="left"/>
            </w:pPr>
            <w:r>
              <w:rPr>
                <w:b w:val="false"/>
                <w:bCs w:val="false"/>
                <w:color w:val="000000"/>
                <w:sz w:val="19"/>
                <w:szCs w:val="19"/>
              </w:rPr>
              <w:t xml:space="preserve">Draf ringkasan observasi &amp; saran umpan balik; supervisor wajib meninjau/menyunting sebelum dikirim ke guru</w:t>
            </w:r>
          </w:p>
        </w:tc>
      </w:tr>
    </w:tbl>
    <w:p>
      <w:r>
        <w:br w:type="page"/>
      </w:r>
    </w:p>
    <w:p>
      <w:pPr>
        <w:pStyle w:val="Heading1"/>
        <w:spacing w:after="160" w:before="360"/>
      </w:pPr>
      <w:r>
        <w:rPr>
          <w:b/>
          <w:bCs/>
          <w:color w:val="1F4E5F"/>
          <w:sz w:val="30"/>
          <w:szCs w:val="30"/>
        </w:rPr>
        <w:t xml:space="preserve">7. Skema Basis Data (Ringkas)</w:t>
      </w:r>
    </w:p>
    <w:p>
      <w:pPr>
        <w:spacing w:after="160" w:line="300"/>
        <w:jc w:val="both"/>
      </w:pPr>
      <w:r>
        <w:rPr>
          <w:sz w:val="21"/>
          <w:szCs w:val="21"/>
        </w:rPr>
        <w:t xml:space="preserve">Skema logis awal, entitas inti yang menopang enam tahap siklus. Rincian atribut lengkap disusun pada iterasi teknis berikutnya (SSD) setelah modul dikunci final.</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2506"/>
        <w:gridCol w:w="2313"/>
        <w:gridCol w:w="4819"/>
      </w:tblGrid>
      <w:tr>
        <w:trPr>
          <w:tblHeader/>
        </w:trPr>
        <w:tc>
          <w:tcPr>
            <w:tcW w:type="dxa" w:w="2506"/>
            <w:shd w:fill="1F4E5F" w:val="clear"/>
            <w:tcMar>
              <w:top w:type="dxa" w:w="80"/>
              <w:left w:type="dxa" w:w="100"/>
              <w:bottom w:type="dxa" w:w="80"/>
              <w:right w:type="dxa" w:w="100"/>
            </w:tcMar>
            <w:vAlign w:val="center"/>
          </w:tcPr>
          <w:p>
            <w:pPr>
              <w:jc w:val="left"/>
            </w:pPr>
            <w:r>
              <w:rPr>
                <w:b/>
                <w:bCs/>
                <w:color w:val="FFFFFF"/>
                <w:sz w:val="19"/>
                <w:szCs w:val="19"/>
              </w:rPr>
              <w:t xml:space="preserve">Entitas</w:t>
            </w:r>
          </w:p>
        </w:tc>
        <w:tc>
          <w:tcPr>
            <w:tcW w:type="dxa" w:w="2313"/>
            <w:shd w:fill="1F4E5F" w:val="clear"/>
            <w:tcMar>
              <w:top w:type="dxa" w:w="80"/>
              <w:left w:type="dxa" w:w="100"/>
              <w:bottom w:type="dxa" w:w="80"/>
              <w:right w:type="dxa" w:w="100"/>
            </w:tcMar>
            <w:vAlign w:val="center"/>
          </w:tcPr>
          <w:p>
            <w:pPr>
              <w:jc w:val="left"/>
            </w:pPr>
            <w:r>
              <w:rPr>
                <w:b/>
                <w:bCs/>
                <w:color w:val="FFFFFF"/>
                <w:sz w:val="19"/>
                <w:szCs w:val="19"/>
              </w:rPr>
              <w:t xml:space="preserve">Menopang Tahap</w:t>
            </w:r>
          </w:p>
        </w:tc>
        <w:tc>
          <w:tcPr>
            <w:tcW w:type="dxa" w:w="4819"/>
            <w:shd w:fill="1F4E5F" w:val="clear"/>
            <w:tcMar>
              <w:top w:type="dxa" w:w="80"/>
              <w:left w:type="dxa" w:w="100"/>
              <w:bottom w:type="dxa" w:w="80"/>
              <w:right w:type="dxa" w:w="100"/>
            </w:tcMar>
            <w:vAlign w:val="center"/>
          </w:tcPr>
          <w:p>
            <w:pPr>
              <w:jc w:val="left"/>
            </w:pPr>
            <w:r>
              <w:rPr>
                <w:b/>
                <w:bCs/>
                <w:color w:val="FFFFFF"/>
                <w:sz w:val="19"/>
                <w:szCs w:val="19"/>
              </w:rPr>
              <w:t xml:space="preserve">Field Kunci (ringkas)</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id, nama, peran, sekolah_id</w:t>
            </w:r>
          </w:p>
        </w:tc>
      </w:tr>
      <w:tr>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supervision_cycles</w:t>
            </w:r>
          </w:p>
        </w:tc>
        <w:tc>
          <w:tcPr>
            <w:tcW w:type="dxa" w:w="2313"/>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Semua tahap</w:t>
            </w:r>
          </w:p>
        </w:tc>
        <w:tc>
          <w:tcPr>
            <w:tcW w:type="dxa" w:w="481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id, guru_id, supervisor_id, status, tahun_ajaran</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planning_agreements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Perencanaan</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cycle_id, fokus_observasi, instrumen_id, jadwal</w:t>
            </w:r>
          </w:p>
        </w:tc>
      </w:tr>
      <w:tr>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observations</w:t>
            </w:r>
          </w:p>
        </w:tc>
        <w:tc>
          <w:tcPr>
            <w:tcW w:type="dxa" w:w="2313"/>
            <w:shd w:fill="F2F2F2" w:val="clear"/>
            <w:tcMar>
              <w:top w:type="dxa" w:w="80"/>
              <w:left w:type="dxa" w:w="100"/>
              <w:bottom w:type="dxa" w:w="80"/>
              <w:right w:type="dxa" w:w="100"/>
            </w:tcMar>
            <w:vAlign w:val="center"/>
          </w:tcPr>
          <w:p>
            <w:pPr>
              <w:jc w:val="left"/>
            </w:pPr>
            <w:r>
              <w:rPr>
                <w:b w:val="false"/>
                <w:bCs w:val="false"/>
                <w:color w:val="000000"/>
                <w:sz w:val="19"/>
                <w:szCs w:val="19"/>
              </w:rPr>
              <w:t xml:space="preserve">Observasi</w:t>
            </w:r>
          </w:p>
        </w:tc>
        <w:tc>
          <w:tcPr>
            <w:tcW w:type="dxa" w:w="481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cycle_id, tipe (sinkron/asinkron), media_url, catatan_skrip</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observation_responses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Observasi, Analisis</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observation_id, format_id, item_id, skor/nilai (pola EAV)</w:t>
            </w:r>
          </w:p>
        </w:tc>
      </w:tr>
      <w:tr>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analysis_results</w:t>
            </w:r>
          </w:p>
        </w:tc>
        <w:tc>
          <w:tcPr>
            <w:tcW w:type="dxa" w:w="2313"/>
            <w:shd w:fill="F2F2F2" w:val="clear"/>
            <w:tcMar>
              <w:top w:type="dxa" w:w="80"/>
              <w:left w:type="dxa" w:w="100"/>
              <w:bottom w:type="dxa" w:w="80"/>
              <w:right w:type="dxa" w:w="100"/>
            </w:tcMar>
            <w:vAlign w:val="center"/>
          </w:tcPr>
          <w:p>
            <w:pPr>
              <w:jc w:val="left"/>
            </w:pPr>
            <w:r>
              <w:rPr>
                <w:b w:val="false"/>
                <w:bCs w:val="false"/>
                <w:color w:val="000000"/>
                <w:sz w:val="19"/>
                <w:szCs w:val="19"/>
              </w:rPr>
              <w:t xml:space="preserve">Analisis</w:t>
            </w:r>
          </w:p>
        </w:tc>
        <w:tc>
          <w:tcPr>
            <w:tcW w:type="dxa" w:w="481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cycle_id, ringkasan, sumber (manual/AI-draft), status_review</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feedback_sessions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Umpan Balik</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cycle_id, catatan, tanggal, status_konfirmasi_guru</w:t>
            </w:r>
          </w:p>
        </w:tc>
      </w:tr>
      <w:tr>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follow_up_plans</w:t>
            </w:r>
          </w:p>
        </w:tc>
        <w:tc>
          <w:tcPr>
            <w:tcW w:type="dxa" w:w="2313"/>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Tindak Lanjut</w:t>
            </w:r>
          </w:p>
        </w:tc>
        <w:tc>
          <w:tcPr>
            <w:tcW w:type="dxa" w:w="481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cycle_id, deskripsi_rtl, tenggat, status, bukti_url</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reports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Pelaporan</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cycle_id / agregat, tipe, periode, file_url</w:t>
            </w:r>
          </w:p>
        </w:tc>
      </w:tr>
      <w:tr>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instrument_bank</w:t>
            </w:r>
          </w:p>
        </w:tc>
        <w:tc>
          <w:tcPr>
            <w:tcW w:type="dxa" w:w="2313"/>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Perencanaan, Observasi</w:t>
            </w:r>
          </w:p>
        </w:tc>
        <w:tc>
          <w:tcPr>
            <w:tcW w:type="dxa" w:w="481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kode_format, versi, item_json</w:t>
            </w:r>
          </w:p>
        </w:tc>
      </w:tr>
      <w:tr>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audit_logs</w:t>
            </w:r>
          </w:p>
        </w:tc>
        <w:tc>
          <w:tcPr>
            <w:tcW w:type="dxa" w:w="2313"/>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4819"/>
            <w:tcMar>
              <w:top w:type="dxa" w:w="80"/>
              <w:left w:type="dxa" w:w="100"/>
              <w:bottom w:type="dxa" w:w="80"/>
              <w:right w:type="dxa" w:w="100"/>
            </w:tcMar>
            <w:vAlign w:val="center"/>
          </w:tcPr>
          <w:p>
            <w:pPr>
              <w:jc w:val="left"/>
            </w:pPr>
            <w:r>
              <w:rPr>
                <w:b w:val="false"/>
                <w:bCs w:val="false"/>
                <w:color w:val="000000"/>
                <w:sz w:val="19"/>
                <w:szCs w:val="19"/>
              </w:rPr>
              <w:t xml:space="preserve">actor_id, entitas, aksi, timestamp</w:t>
            </w:r>
          </w:p>
        </w:tc>
      </w:tr>
    </w:tbl>
    <w:p>
      <w:r>
        <w:br w:type="page"/>
      </w:r>
    </w:p>
    <w:p>
      <w:pPr>
        <w:pStyle w:val="Heading1"/>
        <w:spacing w:after="160" w:before="360"/>
      </w:pPr>
      <w:r>
        <w:rPr>
          <w:b/>
          <w:bCs/>
          <w:color w:val="1F4E5F"/>
          <w:sz w:val="30"/>
          <w:szCs w:val="30"/>
        </w:rPr>
        <w:t xml:space="preserve">8. API Endpoints (Ringkas)</w:t>
      </w:r>
    </w:p>
    <w:p>
      <w:pPr>
        <w:spacing w:after="160" w:line="300"/>
        <w:jc w:val="both"/>
      </w:pPr>
      <w:r>
        <w:rPr>
          <w:sz w:val="21"/>
          <w:szCs w:val="21"/>
        </w:rPr>
        <w:t xml:space="preserve">Daftar awal endpoint inti mengikuti enam tahap siklus. Endpoint domain fondasi (auth, admin) tidak dirinci di sini karena mengikuti pola REST standar.</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964"/>
        <w:gridCol w:w="2699"/>
        <w:gridCol w:w="3855"/>
        <w:gridCol w:w="2120"/>
      </w:tblGrid>
      <w:tr>
        <w:trPr>
          <w:tblHeader/>
        </w:trPr>
        <w:tc>
          <w:tcPr>
            <w:tcW w:type="dxa" w:w="964"/>
            <w:shd w:fill="1F4E5F" w:val="clear"/>
            <w:tcMar>
              <w:top w:type="dxa" w:w="80"/>
              <w:left w:type="dxa" w:w="100"/>
              <w:bottom w:type="dxa" w:w="80"/>
              <w:right w:type="dxa" w:w="100"/>
            </w:tcMar>
            <w:vAlign w:val="center"/>
          </w:tcPr>
          <w:p>
            <w:pPr>
              <w:jc w:val="left"/>
            </w:pPr>
            <w:r>
              <w:rPr>
                <w:b/>
                <w:bCs/>
                <w:color w:val="FFFFFF"/>
                <w:sz w:val="19"/>
                <w:szCs w:val="19"/>
              </w:rPr>
              <w:t xml:space="preserve">Method</w:t>
            </w:r>
          </w:p>
        </w:tc>
        <w:tc>
          <w:tcPr>
            <w:tcW w:type="dxa" w:w="2699"/>
            <w:shd w:fill="1F4E5F" w:val="clear"/>
            <w:tcMar>
              <w:top w:type="dxa" w:w="80"/>
              <w:left w:type="dxa" w:w="100"/>
              <w:bottom w:type="dxa" w:w="80"/>
              <w:right w:type="dxa" w:w="100"/>
            </w:tcMar>
            <w:vAlign w:val="center"/>
          </w:tcPr>
          <w:p>
            <w:pPr>
              <w:jc w:val="left"/>
            </w:pPr>
            <w:r>
              <w:rPr>
                <w:b/>
                <w:bCs/>
                <w:color w:val="FFFFFF"/>
                <w:sz w:val="19"/>
                <w:szCs w:val="19"/>
              </w:rPr>
              <w:t xml:space="preserve">Endpoint</w:t>
            </w:r>
          </w:p>
        </w:tc>
        <w:tc>
          <w:tcPr>
            <w:tcW w:type="dxa" w:w="3855"/>
            <w:shd w:fill="1F4E5F" w:val="clear"/>
            <w:tcMar>
              <w:top w:type="dxa" w:w="80"/>
              <w:left w:type="dxa" w:w="100"/>
              <w:bottom w:type="dxa" w:w="80"/>
              <w:right w:type="dxa" w:w="100"/>
            </w:tcMar>
            <w:vAlign w:val="center"/>
          </w:tcPr>
          <w:p>
            <w:pPr>
              <w:jc w:val="left"/>
            </w:pPr>
            <w:r>
              <w:rPr>
                <w:b/>
                <w:bCs/>
                <w:color w:val="FFFFFF"/>
                <w:sz w:val="19"/>
                <w:szCs w:val="19"/>
              </w:rPr>
              <w:t xml:space="preserve">Tahap / Fungsi</w:t>
            </w:r>
          </w:p>
        </w:tc>
        <w:tc>
          <w:tcPr>
            <w:tcW w:type="dxa" w:w="2120"/>
            <w:shd w:fill="1F4E5F" w:val="clear"/>
            <w:tcMar>
              <w:top w:type="dxa" w:w="80"/>
              <w:left w:type="dxa" w:w="100"/>
              <w:bottom w:type="dxa" w:w="80"/>
              <w:right w:type="dxa" w:w="100"/>
            </w:tcMar>
            <w:vAlign w:val="center"/>
          </w:tcPr>
          <w:p>
            <w:pPr>
              <w:jc w:val="left"/>
            </w:pPr>
            <w:r>
              <w:rPr>
                <w:b/>
                <w:bCs/>
                <w:color w:val="FFFFFF"/>
                <w:sz w:val="19"/>
                <w:szCs w:val="19"/>
              </w:rPr>
              <w:t xml:space="preserve">Akses</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/cycles</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Membuat siklus supervisi baru (Perencanaan)</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69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/cycles/{id}/schedule</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Mengunci jadwal &amp; fokus observasi</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/cycles/{id}/observations</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Menyimpan data observasi (Format B)</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69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/cycles/{id}/analysis/draft</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Mengambil draf analisis (Asisten AI)</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/cycles/{id}/analysis</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Mengunci hasil analisis final</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69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/cycles/{id}/feedback</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Merekam sesi umpan balik</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/cycles/{id}/feedback/ack</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Guru mengonfirmasi penerimaan umpan balik</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Guru</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POST</w:t>
            </w:r>
          </w:p>
        </w:tc>
        <w:tc>
          <w:tcPr>
            <w:tcW w:type="dxa" w:w="269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/cycles/{id}/follow-up</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Membuat rencana tindak lanjut</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PATCH</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/follow-up/{id}/evidence</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Guru mengunggah bukti pelaksanaan RTL</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Guru</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699"/>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/reports/cycle/{id}</w:t>
            </w:r>
          </w:p>
        </w:tc>
        <w:tc>
          <w:tcPr>
            <w:tcW w:type="dxa" w:w="3855"/>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Mengambil laporan per siklus</w:t>
            </w:r>
          </w:p>
        </w:tc>
        <w:tc>
          <w:tcPr>
            <w:tcW w:type="dxa" w:w="2120"/>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 Admin Dinas</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GET</w:t>
            </w:r>
          </w:p>
        </w:tc>
        <w:tc>
          <w:tcPr>
            <w:tcW w:type="dxa" w:w="2699"/>
            <w:tcMar>
              <w:top w:type="dxa" w:w="80"/>
              <w:left w:type="dxa" w:w="100"/>
              <w:bottom w:type="dxa" w:w="80"/>
              <w:right w:type="dxa" w:w="100"/>
            </w:tcMar>
            <w:vAlign w:val="center"/>
          </w:tcPr>
          <w:p>
            <w:pPr>
              <w:jc w:val="left"/>
            </w:pPr>
            <w:r>
              <w:rPr>
                <w:b w:val="false"/>
                <w:bCs w:val="false"/>
                <w:color w:val="000000"/>
                <w:sz w:val="19"/>
                <w:szCs w:val="19"/>
              </w:rPr>
              <w:t xml:space="preserve">/reports/aggregate</w:t>
            </w:r>
          </w:p>
        </w:tc>
        <w:tc>
          <w:tcPr>
            <w:tcW w:type="dxa" w:w="3855"/>
            <w:tcMar>
              <w:top w:type="dxa" w:w="80"/>
              <w:left w:type="dxa" w:w="100"/>
              <w:bottom w:type="dxa" w:w="80"/>
              <w:right w:type="dxa" w:w="100"/>
            </w:tcMar>
            <w:vAlign w:val="center"/>
          </w:tcPr>
          <w:p>
            <w:pPr>
              <w:jc w:val="left"/>
            </w:pPr>
            <w:r>
              <w:rPr>
                <w:b w:val="false"/>
                <w:bCs w:val="false"/>
                <w:color w:val="000000"/>
                <w:sz w:val="19"/>
                <w:szCs w:val="19"/>
              </w:rPr>
              <w:t xml:space="preserve">Laporan agregat lintas sekolah</w:t>
            </w:r>
          </w:p>
        </w:tc>
        <w:tc>
          <w:tcPr>
            <w:tcW w:type="dxa" w:w="2120"/>
            <w:tcMar>
              <w:top w:type="dxa" w:w="80"/>
              <w:left w:type="dxa" w:w="100"/>
              <w:bottom w:type="dxa" w:w="80"/>
              <w:right w:type="dxa" w:w="100"/>
            </w:tcMar>
            <w:vAlign w:val="center"/>
          </w:tcPr>
          <w:p>
            <w:pPr>
              <w:jc w:val="left"/>
            </w:pPr>
            <w:r>
              <w:rPr>
                <w:b w:val="false"/>
                <w:bCs w:val="false"/>
                <w:color w:val="000000"/>
                <w:sz w:val="19"/>
                <w:szCs w:val="19"/>
              </w:rPr>
              <w:t xml:space="preserve">Admin Dinas</w:t>
            </w:r>
          </w:p>
        </w:tc>
      </w:tr>
    </w:tbl>
    <w:p>
      <w:r>
        <w:br w:type="page"/>
      </w:r>
    </w:p>
    <w:p>
      <w:pPr>
        <w:pStyle w:val="Heading1"/>
        <w:spacing w:after="160" w:before="360"/>
      </w:pPr>
      <w:r>
        <w:rPr>
          <w:b/>
          <w:bCs/>
          <w:color w:val="1F4E5F"/>
          <w:sz w:val="30"/>
          <w:szCs w:val="30"/>
        </w:rPr>
        <w:t xml:space="preserve">9. Desain UI/UX — Layar Prioritas MVP</w:t>
      </w:r>
    </w:p>
    <w:p>
      <w:pPr>
        <w:pStyle w:val="ListParagraph"/>
        <w:numPr>
          <w:ilvl w:val="0"/>
          <w:numId w:val="2"/>
        </w:numPr>
        <w:spacing w:after="80" w:line="280"/>
      </w:pPr>
      <w:r>
        <w:rPr>
          <w:sz w:val="21"/>
          <w:szCs w:val="21"/>
        </w:rPr>
        <w:t xml:space="preserve">Dasbor Siklus Aktif (Supervisor) — daftar siklus per status, indikator RTL mendekati tenggat</w:t>
      </w:r>
    </w:p>
    <w:p>
      <w:pPr>
        <w:pStyle w:val="ListParagraph"/>
        <w:numPr>
          <w:ilvl w:val="0"/>
          <w:numId w:val="2"/>
        </w:numPr>
        <w:spacing w:after="80" w:line="280"/>
      </w:pPr>
      <w:r>
        <w:rPr>
          <w:sz w:val="21"/>
          <w:szCs w:val="21"/>
        </w:rPr>
        <w:t xml:space="preserve">Formulir Perencanaan — kesepakatan fokus &amp; jadwal, ringkas 1 layar</w:t>
      </w:r>
    </w:p>
    <w:p>
      <w:pPr>
        <w:pStyle w:val="ListParagraph"/>
        <w:numPr>
          <w:ilvl w:val="0"/>
          <w:numId w:val="2"/>
        </w:numPr>
        <w:spacing w:after="80" w:line="280"/>
      </w:pPr>
      <w:r>
        <w:rPr>
          <w:sz w:val="21"/>
          <w:szCs w:val="21"/>
        </w:rPr>
        <w:t xml:space="preserve">Layar Observasi — pengisian instrumen mode luring-mampu (offline-first), auto-sync</w:t>
      </w:r>
    </w:p>
    <w:p>
      <w:pPr>
        <w:pStyle w:val="ListParagraph"/>
        <w:numPr>
          <w:ilvl w:val="0"/>
          <w:numId w:val="2"/>
        </w:numPr>
        <w:spacing w:after="80" w:line="280"/>
      </w:pPr>
      <w:r>
        <w:rPr>
          <w:sz w:val="21"/>
          <w:szCs w:val="21"/>
        </w:rPr>
        <w:t xml:space="preserve">Layar Analisis — draf AI ditampilkan sebagai saran, bukan hasil final, dengan tombol "tinjau &amp; sunting"</w:t>
      </w:r>
    </w:p>
    <w:p>
      <w:pPr>
        <w:pStyle w:val="ListParagraph"/>
        <w:numPr>
          <w:ilvl w:val="0"/>
          <w:numId w:val="2"/>
        </w:numPr>
        <w:spacing w:after="80" w:line="280"/>
      </w:pPr>
      <w:r>
        <w:rPr>
          <w:sz w:val="21"/>
          <w:szCs w:val="21"/>
        </w:rPr>
        <w:t xml:space="preserve">Ruang Umpan Balik — tampilan percakapan terstruktur guru–supervisor</w:t>
      </w:r>
    </w:p>
    <w:p>
      <w:pPr>
        <w:pStyle w:val="ListParagraph"/>
        <w:numPr>
          <w:ilvl w:val="0"/>
          <w:numId w:val="2"/>
        </w:numPr>
        <w:spacing w:after="80" w:line="280"/>
      </w:pPr>
      <w:r>
        <w:rPr>
          <w:sz w:val="21"/>
          <w:szCs w:val="21"/>
        </w:rPr>
        <w:t xml:space="preserve">Pelacak Tindak Lanjut — checklist RTL dengan status visual (berjalan/terlambat/selesai)</w:t>
      </w:r>
    </w:p>
    <w:p>
      <w:pPr>
        <w:pStyle w:val="ListParagraph"/>
        <w:numPr>
          <w:ilvl w:val="0"/>
          <w:numId w:val="2"/>
        </w:numPr>
        <w:spacing w:after="80" w:line="280"/>
      </w:pPr>
      <w:r>
        <w:rPr>
          <w:sz w:val="21"/>
          <w:szCs w:val="21"/>
        </w:rPr>
        <w:t xml:space="preserve">Dasbor Pelaporan (Admin Dinas) — agregat lintas sekolah dengan filter wilayah/periode</w:t>
      </w:r>
    </w:p>
    <w:p>
      <w:pPr>
        <w:spacing w:after="80"/>
      </w:pPr>
    </w:p>
    <w:p>
      <w:pPr>
        <w:spacing w:after="160" w:line="300"/>
        <w:jc w:val="both"/>
      </w:pPr>
      <w:r>
        <w:rPr>
          <w:b/>
          <w:bCs/>
          <w:sz w:val="21"/>
          <w:szCs w:val="21"/>
        </w:rPr>
        <w:t xml:space="preserve">Prinsip UX kunci: </w:t>
      </w:r>
      <w:r>
        <w:rPr>
          <w:sz w:val="21"/>
          <w:szCs w:val="21"/>
        </w:rPr>
        <w:t xml:space="preserve">layar Observasi dan Tindak Lanjut dirancang mobile-first dan mampu bekerja luring, karena kedua tahap ini paling sering dilakukan di lapangan/kelas dengan konektivitas terbatas — selaras temuan kesenjangan infrastruktur 3T di Latar Belakang SLR.</w:t>
      </w:r>
    </w:p>
    <w:p>
      <w:r>
        <w:br w:type="page"/>
      </w:r>
    </w:p>
    <w:p>
      <w:pPr>
        <w:pStyle w:val="Heading1"/>
        <w:spacing w:after="160" w:before="360"/>
      </w:pPr>
      <w:r>
        <w:rPr>
          <w:b/>
          <w:bCs/>
          <w:color w:val="1F4E5F"/>
          <w:sz w:val="30"/>
          <w:szCs w:val="30"/>
        </w:rPr>
        <w:t xml:space="preserve">10. Keamanan, Privasi, dan Hak Akses</w:t>
      </w:r>
    </w:p>
    <w:p>
      <w:pPr>
        <w:pStyle w:val="ListParagraph"/>
        <w:numPr>
          <w:ilvl w:val="0"/>
          <w:numId w:val="3"/>
        </w:numPr>
        <w:spacing w:after="80" w:line="280"/>
      </w:pPr>
      <w:r>
        <w:rPr>
          <w:sz w:val="21"/>
          <w:szCs w:val="21"/>
        </w:rPr>
        <w:t xml:space="preserve">Kepatuhan UU No. 27/2022 tentang Pelindungan Data Pribadi (PDP): data guru, hasil observasi, dan catatan umpan balik diperlakukan sebagai data pribadi yang memerlukan basis pemrosesan sah (pelaksanaan tugas dinas pendidikan).</w:t>
      </w:r>
    </w:p>
    <w:p>
      <w:pPr>
        <w:pStyle w:val="ListParagraph"/>
        <w:numPr>
          <w:ilvl w:val="0"/>
          <w:numId w:val="3"/>
        </w:numPr>
        <w:spacing w:after="80" w:line="280"/>
      </w:pPr>
      <w:r>
        <w:rPr>
          <w:sz w:val="21"/>
          <w:szCs w:val="21"/>
        </w:rPr>
        <w:t xml:space="preserve">RBAC ketat: guru hanya dapat melihat data siklusnya sendiri; supervisor hanya siklus binaannya; Admin Dinas hanya data agregat/tervalidasi kebijakan akses.</w:t>
      </w:r>
    </w:p>
    <w:p>
      <w:pPr>
        <w:pStyle w:val="ListParagraph"/>
        <w:numPr>
          <w:ilvl w:val="0"/>
          <w:numId w:val="3"/>
        </w:numPr>
        <w:spacing w:after="80" w:line="280"/>
      </w:pPr>
      <w:r>
        <w:rPr>
          <w:sz w:val="21"/>
          <w:szCs w:val="21"/>
        </w:rPr>
        <w:t xml:space="preserve">Audit log menyeluruh pada seluruh perubahan status siklus dan data sensitif (Bagian 7, tabel audit_logs).</w:t>
      </w:r>
    </w:p>
    <w:p>
      <w:pPr>
        <w:pStyle w:val="ListParagraph"/>
        <w:numPr>
          <w:ilvl w:val="0"/>
          <w:numId w:val="3"/>
        </w:numPr>
        <w:spacing w:after="80" w:line="280"/>
      </w:pPr>
      <w:r>
        <w:rPr>
          <w:sz w:val="21"/>
          <w:szCs w:val="21"/>
        </w:rPr>
        <w:t xml:space="preserve">Enkripsi data saat transit (TLS) dan saat disimpan untuk berkas observasi (rekaman, dokumen).</w:t>
      </w:r>
    </w:p>
    <w:p>
      <w:pPr>
        <w:pStyle w:val="ListParagraph"/>
        <w:numPr>
          <w:ilvl w:val="0"/>
          <w:numId w:val="3"/>
        </w:numPr>
        <w:spacing w:after="80" w:line="280"/>
      </w:pPr>
      <w:r>
        <w:rPr>
          <w:sz w:val="21"/>
          <w:szCs w:val="21"/>
        </w:rPr>
        <w:t xml:space="preserve">Retensi data mengikuti kebijakan dinas — arsip siklus lama tidak dihapus otomatis, hanya diarsipkan (status 8, Bagian 5).</w:t>
      </w:r>
    </w:p>
    <w:p>
      <w:pPr>
        <w:pStyle w:val="ListParagraph"/>
        <w:numPr>
          <w:ilvl w:val="0"/>
          <w:numId w:val="3"/>
        </w:numPr>
        <w:spacing w:after="80" w:line="280"/>
      </w:pPr>
      <w:r>
        <w:rPr>
          <w:sz w:val="21"/>
          <w:szCs w:val="21"/>
        </w:rPr>
        <w:t xml:space="preserve">Keluaran Asisten AI (Modul M18) selalu berstatus draf dan tidak pernah tersimpan sebagai data final tanpa tinjauan manusia — mitigasi risiko bias/kesalahan AI pada data yang berdampak pada penilaian kinerja guru.</w:t>
      </w:r>
    </w:p>
    <w:p>
      <w:r>
        <w:br w:type="page"/>
      </w:r>
    </w:p>
    <w:p>
      <w:pPr>
        <w:pStyle w:val="Heading1"/>
        <w:spacing w:after="160" w:before="360"/>
      </w:pPr>
      <w:r>
        <w:rPr>
          <w:b/>
          <w:bCs/>
          <w:color w:val="1F4E5F"/>
          <w:sz w:val="30"/>
          <w:szCs w:val="30"/>
        </w:rPr>
        <w:t xml:space="preserve">11. Roadmap Kecerdasan Buatan (Human-in-the-Loop)</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964"/>
        <w:gridCol w:w="4048"/>
        <w:gridCol w:w="4626"/>
      </w:tblGrid>
      <w:tr>
        <w:trPr>
          <w:tblHeader/>
        </w:trPr>
        <w:tc>
          <w:tcPr>
            <w:tcW w:type="dxa" w:w="964"/>
            <w:shd w:fill="1F4E5F" w:val="clear"/>
            <w:tcMar>
              <w:top w:type="dxa" w:w="80"/>
              <w:left w:type="dxa" w:w="100"/>
              <w:bottom w:type="dxa" w:w="80"/>
              <w:right w:type="dxa" w:w="100"/>
            </w:tcMar>
            <w:vAlign w:val="center"/>
          </w:tcPr>
          <w:p>
            <w:pPr>
              <w:jc w:val="left"/>
            </w:pPr>
            <w:r>
              <w:rPr>
                <w:b/>
                <w:bCs/>
                <w:color w:val="FFFFFF"/>
                <w:sz w:val="19"/>
                <w:szCs w:val="19"/>
              </w:rPr>
              <w:t xml:space="preserve">Tahap</w:t>
            </w:r>
          </w:p>
        </w:tc>
        <w:tc>
          <w:tcPr>
            <w:tcW w:type="dxa" w:w="4048"/>
            <w:shd w:fill="1F4E5F" w:val="clear"/>
            <w:tcMar>
              <w:top w:type="dxa" w:w="80"/>
              <w:left w:type="dxa" w:w="100"/>
              <w:bottom w:type="dxa" w:w="80"/>
              <w:right w:type="dxa" w:w="100"/>
            </w:tcMar>
            <w:vAlign w:val="center"/>
          </w:tcPr>
          <w:p>
            <w:pPr>
              <w:jc w:val="left"/>
            </w:pPr>
            <w:r>
              <w:rPr>
                <w:b/>
                <w:bCs/>
                <w:color w:val="FFFFFF"/>
                <w:sz w:val="19"/>
                <w:szCs w:val="19"/>
              </w:rPr>
              <w:t xml:space="preserve">Kapabilitas AI</w:t>
            </w:r>
          </w:p>
        </w:tc>
        <w:tc>
          <w:tcPr>
            <w:tcW w:type="dxa" w:w="4626"/>
            <w:shd w:fill="1F4E5F" w:val="clear"/>
            <w:tcMar>
              <w:top w:type="dxa" w:w="80"/>
              <w:left w:type="dxa" w:w="100"/>
              <w:bottom w:type="dxa" w:w="80"/>
              <w:right w:type="dxa" w:w="100"/>
            </w:tcMar>
            <w:vAlign w:val="center"/>
          </w:tcPr>
          <w:p>
            <w:pPr>
              <w:jc w:val="left"/>
            </w:pPr>
            <w:r>
              <w:rPr>
                <w:b/>
                <w:bCs/>
                <w:color w:val="FFFFFF"/>
                <w:sz w:val="19"/>
                <w:szCs w:val="19"/>
              </w:rPr>
              <w:t xml:space="preserve">Prinsip Human-in-the-Loop</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4048"/>
            <w:tcMar>
              <w:top w:type="dxa" w:w="80"/>
              <w:left w:type="dxa" w:w="100"/>
              <w:bottom w:type="dxa" w:w="80"/>
              <w:right w:type="dxa" w:w="100"/>
            </w:tcMar>
            <w:vAlign w:val="center"/>
          </w:tcPr>
          <w:p>
            <w:pPr>
              <w:jc w:val="left"/>
            </w:pPr>
            <w:r>
              <w:rPr>
                <w:b w:val="false"/>
                <w:bCs w:val="false"/>
                <w:color w:val="000000"/>
                <w:sz w:val="19"/>
                <w:szCs w:val="19"/>
              </w:rPr>
              <w:t xml:space="preserve">Ringkasan otomatis catatan observasi</w:t>
            </w:r>
          </w:p>
        </w:tc>
        <w:tc>
          <w:tcPr>
            <w:tcW w:type="dxa" w:w="4626"/>
            <w:tcMar>
              <w:top w:type="dxa" w:w="80"/>
              <w:left w:type="dxa" w:w="100"/>
              <w:bottom w:type="dxa" w:w="80"/>
              <w:right w:type="dxa" w:w="100"/>
            </w:tcMar>
            <w:vAlign w:val="center"/>
          </w:tcPr>
          <w:p>
            <w:pPr>
              <w:jc w:val="left"/>
            </w:pPr>
            <w:r>
              <w:rPr>
                <w:b w:val="false"/>
                <w:bCs w:val="false"/>
                <w:color w:val="000000"/>
                <w:sz w:val="19"/>
                <w:szCs w:val="19"/>
              </w:rPr>
              <w:t xml:space="preserve">Supervisor wajib meninjau sebelum disimpan sebagai hasil analisis final</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404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Saran draf umpan balik reflektif</w:t>
            </w:r>
          </w:p>
        </w:tc>
        <w:tc>
          <w:tcPr>
            <w:tcW w:type="dxa" w:w="46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Supervisor menyunting bahasa &amp; substansi sebelum dikirim ke guru</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4048"/>
            <w:tcMar>
              <w:top w:type="dxa" w:w="80"/>
              <w:left w:type="dxa" w:w="100"/>
              <w:bottom w:type="dxa" w:w="80"/>
              <w:right w:type="dxa" w:w="100"/>
            </w:tcMar>
            <w:vAlign w:val="center"/>
          </w:tcPr>
          <w:p>
            <w:pPr>
              <w:jc w:val="left"/>
            </w:pPr>
            <w:r>
              <w:rPr>
                <w:b w:val="false"/>
                <w:bCs w:val="false"/>
                <w:color w:val="000000"/>
                <w:sz w:val="19"/>
                <w:szCs w:val="19"/>
              </w:rPr>
              <w:t xml:space="preserve">Deteksi pola RTL yang berulang tertunda</w:t>
            </w:r>
          </w:p>
        </w:tc>
        <w:tc>
          <w:tcPr>
            <w:tcW w:type="dxa" w:w="4626"/>
            <w:tcMar>
              <w:top w:type="dxa" w:w="80"/>
              <w:left w:type="dxa" w:w="100"/>
              <w:bottom w:type="dxa" w:w="80"/>
              <w:right w:type="dxa" w:w="100"/>
            </w:tcMar>
            <w:vAlign w:val="center"/>
          </w:tcPr>
          <w:p>
            <w:pPr>
              <w:jc w:val="left"/>
            </w:pPr>
            <w:r>
              <w:rPr>
                <w:b w:val="false"/>
                <w:bCs w:val="false"/>
                <w:color w:val="000000"/>
                <w:sz w:val="19"/>
                <w:szCs w:val="19"/>
              </w:rPr>
              <w:t xml:space="preserve">Sistem hanya memberi peringatan; keputusan eskalasi tetap manual</w:t>
            </w:r>
          </w:p>
        </w:tc>
      </w:tr>
      <w:tr>
        <w:tc>
          <w:tcPr>
            <w:tcW w:type="dxa" w:w="964"/>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404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Rekomendasi materi PKB berbasis riwayat siklus</w:t>
            </w:r>
          </w:p>
        </w:tc>
        <w:tc>
          <w:tcPr>
            <w:tcW w:type="dxa" w:w="462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Rekomendasi bersifat opsional, guru bebas memilih alternatif lain</w:t>
            </w:r>
          </w:p>
        </w:tc>
      </w:tr>
      <w:tr>
        <w:tc>
          <w:tcPr>
            <w:tcW w:type="dxa" w:w="964"/>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4048"/>
            <w:tcMar>
              <w:top w:type="dxa" w:w="80"/>
              <w:left w:type="dxa" w:w="100"/>
              <w:bottom w:type="dxa" w:w="80"/>
              <w:right w:type="dxa" w:w="100"/>
            </w:tcMar>
            <w:vAlign w:val="center"/>
          </w:tcPr>
          <w:p>
            <w:pPr>
              <w:jc w:val="left"/>
            </w:pPr>
            <w:r>
              <w:rPr>
                <w:b w:val="false"/>
                <w:bCs w:val="false"/>
                <w:color w:val="000000"/>
                <w:sz w:val="19"/>
                <w:szCs w:val="19"/>
              </w:rPr>
              <w:t xml:space="preserve">Deteksi anomali laporan agregat (mis. sekolah dengan RTL tidak pernah selesai)</w:t>
            </w:r>
          </w:p>
        </w:tc>
        <w:tc>
          <w:tcPr>
            <w:tcW w:type="dxa" w:w="4626"/>
            <w:tcMar>
              <w:top w:type="dxa" w:w="80"/>
              <w:left w:type="dxa" w:w="100"/>
              <w:bottom w:type="dxa" w:w="80"/>
              <w:right w:type="dxa" w:w="100"/>
            </w:tcMar>
            <w:vAlign w:val="center"/>
          </w:tcPr>
          <w:p>
            <w:pPr>
              <w:jc w:val="left"/>
            </w:pPr>
            <w:r>
              <w:rPr>
                <w:b w:val="false"/>
                <w:bCs w:val="false"/>
                <w:color w:val="000000"/>
                <w:sz w:val="19"/>
                <w:szCs w:val="19"/>
              </w:rPr>
              <w:t xml:space="preserve">Hanya menandai untuk tinjauan Admin Dinas, tidak mengambil tindakan otomatis</w:t>
            </w:r>
          </w:p>
        </w:tc>
      </w:tr>
    </w:tbl>
    <w:p>
      <w:r>
        <w:br w:type="page"/>
      </w:r>
    </w:p>
    <w:p>
      <w:pPr>
        <w:pStyle w:val="Heading1"/>
        <w:spacing w:after="160" w:before="360"/>
      </w:pPr>
      <w:r>
        <w:rPr>
          <w:b/>
          <w:bCs/>
          <w:color w:val="1F4E5F"/>
          <w:sz w:val="30"/>
          <w:szCs w:val="30"/>
        </w:rPr>
        <w:t xml:space="preserve">12. Roadmap Implementasi</w:t>
      </w:r>
    </w:p>
    <w:tbl>
      <w:tblPr>
        <w:tblW w:type="dxa" w:w="9638"/>
        <w:tblBorders>
          <w:top w:val="single" w:color="BFBFBF" w:sz="2"/>
          <w:left w:val="single" w:color="BFBFBF" w:sz="2"/>
          <w:bottom w:val="single" w:color="BFBFBF" w:sz="2"/>
          <w:right w:val="single" w:color="BFBFBF" w:sz="2"/>
          <w:insideH w:val="single" w:color="BFBFBF" w:sz="2"/>
          <w:insideV w:val="single" w:color="BFBFBF" w:sz="2"/>
        </w:tblBorders>
      </w:tblPr>
      <w:tblGrid>
        <w:gridCol w:w="1542"/>
        <w:gridCol w:w="2506"/>
        <w:gridCol w:w="1928"/>
        <w:gridCol w:w="3662"/>
      </w:tblGrid>
      <w:tr>
        <w:trPr>
          <w:tblHeader/>
        </w:trPr>
        <w:tc>
          <w:tcPr>
            <w:tcW w:type="dxa" w:w="1542"/>
            <w:shd w:fill="1F4E5F" w:val="clear"/>
            <w:tcMar>
              <w:top w:type="dxa" w:w="80"/>
              <w:left w:type="dxa" w:w="100"/>
              <w:bottom w:type="dxa" w:w="80"/>
              <w:right w:type="dxa" w:w="100"/>
            </w:tcMar>
            <w:vAlign w:val="center"/>
          </w:tcPr>
          <w:p>
            <w:pPr>
              <w:jc w:val="left"/>
            </w:pPr>
            <w:r>
              <w:rPr>
                <w:b/>
                <w:bCs/>
                <w:color w:val="FFFFFF"/>
                <w:sz w:val="19"/>
                <w:szCs w:val="19"/>
              </w:rPr>
              <w:t xml:space="preserve">Fase</w:t>
            </w:r>
          </w:p>
        </w:tc>
        <w:tc>
          <w:tcPr>
            <w:tcW w:type="dxa" w:w="2506"/>
            <w:shd w:fill="1F4E5F" w:val="clear"/>
            <w:tcMar>
              <w:top w:type="dxa" w:w="80"/>
              <w:left w:type="dxa" w:w="100"/>
              <w:bottom w:type="dxa" w:w="80"/>
              <w:right w:type="dxa" w:w="100"/>
            </w:tcMar>
            <w:vAlign w:val="center"/>
          </w:tcPr>
          <w:p>
            <w:pPr>
              <w:jc w:val="left"/>
            </w:pPr>
            <w:r>
              <w:rPr>
                <w:b/>
                <w:bCs/>
                <w:color w:val="FFFFFF"/>
                <w:sz w:val="19"/>
                <w:szCs w:val="19"/>
              </w:rPr>
              <w:t xml:space="preserve">Fokus</w:t>
            </w:r>
          </w:p>
        </w:tc>
        <w:tc>
          <w:tcPr>
            <w:tcW w:type="dxa" w:w="1928"/>
            <w:shd w:fill="1F4E5F" w:val="clear"/>
            <w:tcMar>
              <w:top w:type="dxa" w:w="80"/>
              <w:left w:type="dxa" w:w="100"/>
              <w:bottom w:type="dxa" w:w="80"/>
              <w:right w:type="dxa" w:w="100"/>
            </w:tcMar>
            <w:vAlign w:val="center"/>
          </w:tcPr>
          <w:p>
            <w:pPr>
              <w:jc w:val="left"/>
            </w:pPr>
            <w:r>
              <w:rPr>
                <w:b/>
                <w:bCs/>
                <w:color w:val="FFFFFF"/>
                <w:sz w:val="19"/>
                <w:szCs w:val="19"/>
              </w:rPr>
              <w:t xml:space="preserve">Modul Terkait</w:t>
            </w:r>
          </w:p>
        </w:tc>
        <w:tc>
          <w:tcPr>
            <w:tcW w:type="dxa" w:w="3662"/>
            <w:shd w:fill="1F4E5F" w:val="clear"/>
            <w:tcMar>
              <w:top w:type="dxa" w:w="80"/>
              <w:left w:type="dxa" w:w="100"/>
              <w:bottom w:type="dxa" w:w="80"/>
              <w:right w:type="dxa" w:w="100"/>
            </w:tcMar>
            <w:vAlign w:val="center"/>
          </w:tcPr>
          <w:p>
            <w:pPr>
              <w:jc w:val="left"/>
            </w:pPr>
            <w:r>
              <w:rPr>
                <w:b/>
                <w:bCs/>
                <w:color w:val="FFFFFF"/>
                <w:sz w:val="19"/>
                <w:szCs w:val="19"/>
              </w:rPr>
              <w:t xml:space="preserve">Prasyarat</w:t>
            </w:r>
          </w:p>
        </w:tc>
      </w:tr>
      <w:tr>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1. Fondasi</w:t>
            </w:r>
          </w:p>
        </w:tc>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Identitas, RBAC, struktur organisasi</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M13, M15, M16</w:t>
            </w:r>
          </w:p>
        </w:tc>
        <w:tc>
          <w:tcPr>
            <w:tcW w:type="dxa" w:w="3662"/>
            <w:tcMar>
              <w:top w:type="dxa" w:w="80"/>
              <w:left w:type="dxa" w:w="100"/>
              <w:bottom w:type="dxa" w:w="80"/>
              <w:right w:type="dxa" w:w="100"/>
            </w:tcMar>
            <w:vAlign w:val="center"/>
          </w:tcPr>
          <w:p>
            <w:pPr>
              <w:jc w:val="left"/>
            </w:pPr>
            <w:r>
              <w:rPr>
                <w:b w:val="false"/>
                <w:bCs w:val="false"/>
                <w:color w:val="000000"/>
                <w:sz w:val="19"/>
                <w:szCs w:val="19"/>
              </w:rPr>
              <w:t xml:space="preserve">Tidak ada — dapat mulai sekarang</w:t>
            </w:r>
          </w:p>
        </w:tc>
      </w:tr>
      <w:tr>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2. Inti Siklus (Perencanaan–Observasi)</w:t>
            </w:r>
          </w:p>
        </w:tc>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 M2, M8</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M1, M2, M8</w:t>
            </w:r>
          </w:p>
        </w:tc>
        <w:tc>
          <w:tcPr>
            <w:tcW w:type="dxa" w:w="366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Tidak ada — dapat mulai sekarang</w:t>
            </w:r>
          </w:p>
        </w:tc>
      </w:tr>
      <w:tr>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3. Inti Siklus (Analisis–Pelaporan)</w:t>
            </w:r>
          </w:p>
        </w:tc>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M3, M4, M5, M6, M18</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M3–M6, M18</w:t>
            </w:r>
          </w:p>
        </w:tc>
        <w:tc>
          <w:tcPr>
            <w:tcW w:type="dxa" w:w="3662"/>
            <w:tcMar>
              <w:top w:type="dxa" w:w="80"/>
              <w:left w:type="dxa" w:w="100"/>
              <w:bottom w:type="dxa" w:w="80"/>
              <w:right w:type="dxa" w:w="100"/>
            </w:tcMar>
            <w:vAlign w:val="center"/>
          </w:tcPr>
          <w:p>
            <w:pPr>
              <w:jc w:val="left"/>
            </w:pPr>
            <w:r>
              <w:rPr>
                <w:b w:val="false"/>
                <w:bCs w:val="false"/>
                <w:color w:val="000000"/>
                <w:sz w:val="19"/>
                <w:szCs w:val="19"/>
              </w:rPr>
              <w:t xml:space="preserve">MENUNGGU konfirmasi prioritas dari RQ2/RQ3 (Gate 6/7 SLR)</w:t>
            </w:r>
          </w:p>
        </w:tc>
      </w:tr>
      <w:tr>
        <w:tc>
          <w:tcPr>
            <w:tcW w:type="dxa" w:w="154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4. Pengembangan Profesional &amp; Akuntabilitas</w:t>
            </w:r>
          </w:p>
        </w:tc>
        <w:tc>
          <w:tcPr>
            <w:tcW w:type="dxa" w:w="2506"/>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M7, M9, M10, M11, M12</w:t>
            </w:r>
          </w:p>
        </w:tc>
        <w:tc>
          <w:tcPr>
            <w:tcW w:type="dxa" w:w="1928"/>
            <w:shd w:fill="F2F2F2" w:val="clear"/>
            <w:tcMar>
              <w:top w:type="dxa" w:w="80"/>
              <w:left w:type="dxa" w:w="100"/>
              <w:bottom w:type="dxa" w:w="80"/>
              <w:right w:type="dxa" w:w="100"/>
            </w:tcMar>
            <w:vAlign w:val="center"/>
          </w:tcPr>
          <w:p>
            <w:pPr>
              <w:jc w:val="left"/>
            </w:pPr>
            <w:r>
              <w:rPr>
                <w:b w:val="false"/>
                <w:bCs w:val="false"/>
                <w:color w:val="000000"/>
                <w:sz w:val="19"/>
                <w:szCs w:val="19"/>
              </w:rPr>
              <w:t xml:space="preserve">M7, M9–M12</w:t>
            </w:r>
          </w:p>
        </w:tc>
        <w:tc>
          <w:tcPr>
            <w:tcW w:type="dxa" w:w="3662"/>
            <w:shd w:fill="F2F2F2" w:val="clear"/>
            <w:tcMar>
              <w:top w:type="dxa" w:w="80"/>
              <w:left w:type="dxa" w:w="100"/>
              <w:bottom w:type="dxa" w:w="80"/>
              <w:right w:type="dxa" w:w="100"/>
            </w:tcMar>
            <w:vAlign w:val="center"/>
          </w:tcPr>
          <w:p>
            <w:pPr>
              <w:jc w:val="left"/>
            </w:pPr>
            <w:r>
              <w:rPr>
                <w:b w:val="false"/>
                <w:bCs w:val="false"/>
                <w:color w:val="000000"/>
                <w:sz w:val="19"/>
                <w:szCs w:val="19"/>
              </w:rPr>
              <w:t xml:space="preserve">Setelah Fase 2–3 stabil digunakan</w:t>
            </w:r>
          </w:p>
        </w:tc>
      </w:tr>
      <w:tr>
        <w:tc>
          <w:tcPr>
            <w:tcW w:type="dxa" w:w="1542"/>
            <w:tcMar>
              <w:top w:type="dxa" w:w="80"/>
              <w:left w:type="dxa" w:w="100"/>
              <w:bottom w:type="dxa" w:w="80"/>
              <w:right w:type="dxa" w:w="100"/>
            </w:tcMar>
            <w:vAlign w:val="center"/>
          </w:tcPr>
          <w:p>
            <w:pPr>
              <w:jc w:val="left"/>
            </w:pPr>
            <w:r>
              <w:rPr>
                <w:b w:val="false"/>
                <w:bCs w:val="false"/>
                <w:color w:val="000000"/>
                <w:sz w:val="19"/>
                <w:szCs w:val="19"/>
              </w:rPr>
              <w:t xml:space="preserve">5. Evaluasi Ahli (mendukung Artikel 3 DSR)</w:t>
            </w:r>
          </w:p>
        </w:tc>
        <w:tc>
          <w:tcPr>
            <w:tcW w:type="dxa" w:w="2506"/>
            <w:tcMar>
              <w:top w:type="dxa" w:w="80"/>
              <w:left w:type="dxa" w:w="100"/>
              <w:bottom w:type="dxa" w:w="80"/>
              <w:right w:type="dxa" w:w="100"/>
            </w:tcMar>
            <w:vAlign w:val="center"/>
          </w:tcPr>
          <w:p>
            <w:pPr>
              <w:jc w:val="left"/>
            </w:pPr>
            <w:r>
              <w:rPr>
                <w:b w:val="false"/>
                <w:bCs w:val="false"/>
                <w:color w:val="000000"/>
                <w:sz w:val="19"/>
                <w:szCs w:val="19"/>
              </w:rPr>
              <w:t xml:space="preserve">Validasi artefak oleh ahli manajemen pendidikan &amp; sistem informasi</w:t>
            </w:r>
          </w:p>
        </w:tc>
        <w:tc>
          <w:tcPr>
            <w:tcW w:type="dxa" w:w="1928"/>
            <w:tcMar>
              <w:top w:type="dxa" w:w="80"/>
              <w:left w:type="dxa" w:w="100"/>
              <w:bottom w:type="dxa" w:w="80"/>
              <w:right w:type="dxa" w:w="100"/>
            </w:tcMar>
            <w:vAlign w:val="center"/>
          </w:tcPr>
          <w:p>
            <w:pPr>
              <w:jc w:val="left"/>
            </w:pPr>
            <w:r>
              <w:rPr>
                <w:b w:val="false"/>
                <w:bCs w:val="false"/>
                <w:color w:val="000000"/>
                <w:sz w:val="19"/>
                <w:szCs w:val="19"/>
              </w:rPr>
              <w:t xml:space="preserve">—</w:t>
            </w:r>
          </w:p>
        </w:tc>
        <w:tc>
          <w:tcPr>
            <w:tcW w:type="dxa" w:w="3662"/>
            <w:tcMar>
              <w:top w:type="dxa" w:w="80"/>
              <w:left w:type="dxa" w:w="100"/>
              <w:bottom w:type="dxa" w:w="80"/>
              <w:right w:type="dxa" w:w="100"/>
            </w:tcMar>
            <w:vAlign w:val="center"/>
          </w:tcPr>
          <w:p>
            <w:pPr>
              <w:jc w:val="left"/>
            </w:pPr>
            <w:r>
              <w:rPr>
                <w:b w:val="false"/>
                <w:bCs w:val="false"/>
                <w:color w:val="000000"/>
                <w:sz w:val="19"/>
                <w:szCs w:val="19"/>
              </w:rPr>
              <w:t xml:space="preserve">Sistem MVP (Fase 1–3) berjalan</w:t>
            </w:r>
          </w:p>
        </w:tc>
      </w:tr>
    </w:tbl>
    <w:p>
      <w:r>
        <w:br w:type="page"/>
      </w:r>
    </w:p>
    <w:p>
      <w:pPr>
        <w:pStyle w:val="Heading1"/>
        <w:spacing w:after="160" w:before="360"/>
      </w:pPr>
      <w:r>
        <w:rPr>
          <w:b/>
          <w:bCs/>
          <w:color w:val="1F4E5F"/>
          <w:sz w:val="30"/>
          <w:szCs w:val="30"/>
        </w:rPr>
        <w:t xml:space="preserve">13. Living Document dan Rencana Revisi</w:t>
      </w:r>
    </w:p>
    <w:p>
      <w:pPr>
        <w:spacing w:after="160" w:line="300"/>
        <w:jc w:val="both"/>
      </w:pPr>
      <w:r>
        <w:rPr>
          <w:sz w:val="21"/>
          <w:szCs w:val="21"/>
        </w:rPr>
        <w:t xml:space="preserve">Dokumen ini secara sadar dibangun sebelum SLR (Artikel 1) selesai, agar pengembangan tidak sepenuhnya berhenti menunggu — sesuai keputusan menjalankan riset dan pengembangan sistem secara paralel. Namun ini menuntut disiplin revisi eksplisit, bukan dokumen yang "dianggap final" begitu ditulis.</w:t>
      </w:r>
    </w:p>
    <w:p>
      <w:pPr>
        <w:pStyle w:val="Heading2"/>
        <w:spacing w:after="120" w:before="260"/>
      </w:pPr>
      <w:r>
        <w:rPr>
          <w:b/>
          <w:bCs/>
          <w:color w:val="1F4E5F"/>
          <w:sz w:val="25"/>
          <w:szCs w:val="25"/>
        </w:rPr>
        <w:t xml:space="preserve">13.1 Titik Revisi Wajib</w:t>
      </w:r>
    </w:p>
    <w:p>
      <w:pPr>
        <w:pStyle w:val="ListParagraph"/>
        <w:numPr>
          <w:ilvl w:val="0"/>
          <w:numId w:val="2"/>
        </w:numPr>
        <w:spacing w:after="80" w:line="280"/>
      </w:pPr>
      <w:r>
        <w:rPr>
          <w:sz w:val="21"/>
          <w:szCs w:val="21"/>
        </w:rPr>
        <w:t xml:space="preserve">Setelah GATE 1 SLR terkunci (RQ final) — cek ulang apakah 6 tahap operasional Bagian 2.2 masih konsisten dengan RQ final.</w:t>
      </w:r>
    </w:p>
    <w:p>
      <w:pPr>
        <w:pStyle w:val="ListParagraph"/>
        <w:numPr>
          <w:ilvl w:val="0"/>
          <w:numId w:val="2"/>
        </w:numPr>
        <w:spacing w:after="80" w:line="280"/>
      </w:pPr>
      <w:r>
        <w:rPr>
          <w:sz w:val="21"/>
          <w:szCs w:val="21"/>
        </w:rPr>
        <w:t xml:space="preserve">Setelah GATE 6 SLR (sintesis tematik &amp; cycle mapping selesai) — WAJIB revisi status "Provisional"/"Prioritas Tinggi*" di Bagian 6 menjadi keputusan final berbasis data riil, bukan dugaan awal.</w:t>
      </w:r>
    </w:p>
    <w:p>
      <w:pPr>
        <w:pStyle w:val="ListParagraph"/>
        <w:numPr>
          <w:ilvl w:val="0"/>
          <w:numId w:val="2"/>
        </w:numPr>
        <w:spacing w:after="80" w:line="280"/>
      </w:pPr>
      <w:r>
        <w:rPr>
          <w:sz w:val="21"/>
          <w:szCs w:val="21"/>
        </w:rPr>
        <w:t xml:space="preserve">Setelah GATE 7 (gap &amp; novelty statement final) — kunci ulang Roadmap Implementasi Fase 3 (Bagian 12) berdasarkan tahap yang terbukti paling minim dukungan digital.</w:t>
      </w:r>
    </w:p>
    <w:p>
      <w:pPr>
        <w:spacing w:after="80"/>
      </w:pPr>
    </w:p>
    <w:p>
      <w:pPr>
        <w:pStyle w:val="Heading2"/>
        <w:spacing w:after="120" w:before="260"/>
      </w:pPr>
      <w:r>
        <w:rPr>
          <w:b/>
          <w:bCs/>
          <w:color w:val="1F4E5F"/>
          <w:sz w:val="25"/>
          <w:szCs w:val="25"/>
        </w:rPr>
        <w:t xml:space="preserve">13.2 Apa yang Sudah Aman Dikerjakan Sekarang</w:t>
      </w:r>
    </w:p>
    <w:p>
      <w:pPr>
        <w:spacing w:after="160" w:line="300"/>
        <w:jc w:val="both"/>
      </w:pPr>
      <w:r>
        <w:rPr>
          <w:sz w:val="21"/>
          <w:szCs w:val="21"/>
        </w:rPr>
        <w:t xml:space="preserve">Modul dan tahap implementasi bertanda Confirmed (Bagian 6.1, 6.2, 6.5; Fase 1–2 Bagian 12) tidak bergantung pada hasil SLR dan aman dikembangkan sejak saat ini tanpa risiko rework signifikan.</w:t>
      </w:r>
    </w:p>
    <w:p>
      <w:r>
        <w:br w:type="page"/>
      </w:r>
    </w:p>
    <w:p>
      <w:pPr>
        <w:pStyle w:val="Heading1"/>
        <w:spacing w:after="160" w:before="360"/>
      </w:pPr>
      <w:r>
        <w:rPr>
          <w:b/>
          <w:bCs/>
          <w:color w:val="1F4E5F"/>
          <w:sz w:val="30"/>
          <w:szCs w:val="30"/>
        </w:rPr>
        <w:t xml:space="preserve">14. Catatan Metodologis untuk Artikel 3 (DSR)</w:t>
      </w:r>
    </w:p>
    <w:p>
      <w:pPr>
        <w:spacing w:after="160" w:line="300"/>
        <w:jc w:val="both"/>
      </w:pPr>
      <w:r>
        <w:rPr>
          <w:sz w:val="21"/>
          <w:szCs w:val="21"/>
        </w:rPr>
        <w:t xml:space="preserve">Untuk menjaga kredibilitas metodologis Artikel 3 sebagai Design Science Research, dokumentasikan secara eksplisit dalam manuskrip nanti bahwa:</w:t>
      </w:r>
    </w:p>
    <w:p>
      <w:pPr>
        <w:pStyle w:val="ListParagraph"/>
        <w:numPr>
          <w:ilvl w:val="0"/>
          <w:numId w:val="3"/>
        </w:numPr>
        <w:spacing w:after="80" w:line="280"/>
      </w:pPr>
      <w:r>
        <w:rPr>
          <w:sz w:val="21"/>
          <w:szCs w:val="21"/>
        </w:rPr>
        <w:t xml:space="preserve">Problem identification (Peffers dkk., 2007) bersumber dari evidence map Artikel 1 (RQ2/RQ3), bukan dari observasi informal atau asumsi pengembang.</w:t>
      </w:r>
    </w:p>
    <w:p>
      <w:pPr>
        <w:pStyle w:val="ListParagraph"/>
        <w:numPr>
          <w:ilvl w:val="0"/>
          <w:numId w:val="3"/>
        </w:numPr>
        <w:spacing w:after="80" w:line="280"/>
      </w:pPr>
      <w:r>
        <w:rPr>
          <w:sz w:val="21"/>
          <w:szCs w:val="21"/>
        </w:rPr>
        <w:t xml:space="preserve">Iterasi desain modul (dari versi lama ke dokumen ini) adalah bagian sah dari siklus design–evaluate DSR, dan dapat dinarasikan sebagai bukti proses iteratif yang rigor — bukan disembunyikan sebagai "kesalahan awal".</w:t>
      </w:r>
    </w:p>
    <w:p>
      <w:pPr>
        <w:pStyle w:val="ListParagraph"/>
        <w:numPr>
          <w:ilvl w:val="0"/>
          <w:numId w:val="3"/>
        </w:numPr>
        <w:spacing w:after="80" w:line="280"/>
      </w:pPr>
      <w:r>
        <w:rPr>
          <w:sz w:val="21"/>
          <w:szCs w:val="21"/>
        </w:rPr>
        <w:t xml:space="preserve">Evaluasi artefak (Bagian 12, Fase 5) idealnya melibatkan minimal dua rumpun ahli (manajemen pendidikan dan sistem informasi) dengan CVR/Aiken's V, konsisten dengan pendekatan validasi Artikel 2.</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shd w:fill="FDF3E7" w:val="clear"/>
            <w:tcMar>
              <w:top w:type="dxa" w:w="160"/>
              <w:left w:type="dxa" w:w="200"/>
              <w:bottom w:type="dxa" w:w="160"/>
              <w:right w:type="dxa" w:w="200"/>
            </w:tcMar>
          </w:tcPr>
          <w:p>
            <w:pPr>
              <w:spacing w:after="80"/>
            </w:pPr>
            <w:r>
              <w:rPr>
                <w:b/>
                <w:bCs/>
                <w:color w:val="1F4E5F"/>
                <w:sz w:val="21"/>
                <w:szCs w:val="21"/>
              </w:rPr>
              <w:t xml:space="preserve">Untuk Ditindaklanjuti</w:t>
            </w:r>
          </w:p>
          <w:p>
            <w:pPr>
              <w:spacing w:after="60"/>
              <w:jc w:val="both"/>
            </w:pPr>
            <w:r>
              <w:rPr>
                <w:sz w:val="20"/>
                <w:szCs w:val="20"/>
              </w:rPr>
              <w:t xml:space="preserve">Dokumen ini adalah draf kerja awal (v2.0) — belum melalui tinjauan ahli maupun uji keterbacaan pengguna.</w:t>
            </w:r>
          </w:p>
          <w:p>
            <w:pPr>
              <w:spacing w:after="60"/>
              <w:jc w:val="both"/>
            </w:pPr>
            <w:r>
              <w:rPr>
                <w:sz w:val="20"/>
                <w:szCs w:val="20"/>
              </w:rPr>
              <w:t xml:space="preserve">Status "Provisional" pada Bagian 6 akan berubah begitu Gate 6/7 SLR selesai; jangan mengunci desain database/API final berbasis modul yang masih Provisional.</w:t>
            </w:r>
          </w:p>
          <w:p>
            <w:pPr>
              <w:spacing w:after="60"/>
              <w:jc w:val="both"/>
            </w:pPr>
            <w:r>
              <w:rPr>
                <w:sz w:val="20"/>
                <w:szCs w:val="20"/>
              </w:rPr>
              <w:t xml:space="preserve">Setelah SLR menghasilkan gap matrix final, dokumen ini perlu direvisi dan dapat berkembang menjadi System Software Design (SSD) penuh untuk mulai coding.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2026-09-08T10:38:15.715Z</dcterms:created>
  <dcterms:modified xsi:type="dcterms:W3CDTF">2026-09-08T10:38:15.727Z</dcterms:modified>
</cp:coreProperties>
</file>

<file path=docProps/custom.xml><?xml version="1.0" encoding="utf-8"?>
<Properties xmlns="http://schemas.openxmlformats.org/officeDocument/2006/custom-properties" xmlns:vt="http://schemas.openxmlformats.org/officeDocument/2006/docPropsVTypes"/>
</file>